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Layout w:type="fixed"/>
        <w:tblCellMar>
          <w:left w:w="0" w:type="dxa"/>
          <w:right w:w="0" w:type="dxa"/>
        </w:tblCellMar>
        <w:tblLook w:val="0000" w:firstRow="0" w:lastRow="0" w:firstColumn="0" w:lastColumn="0" w:noHBand="0" w:noVBand="0"/>
      </w:tblPr>
      <w:tblGrid>
        <w:gridCol w:w="4253"/>
        <w:gridCol w:w="4678"/>
      </w:tblGrid>
      <w:tr w:rsidR="008F59A8" w:rsidRPr="009E5C53">
        <w:trPr>
          <w:cantSplit/>
          <w:trHeight w:hRule="exact" w:val="3969"/>
        </w:trPr>
        <w:tc>
          <w:tcPr>
            <w:tcW w:w="4253" w:type="dxa"/>
            <w:shd w:val="clear" w:color="auto" w:fill="auto"/>
            <w:vAlign w:val="bottom"/>
          </w:tcPr>
          <w:p w:rsidR="008F59A8" w:rsidRPr="009E5C53" w:rsidRDefault="008F59A8" w:rsidP="009E5C5B">
            <w:pPr>
              <w:pStyle w:val="TOC9"/>
            </w:pPr>
          </w:p>
        </w:tc>
        <w:tc>
          <w:tcPr>
            <w:tcW w:w="4678" w:type="dxa"/>
            <w:shd w:val="clear" w:color="auto" w:fill="auto"/>
            <w:vAlign w:val="bottom"/>
          </w:tcPr>
          <w:p w:rsidR="008F59A8" w:rsidRPr="009E5C53" w:rsidRDefault="005964B1">
            <w:pPr>
              <w:pStyle w:val="PublicationTitle"/>
            </w:pPr>
            <w:r w:rsidRPr="009E5C53">
              <w:t xml:space="preserve">Insertion of colonic stents for the management of malignant </w:t>
            </w:r>
            <w:r w:rsidR="00AE3DCA" w:rsidRPr="009E5C53">
              <w:t xml:space="preserve">large </w:t>
            </w:r>
            <w:r w:rsidRPr="009E5C53">
              <w:t>bowel obstructions</w:t>
            </w:r>
          </w:p>
        </w:tc>
      </w:tr>
      <w:tr w:rsidR="008F59A8" w:rsidRPr="009E5C53">
        <w:trPr>
          <w:cantSplit/>
          <w:trHeight w:hRule="exact" w:val="425"/>
        </w:trPr>
        <w:tc>
          <w:tcPr>
            <w:tcW w:w="4253" w:type="dxa"/>
            <w:shd w:val="clear" w:color="auto" w:fill="auto"/>
            <w:vAlign w:val="bottom"/>
          </w:tcPr>
          <w:p w:rsidR="008F59A8" w:rsidRPr="009E5C53" w:rsidRDefault="008F59A8">
            <w:bookmarkStart w:id="0" w:name="_GoBack"/>
            <w:bookmarkEnd w:id="0"/>
          </w:p>
        </w:tc>
        <w:tc>
          <w:tcPr>
            <w:tcW w:w="4678" w:type="dxa"/>
            <w:shd w:val="clear" w:color="auto" w:fill="auto"/>
            <w:vAlign w:val="bottom"/>
          </w:tcPr>
          <w:p w:rsidR="008F59A8" w:rsidRPr="000F3C8B" w:rsidRDefault="008F59A8" w:rsidP="00776777">
            <w:pPr>
              <w:pStyle w:val="Heading1"/>
              <w:rPr>
                <w:lang w:val="en-AU" w:eastAsia="en-AU"/>
              </w:rPr>
            </w:pPr>
          </w:p>
          <w:p w:rsidR="008F59A8" w:rsidRPr="009E5C53" w:rsidRDefault="008F59A8">
            <w:pPr>
              <w:rPr>
                <w:b/>
                <w:i/>
              </w:rPr>
            </w:pPr>
          </w:p>
        </w:tc>
      </w:tr>
      <w:tr w:rsidR="008F59A8" w:rsidRPr="00C27C1E">
        <w:trPr>
          <w:cantSplit/>
          <w:trHeight w:hRule="exact" w:val="2132"/>
        </w:trPr>
        <w:tc>
          <w:tcPr>
            <w:tcW w:w="4253" w:type="dxa"/>
            <w:shd w:val="clear" w:color="auto" w:fill="auto"/>
            <w:vAlign w:val="center"/>
          </w:tcPr>
          <w:p w:rsidR="008F59A8" w:rsidRPr="009E5C53" w:rsidRDefault="008F59A8">
            <w:pPr>
              <w:pStyle w:val="Date"/>
            </w:pPr>
          </w:p>
        </w:tc>
        <w:tc>
          <w:tcPr>
            <w:tcW w:w="4678" w:type="dxa"/>
            <w:shd w:val="clear" w:color="auto" w:fill="auto"/>
            <w:vAlign w:val="center"/>
          </w:tcPr>
          <w:p w:rsidR="00071527" w:rsidRPr="00A87C52" w:rsidRDefault="00BD7D49" w:rsidP="005964B1">
            <w:pPr>
              <w:pStyle w:val="Date"/>
              <w:rPr>
                <w:rFonts w:cs="Arial"/>
              </w:rPr>
            </w:pPr>
            <w:r>
              <w:rPr>
                <w:rFonts w:cs="Arial"/>
              </w:rPr>
              <w:t>November</w:t>
            </w:r>
            <w:r w:rsidRPr="008978EE">
              <w:rPr>
                <w:rFonts w:cs="Arial"/>
              </w:rPr>
              <w:t xml:space="preserve"> </w:t>
            </w:r>
            <w:r w:rsidR="005964B1" w:rsidRPr="00A30BA9">
              <w:rPr>
                <w:rFonts w:cs="Arial"/>
              </w:rPr>
              <w:t>2012</w:t>
            </w:r>
          </w:p>
          <w:p w:rsidR="008F59A8" w:rsidRPr="00325C69" w:rsidRDefault="008F59A8" w:rsidP="005A4EEB">
            <w:pPr>
              <w:pStyle w:val="Date"/>
              <w:rPr>
                <w:rFonts w:cs="Arial"/>
                <w:sz w:val="24"/>
                <w:szCs w:val="24"/>
              </w:rPr>
            </w:pPr>
          </w:p>
        </w:tc>
      </w:tr>
      <w:tr w:rsidR="008F59A8" w:rsidRPr="00C27C1E">
        <w:trPr>
          <w:cantSplit/>
          <w:trHeight w:hRule="exact" w:val="2543"/>
        </w:trPr>
        <w:tc>
          <w:tcPr>
            <w:tcW w:w="4253" w:type="dxa"/>
            <w:shd w:val="clear" w:color="auto" w:fill="auto"/>
          </w:tcPr>
          <w:p w:rsidR="008F59A8" w:rsidRPr="00C27C1E" w:rsidRDefault="008F59A8"/>
        </w:tc>
        <w:tc>
          <w:tcPr>
            <w:tcW w:w="4678" w:type="dxa"/>
            <w:shd w:val="clear" w:color="auto" w:fill="auto"/>
          </w:tcPr>
          <w:p w:rsidR="008F59A8" w:rsidRPr="00C27C1E" w:rsidRDefault="008F59A8">
            <w:pPr>
              <w:ind w:right="113"/>
              <w:jc w:val="right"/>
              <w:rPr>
                <w:i/>
                <w:highlight w:val="yellow"/>
              </w:rPr>
            </w:pPr>
          </w:p>
        </w:tc>
      </w:tr>
      <w:tr w:rsidR="008F59A8" w:rsidRPr="00C27C1E">
        <w:trPr>
          <w:cantSplit/>
          <w:trHeight w:hRule="exact" w:val="4536"/>
        </w:trPr>
        <w:tc>
          <w:tcPr>
            <w:tcW w:w="4253" w:type="dxa"/>
            <w:shd w:val="clear" w:color="auto" w:fill="auto"/>
          </w:tcPr>
          <w:p w:rsidR="008F59A8" w:rsidRPr="00C27C1E" w:rsidRDefault="008F59A8">
            <w:pPr>
              <w:pStyle w:val="Sub-title"/>
            </w:pPr>
          </w:p>
        </w:tc>
        <w:tc>
          <w:tcPr>
            <w:tcW w:w="4678" w:type="dxa"/>
            <w:shd w:val="clear" w:color="auto" w:fill="auto"/>
          </w:tcPr>
          <w:p w:rsidR="00A75144" w:rsidRPr="00C27C1E" w:rsidRDefault="00EA5A32" w:rsidP="00A75144">
            <w:pPr>
              <w:pStyle w:val="Sub-title"/>
            </w:pPr>
            <w:r>
              <w:rPr>
                <w:b w:val="0"/>
              </w:rPr>
              <w:t>MSAC Application no</w:t>
            </w:r>
            <w:r w:rsidR="001C3A68" w:rsidRPr="00C27C1E">
              <w:rPr>
                <w:b w:val="0"/>
              </w:rPr>
              <w:t xml:space="preserve"> </w:t>
            </w:r>
            <w:r w:rsidR="00573387" w:rsidRPr="00C27C1E">
              <w:rPr>
                <w:b w:val="0"/>
              </w:rPr>
              <w:t>1150</w:t>
            </w:r>
          </w:p>
          <w:p w:rsidR="008F59A8" w:rsidRPr="00C27C1E" w:rsidRDefault="008F59A8">
            <w:pPr>
              <w:pStyle w:val="Sub-title"/>
              <w:rPr>
                <w:i/>
              </w:rPr>
            </w:pPr>
            <w:r w:rsidRPr="00C27C1E">
              <w:t>Assessment report</w:t>
            </w:r>
          </w:p>
        </w:tc>
      </w:tr>
    </w:tbl>
    <w:p w:rsidR="003606F9" w:rsidRPr="003606F9" w:rsidRDefault="008F59A8" w:rsidP="003606F9">
      <w:pPr>
        <w:rPr>
          <w:b/>
          <w:sz w:val="18"/>
          <w:szCs w:val="18"/>
        </w:rPr>
      </w:pPr>
      <w:r w:rsidRPr="00C27C1E">
        <w:br w:type="page"/>
      </w:r>
      <w:r w:rsidR="003606F9" w:rsidRPr="003606F9">
        <w:rPr>
          <w:b/>
          <w:sz w:val="18"/>
          <w:szCs w:val="18"/>
        </w:rPr>
        <w:lastRenderedPageBreak/>
        <w:t>Medical Services Advisory Committee (MSAC) Report</w:t>
      </w:r>
    </w:p>
    <w:p w:rsidR="00D67436" w:rsidRPr="007E25E1" w:rsidRDefault="00D67436">
      <w:pPr>
        <w:pStyle w:val="CommentText"/>
        <w:rPr>
          <w:b/>
          <w:i/>
          <w:sz w:val="18"/>
          <w:szCs w:val="18"/>
        </w:rPr>
      </w:pPr>
      <w:r w:rsidRPr="007E25E1">
        <w:rPr>
          <w:b/>
          <w:sz w:val="18"/>
          <w:szCs w:val="18"/>
        </w:rPr>
        <w:t xml:space="preserve">ISBN (Online) </w:t>
      </w:r>
      <w:r w:rsidR="0042762F" w:rsidRPr="00DF3E13">
        <w:t>978-1-74241-908-4</w:t>
      </w:r>
      <w:r w:rsidRPr="007E25E1">
        <w:rPr>
          <w:b/>
          <w:i/>
          <w:sz w:val="18"/>
          <w:szCs w:val="18"/>
        </w:rPr>
        <w:t xml:space="preserve"> </w:t>
      </w:r>
    </w:p>
    <w:p w:rsidR="008F59A8" w:rsidRPr="007E25E1" w:rsidRDefault="008F59A8">
      <w:pPr>
        <w:pStyle w:val="CommentText"/>
        <w:rPr>
          <w:b/>
          <w:sz w:val="18"/>
          <w:szCs w:val="18"/>
        </w:rPr>
      </w:pPr>
      <w:r w:rsidRPr="007E25E1">
        <w:rPr>
          <w:b/>
          <w:sz w:val="18"/>
          <w:szCs w:val="18"/>
        </w:rPr>
        <w:t xml:space="preserve">ISSN (Online) </w:t>
      </w:r>
      <w:r w:rsidR="00CC197E" w:rsidRPr="007E25E1">
        <w:rPr>
          <w:b/>
          <w:sz w:val="18"/>
          <w:szCs w:val="18"/>
        </w:rPr>
        <w:t>1443-7139</w:t>
      </w:r>
    </w:p>
    <w:p w:rsidR="002767F8" w:rsidRDefault="002767F8" w:rsidP="002767F8">
      <w:pPr>
        <w:spacing w:after="0"/>
        <w:rPr>
          <w:sz w:val="18"/>
          <w:szCs w:val="18"/>
        </w:rPr>
      </w:pPr>
      <w:r w:rsidRPr="007E25E1">
        <w:rPr>
          <w:b/>
          <w:bCs/>
          <w:sz w:val="18"/>
          <w:szCs w:val="18"/>
        </w:rPr>
        <w:t>Internet sites</w:t>
      </w:r>
      <w:r w:rsidR="00CE0459">
        <w:rPr>
          <w:b/>
          <w:bCs/>
          <w:sz w:val="18"/>
          <w:szCs w:val="18"/>
        </w:rPr>
        <w:t xml:space="preserve"> </w:t>
      </w:r>
      <w:r w:rsidR="00516B5D">
        <w:rPr>
          <w:rFonts w:cs="Garamond"/>
          <w:color w:val="000000"/>
          <w:sz w:val="20"/>
          <w:lang w:eastAsia="zh-TW"/>
        </w:rPr>
        <w:t>http://</w:t>
      </w:r>
      <w:hyperlink r:id="rId9" w:tooltip="This link is to the Medical Services Advisory Website" w:history="1">
        <w:r w:rsidR="00516B5D" w:rsidRPr="00E6166D">
          <w:rPr>
            <w:rStyle w:val="Hyperlink"/>
            <w:rFonts w:cs="Garamond"/>
            <w:sz w:val="20"/>
            <w:lang w:eastAsia="zh-TW"/>
          </w:rPr>
          <w:t>www.msac.gov.au</w:t>
        </w:r>
      </w:hyperlink>
    </w:p>
    <w:p w:rsidR="00516B5D" w:rsidRPr="007E25E1" w:rsidRDefault="00516B5D" w:rsidP="002767F8">
      <w:pPr>
        <w:spacing w:after="0"/>
        <w:rPr>
          <w:b/>
          <w:bCs/>
          <w:sz w:val="18"/>
          <w:szCs w:val="18"/>
        </w:rPr>
      </w:pPr>
    </w:p>
    <w:p w:rsidR="0042762F" w:rsidRPr="0042762F" w:rsidRDefault="0042762F" w:rsidP="0042762F">
      <w:pPr>
        <w:rPr>
          <w:sz w:val="18"/>
          <w:szCs w:val="18"/>
        </w:rPr>
      </w:pPr>
      <w:r w:rsidRPr="0042762F">
        <w:rPr>
          <w:sz w:val="18"/>
          <w:szCs w:val="18"/>
        </w:rPr>
        <w:t xml:space="preserve">© Commonwealth of Australia 2013 </w:t>
      </w:r>
    </w:p>
    <w:p w:rsidR="0042762F" w:rsidRPr="0042762F" w:rsidRDefault="0042762F" w:rsidP="0042762F">
      <w:pPr>
        <w:rPr>
          <w:sz w:val="18"/>
          <w:szCs w:val="18"/>
        </w:rPr>
      </w:pPr>
      <w:r w:rsidRPr="0042762F">
        <w:rPr>
          <w:sz w:val="18"/>
          <w:szCs w:val="18"/>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42762F">
        <w:rPr>
          <w:i/>
          <w:iCs/>
          <w:sz w:val="18"/>
          <w:szCs w:val="18"/>
        </w:rPr>
        <w:t xml:space="preserve">Copyright Act 1968 </w:t>
      </w:r>
      <w:r w:rsidRPr="0042762F">
        <w:rPr>
          <w:sz w:val="18"/>
          <w:szCs w:val="18"/>
        </w:rPr>
        <w:t>or allowed by this copyright notice</w:t>
      </w:r>
      <w:r w:rsidRPr="0042762F">
        <w:rPr>
          <w:i/>
          <w:iCs/>
          <w:sz w:val="18"/>
          <w:szCs w:val="18"/>
        </w:rPr>
        <w:t xml:space="preserve">, </w:t>
      </w:r>
      <w:r w:rsidRPr="0042762F">
        <w:rPr>
          <w:sz w:val="18"/>
          <w:szCs w:val="18"/>
        </w:rPr>
        <w:t>all other rights are reserved and</w:t>
      </w:r>
      <w:r w:rsidRPr="0042762F">
        <w:rPr>
          <w:i/>
          <w:iCs/>
          <w:sz w:val="18"/>
          <w:szCs w:val="18"/>
        </w:rPr>
        <w:t xml:space="preserve"> </w:t>
      </w:r>
      <w:r w:rsidRPr="0042762F">
        <w:rPr>
          <w:sz w:val="18"/>
          <w:szCs w:val="18"/>
        </w:rPr>
        <w:t>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copyright@health.gov.au.</w:t>
      </w:r>
    </w:p>
    <w:p w:rsidR="008F59A8" w:rsidRPr="007E25E1" w:rsidRDefault="008F59A8" w:rsidP="00203947">
      <w:pPr>
        <w:rPr>
          <w:sz w:val="18"/>
          <w:szCs w:val="18"/>
        </w:rPr>
      </w:pPr>
      <w:r w:rsidRPr="007E25E1">
        <w:rPr>
          <w:sz w:val="18"/>
          <w:szCs w:val="18"/>
        </w:rPr>
        <w:t>Electronic copies of the report can be obtained from the Medical Service Advisory Committee’s Internet site at http://www.msac.gov.au</w:t>
      </w:r>
    </w:p>
    <w:p w:rsidR="008F59A8" w:rsidRPr="007E25E1" w:rsidRDefault="008F59A8" w:rsidP="008F59A8">
      <w:pPr>
        <w:spacing w:after="120"/>
        <w:rPr>
          <w:sz w:val="18"/>
          <w:szCs w:val="18"/>
        </w:rPr>
      </w:pPr>
      <w:r w:rsidRPr="007E25E1">
        <w:rPr>
          <w:sz w:val="18"/>
          <w:szCs w:val="18"/>
        </w:rPr>
        <w:t>Enquiries about the content of the report should be directed to the above address.</w:t>
      </w:r>
    </w:p>
    <w:p w:rsidR="008F59A8" w:rsidRPr="007E25E1" w:rsidRDefault="00CE0459">
      <w:pPr>
        <w:rPr>
          <w:sz w:val="18"/>
          <w:szCs w:val="18"/>
        </w:rPr>
      </w:pPr>
      <w:r>
        <w:rPr>
          <w:sz w:val="18"/>
          <w:szCs w:val="18"/>
        </w:rPr>
        <w:t>This report is a contracted technical report for use by the</w:t>
      </w:r>
      <w:r w:rsidR="007A764D">
        <w:rPr>
          <w:sz w:val="18"/>
          <w:szCs w:val="18"/>
        </w:rPr>
        <w:t xml:space="preserve"> Medical Services</w:t>
      </w:r>
      <w:r w:rsidR="00F077FD" w:rsidRPr="007E25E1">
        <w:rPr>
          <w:sz w:val="18"/>
          <w:szCs w:val="18"/>
        </w:rPr>
        <w:t xml:space="preserve"> </w:t>
      </w:r>
      <w:r w:rsidR="008F59A8" w:rsidRPr="007E25E1">
        <w:rPr>
          <w:sz w:val="18"/>
          <w:szCs w:val="18"/>
        </w:rPr>
        <w:t xml:space="preserve">Advisory Committee (MSAC) </w:t>
      </w:r>
      <w:r>
        <w:rPr>
          <w:sz w:val="18"/>
          <w:szCs w:val="18"/>
        </w:rPr>
        <w:t xml:space="preserve">to inform its deliberations. MSAC </w:t>
      </w:r>
      <w:r w:rsidR="008F59A8" w:rsidRPr="007E25E1">
        <w:rPr>
          <w:sz w:val="18"/>
          <w:szCs w:val="18"/>
        </w:rPr>
        <w:t xml:space="preserve">is an independent committee which has been established to provide advice to the Minister for Health and Ageing on the strength of evidence available on new and existing medical technologies and procedures in terms of their safety, effectiveness and cost-effectiveness. This advice will help to inform </w:t>
      </w:r>
      <w:r w:rsidR="007761EB" w:rsidRPr="007E25E1">
        <w:rPr>
          <w:sz w:val="18"/>
          <w:szCs w:val="18"/>
        </w:rPr>
        <w:t xml:space="preserve">government </w:t>
      </w:r>
      <w:r w:rsidR="008F59A8" w:rsidRPr="007E25E1">
        <w:rPr>
          <w:sz w:val="18"/>
          <w:szCs w:val="18"/>
        </w:rPr>
        <w:t xml:space="preserve">decisions about which medical services should attract funding under Medicare. </w:t>
      </w:r>
    </w:p>
    <w:p w:rsidR="00310206" w:rsidRPr="007E25E1" w:rsidRDefault="008F59A8" w:rsidP="00310206">
      <w:pPr>
        <w:pStyle w:val="BodyText"/>
        <w:ind w:left="720"/>
        <w:rPr>
          <w:rFonts w:ascii="Garamond" w:hAnsi="Garamond"/>
          <w:i w:val="0"/>
          <w:sz w:val="18"/>
          <w:szCs w:val="18"/>
          <w:u w:val="single"/>
        </w:rPr>
      </w:pPr>
      <w:r w:rsidRPr="007E25E1">
        <w:rPr>
          <w:rFonts w:ascii="Garamond" w:hAnsi="Garamond"/>
          <w:i w:val="0"/>
          <w:sz w:val="18"/>
          <w:szCs w:val="18"/>
          <w:u w:val="single"/>
        </w:rPr>
        <w:t>MSAC</w:t>
      </w:r>
      <w:r w:rsidR="007748EC" w:rsidRPr="007E25E1">
        <w:rPr>
          <w:rFonts w:ascii="Garamond" w:hAnsi="Garamond"/>
          <w:i w:val="0"/>
          <w:sz w:val="18"/>
          <w:szCs w:val="18"/>
          <w:u w:val="single"/>
        </w:rPr>
        <w:t>’s</w:t>
      </w:r>
      <w:r w:rsidRPr="007E25E1">
        <w:rPr>
          <w:rFonts w:ascii="Garamond" w:hAnsi="Garamond"/>
          <w:i w:val="0"/>
          <w:sz w:val="18"/>
          <w:szCs w:val="18"/>
          <w:u w:val="single"/>
        </w:rPr>
        <w:t xml:space="preserve"> </w:t>
      </w:r>
      <w:r w:rsidR="007748EC" w:rsidRPr="007E25E1">
        <w:rPr>
          <w:rFonts w:ascii="Garamond" w:hAnsi="Garamond"/>
          <w:i w:val="0"/>
          <w:sz w:val="18"/>
          <w:szCs w:val="18"/>
          <w:u w:val="single"/>
        </w:rPr>
        <w:t>advice</w:t>
      </w:r>
      <w:r w:rsidRPr="007E25E1">
        <w:rPr>
          <w:rFonts w:ascii="Garamond" w:hAnsi="Garamond"/>
          <w:i w:val="0"/>
          <w:sz w:val="18"/>
          <w:szCs w:val="18"/>
          <w:u w:val="single"/>
        </w:rPr>
        <w:t xml:space="preserve"> do</w:t>
      </w:r>
      <w:r w:rsidR="007748EC" w:rsidRPr="007E25E1">
        <w:rPr>
          <w:rFonts w:ascii="Garamond" w:hAnsi="Garamond"/>
          <w:i w:val="0"/>
          <w:sz w:val="18"/>
          <w:szCs w:val="18"/>
          <w:u w:val="single"/>
        </w:rPr>
        <w:t>es</w:t>
      </w:r>
      <w:r w:rsidRPr="007E25E1">
        <w:rPr>
          <w:rFonts w:ascii="Garamond" w:hAnsi="Garamond"/>
          <w:i w:val="0"/>
          <w:sz w:val="18"/>
          <w:szCs w:val="18"/>
          <w:u w:val="single"/>
        </w:rPr>
        <w:t xml:space="preserve"> not necessarily reflect the views of all individuals who participated in the MSAC evaluation.</w:t>
      </w:r>
    </w:p>
    <w:p w:rsidR="008F59A8" w:rsidRPr="007E25E1" w:rsidRDefault="008F59A8">
      <w:pPr>
        <w:pStyle w:val="BodyText"/>
        <w:rPr>
          <w:rFonts w:ascii="Garamond" w:hAnsi="Garamond"/>
          <w:b w:val="0"/>
          <w:i w:val="0"/>
          <w:sz w:val="18"/>
          <w:szCs w:val="18"/>
          <w:u w:val="single"/>
        </w:rPr>
      </w:pPr>
    </w:p>
    <w:p w:rsidR="00B21211" w:rsidRPr="007E25E1" w:rsidRDefault="00310206">
      <w:pPr>
        <w:rPr>
          <w:sz w:val="18"/>
          <w:szCs w:val="18"/>
        </w:rPr>
      </w:pPr>
      <w:r w:rsidRPr="007E25E1">
        <w:rPr>
          <w:sz w:val="18"/>
          <w:szCs w:val="18"/>
        </w:rPr>
        <w:t>This report was pre</w:t>
      </w:r>
      <w:r w:rsidR="00311F5B" w:rsidRPr="007E25E1">
        <w:rPr>
          <w:sz w:val="18"/>
          <w:szCs w:val="18"/>
        </w:rPr>
        <w:t xml:space="preserve">pared by Dr Yasoba Atukorale, </w:t>
      </w:r>
      <w:r w:rsidR="00E75BCD" w:rsidRPr="007E25E1">
        <w:rPr>
          <w:sz w:val="18"/>
          <w:szCs w:val="18"/>
        </w:rPr>
        <w:t>Mr</w:t>
      </w:r>
      <w:r w:rsidR="00B21211" w:rsidRPr="007E25E1">
        <w:rPr>
          <w:sz w:val="18"/>
          <w:szCs w:val="18"/>
        </w:rPr>
        <w:t xml:space="preserve"> Ben Hoggan</w:t>
      </w:r>
      <w:r w:rsidR="00E75BCD" w:rsidRPr="007E25E1">
        <w:rPr>
          <w:sz w:val="18"/>
          <w:szCs w:val="18"/>
        </w:rPr>
        <w:t xml:space="preserve">, </w:t>
      </w:r>
      <w:r w:rsidR="00311F5B" w:rsidRPr="007E25E1">
        <w:rPr>
          <w:sz w:val="18"/>
          <w:szCs w:val="18"/>
        </w:rPr>
        <w:t xml:space="preserve">Ms Robyn Lambert and Ms Stefanie Gurgacz </w:t>
      </w:r>
      <w:r w:rsidRPr="007E25E1">
        <w:rPr>
          <w:sz w:val="18"/>
          <w:szCs w:val="18"/>
        </w:rPr>
        <w:t>from the Australian Safety and Efficacy Register of New Interventional Procedures – Surgical (ASERNIP-S)</w:t>
      </w:r>
      <w:r w:rsidR="00311F5B" w:rsidRPr="007E25E1">
        <w:rPr>
          <w:sz w:val="18"/>
          <w:szCs w:val="18"/>
        </w:rPr>
        <w:t>;</w:t>
      </w:r>
      <w:r w:rsidRPr="007E25E1">
        <w:rPr>
          <w:sz w:val="18"/>
          <w:szCs w:val="18"/>
        </w:rPr>
        <w:t xml:space="preserve"> and </w:t>
      </w:r>
      <w:r w:rsidR="00B21211" w:rsidRPr="007E25E1">
        <w:rPr>
          <w:sz w:val="18"/>
          <w:szCs w:val="18"/>
        </w:rPr>
        <w:t xml:space="preserve">Ms Jody Church and Dr Stephen Goodall from the Centre for Health Economics Research Evaluation (CHERE), with the assistance of </w:t>
      </w:r>
      <w:r w:rsidR="00311F5B" w:rsidRPr="007E25E1">
        <w:rPr>
          <w:sz w:val="18"/>
          <w:szCs w:val="18"/>
        </w:rPr>
        <w:t>expert clinicians</w:t>
      </w:r>
      <w:r w:rsidR="00B21211" w:rsidRPr="007E25E1">
        <w:rPr>
          <w:sz w:val="18"/>
          <w:szCs w:val="18"/>
        </w:rPr>
        <w:t>. The report was commissioned by the Department of Health and Ag</w:t>
      </w:r>
      <w:r w:rsidR="0044517E">
        <w:rPr>
          <w:sz w:val="18"/>
          <w:szCs w:val="18"/>
        </w:rPr>
        <w:t>e</w:t>
      </w:r>
      <w:r w:rsidR="00B21211" w:rsidRPr="007E25E1">
        <w:rPr>
          <w:sz w:val="18"/>
          <w:szCs w:val="18"/>
        </w:rPr>
        <w:t>ing on behalf of MSAC. It was edited by ASERNIP-S.</w:t>
      </w:r>
      <w:r w:rsidR="001C6FDB" w:rsidRPr="007E25E1">
        <w:rPr>
          <w:sz w:val="18"/>
          <w:szCs w:val="18"/>
        </w:rPr>
        <w:t xml:space="preserve"> </w:t>
      </w:r>
    </w:p>
    <w:p w:rsidR="00B21211" w:rsidRPr="007E25E1" w:rsidRDefault="00B21211">
      <w:pPr>
        <w:rPr>
          <w:sz w:val="18"/>
          <w:szCs w:val="18"/>
        </w:rPr>
      </w:pPr>
      <w:r w:rsidRPr="007E25E1">
        <w:rPr>
          <w:sz w:val="18"/>
          <w:szCs w:val="18"/>
        </w:rPr>
        <w:t>This report should be referenced as follows:</w:t>
      </w:r>
    </w:p>
    <w:p w:rsidR="00125613" w:rsidRPr="007E25E1" w:rsidRDefault="00B21211">
      <w:pPr>
        <w:rPr>
          <w:sz w:val="18"/>
          <w:szCs w:val="18"/>
        </w:rPr>
      </w:pPr>
      <w:r w:rsidRPr="007E25E1">
        <w:rPr>
          <w:sz w:val="18"/>
          <w:szCs w:val="18"/>
        </w:rPr>
        <w:t xml:space="preserve">Atukorale Y, </w:t>
      </w:r>
      <w:r w:rsidR="00311F5B" w:rsidRPr="007E25E1">
        <w:rPr>
          <w:sz w:val="18"/>
          <w:szCs w:val="18"/>
        </w:rPr>
        <w:t xml:space="preserve">Church J, </w:t>
      </w:r>
      <w:r w:rsidRPr="007E25E1">
        <w:rPr>
          <w:sz w:val="18"/>
          <w:szCs w:val="18"/>
        </w:rPr>
        <w:t>H</w:t>
      </w:r>
      <w:r w:rsidR="00125613" w:rsidRPr="007E25E1">
        <w:rPr>
          <w:sz w:val="18"/>
          <w:szCs w:val="18"/>
        </w:rPr>
        <w:t xml:space="preserve">oggan B, </w:t>
      </w:r>
      <w:r w:rsidR="00311F5B" w:rsidRPr="007E25E1">
        <w:rPr>
          <w:sz w:val="18"/>
          <w:szCs w:val="18"/>
        </w:rPr>
        <w:t xml:space="preserve">Lambert R, Gurgacz S, </w:t>
      </w:r>
      <w:r w:rsidR="00125613" w:rsidRPr="007E25E1">
        <w:rPr>
          <w:sz w:val="18"/>
          <w:szCs w:val="18"/>
        </w:rPr>
        <w:t xml:space="preserve">Goodall S. (2012). </w:t>
      </w:r>
      <w:proofErr w:type="gramStart"/>
      <w:r w:rsidR="00125613" w:rsidRPr="007E25E1">
        <w:rPr>
          <w:i/>
          <w:sz w:val="18"/>
          <w:szCs w:val="18"/>
        </w:rPr>
        <w:t>Insertion of colonic stents for the treatment of malignant large bowel obstruction</w:t>
      </w:r>
      <w:r w:rsidR="00125613" w:rsidRPr="007E25E1">
        <w:rPr>
          <w:sz w:val="18"/>
          <w:szCs w:val="18"/>
        </w:rPr>
        <w:t>.</w:t>
      </w:r>
      <w:proofErr w:type="gramEnd"/>
      <w:r w:rsidR="00125613" w:rsidRPr="007E25E1">
        <w:rPr>
          <w:sz w:val="18"/>
          <w:szCs w:val="18"/>
        </w:rPr>
        <w:t xml:space="preserve"> MSAC Application 1150, Assessment Report. </w:t>
      </w:r>
      <w:proofErr w:type="gramStart"/>
      <w:r w:rsidR="00125613" w:rsidRPr="007E25E1">
        <w:rPr>
          <w:sz w:val="18"/>
          <w:szCs w:val="18"/>
        </w:rPr>
        <w:t>Commonwealth of Australia, Canberra, ACT.</w:t>
      </w:r>
      <w:proofErr w:type="gramEnd"/>
    </w:p>
    <w:p w:rsidR="00665179" w:rsidRPr="0042762F" w:rsidRDefault="008F59A8" w:rsidP="00E56B04">
      <w:pPr>
        <w:rPr>
          <w:sz w:val="18"/>
          <w:szCs w:val="18"/>
        </w:rPr>
      </w:pPr>
      <w:r w:rsidRPr="007E25E1">
        <w:rPr>
          <w:sz w:val="18"/>
          <w:szCs w:val="18"/>
        </w:rPr>
        <w:t xml:space="preserve">Publication approval number: </w:t>
      </w:r>
      <w:r w:rsidR="0042762F" w:rsidRPr="0042762F">
        <w:rPr>
          <w:sz w:val="18"/>
          <w:szCs w:val="18"/>
        </w:rPr>
        <w:t>10135</w:t>
      </w:r>
    </w:p>
    <w:p w:rsidR="00287570" w:rsidRDefault="00287570" w:rsidP="00E56B04">
      <w:pPr>
        <w:rPr>
          <w:sz w:val="18"/>
          <w:szCs w:val="18"/>
        </w:rPr>
        <w:sectPr w:rsidR="00287570" w:rsidSect="00A90770">
          <w:type w:val="oddPage"/>
          <w:pgSz w:w="11906" w:h="16838"/>
          <w:pgMar w:top="1440" w:right="1440" w:bottom="1440" w:left="1440" w:header="720" w:footer="720" w:gutter="0"/>
          <w:paperSrc w:first="2" w:other="2"/>
          <w:pgNumType w:fmt="lowerRoman"/>
          <w:cols w:space="720"/>
        </w:sectPr>
      </w:pPr>
    </w:p>
    <w:p w:rsidR="008F59A8" w:rsidRPr="00C27C1E" w:rsidRDefault="008F59A8" w:rsidP="00776777">
      <w:pPr>
        <w:pStyle w:val="Heading1"/>
      </w:pPr>
      <w:bookmarkStart w:id="1" w:name="_Toc192054741"/>
      <w:bookmarkStart w:id="2" w:name="_Toc206489930"/>
      <w:bookmarkStart w:id="3" w:name="_Toc206494639"/>
      <w:bookmarkStart w:id="4" w:name="_Toc214339152"/>
      <w:bookmarkStart w:id="5" w:name="_Toc352924398"/>
      <w:r w:rsidRPr="00C27C1E">
        <w:lastRenderedPageBreak/>
        <w:t>Contents</w:t>
      </w:r>
      <w:bookmarkEnd w:id="1"/>
      <w:bookmarkEnd w:id="2"/>
      <w:bookmarkEnd w:id="3"/>
      <w:bookmarkEnd w:id="4"/>
      <w:bookmarkEnd w:id="5"/>
    </w:p>
    <w:p w:rsidR="00F76B65" w:rsidRDefault="00F85E97">
      <w:pPr>
        <w:pStyle w:val="TOC1"/>
        <w:rPr>
          <w:rFonts w:asciiTheme="minorHAnsi" w:eastAsiaTheme="minorEastAsia" w:hAnsiTheme="minorHAnsi" w:cstheme="minorBidi"/>
          <w:b w:val="0"/>
          <w:sz w:val="22"/>
          <w:szCs w:val="22"/>
        </w:rPr>
      </w:pPr>
      <w:r w:rsidRPr="003A67FE">
        <w:fldChar w:fldCharType="begin"/>
      </w:r>
      <w:r w:rsidRPr="00C27C1E">
        <w:instrText xml:space="preserve"> TOC \o "1-2" \h \z \u </w:instrText>
      </w:r>
      <w:r w:rsidRPr="003A67FE">
        <w:fldChar w:fldCharType="separate"/>
      </w:r>
      <w:hyperlink w:anchor="_Toc352924398" w:history="1">
        <w:r w:rsidR="00F76B65" w:rsidRPr="00092DDB">
          <w:rPr>
            <w:rStyle w:val="Hyperlink"/>
          </w:rPr>
          <w:t>Contents</w:t>
        </w:r>
        <w:r w:rsidR="00F76B65">
          <w:rPr>
            <w:webHidden/>
          </w:rPr>
          <w:tab/>
        </w:r>
        <w:r w:rsidR="00F76B65">
          <w:rPr>
            <w:webHidden/>
          </w:rPr>
          <w:fldChar w:fldCharType="begin"/>
        </w:r>
        <w:r w:rsidR="00F76B65">
          <w:rPr>
            <w:webHidden/>
          </w:rPr>
          <w:instrText xml:space="preserve"> PAGEREF _Toc352924398 \h </w:instrText>
        </w:r>
        <w:r w:rsidR="00F76B65">
          <w:rPr>
            <w:webHidden/>
          </w:rPr>
        </w:r>
        <w:r w:rsidR="00F76B65">
          <w:rPr>
            <w:webHidden/>
          </w:rPr>
          <w:fldChar w:fldCharType="separate"/>
        </w:r>
        <w:r w:rsidR="00F76B65">
          <w:rPr>
            <w:webHidden/>
          </w:rPr>
          <w:t>iii</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399" w:history="1">
        <w:r w:rsidR="00F76B65" w:rsidRPr="00092DDB">
          <w:rPr>
            <w:rStyle w:val="Hyperlink"/>
          </w:rPr>
          <w:t>Executive summary</w:t>
        </w:r>
        <w:r w:rsidR="00F76B65">
          <w:rPr>
            <w:webHidden/>
          </w:rPr>
          <w:tab/>
        </w:r>
        <w:r w:rsidR="00F76B65">
          <w:rPr>
            <w:webHidden/>
          </w:rPr>
          <w:fldChar w:fldCharType="begin"/>
        </w:r>
        <w:r w:rsidR="00F76B65">
          <w:rPr>
            <w:webHidden/>
          </w:rPr>
          <w:instrText xml:space="preserve"> PAGEREF _Toc352924399 \h </w:instrText>
        </w:r>
        <w:r w:rsidR="00F76B65">
          <w:rPr>
            <w:webHidden/>
          </w:rPr>
        </w:r>
        <w:r w:rsidR="00F76B65">
          <w:rPr>
            <w:webHidden/>
          </w:rPr>
          <w:fldChar w:fldCharType="separate"/>
        </w:r>
        <w:r w:rsidR="00F76B65">
          <w:rPr>
            <w:webHidden/>
          </w:rPr>
          <w:t>1</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00" w:history="1">
        <w:r w:rsidR="00F76B65" w:rsidRPr="00092DDB">
          <w:rPr>
            <w:rStyle w:val="Hyperlink"/>
          </w:rPr>
          <w:t>Introduction</w:t>
        </w:r>
        <w:r w:rsidR="00F76B65">
          <w:rPr>
            <w:webHidden/>
          </w:rPr>
          <w:tab/>
        </w:r>
        <w:r w:rsidR="00F76B65">
          <w:rPr>
            <w:webHidden/>
          </w:rPr>
          <w:fldChar w:fldCharType="begin"/>
        </w:r>
        <w:r w:rsidR="00F76B65">
          <w:rPr>
            <w:webHidden/>
          </w:rPr>
          <w:instrText xml:space="preserve"> PAGEREF _Toc352924400 \h </w:instrText>
        </w:r>
        <w:r w:rsidR="00F76B65">
          <w:rPr>
            <w:webHidden/>
          </w:rPr>
        </w:r>
        <w:r w:rsidR="00F76B65">
          <w:rPr>
            <w:webHidden/>
          </w:rPr>
          <w:fldChar w:fldCharType="separate"/>
        </w:r>
        <w:r w:rsidR="00F76B65">
          <w:rPr>
            <w:webHidden/>
          </w:rPr>
          <w:t>23</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01" w:history="1">
        <w:r w:rsidR="00F76B65" w:rsidRPr="00092DDB">
          <w:rPr>
            <w:rStyle w:val="Hyperlink"/>
          </w:rPr>
          <w:t>Background</w:t>
        </w:r>
        <w:r w:rsidR="00F76B65">
          <w:rPr>
            <w:webHidden/>
          </w:rPr>
          <w:tab/>
        </w:r>
        <w:r w:rsidR="00F76B65">
          <w:rPr>
            <w:webHidden/>
          </w:rPr>
          <w:fldChar w:fldCharType="begin"/>
        </w:r>
        <w:r w:rsidR="00F76B65">
          <w:rPr>
            <w:webHidden/>
          </w:rPr>
          <w:instrText xml:space="preserve"> PAGEREF _Toc352924401 \h </w:instrText>
        </w:r>
        <w:r w:rsidR="00F76B65">
          <w:rPr>
            <w:webHidden/>
          </w:rPr>
        </w:r>
        <w:r w:rsidR="00F76B65">
          <w:rPr>
            <w:webHidden/>
          </w:rPr>
          <w:fldChar w:fldCharType="separate"/>
        </w:r>
        <w:r w:rsidR="00F76B65">
          <w:rPr>
            <w:webHidden/>
          </w:rPr>
          <w:t>24</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02" w:history="1">
        <w:r w:rsidR="00F76B65" w:rsidRPr="00092DDB">
          <w:rPr>
            <w:rStyle w:val="Hyperlink"/>
          </w:rPr>
          <w:t>Colonic stents</w:t>
        </w:r>
        <w:r w:rsidR="00F76B65">
          <w:rPr>
            <w:webHidden/>
          </w:rPr>
          <w:tab/>
        </w:r>
        <w:r w:rsidR="00F76B65">
          <w:rPr>
            <w:webHidden/>
          </w:rPr>
          <w:fldChar w:fldCharType="begin"/>
        </w:r>
        <w:r w:rsidR="00F76B65">
          <w:rPr>
            <w:webHidden/>
          </w:rPr>
          <w:instrText xml:space="preserve"> PAGEREF _Toc352924402 \h </w:instrText>
        </w:r>
        <w:r w:rsidR="00F76B65">
          <w:rPr>
            <w:webHidden/>
          </w:rPr>
        </w:r>
        <w:r w:rsidR="00F76B65">
          <w:rPr>
            <w:webHidden/>
          </w:rPr>
          <w:fldChar w:fldCharType="separate"/>
        </w:r>
        <w:r w:rsidR="00F76B65">
          <w:rPr>
            <w:webHidden/>
          </w:rPr>
          <w:t>25</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03" w:history="1">
        <w:r w:rsidR="00F76B65" w:rsidRPr="00092DDB">
          <w:rPr>
            <w:rStyle w:val="Hyperlink"/>
          </w:rPr>
          <w:t>The procedure</w:t>
        </w:r>
        <w:r w:rsidR="00F76B65">
          <w:rPr>
            <w:webHidden/>
          </w:rPr>
          <w:tab/>
        </w:r>
        <w:r w:rsidR="00F76B65">
          <w:rPr>
            <w:webHidden/>
          </w:rPr>
          <w:fldChar w:fldCharType="begin"/>
        </w:r>
        <w:r w:rsidR="00F76B65">
          <w:rPr>
            <w:webHidden/>
          </w:rPr>
          <w:instrText xml:space="preserve"> PAGEREF _Toc352924403 \h </w:instrText>
        </w:r>
        <w:r w:rsidR="00F76B65">
          <w:rPr>
            <w:webHidden/>
          </w:rPr>
        </w:r>
        <w:r w:rsidR="00F76B65">
          <w:rPr>
            <w:webHidden/>
          </w:rPr>
          <w:fldChar w:fldCharType="separate"/>
        </w:r>
        <w:r w:rsidR="00F76B65">
          <w:rPr>
            <w:webHidden/>
          </w:rPr>
          <w:t>25</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04" w:history="1">
        <w:r w:rsidR="00F76B65" w:rsidRPr="00092DDB">
          <w:rPr>
            <w:rStyle w:val="Hyperlink"/>
          </w:rPr>
          <w:t>Intended purpose</w:t>
        </w:r>
        <w:r w:rsidR="00F76B65">
          <w:rPr>
            <w:webHidden/>
          </w:rPr>
          <w:tab/>
        </w:r>
        <w:r w:rsidR="00F76B65">
          <w:rPr>
            <w:webHidden/>
          </w:rPr>
          <w:fldChar w:fldCharType="begin"/>
        </w:r>
        <w:r w:rsidR="00F76B65">
          <w:rPr>
            <w:webHidden/>
          </w:rPr>
          <w:instrText xml:space="preserve"> PAGEREF _Toc352924404 \h </w:instrText>
        </w:r>
        <w:r w:rsidR="00F76B65">
          <w:rPr>
            <w:webHidden/>
          </w:rPr>
        </w:r>
        <w:r w:rsidR="00F76B65">
          <w:rPr>
            <w:webHidden/>
          </w:rPr>
          <w:fldChar w:fldCharType="separate"/>
        </w:r>
        <w:r w:rsidR="00F76B65">
          <w:rPr>
            <w:webHidden/>
          </w:rPr>
          <w:t>26</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05" w:history="1">
        <w:r w:rsidR="00F76B65" w:rsidRPr="00092DDB">
          <w:rPr>
            <w:rStyle w:val="Hyperlink"/>
          </w:rPr>
          <w:t>Clinical need</w:t>
        </w:r>
        <w:r w:rsidR="00F76B65">
          <w:rPr>
            <w:webHidden/>
          </w:rPr>
          <w:tab/>
        </w:r>
        <w:r w:rsidR="00F76B65">
          <w:rPr>
            <w:webHidden/>
          </w:rPr>
          <w:fldChar w:fldCharType="begin"/>
        </w:r>
        <w:r w:rsidR="00F76B65">
          <w:rPr>
            <w:webHidden/>
          </w:rPr>
          <w:instrText xml:space="preserve"> PAGEREF _Toc352924405 \h </w:instrText>
        </w:r>
        <w:r w:rsidR="00F76B65">
          <w:rPr>
            <w:webHidden/>
          </w:rPr>
        </w:r>
        <w:r w:rsidR="00F76B65">
          <w:rPr>
            <w:webHidden/>
          </w:rPr>
          <w:fldChar w:fldCharType="separate"/>
        </w:r>
        <w:r w:rsidR="00F76B65">
          <w:rPr>
            <w:webHidden/>
          </w:rPr>
          <w:t>27</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06" w:history="1">
        <w:r w:rsidR="00F76B65" w:rsidRPr="00092DDB">
          <w:rPr>
            <w:rStyle w:val="Hyperlink"/>
          </w:rPr>
          <w:t>Existing procedures</w:t>
        </w:r>
        <w:r w:rsidR="00F76B65">
          <w:rPr>
            <w:webHidden/>
          </w:rPr>
          <w:tab/>
        </w:r>
        <w:r w:rsidR="00F76B65">
          <w:rPr>
            <w:webHidden/>
          </w:rPr>
          <w:fldChar w:fldCharType="begin"/>
        </w:r>
        <w:r w:rsidR="00F76B65">
          <w:rPr>
            <w:webHidden/>
          </w:rPr>
          <w:instrText xml:space="preserve"> PAGEREF _Toc352924406 \h </w:instrText>
        </w:r>
        <w:r w:rsidR="00F76B65">
          <w:rPr>
            <w:webHidden/>
          </w:rPr>
        </w:r>
        <w:r w:rsidR="00F76B65">
          <w:rPr>
            <w:webHidden/>
          </w:rPr>
          <w:fldChar w:fldCharType="separate"/>
        </w:r>
        <w:r w:rsidR="00F76B65">
          <w:rPr>
            <w:webHidden/>
          </w:rPr>
          <w:t>28</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07" w:history="1">
        <w:r w:rsidR="00F76B65" w:rsidRPr="00092DDB">
          <w:rPr>
            <w:rStyle w:val="Hyperlink"/>
            <w:bCs/>
          </w:rPr>
          <w:t>Marketing status of metallic stents</w:t>
        </w:r>
        <w:r w:rsidR="00F76B65">
          <w:rPr>
            <w:webHidden/>
          </w:rPr>
          <w:tab/>
        </w:r>
        <w:r w:rsidR="00F76B65">
          <w:rPr>
            <w:webHidden/>
          </w:rPr>
          <w:fldChar w:fldCharType="begin"/>
        </w:r>
        <w:r w:rsidR="00F76B65">
          <w:rPr>
            <w:webHidden/>
          </w:rPr>
          <w:instrText xml:space="preserve"> PAGEREF _Toc352924407 \h </w:instrText>
        </w:r>
        <w:r w:rsidR="00F76B65">
          <w:rPr>
            <w:webHidden/>
          </w:rPr>
        </w:r>
        <w:r w:rsidR="00F76B65">
          <w:rPr>
            <w:webHidden/>
          </w:rPr>
          <w:fldChar w:fldCharType="separate"/>
        </w:r>
        <w:r w:rsidR="00F76B65">
          <w:rPr>
            <w:webHidden/>
          </w:rPr>
          <w:t>29</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08" w:history="1">
        <w:r w:rsidR="00F76B65" w:rsidRPr="00092DDB">
          <w:rPr>
            <w:rStyle w:val="Hyperlink"/>
          </w:rPr>
          <w:t>Current reimbursement arrangements</w:t>
        </w:r>
        <w:r w:rsidR="00F76B65">
          <w:rPr>
            <w:webHidden/>
          </w:rPr>
          <w:tab/>
        </w:r>
        <w:r w:rsidR="00F76B65">
          <w:rPr>
            <w:webHidden/>
          </w:rPr>
          <w:fldChar w:fldCharType="begin"/>
        </w:r>
        <w:r w:rsidR="00F76B65">
          <w:rPr>
            <w:webHidden/>
          </w:rPr>
          <w:instrText xml:space="preserve"> PAGEREF _Toc352924408 \h </w:instrText>
        </w:r>
        <w:r w:rsidR="00F76B65">
          <w:rPr>
            <w:webHidden/>
          </w:rPr>
        </w:r>
        <w:r w:rsidR="00F76B65">
          <w:rPr>
            <w:webHidden/>
          </w:rPr>
          <w:fldChar w:fldCharType="separate"/>
        </w:r>
        <w:r w:rsidR="00F76B65">
          <w:rPr>
            <w:webHidden/>
          </w:rPr>
          <w:t>30</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09" w:history="1">
        <w:r w:rsidR="00F76B65" w:rsidRPr="00092DDB">
          <w:rPr>
            <w:rStyle w:val="Hyperlink"/>
          </w:rPr>
          <w:t>Approach to assessment</w:t>
        </w:r>
        <w:r w:rsidR="00F76B65">
          <w:rPr>
            <w:webHidden/>
          </w:rPr>
          <w:tab/>
        </w:r>
        <w:r w:rsidR="00F76B65">
          <w:rPr>
            <w:webHidden/>
          </w:rPr>
          <w:fldChar w:fldCharType="begin"/>
        </w:r>
        <w:r w:rsidR="00F76B65">
          <w:rPr>
            <w:webHidden/>
          </w:rPr>
          <w:instrText xml:space="preserve"> PAGEREF _Toc352924409 \h </w:instrText>
        </w:r>
        <w:r w:rsidR="00F76B65">
          <w:rPr>
            <w:webHidden/>
          </w:rPr>
        </w:r>
        <w:r w:rsidR="00F76B65">
          <w:rPr>
            <w:webHidden/>
          </w:rPr>
          <w:fldChar w:fldCharType="separate"/>
        </w:r>
        <w:r w:rsidR="00F76B65">
          <w:rPr>
            <w:webHidden/>
          </w:rPr>
          <w:t>33</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0" w:history="1">
        <w:r w:rsidR="00F76B65" w:rsidRPr="00092DDB">
          <w:rPr>
            <w:rStyle w:val="Hyperlink"/>
          </w:rPr>
          <w:t>Objective</w:t>
        </w:r>
        <w:r w:rsidR="00F76B65">
          <w:rPr>
            <w:webHidden/>
          </w:rPr>
          <w:tab/>
        </w:r>
        <w:r w:rsidR="00F76B65">
          <w:rPr>
            <w:webHidden/>
          </w:rPr>
          <w:fldChar w:fldCharType="begin"/>
        </w:r>
        <w:r w:rsidR="00F76B65">
          <w:rPr>
            <w:webHidden/>
          </w:rPr>
          <w:instrText xml:space="preserve"> PAGEREF _Toc352924410 \h </w:instrText>
        </w:r>
        <w:r w:rsidR="00F76B65">
          <w:rPr>
            <w:webHidden/>
          </w:rPr>
        </w:r>
        <w:r w:rsidR="00F76B65">
          <w:rPr>
            <w:webHidden/>
          </w:rPr>
          <w:fldChar w:fldCharType="separate"/>
        </w:r>
        <w:r w:rsidR="00F76B65">
          <w:rPr>
            <w:webHidden/>
          </w:rPr>
          <w:t>33</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1" w:history="1">
        <w:r w:rsidR="00F76B65" w:rsidRPr="00092DDB">
          <w:rPr>
            <w:rStyle w:val="Hyperlink"/>
          </w:rPr>
          <w:t>Clinical decision pathway</w:t>
        </w:r>
        <w:r w:rsidR="00F76B65">
          <w:rPr>
            <w:webHidden/>
          </w:rPr>
          <w:tab/>
        </w:r>
        <w:r w:rsidR="00F76B65">
          <w:rPr>
            <w:webHidden/>
          </w:rPr>
          <w:fldChar w:fldCharType="begin"/>
        </w:r>
        <w:r w:rsidR="00F76B65">
          <w:rPr>
            <w:webHidden/>
          </w:rPr>
          <w:instrText xml:space="preserve"> PAGEREF _Toc352924411 \h </w:instrText>
        </w:r>
        <w:r w:rsidR="00F76B65">
          <w:rPr>
            <w:webHidden/>
          </w:rPr>
        </w:r>
        <w:r w:rsidR="00F76B65">
          <w:rPr>
            <w:webHidden/>
          </w:rPr>
          <w:fldChar w:fldCharType="separate"/>
        </w:r>
        <w:r w:rsidR="00F76B65">
          <w:rPr>
            <w:webHidden/>
          </w:rPr>
          <w:t>33</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2" w:history="1">
        <w:r w:rsidR="00F76B65" w:rsidRPr="00092DDB">
          <w:rPr>
            <w:rStyle w:val="Hyperlink"/>
          </w:rPr>
          <w:t>Comparator</w:t>
        </w:r>
        <w:r w:rsidR="00F76B65">
          <w:rPr>
            <w:webHidden/>
          </w:rPr>
          <w:tab/>
        </w:r>
        <w:r w:rsidR="00F76B65">
          <w:rPr>
            <w:webHidden/>
          </w:rPr>
          <w:fldChar w:fldCharType="begin"/>
        </w:r>
        <w:r w:rsidR="00F76B65">
          <w:rPr>
            <w:webHidden/>
          </w:rPr>
          <w:instrText xml:space="preserve"> PAGEREF _Toc352924412 \h </w:instrText>
        </w:r>
        <w:r w:rsidR="00F76B65">
          <w:rPr>
            <w:webHidden/>
          </w:rPr>
        </w:r>
        <w:r w:rsidR="00F76B65">
          <w:rPr>
            <w:webHidden/>
          </w:rPr>
          <w:fldChar w:fldCharType="separate"/>
        </w:r>
        <w:r w:rsidR="00F76B65">
          <w:rPr>
            <w:webHidden/>
          </w:rPr>
          <w:t>36</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3" w:history="1">
        <w:r w:rsidR="00F76B65" w:rsidRPr="00092DDB">
          <w:rPr>
            <w:rStyle w:val="Hyperlink"/>
          </w:rPr>
          <w:t>Research questions</w:t>
        </w:r>
        <w:r w:rsidR="00F76B65">
          <w:rPr>
            <w:webHidden/>
          </w:rPr>
          <w:tab/>
        </w:r>
        <w:r w:rsidR="00F76B65">
          <w:rPr>
            <w:webHidden/>
          </w:rPr>
          <w:fldChar w:fldCharType="begin"/>
        </w:r>
        <w:r w:rsidR="00F76B65">
          <w:rPr>
            <w:webHidden/>
          </w:rPr>
          <w:instrText xml:space="preserve"> PAGEREF _Toc352924413 \h </w:instrText>
        </w:r>
        <w:r w:rsidR="00F76B65">
          <w:rPr>
            <w:webHidden/>
          </w:rPr>
        </w:r>
        <w:r w:rsidR="00F76B65">
          <w:rPr>
            <w:webHidden/>
          </w:rPr>
          <w:fldChar w:fldCharType="separate"/>
        </w:r>
        <w:r w:rsidR="00F76B65">
          <w:rPr>
            <w:webHidden/>
          </w:rPr>
          <w:t>36</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4" w:history="1">
        <w:r w:rsidR="00F76B65" w:rsidRPr="00092DDB">
          <w:rPr>
            <w:rStyle w:val="Hyperlink"/>
          </w:rPr>
          <w:t>Review of literature</w:t>
        </w:r>
        <w:r w:rsidR="00F76B65">
          <w:rPr>
            <w:webHidden/>
          </w:rPr>
          <w:tab/>
        </w:r>
        <w:r w:rsidR="00F76B65">
          <w:rPr>
            <w:webHidden/>
          </w:rPr>
          <w:fldChar w:fldCharType="begin"/>
        </w:r>
        <w:r w:rsidR="00F76B65">
          <w:rPr>
            <w:webHidden/>
          </w:rPr>
          <w:instrText xml:space="preserve"> PAGEREF _Toc352924414 \h </w:instrText>
        </w:r>
        <w:r w:rsidR="00F76B65">
          <w:rPr>
            <w:webHidden/>
          </w:rPr>
        </w:r>
        <w:r w:rsidR="00F76B65">
          <w:rPr>
            <w:webHidden/>
          </w:rPr>
          <w:fldChar w:fldCharType="separate"/>
        </w:r>
        <w:r w:rsidR="00F76B65">
          <w:rPr>
            <w:webHidden/>
          </w:rPr>
          <w:t>37</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5" w:history="1">
        <w:r w:rsidR="00F76B65" w:rsidRPr="00092DDB">
          <w:rPr>
            <w:rStyle w:val="Hyperlink"/>
          </w:rPr>
          <w:t>Appraisal of the evidence</w:t>
        </w:r>
        <w:r w:rsidR="00F76B65">
          <w:rPr>
            <w:webHidden/>
          </w:rPr>
          <w:tab/>
        </w:r>
        <w:r w:rsidR="00F76B65">
          <w:rPr>
            <w:webHidden/>
          </w:rPr>
          <w:fldChar w:fldCharType="begin"/>
        </w:r>
        <w:r w:rsidR="00F76B65">
          <w:rPr>
            <w:webHidden/>
          </w:rPr>
          <w:instrText xml:space="preserve"> PAGEREF _Toc352924415 \h </w:instrText>
        </w:r>
        <w:r w:rsidR="00F76B65">
          <w:rPr>
            <w:webHidden/>
          </w:rPr>
        </w:r>
        <w:r w:rsidR="00F76B65">
          <w:rPr>
            <w:webHidden/>
          </w:rPr>
          <w:fldChar w:fldCharType="separate"/>
        </w:r>
        <w:r w:rsidR="00F76B65">
          <w:rPr>
            <w:webHidden/>
          </w:rPr>
          <w:t>42</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6" w:history="1">
        <w:r w:rsidR="00F76B65" w:rsidRPr="00092DDB">
          <w:rPr>
            <w:rStyle w:val="Hyperlink"/>
          </w:rPr>
          <w:t>Assessment of the body of evidence</w:t>
        </w:r>
        <w:r w:rsidR="00F76B65">
          <w:rPr>
            <w:webHidden/>
          </w:rPr>
          <w:tab/>
        </w:r>
        <w:r w:rsidR="00F76B65">
          <w:rPr>
            <w:webHidden/>
          </w:rPr>
          <w:fldChar w:fldCharType="begin"/>
        </w:r>
        <w:r w:rsidR="00F76B65">
          <w:rPr>
            <w:webHidden/>
          </w:rPr>
          <w:instrText xml:space="preserve"> PAGEREF _Toc352924416 \h </w:instrText>
        </w:r>
        <w:r w:rsidR="00F76B65">
          <w:rPr>
            <w:webHidden/>
          </w:rPr>
        </w:r>
        <w:r w:rsidR="00F76B65">
          <w:rPr>
            <w:webHidden/>
          </w:rPr>
          <w:fldChar w:fldCharType="separate"/>
        </w:r>
        <w:r w:rsidR="00F76B65">
          <w:rPr>
            <w:webHidden/>
          </w:rPr>
          <w:t>44</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7" w:history="1">
        <w:r w:rsidR="00F76B65" w:rsidRPr="00092DDB">
          <w:rPr>
            <w:rStyle w:val="Hyperlink"/>
          </w:rPr>
          <w:t>Expert advice: Health Expert Standing Panel (HESP)</w:t>
        </w:r>
        <w:r w:rsidR="00F76B65">
          <w:rPr>
            <w:webHidden/>
          </w:rPr>
          <w:tab/>
        </w:r>
        <w:r w:rsidR="00F76B65">
          <w:rPr>
            <w:webHidden/>
          </w:rPr>
          <w:fldChar w:fldCharType="begin"/>
        </w:r>
        <w:r w:rsidR="00F76B65">
          <w:rPr>
            <w:webHidden/>
          </w:rPr>
          <w:instrText xml:space="preserve"> PAGEREF _Toc352924417 \h </w:instrText>
        </w:r>
        <w:r w:rsidR="00F76B65">
          <w:rPr>
            <w:webHidden/>
          </w:rPr>
        </w:r>
        <w:r w:rsidR="00F76B65">
          <w:rPr>
            <w:webHidden/>
          </w:rPr>
          <w:fldChar w:fldCharType="separate"/>
        </w:r>
        <w:r w:rsidR="00F76B65">
          <w:rPr>
            <w:webHidden/>
          </w:rPr>
          <w:t>45</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18" w:history="1">
        <w:r w:rsidR="00F76B65" w:rsidRPr="00092DDB">
          <w:rPr>
            <w:rStyle w:val="Hyperlink"/>
          </w:rPr>
          <w:t>Results of assessment</w:t>
        </w:r>
        <w:r w:rsidR="00F76B65">
          <w:rPr>
            <w:webHidden/>
          </w:rPr>
          <w:tab/>
        </w:r>
        <w:r w:rsidR="00F76B65">
          <w:rPr>
            <w:webHidden/>
          </w:rPr>
          <w:fldChar w:fldCharType="begin"/>
        </w:r>
        <w:r w:rsidR="00F76B65">
          <w:rPr>
            <w:webHidden/>
          </w:rPr>
          <w:instrText xml:space="preserve"> PAGEREF _Toc352924418 \h </w:instrText>
        </w:r>
        <w:r w:rsidR="00F76B65">
          <w:rPr>
            <w:webHidden/>
          </w:rPr>
        </w:r>
        <w:r w:rsidR="00F76B65">
          <w:rPr>
            <w:webHidden/>
          </w:rPr>
          <w:fldChar w:fldCharType="separate"/>
        </w:r>
        <w:r w:rsidR="00F76B65">
          <w:rPr>
            <w:webHidden/>
          </w:rPr>
          <w:t>46</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19" w:history="1">
        <w:r w:rsidR="00F76B65" w:rsidRPr="00092DDB">
          <w:rPr>
            <w:rStyle w:val="Hyperlink"/>
          </w:rPr>
          <w:t>Health technology assessment and systematic review</w:t>
        </w:r>
        <w:r w:rsidR="00F76B65">
          <w:rPr>
            <w:webHidden/>
          </w:rPr>
          <w:tab/>
        </w:r>
        <w:r w:rsidR="00F76B65">
          <w:rPr>
            <w:webHidden/>
          </w:rPr>
          <w:fldChar w:fldCharType="begin"/>
        </w:r>
        <w:r w:rsidR="00F76B65">
          <w:rPr>
            <w:webHidden/>
          </w:rPr>
          <w:instrText xml:space="preserve"> PAGEREF _Toc352924419 \h </w:instrText>
        </w:r>
        <w:r w:rsidR="00F76B65">
          <w:rPr>
            <w:webHidden/>
          </w:rPr>
        </w:r>
        <w:r w:rsidR="00F76B65">
          <w:rPr>
            <w:webHidden/>
          </w:rPr>
          <w:fldChar w:fldCharType="separate"/>
        </w:r>
        <w:r w:rsidR="00F76B65">
          <w:rPr>
            <w:webHidden/>
          </w:rPr>
          <w:t>46</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0" w:history="1">
        <w:r w:rsidR="00F76B65" w:rsidRPr="00092DDB">
          <w:rPr>
            <w:rStyle w:val="Hyperlink"/>
          </w:rPr>
          <w:t>Characteristics of included studies</w:t>
        </w:r>
        <w:r w:rsidR="00F76B65">
          <w:rPr>
            <w:webHidden/>
          </w:rPr>
          <w:tab/>
        </w:r>
        <w:r w:rsidR="00F76B65">
          <w:rPr>
            <w:webHidden/>
          </w:rPr>
          <w:fldChar w:fldCharType="begin"/>
        </w:r>
        <w:r w:rsidR="00F76B65">
          <w:rPr>
            <w:webHidden/>
          </w:rPr>
          <w:instrText xml:space="preserve"> PAGEREF _Toc352924420 \h </w:instrText>
        </w:r>
        <w:r w:rsidR="00F76B65">
          <w:rPr>
            <w:webHidden/>
          </w:rPr>
        </w:r>
        <w:r w:rsidR="00F76B65">
          <w:rPr>
            <w:webHidden/>
          </w:rPr>
          <w:fldChar w:fldCharType="separate"/>
        </w:r>
        <w:r w:rsidR="00F76B65">
          <w:rPr>
            <w:webHidden/>
          </w:rPr>
          <w:t>46</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1" w:history="1">
        <w:r w:rsidR="00F76B65" w:rsidRPr="00092DDB">
          <w:rPr>
            <w:rStyle w:val="Hyperlink"/>
          </w:rPr>
          <w:t>Critical appraisal of randomised controlled studies</w:t>
        </w:r>
        <w:r w:rsidR="00F76B65">
          <w:rPr>
            <w:webHidden/>
          </w:rPr>
          <w:tab/>
        </w:r>
        <w:r w:rsidR="00F76B65">
          <w:rPr>
            <w:webHidden/>
          </w:rPr>
          <w:fldChar w:fldCharType="begin"/>
        </w:r>
        <w:r w:rsidR="00F76B65">
          <w:rPr>
            <w:webHidden/>
          </w:rPr>
          <w:instrText xml:space="preserve"> PAGEREF _Toc352924421 \h </w:instrText>
        </w:r>
        <w:r w:rsidR="00F76B65">
          <w:rPr>
            <w:webHidden/>
          </w:rPr>
        </w:r>
        <w:r w:rsidR="00F76B65">
          <w:rPr>
            <w:webHidden/>
          </w:rPr>
          <w:fldChar w:fldCharType="separate"/>
        </w:r>
        <w:r w:rsidR="00F76B65">
          <w:rPr>
            <w:webHidden/>
          </w:rPr>
          <w:t>51</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2" w:history="1">
        <w:r w:rsidR="00F76B65" w:rsidRPr="00092DDB">
          <w:rPr>
            <w:rStyle w:val="Hyperlink"/>
          </w:rPr>
          <w:t>Critical appraisal of other comparative studies</w:t>
        </w:r>
        <w:r w:rsidR="00F76B65">
          <w:rPr>
            <w:webHidden/>
          </w:rPr>
          <w:tab/>
        </w:r>
        <w:r w:rsidR="00F76B65">
          <w:rPr>
            <w:webHidden/>
          </w:rPr>
          <w:fldChar w:fldCharType="begin"/>
        </w:r>
        <w:r w:rsidR="00F76B65">
          <w:rPr>
            <w:webHidden/>
          </w:rPr>
          <w:instrText xml:space="preserve"> PAGEREF _Toc352924422 \h </w:instrText>
        </w:r>
        <w:r w:rsidR="00F76B65">
          <w:rPr>
            <w:webHidden/>
          </w:rPr>
        </w:r>
        <w:r w:rsidR="00F76B65">
          <w:rPr>
            <w:webHidden/>
          </w:rPr>
          <w:fldChar w:fldCharType="separate"/>
        </w:r>
        <w:r w:rsidR="00F76B65">
          <w:rPr>
            <w:webHidden/>
          </w:rPr>
          <w:t>52</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3" w:history="1">
        <w:r w:rsidR="00F76B65" w:rsidRPr="00092DDB">
          <w:rPr>
            <w:rStyle w:val="Hyperlink"/>
          </w:rPr>
          <w:t>Appraisal of level IV studies</w:t>
        </w:r>
        <w:r w:rsidR="00F76B65">
          <w:rPr>
            <w:webHidden/>
          </w:rPr>
          <w:tab/>
        </w:r>
        <w:r w:rsidR="00F76B65">
          <w:rPr>
            <w:webHidden/>
          </w:rPr>
          <w:fldChar w:fldCharType="begin"/>
        </w:r>
        <w:r w:rsidR="00F76B65">
          <w:rPr>
            <w:webHidden/>
          </w:rPr>
          <w:instrText xml:space="preserve"> PAGEREF _Toc352924423 \h </w:instrText>
        </w:r>
        <w:r w:rsidR="00F76B65">
          <w:rPr>
            <w:webHidden/>
          </w:rPr>
        </w:r>
        <w:r w:rsidR="00F76B65">
          <w:rPr>
            <w:webHidden/>
          </w:rPr>
          <w:fldChar w:fldCharType="separate"/>
        </w:r>
        <w:r w:rsidR="00F76B65">
          <w:rPr>
            <w:webHidden/>
          </w:rPr>
          <w:t>53</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4" w:history="1">
        <w:r w:rsidR="00F76B65" w:rsidRPr="00092DDB">
          <w:rPr>
            <w:rStyle w:val="Hyperlink"/>
          </w:rPr>
          <w:t>Is it safe?</w:t>
        </w:r>
        <w:r w:rsidR="00F76B65">
          <w:rPr>
            <w:webHidden/>
          </w:rPr>
          <w:tab/>
        </w:r>
        <w:r w:rsidR="00F76B65">
          <w:rPr>
            <w:webHidden/>
          </w:rPr>
          <w:fldChar w:fldCharType="begin"/>
        </w:r>
        <w:r w:rsidR="00F76B65">
          <w:rPr>
            <w:webHidden/>
          </w:rPr>
          <w:instrText xml:space="preserve"> PAGEREF _Toc352924424 \h </w:instrText>
        </w:r>
        <w:r w:rsidR="00F76B65">
          <w:rPr>
            <w:webHidden/>
          </w:rPr>
        </w:r>
        <w:r w:rsidR="00F76B65">
          <w:rPr>
            <w:webHidden/>
          </w:rPr>
          <w:fldChar w:fldCharType="separate"/>
        </w:r>
        <w:r w:rsidR="00F76B65">
          <w:rPr>
            <w:webHidden/>
          </w:rPr>
          <w:t>54</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5" w:history="1">
        <w:r w:rsidR="00F76B65" w:rsidRPr="00092DDB">
          <w:rPr>
            <w:rStyle w:val="Hyperlink"/>
          </w:rPr>
          <w:t>Is it effective?</w:t>
        </w:r>
        <w:r w:rsidR="00F76B65">
          <w:rPr>
            <w:webHidden/>
          </w:rPr>
          <w:tab/>
        </w:r>
        <w:r w:rsidR="00F76B65">
          <w:rPr>
            <w:webHidden/>
          </w:rPr>
          <w:fldChar w:fldCharType="begin"/>
        </w:r>
        <w:r w:rsidR="00F76B65">
          <w:rPr>
            <w:webHidden/>
          </w:rPr>
          <w:instrText xml:space="preserve"> PAGEREF _Toc352924425 \h </w:instrText>
        </w:r>
        <w:r w:rsidR="00F76B65">
          <w:rPr>
            <w:webHidden/>
          </w:rPr>
        </w:r>
        <w:r w:rsidR="00F76B65">
          <w:rPr>
            <w:webHidden/>
          </w:rPr>
          <w:fldChar w:fldCharType="separate"/>
        </w:r>
        <w:r w:rsidR="00F76B65">
          <w:rPr>
            <w:webHidden/>
          </w:rPr>
          <w:t>72</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6" w:history="1">
        <w:r w:rsidR="00F76B65" w:rsidRPr="00092DDB">
          <w:rPr>
            <w:rStyle w:val="Hyperlink"/>
          </w:rPr>
          <w:t>Ongoing clinical trials</w:t>
        </w:r>
        <w:r w:rsidR="00F76B65">
          <w:rPr>
            <w:webHidden/>
          </w:rPr>
          <w:tab/>
        </w:r>
        <w:r w:rsidR="00F76B65">
          <w:rPr>
            <w:webHidden/>
          </w:rPr>
          <w:fldChar w:fldCharType="begin"/>
        </w:r>
        <w:r w:rsidR="00F76B65">
          <w:rPr>
            <w:webHidden/>
          </w:rPr>
          <w:instrText xml:space="preserve"> PAGEREF _Toc352924426 \h </w:instrText>
        </w:r>
        <w:r w:rsidR="00F76B65">
          <w:rPr>
            <w:webHidden/>
          </w:rPr>
        </w:r>
        <w:r w:rsidR="00F76B65">
          <w:rPr>
            <w:webHidden/>
          </w:rPr>
          <w:fldChar w:fldCharType="separate"/>
        </w:r>
        <w:r w:rsidR="00F76B65">
          <w:rPr>
            <w:webHidden/>
          </w:rPr>
          <w:t>78</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27" w:history="1">
        <w:r w:rsidR="00F76B65" w:rsidRPr="00092DDB">
          <w:rPr>
            <w:rStyle w:val="Hyperlink"/>
          </w:rPr>
          <w:t>Other relevant considerations</w:t>
        </w:r>
        <w:r w:rsidR="00F76B65">
          <w:rPr>
            <w:webHidden/>
          </w:rPr>
          <w:tab/>
        </w:r>
        <w:r w:rsidR="00F76B65">
          <w:rPr>
            <w:webHidden/>
          </w:rPr>
          <w:fldChar w:fldCharType="begin"/>
        </w:r>
        <w:r w:rsidR="00F76B65">
          <w:rPr>
            <w:webHidden/>
          </w:rPr>
          <w:instrText xml:space="preserve"> PAGEREF _Toc352924427 \h </w:instrText>
        </w:r>
        <w:r w:rsidR="00F76B65">
          <w:rPr>
            <w:webHidden/>
          </w:rPr>
        </w:r>
        <w:r w:rsidR="00F76B65">
          <w:rPr>
            <w:webHidden/>
          </w:rPr>
          <w:fldChar w:fldCharType="separate"/>
        </w:r>
        <w:r w:rsidR="00F76B65">
          <w:rPr>
            <w:webHidden/>
          </w:rPr>
          <w:t>79</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28" w:history="1">
        <w:r w:rsidR="00F76B65" w:rsidRPr="00092DDB">
          <w:rPr>
            <w:rStyle w:val="Hyperlink"/>
          </w:rPr>
          <w:t>What are the economic considerations?</w:t>
        </w:r>
        <w:r w:rsidR="00F76B65">
          <w:rPr>
            <w:webHidden/>
          </w:rPr>
          <w:tab/>
        </w:r>
        <w:r w:rsidR="00F76B65">
          <w:rPr>
            <w:webHidden/>
          </w:rPr>
          <w:fldChar w:fldCharType="begin"/>
        </w:r>
        <w:r w:rsidR="00F76B65">
          <w:rPr>
            <w:webHidden/>
          </w:rPr>
          <w:instrText xml:space="preserve"> PAGEREF _Toc352924428 \h </w:instrText>
        </w:r>
        <w:r w:rsidR="00F76B65">
          <w:rPr>
            <w:webHidden/>
          </w:rPr>
        </w:r>
        <w:r w:rsidR="00F76B65">
          <w:rPr>
            <w:webHidden/>
          </w:rPr>
          <w:fldChar w:fldCharType="separate"/>
        </w:r>
        <w:r w:rsidR="00F76B65">
          <w:rPr>
            <w:webHidden/>
          </w:rPr>
          <w:t>80</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29" w:history="1">
        <w:r w:rsidR="00F76B65" w:rsidRPr="00092DDB">
          <w:rPr>
            <w:rStyle w:val="Hyperlink"/>
          </w:rPr>
          <w:t>Objective</w:t>
        </w:r>
        <w:r w:rsidR="00F76B65">
          <w:rPr>
            <w:webHidden/>
          </w:rPr>
          <w:tab/>
        </w:r>
        <w:r w:rsidR="00F76B65">
          <w:rPr>
            <w:webHidden/>
          </w:rPr>
          <w:fldChar w:fldCharType="begin"/>
        </w:r>
        <w:r w:rsidR="00F76B65">
          <w:rPr>
            <w:webHidden/>
          </w:rPr>
          <w:instrText xml:space="preserve"> PAGEREF _Toc352924429 \h </w:instrText>
        </w:r>
        <w:r w:rsidR="00F76B65">
          <w:rPr>
            <w:webHidden/>
          </w:rPr>
        </w:r>
        <w:r w:rsidR="00F76B65">
          <w:rPr>
            <w:webHidden/>
          </w:rPr>
          <w:fldChar w:fldCharType="separate"/>
        </w:r>
        <w:r w:rsidR="00F76B65">
          <w:rPr>
            <w:webHidden/>
          </w:rPr>
          <w:t>80</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0" w:history="1">
        <w:r w:rsidR="00F76B65" w:rsidRPr="00092DDB">
          <w:rPr>
            <w:rStyle w:val="Hyperlink"/>
          </w:rPr>
          <w:t>Search strategies</w:t>
        </w:r>
        <w:r w:rsidR="00F76B65">
          <w:rPr>
            <w:webHidden/>
          </w:rPr>
          <w:tab/>
        </w:r>
        <w:r w:rsidR="00F76B65">
          <w:rPr>
            <w:webHidden/>
          </w:rPr>
          <w:fldChar w:fldCharType="begin"/>
        </w:r>
        <w:r w:rsidR="00F76B65">
          <w:rPr>
            <w:webHidden/>
          </w:rPr>
          <w:instrText xml:space="preserve"> PAGEREF _Toc352924430 \h </w:instrText>
        </w:r>
        <w:r w:rsidR="00F76B65">
          <w:rPr>
            <w:webHidden/>
          </w:rPr>
        </w:r>
        <w:r w:rsidR="00F76B65">
          <w:rPr>
            <w:webHidden/>
          </w:rPr>
          <w:fldChar w:fldCharType="separate"/>
        </w:r>
        <w:r w:rsidR="00F76B65">
          <w:rPr>
            <w:webHidden/>
          </w:rPr>
          <w:t>81</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1" w:history="1">
        <w:r w:rsidR="00F76B65" w:rsidRPr="00092DDB">
          <w:rPr>
            <w:rStyle w:val="Hyperlink"/>
          </w:rPr>
          <w:t>Background – evidence of cost-effectiveness</w:t>
        </w:r>
        <w:r w:rsidR="00F76B65">
          <w:rPr>
            <w:webHidden/>
          </w:rPr>
          <w:tab/>
        </w:r>
        <w:r w:rsidR="00F76B65">
          <w:rPr>
            <w:webHidden/>
          </w:rPr>
          <w:fldChar w:fldCharType="begin"/>
        </w:r>
        <w:r w:rsidR="00F76B65">
          <w:rPr>
            <w:webHidden/>
          </w:rPr>
          <w:instrText xml:space="preserve"> PAGEREF _Toc352924431 \h </w:instrText>
        </w:r>
        <w:r w:rsidR="00F76B65">
          <w:rPr>
            <w:webHidden/>
          </w:rPr>
        </w:r>
        <w:r w:rsidR="00F76B65">
          <w:rPr>
            <w:webHidden/>
          </w:rPr>
          <w:fldChar w:fldCharType="separate"/>
        </w:r>
        <w:r w:rsidR="00F76B65">
          <w:rPr>
            <w:webHidden/>
          </w:rPr>
          <w:t>81</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2" w:history="1">
        <w:r w:rsidR="00F76B65" w:rsidRPr="00092DDB">
          <w:rPr>
            <w:rStyle w:val="Hyperlink"/>
          </w:rPr>
          <w:t>Rationale for cost-effectiveness analysis</w:t>
        </w:r>
        <w:r w:rsidR="00F76B65">
          <w:rPr>
            <w:webHidden/>
          </w:rPr>
          <w:tab/>
        </w:r>
        <w:r w:rsidR="00F76B65">
          <w:rPr>
            <w:webHidden/>
          </w:rPr>
          <w:fldChar w:fldCharType="begin"/>
        </w:r>
        <w:r w:rsidR="00F76B65">
          <w:rPr>
            <w:webHidden/>
          </w:rPr>
          <w:instrText xml:space="preserve"> PAGEREF _Toc352924432 \h </w:instrText>
        </w:r>
        <w:r w:rsidR="00F76B65">
          <w:rPr>
            <w:webHidden/>
          </w:rPr>
        </w:r>
        <w:r w:rsidR="00F76B65">
          <w:rPr>
            <w:webHidden/>
          </w:rPr>
          <w:fldChar w:fldCharType="separate"/>
        </w:r>
        <w:r w:rsidR="00F76B65">
          <w:rPr>
            <w:webHidden/>
          </w:rPr>
          <w:t>83</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3" w:history="1">
        <w:r w:rsidR="00F76B65" w:rsidRPr="00092DDB">
          <w:rPr>
            <w:rStyle w:val="Hyperlink"/>
          </w:rPr>
          <w:t>Estimate of costs</w:t>
        </w:r>
        <w:r w:rsidR="00F76B65">
          <w:rPr>
            <w:webHidden/>
          </w:rPr>
          <w:tab/>
        </w:r>
        <w:r w:rsidR="00F76B65">
          <w:rPr>
            <w:webHidden/>
          </w:rPr>
          <w:fldChar w:fldCharType="begin"/>
        </w:r>
        <w:r w:rsidR="00F76B65">
          <w:rPr>
            <w:webHidden/>
          </w:rPr>
          <w:instrText xml:space="preserve"> PAGEREF _Toc352924433 \h </w:instrText>
        </w:r>
        <w:r w:rsidR="00F76B65">
          <w:rPr>
            <w:webHidden/>
          </w:rPr>
        </w:r>
        <w:r w:rsidR="00F76B65">
          <w:rPr>
            <w:webHidden/>
          </w:rPr>
          <w:fldChar w:fldCharType="separate"/>
        </w:r>
        <w:r w:rsidR="00F76B65">
          <w:rPr>
            <w:webHidden/>
          </w:rPr>
          <w:t>84</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4" w:history="1">
        <w:r w:rsidR="00F76B65" w:rsidRPr="00092DDB">
          <w:rPr>
            <w:rStyle w:val="Hyperlink"/>
          </w:rPr>
          <w:t>Patients fit for multi-stage surgery (receiving SEMS for palliation)</w:t>
        </w:r>
        <w:r w:rsidR="00F76B65">
          <w:rPr>
            <w:webHidden/>
          </w:rPr>
          <w:tab/>
        </w:r>
        <w:r w:rsidR="00F76B65">
          <w:rPr>
            <w:webHidden/>
          </w:rPr>
          <w:fldChar w:fldCharType="begin"/>
        </w:r>
        <w:r w:rsidR="00F76B65">
          <w:rPr>
            <w:webHidden/>
          </w:rPr>
          <w:instrText xml:space="preserve"> PAGEREF _Toc352924434 \h </w:instrText>
        </w:r>
        <w:r w:rsidR="00F76B65">
          <w:rPr>
            <w:webHidden/>
          </w:rPr>
        </w:r>
        <w:r w:rsidR="00F76B65">
          <w:rPr>
            <w:webHidden/>
          </w:rPr>
          <w:fldChar w:fldCharType="separate"/>
        </w:r>
        <w:r w:rsidR="00F76B65">
          <w:rPr>
            <w:webHidden/>
          </w:rPr>
          <w:t>92</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5" w:history="1">
        <w:r w:rsidR="00F76B65" w:rsidRPr="00092DDB">
          <w:rPr>
            <w:rStyle w:val="Hyperlink"/>
          </w:rPr>
          <w:t>Cost-effectiveness results</w:t>
        </w:r>
        <w:r w:rsidR="00F76B65">
          <w:rPr>
            <w:webHidden/>
          </w:rPr>
          <w:tab/>
        </w:r>
        <w:r w:rsidR="00F76B65">
          <w:rPr>
            <w:webHidden/>
          </w:rPr>
          <w:fldChar w:fldCharType="begin"/>
        </w:r>
        <w:r w:rsidR="00F76B65">
          <w:rPr>
            <w:webHidden/>
          </w:rPr>
          <w:instrText xml:space="preserve"> PAGEREF _Toc352924435 \h </w:instrText>
        </w:r>
        <w:r w:rsidR="00F76B65">
          <w:rPr>
            <w:webHidden/>
          </w:rPr>
        </w:r>
        <w:r w:rsidR="00F76B65">
          <w:rPr>
            <w:webHidden/>
          </w:rPr>
          <w:fldChar w:fldCharType="separate"/>
        </w:r>
        <w:r w:rsidR="00F76B65">
          <w:rPr>
            <w:webHidden/>
          </w:rPr>
          <w:t>96</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6" w:history="1">
        <w:r w:rsidR="00F76B65" w:rsidRPr="00092DDB">
          <w:rPr>
            <w:rStyle w:val="Hyperlink"/>
          </w:rPr>
          <w:t>Patients fit for multi-stage surgery (receiving SEMS as a bridge to surgery)</w:t>
        </w:r>
        <w:r w:rsidR="00F76B65">
          <w:rPr>
            <w:webHidden/>
          </w:rPr>
          <w:tab/>
        </w:r>
        <w:r w:rsidR="00F76B65">
          <w:rPr>
            <w:webHidden/>
          </w:rPr>
          <w:fldChar w:fldCharType="begin"/>
        </w:r>
        <w:r w:rsidR="00F76B65">
          <w:rPr>
            <w:webHidden/>
          </w:rPr>
          <w:instrText xml:space="preserve"> PAGEREF _Toc352924436 \h </w:instrText>
        </w:r>
        <w:r w:rsidR="00F76B65">
          <w:rPr>
            <w:webHidden/>
          </w:rPr>
        </w:r>
        <w:r w:rsidR="00F76B65">
          <w:rPr>
            <w:webHidden/>
          </w:rPr>
          <w:fldChar w:fldCharType="separate"/>
        </w:r>
        <w:r w:rsidR="00F76B65">
          <w:rPr>
            <w:webHidden/>
          </w:rPr>
          <w:t>98</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7" w:history="1">
        <w:r w:rsidR="00F76B65" w:rsidRPr="00092DDB">
          <w:rPr>
            <w:rStyle w:val="Hyperlink"/>
          </w:rPr>
          <w:t>Cost-effectiveness results</w:t>
        </w:r>
        <w:r w:rsidR="00F76B65">
          <w:rPr>
            <w:webHidden/>
          </w:rPr>
          <w:tab/>
        </w:r>
        <w:r w:rsidR="00F76B65">
          <w:rPr>
            <w:webHidden/>
          </w:rPr>
          <w:fldChar w:fldCharType="begin"/>
        </w:r>
        <w:r w:rsidR="00F76B65">
          <w:rPr>
            <w:webHidden/>
          </w:rPr>
          <w:instrText xml:space="preserve"> PAGEREF _Toc352924437 \h </w:instrText>
        </w:r>
        <w:r w:rsidR="00F76B65">
          <w:rPr>
            <w:webHidden/>
          </w:rPr>
        </w:r>
        <w:r w:rsidR="00F76B65">
          <w:rPr>
            <w:webHidden/>
          </w:rPr>
          <w:fldChar w:fldCharType="separate"/>
        </w:r>
        <w:r w:rsidR="00F76B65">
          <w:rPr>
            <w:webHidden/>
          </w:rPr>
          <w:t>103</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8" w:history="1">
        <w:r w:rsidR="00F76B65" w:rsidRPr="00092DDB">
          <w:rPr>
            <w:rStyle w:val="Hyperlink"/>
          </w:rPr>
          <w:t>Patients unfit for multi-stage surgery who receive palliation only (best supportive care)</w:t>
        </w:r>
        <w:r w:rsidR="00F76B65">
          <w:rPr>
            <w:webHidden/>
          </w:rPr>
          <w:tab/>
        </w:r>
        <w:r w:rsidR="00F76B65">
          <w:rPr>
            <w:webHidden/>
          </w:rPr>
          <w:fldChar w:fldCharType="begin"/>
        </w:r>
        <w:r w:rsidR="00F76B65">
          <w:rPr>
            <w:webHidden/>
          </w:rPr>
          <w:instrText xml:space="preserve"> PAGEREF _Toc352924438 \h </w:instrText>
        </w:r>
        <w:r w:rsidR="00F76B65">
          <w:rPr>
            <w:webHidden/>
          </w:rPr>
        </w:r>
        <w:r w:rsidR="00F76B65">
          <w:rPr>
            <w:webHidden/>
          </w:rPr>
          <w:fldChar w:fldCharType="separate"/>
        </w:r>
        <w:r w:rsidR="00F76B65">
          <w:rPr>
            <w:webHidden/>
          </w:rPr>
          <w:t>105</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39" w:history="1">
        <w:r w:rsidR="00F76B65" w:rsidRPr="00092DDB">
          <w:rPr>
            <w:rStyle w:val="Hyperlink"/>
          </w:rPr>
          <w:t>Financial implications</w:t>
        </w:r>
        <w:r w:rsidR="00F76B65">
          <w:rPr>
            <w:webHidden/>
          </w:rPr>
          <w:tab/>
        </w:r>
        <w:r w:rsidR="00F76B65">
          <w:rPr>
            <w:webHidden/>
          </w:rPr>
          <w:fldChar w:fldCharType="begin"/>
        </w:r>
        <w:r w:rsidR="00F76B65">
          <w:rPr>
            <w:webHidden/>
          </w:rPr>
          <w:instrText xml:space="preserve"> PAGEREF _Toc352924439 \h </w:instrText>
        </w:r>
        <w:r w:rsidR="00F76B65">
          <w:rPr>
            <w:webHidden/>
          </w:rPr>
        </w:r>
        <w:r w:rsidR="00F76B65">
          <w:rPr>
            <w:webHidden/>
          </w:rPr>
          <w:fldChar w:fldCharType="separate"/>
        </w:r>
        <w:r w:rsidR="00F76B65">
          <w:rPr>
            <w:webHidden/>
          </w:rPr>
          <w:t>106</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40" w:history="1">
        <w:r w:rsidR="00F76B65" w:rsidRPr="00092DDB">
          <w:rPr>
            <w:rStyle w:val="Hyperlink"/>
          </w:rPr>
          <w:t>Discussion</w:t>
        </w:r>
        <w:r w:rsidR="00F76B65">
          <w:rPr>
            <w:webHidden/>
          </w:rPr>
          <w:tab/>
        </w:r>
        <w:r w:rsidR="00F76B65">
          <w:rPr>
            <w:webHidden/>
          </w:rPr>
          <w:fldChar w:fldCharType="begin"/>
        </w:r>
        <w:r w:rsidR="00F76B65">
          <w:rPr>
            <w:webHidden/>
          </w:rPr>
          <w:instrText xml:space="preserve"> PAGEREF _Toc352924440 \h </w:instrText>
        </w:r>
        <w:r w:rsidR="00F76B65">
          <w:rPr>
            <w:webHidden/>
          </w:rPr>
        </w:r>
        <w:r w:rsidR="00F76B65">
          <w:rPr>
            <w:webHidden/>
          </w:rPr>
          <w:fldChar w:fldCharType="separate"/>
        </w:r>
        <w:r w:rsidR="00F76B65">
          <w:rPr>
            <w:webHidden/>
          </w:rPr>
          <w:t>115</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41" w:history="1">
        <w:r w:rsidR="00F76B65" w:rsidRPr="00092DDB">
          <w:rPr>
            <w:rStyle w:val="Hyperlink"/>
          </w:rPr>
          <w:t>Limitations of evidence</w:t>
        </w:r>
        <w:r w:rsidR="00F76B65">
          <w:rPr>
            <w:webHidden/>
          </w:rPr>
          <w:tab/>
        </w:r>
        <w:r w:rsidR="00F76B65">
          <w:rPr>
            <w:webHidden/>
          </w:rPr>
          <w:fldChar w:fldCharType="begin"/>
        </w:r>
        <w:r w:rsidR="00F76B65">
          <w:rPr>
            <w:webHidden/>
          </w:rPr>
          <w:instrText xml:space="preserve"> PAGEREF _Toc352924441 \h </w:instrText>
        </w:r>
        <w:r w:rsidR="00F76B65">
          <w:rPr>
            <w:webHidden/>
          </w:rPr>
        </w:r>
        <w:r w:rsidR="00F76B65">
          <w:rPr>
            <w:webHidden/>
          </w:rPr>
          <w:fldChar w:fldCharType="separate"/>
        </w:r>
        <w:r w:rsidR="00F76B65">
          <w:rPr>
            <w:webHidden/>
          </w:rPr>
          <w:t>115</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42" w:history="1">
        <w:r w:rsidR="00F76B65" w:rsidRPr="00092DDB">
          <w:rPr>
            <w:rStyle w:val="Hyperlink"/>
          </w:rPr>
          <w:t>Is it safe?</w:t>
        </w:r>
        <w:r w:rsidR="00F76B65">
          <w:rPr>
            <w:webHidden/>
          </w:rPr>
          <w:tab/>
        </w:r>
        <w:r w:rsidR="00F76B65">
          <w:rPr>
            <w:webHidden/>
          </w:rPr>
          <w:fldChar w:fldCharType="begin"/>
        </w:r>
        <w:r w:rsidR="00F76B65">
          <w:rPr>
            <w:webHidden/>
          </w:rPr>
          <w:instrText xml:space="preserve"> PAGEREF _Toc352924442 \h </w:instrText>
        </w:r>
        <w:r w:rsidR="00F76B65">
          <w:rPr>
            <w:webHidden/>
          </w:rPr>
        </w:r>
        <w:r w:rsidR="00F76B65">
          <w:rPr>
            <w:webHidden/>
          </w:rPr>
          <w:fldChar w:fldCharType="separate"/>
        </w:r>
        <w:r w:rsidR="00F76B65">
          <w:rPr>
            <w:webHidden/>
          </w:rPr>
          <w:t>117</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43" w:history="1">
        <w:r w:rsidR="00F76B65" w:rsidRPr="00092DDB">
          <w:rPr>
            <w:rStyle w:val="Hyperlink"/>
          </w:rPr>
          <w:t>Is it effective?</w:t>
        </w:r>
        <w:r w:rsidR="00F76B65">
          <w:rPr>
            <w:webHidden/>
          </w:rPr>
          <w:tab/>
        </w:r>
        <w:r w:rsidR="00F76B65">
          <w:rPr>
            <w:webHidden/>
          </w:rPr>
          <w:fldChar w:fldCharType="begin"/>
        </w:r>
        <w:r w:rsidR="00F76B65">
          <w:rPr>
            <w:webHidden/>
          </w:rPr>
          <w:instrText xml:space="preserve"> PAGEREF _Toc352924443 \h </w:instrText>
        </w:r>
        <w:r w:rsidR="00F76B65">
          <w:rPr>
            <w:webHidden/>
          </w:rPr>
        </w:r>
        <w:r w:rsidR="00F76B65">
          <w:rPr>
            <w:webHidden/>
          </w:rPr>
          <w:fldChar w:fldCharType="separate"/>
        </w:r>
        <w:r w:rsidR="00F76B65">
          <w:rPr>
            <w:webHidden/>
          </w:rPr>
          <w:t>118</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44" w:history="1">
        <w:r w:rsidR="00F76B65" w:rsidRPr="00092DDB">
          <w:rPr>
            <w:rStyle w:val="Hyperlink"/>
          </w:rPr>
          <w:t>What are the economic considerations?</w:t>
        </w:r>
        <w:r w:rsidR="00F76B65">
          <w:rPr>
            <w:webHidden/>
          </w:rPr>
          <w:tab/>
        </w:r>
        <w:r w:rsidR="00F76B65">
          <w:rPr>
            <w:webHidden/>
          </w:rPr>
          <w:fldChar w:fldCharType="begin"/>
        </w:r>
        <w:r w:rsidR="00F76B65">
          <w:rPr>
            <w:webHidden/>
          </w:rPr>
          <w:instrText xml:space="preserve"> PAGEREF _Toc352924444 \h </w:instrText>
        </w:r>
        <w:r w:rsidR="00F76B65">
          <w:rPr>
            <w:webHidden/>
          </w:rPr>
        </w:r>
        <w:r w:rsidR="00F76B65">
          <w:rPr>
            <w:webHidden/>
          </w:rPr>
          <w:fldChar w:fldCharType="separate"/>
        </w:r>
        <w:r w:rsidR="00F76B65">
          <w:rPr>
            <w:webHidden/>
          </w:rPr>
          <w:t>119</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45" w:history="1">
        <w:r w:rsidR="00F76B65" w:rsidRPr="00092DDB">
          <w:rPr>
            <w:rStyle w:val="Hyperlink"/>
          </w:rPr>
          <w:t>Conclusions</w:t>
        </w:r>
        <w:r w:rsidR="00F76B65">
          <w:rPr>
            <w:webHidden/>
          </w:rPr>
          <w:tab/>
        </w:r>
        <w:r w:rsidR="00F76B65">
          <w:rPr>
            <w:webHidden/>
          </w:rPr>
          <w:fldChar w:fldCharType="begin"/>
        </w:r>
        <w:r w:rsidR="00F76B65">
          <w:rPr>
            <w:webHidden/>
          </w:rPr>
          <w:instrText xml:space="preserve"> PAGEREF _Toc352924445 \h </w:instrText>
        </w:r>
        <w:r w:rsidR="00F76B65">
          <w:rPr>
            <w:webHidden/>
          </w:rPr>
        </w:r>
        <w:r w:rsidR="00F76B65">
          <w:rPr>
            <w:webHidden/>
          </w:rPr>
          <w:fldChar w:fldCharType="separate"/>
        </w:r>
        <w:r w:rsidR="00F76B65">
          <w:rPr>
            <w:webHidden/>
          </w:rPr>
          <w:t>121</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46" w:history="1">
        <w:r w:rsidR="00F76B65" w:rsidRPr="00092DDB">
          <w:rPr>
            <w:rStyle w:val="Hyperlink"/>
          </w:rPr>
          <w:t>Safety</w:t>
        </w:r>
        <w:r w:rsidR="00F76B65">
          <w:rPr>
            <w:webHidden/>
          </w:rPr>
          <w:tab/>
        </w:r>
        <w:r w:rsidR="00F76B65">
          <w:rPr>
            <w:webHidden/>
          </w:rPr>
          <w:fldChar w:fldCharType="begin"/>
        </w:r>
        <w:r w:rsidR="00F76B65">
          <w:rPr>
            <w:webHidden/>
          </w:rPr>
          <w:instrText xml:space="preserve"> PAGEREF _Toc352924446 \h </w:instrText>
        </w:r>
        <w:r w:rsidR="00F76B65">
          <w:rPr>
            <w:webHidden/>
          </w:rPr>
        </w:r>
        <w:r w:rsidR="00F76B65">
          <w:rPr>
            <w:webHidden/>
          </w:rPr>
          <w:fldChar w:fldCharType="separate"/>
        </w:r>
        <w:r w:rsidR="00F76B65">
          <w:rPr>
            <w:webHidden/>
          </w:rPr>
          <w:t>121</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47" w:history="1">
        <w:r w:rsidR="00F76B65" w:rsidRPr="00092DDB">
          <w:rPr>
            <w:rStyle w:val="Hyperlink"/>
          </w:rPr>
          <w:t>Effectiveness</w:t>
        </w:r>
        <w:r w:rsidR="00F76B65">
          <w:rPr>
            <w:webHidden/>
          </w:rPr>
          <w:tab/>
        </w:r>
        <w:r w:rsidR="00F76B65">
          <w:rPr>
            <w:webHidden/>
          </w:rPr>
          <w:fldChar w:fldCharType="begin"/>
        </w:r>
        <w:r w:rsidR="00F76B65">
          <w:rPr>
            <w:webHidden/>
          </w:rPr>
          <w:instrText xml:space="preserve"> PAGEREF _Toc352924447 \h </w:instrText>
        </w:r>
        <w:r w:rsidR="00F76B65">
          <w:rPr>
            <w:webHidden/>
          </w:rPr>
        </w:r>
        <w:r w:rsidR="00F76B65">
          <w:rPr>
            <w:webHidden/>
          </w:rPr>
          <w:fldChar w:fldCharType="separate"/>
        </w:r>
        <w:r w:rsidR="00F76B65">
          <w:rPr>
            <w:webHidden/>
          </w:rPr>
          <w:t>121</w:t>
        </w:r>
        <w:r w:rsidR="00F76B65">
          <w:rPr>
            <w:webHidden/>
          </w:rPr>
          <w:fldChar w:fldCharType="end"/>
        </w:r>
      </w:hyperlink>
    </w:p>
    <w:p w:rsidR="00F76B65" w:rsidRDefault="0042762F">
      <w:pPr>
        <w:pStyle w:val="TOC2"/>
        <w:rPr>
          <w:rFonts w:asciiTheme="minorHAnsi" w:eastAsiaTheme="minorEastAsia" w:hAnsiTheme="minorHAnsi" w:cstheme="minorBidi"/>
          <w:sz w:val="22"/>
          <w:szCs w:val="22"/>
        </w:rPr>
      </w:pPr>
      <w:hyperlink w:anchor="_Toc352924448" w:history="1">
        <w:r w:rsidR="00F76B65" w:rsidRPr="00092DDB">
          <w:rPr>
            <w:rStyle w:val="Hyperlink"/>
          </w:rPr>
          <w:t>Economic considerations</w:t>
        </w:r>
        <w:r w:rsidR="00F76B65">
          <w:rPr>
            <w:webHidden/>
          </w:rPr>
          <w:tab/>
        </w:r>
        <w:r w:rsidR="00F76B65">
          <w:rPr>
            <w:webHidden/>
          </w:rPr>
          <w:fldChar w:fldCharType="begin"/>
        </w:r>
        <w:r w:rsidR="00F76B65">
          <w:rPr>
            <w:webHidden/>
          </w:rPr>
          <w:instrText xml:space="preserve"> PAGEREF _Toc352924448 \h </w:instrText>
        </w:r>
        <w:r w:rsidR="00F76B65">
          <w:rPr>
            <w:webHidden/>
          </w:rPr>
        </w:r>
        <w:r w:rsidR="00F76B65">
          <w:rPr>
            <w:webHidden/>
          </w:rPr>
          <w:fldChar w:fldCharType="separate"/>
        </w:r>
        <w:r w:rsidR="00F76B65">
          <w:rPr>
            <w:webHidden/>
          </w:rPr>
          <w:t>121</w:t>
        </w:r>
        <w:r w:rsidR="00F76B65">
          <w:rPr>
            <w:webHidden/>
          </w:rPr>
          <w:fldChar w:fldCharType="end"/>
        </w:r>
      </w:hyperlink>
    </w:p>
    <w:p w:rsidR="00F76B65" w:rsidRDefault="0042762F">
      <w:pPr>
        <w:pStyle w:val="TOC1"/>
        <w:tabs>
          <w:tab w:val="left" w:pos="2145"/>
        </w:tabs>
        <w:rPr>
          <w:rFonts w:asciiTheme="minorHAnsi" w:eastAsiaTheme="minorEastAsia" w:hAnsiTheme="minorHAnsi" w:cstheme="minorBidi"/>
          <w:b w:val="0"/>
          <w:sz w:val="22"/>
          <w:szCs w:val="22"/>
        </w:rPr>
      </w:pPr>
      <w:hyperlink w:anchor="_Toc352924449" w:history="1">
        <w:r w:rsidR="00F76B65" w:rsidRPr="00092DDB">
          <w:rPr>
            <w:rStyle w:val="Hyperlink"/>
            <w:bCs/>
          </w:rPr>
          <w:t>Appendix A</w:t>
        </w:r>
        <w:r w:rsidR="00F76B65">
          <w:rPr>
            <w:rFonts w:asciiTheme="minorHAnsi" w:eastAsiaTheme="minorEastAsia" w:hAnsiTheme="minorHAnsi" w:cstheme="minorBidi"/>
            <w:b w:val="0"/>
            <w:sz w:val="22"/>
            <w:szCs w:val="22"/>
          </w:rPr>
          <w:tab/>
        </w:r>
        <w:r w:rsidR="00F76B65" w:rsidRPr="00092DDB">
          <w:rPr>
            <w:rStyle w:val="Hyperlink"/>
            <w:bCs/>
          </w:rPr>
          <w:t>Health Expert Standing Panel and Assessment Group</w:t>
        </w:r>
        <w:r w:rsidR="00F76B65">
          <w:rPr>
            <w:webHidden/>
          </w:rPr>
          <w:tab/>
        </w:r>
        <w:r w:rsidR="00F76B65">
          <w:rPr>
            <w:webHidden/>
          </w:rPr>
          <w:fldChar w:fldCharType="begin"/>
        </w:r>
        <w:r w:rsidR="00F76B65">
          <w:rPr>
            <w:webHidden/>
          </w:rPr>
          <w:instrText xml:space="preserve"> PAGEREF _Toc352924449 \h </w:instrText>
        </w:r>
        <w:r w:rsidR="00F76B65">
          <w:rPr>
            <w:webHidden/>
          </w:rPr>
        </w:r>
        <w:r w:rsidR="00F76B65">
          <w:rPr>
            <w:webHidden/>
          </w:rPr>
          <w:fldChar w:fldCharType="separate"/>
        </w:r>
        <w:r w:rsidR="00F76B65">
          <w:rPr>
            <w:webHidden/>
          </w:rPr>
          <w:t>123</w:t>
        </w:r>
        <w:r w:rsidR="00F76B65">
          <w:rPr>
            <w:webHidden/>
          </w:rPr>
          <w:fldChar w:fldCharType="end"/>
        </w:r>
      </w:hyperlink>
    </w:p>
    <w:p w:rsidR="00F76B65" w:rsidRDefault="0042762F">
      <w:pPr>
        <w:pStyle w:val="TOC1"/>
        <w:tabs>
          <w:tab w:val="left" w:pos="2150"/>
        </w:tabs>
        <w:rPr>
          <w:rFonts w:asciiTheme="minorHAnsi" w:eastAsiaTheme="minorEastAsia" w:hAnsiTheme="minorHAnsi" w:cstheme="minorBidi"/>
          <w:b w:val="0"/>
          <w:sz w:val="22"/>
          <w:szCs w:val="22"/>
        </w:rPr>
      </w:pPr>
      <w:hyperlink w:anchor="_Toc352924450" w:history="1">
        <w:r w:rsidR="00F76B65" w:rsidRPr="00092DDB">
          <w:rPr>
            <w:rStyle w:val="Hyperlink"/>
            <w:bCs/>
          </w:rPr>
          <w:t>Appendix B</w:t>
        </w:r>
        <w:r w:rsidR="00F76B65">
          <w:rPr>
            <w:rFonts w:asciiTheme="minorHAnsi" w:eastAsiaTheme="minorEastAsia" w:hAnsiTheme="minorHAnsi" w:cstheme="minorBidi"/>
            <w:b w:val="0"/>
            <w:sz w:val="22"/>
            <w:szCs w:val="22"/>
          </w:rPr>
          <w:tab/>
        </w:r>
        <w:r w:rsidR="00F76B65" w:rsidRPr="00092DDB">
          <w:rPr>
            <w:rStyle w:val="Hyperlink"/>
            <w:bCs/>
          </w:rPr>
          <w:t>Search strategies</w:t>
        </w:r>
        <w:r w:rsidR="00F76B65">
          <w:rPr>
            <w:webHidden/>
          </w:rPr>
          <w:tab/>
        </w:r>
        <w:r w:rsidR="00F76B65">
          <w:rPr>
            <w:webHidden/>
          </w:rPr>
          <w:fldChar w:fldCharType="begin"/>
        </w:r>
        <w:r w:rsidR="00F76B65">
          <w:rPr>
            <w:webHidden/>
          </w:rPr>
          <w:instrText xml:space="preserve"> PAGEREF _Toc352924450 \h </w:instrText>
        </w:r>
        <w:r w:rsidR="00F76B65">
          <w:rPr>
            <w:webHidden/>
          </w:rPr>
        </w:r>
        <w:r w:rsidR="00F76B65">
          <w:rPr>
            <w:webHidden/>
          </w:rPr>
          <w:fldChar w:fldCharType="separate"/>
        </w:r>
        <w:r w:rsidR="00F76B65">
          <w:rPr>
            <w:webHidden/>
          </w:rPr>
          <w:t>124</w:t>
        </w:r>
        <w:r w:rsidR="00F76B65">
          <w:rPr>
            <w:webHidden/>
          </w:rPr>
          <w:fldChar w:fldCharType="end"/>
        </w:r>
      </w:hyperlink>
    </w:p>
    <w:p w:rsidR="00F76B65" w:rsidRDefault="0042762F">
      <w:pPr>
        <w:pStyle w:val="TOC1"/>
        <w:tabs>
          <w:tab w:val="left" w:pos="2150"/>
        </w:tabs>
        <w:rPr>
          <w:rFonts w:asciiTheme="minorHAnsi" w:eastAsiaTheme="minorEastAsia" w:hAnsiTheme="minorHAnsi" w:cstheme="minorBidi"/>
          <w:b w:val="0"/>
          <w:sz w:val="22"/>
          <w:szCs w:val="22"/>
        </w:rPr>
      </w:pPr>
      <w:hyperlink w:anchor="_Toc352924451" w:history="1">
        <w:r w:rsidR="00F76B65" w:rsidRPr="00092DDB">
          <w:rPr>
            <w:rStyle w:val="Hyperlink"/>
            <w:bCs/>
          </w:rPr>
          <w:t>Appendix C</w:t>
        </w:r>
        <w:r w:rsidR="00F76B65">
          <w:rPr>
            <w:rFonts w:asciiTheme="minorHAnsi" w:eastAsiaTheme="minorEastAsia" w:hAnsiTheme="minorHAnsi" w:cstheme="minorBidi"/>
            <w:b w:val="0"/>
            <w:sz w:val="22"/>
            <w:szCs w:val="22"/>
          </w:rPr>
          <w:tab/>
        </w:r>
        <w:r w:rsidR="00F76B65" w:rsidRPr="00092DDB">
          <w:rPr>
            <w:rStyle w:val="Hyperlink"/>
            <w:bCs/>
          </w:rPr>
          <w:t>Databases searched</w:t>
        </w:r>
        <w:r w:rsidR="00F76B65">
          <w:rPr>
            <w:webHidden/>
          </w:rPr>
          <w:tab/>
        </w:r>
        <w:r w:rsidR="00F76B65">
          <w:rPr>
            <w:webHidden/>
          </w:rPr>
          <w:fldChar w:fldCharType="begin"/>
        </w:r>
        <w:r w:rsidR="00F76B65">
          <w:rPr>
            <w:webHidden/>
          </w:rPr>
          <w:instrText xml:space="preserve"> PAGEREF _Toc352924451 \h </w:instrText>
        </w:r>
        <w:r w:rsidR="00F76B65">
          <w:rPr>
            <w:webHidden/>
          </w:rPr>
        </w:r>
        <w:r w:rsidR="00F76B65">
          <w:rPr>
            <w:webHidden/>
          </w:rPr>
          <w:fldChar w:fldCharType="separate"/>
        </w:r>
        <w:r w:rsidR="00F76B65">
          <w:rPr>
            <w:webHidden/>
          </w:rPr>
          <w:t>125</w:t>
        </w:r>
        <w:r w:rsidR="00F76B65">
          <w:rPr>
            <w:webHidden/>
          </w:rPr>
          <w:fldChar w:fldCharType="end"/>
        </w:r>
      </w:hyperlink>
    </w:p>
    <w:p w:rsidR="00F76B65" w:rsidRDefault="0042762F">
      <w:pPr>
        <w:pStyle w:val="TOC1"/>
        <w:tabs>
          <w:tab w:val="left" w:pos="2175"/>
        </w:tabs>
        <w:rPr>
          <w:rFonts w:asciiTheme="minorHAnsi" w:eastAsiaTheme="minorEastAsia" w:hAnsiTheme="minorHAnsi" w:cstheme="minorBidi"/>
          <w:b w:val="0"/>
          <w:sz w:val="22"/>
          <w:szCs w:val="22"/>
        </w:rPr>
      </w:pPr>
      <w:hyperlink w:anchor="_Toc352924452" w:history="1">
        <w:r w:rsidR="00F76B65" w:rsidRPr="00092DDB">
          <w:rPr>
            <w:rStyle w:val="Hyperlink"/>
            <w:bCs/>
          </w:rPr>
          <w:t>Appendix D</w:t>
        </w:r>
        <w:r w:rsidR="00F76B65">
          <w:rPr>
            <w:rFonts w:asciiTheme="minorHAnsi" w:eastAsiaTheme="minorEastAsia" w:hAnsiTheme="minorHAnsi" w:cstheme="minorBidi"/>
            <w:b w:val="0"/>
            <w:sz w:val="22"/>
            <w:szCs w:val="22"/>
          </w:rPr>
          <w:tab/>
        </w:r>
        <w:r w:rsidR="00F76B65" w:rsidRPr="00092DDB">
          <w:rPr>
            <w:rStyle w:val="Hyperlink"/>
            <w:bCs/>
          </w:rPr>
          <w:t xml:space="preserve"> Studies included in the review</w:t>
        </w:r>
        <w:r w:rsidR="00F76B65">
          <w:rPr>
            <w:webHidden/>
          </w:rPr>
          <w:tab/>
        </w:r>
        <w:r w:rsidR="00F76B65">
          <w:rPr>
            <w:webHidden/>
          </w:rPr>
          <w:fldChar w:fldCharType="begin"/>
        </w:r>
        <w:r w:rsidR="00F76B65">
          <w:rPr>
            <w:webHidden/>
          </w:rPr>
          <w:instrText xml:space="preserve"> PAGEREF _Toc352924452 \h </w:instrText>
        </w:r>
        <w:r w:rsidR="00F76B65">
          <w:rPr>
            <w:webHidden/>
          </w:rPr>
        </w:r>
        <w:r w:rsidR="00F76B65">
          <w:rPr>
            <w:webHidden/>
          </w:rPr>
          <w:fldChar w:fldCharType="separate"/>
        </w:r>
        <w:r w:rsidR="00F76B65">
          <w:rPr>
            <w:webHidden/>
          </w:rPr>
          <w:t>129</w:t>
        </w:r>
        <w:r w:rsidR="00F76B65">
          <w:rPr>
            <w:webHidden/>
          </w:rPr>
          <w:fldChar w:fldCharType="end"/>
        </w:r>
      </w:hyperlink>
    </w:p>
    <w:p w:rsidR="00F76B65" w:rsidRDefault="0042762F">
      <w:pPr>
        <w:pStyle w:val="TOC1"/>
        <w:tabs>
          <w:tab w:val="left" w:pos="2158"/>
        </w:tabs>
        <w:rPr>
          <w:rFonts w:asciiTheme="minorHAnsi" w:eastAsiaTheme="minorEastAsia" w:hAnsiTheme="minorHAnsi" w:cstheme="minorBidi"/>
          <w:b w:val="0"/>
          <w:sz w:val="22"/>
          <w:szCs w:val="22"/>
        </w:rPr>
      </w:pPr>
      <w:hyperlink w:anchor="_Toc352924453" w:history="1">
        <w:r w:rsidR="00F76B65" w:rsidRPr="00092DDB">
          <w:rPr>
            <w:rStyle w:val="Hyperlink"/>
            <w:bCs/>
          </w:rPr>
          <w:t>Appendix E</w:t>
        </w:r>
        <w:r w:rsidR="00F76B65">
          <w:rPr>
            <w:rFonts w:asciiTheme="minorHAnsi" w:eastAsiaTheme="minorEastAsia" w:hAnsiTheme="minorHAnsi" w:cstheme="minorBidi"/>
            <w:b w:val="0"/>
            <w:sz w:val="22"/>
            <w:szCs w:val="22"/>
          </w:rPr>
          <w:tab/>
        </w:r>
        <w:r w:rsidR="00F76B65" w:rsidRPr="00092DDB">
          <w:rPr>
            <w:rStyle w:val="Hyperlink"/>
          </w:rPr>
          <w:t>Current clinical trials for colonic stents</w:t>
        </w:r>
        <w:r w:rsidR="00F76B65">
          <w:rPr>
            <w:webHidden/>
          </w:rPr>
          <w:tab/>
        </w:r>
        <w:r w:rsidR="00F76B65">
          <w:rPr>
            <w:webHidden/>
          </w:rPr>
          <w:fldChar w:fldCharType="begin"/>
        </w:r>
        <w:r w:rsidR="00F76B65">
          <w:rPr>
            <w:webHidden/>
          </w:rPr>
          <w:instrText xml:space="preserve"> PAGEREF _Toc352924453 \h </w:instrText>
        </w:r>
        <w:r w:rsidR="00F76B65">
          <w:rPr>
            <w:webHidden/>
          </w:rPr>
        </w:r>
        <w:r w:rsidR="00F76B65">
          <w:rPr>
            <w:webHidden/>
          </w:rPr>
          <w:fldChar w:fldCharType="separate"/>
        </w:r>
        <w:r w:rsidR="00F76B65">
          <w:rPr>
            <w:webHidden/>
          </w:rPr>
          <w:t>133</w:t>
        </w:r>
        <w:r w:rsidR="00F76B65">
          <w:rPr>
            <w:webHidden/>
          </w:rPr>
          <w:fldChar w:fldCharType="end"/>
        </w:r>
      </w:hyperlink>
    </w:p>
    <w:p w:rsidR="00F76B65" w:rsidRDefault="0042762F">
      <w:pPr>
        <w:pStyle w:val="TOC1"/>
        <w:tabs>
          <w:tab w:val="left" w:pos="2135"/>
        </w:tabs>
        <w:rPr>
          <w:rFonts w:asciiTheme="minorHAnsi" w:eastAsiaTheme="minorEastAsia" w:hAnsiTheme="minorHAnsi" w:cstheme="minorBidi"/>
          <w:b w:val="0"/>
          <w:sz w:val="22"/>
          <w:szCs w:val="22"/>
        </w:rPr>
      </w:pPr>
      <w:hyperlink w:anchor="_Toc352924454" w:history="1">
        <w:r w:rsidR="00F76B65" w:rsidRPr="00092DDB">
          <w:rPr>
            <w:rStyle w:val="Hyperlink"/>
            <w:bCs/>
          </w:rPr>
          <w:t>Appendix F</w:t>
        </w:r>
        <w:r w:rsidR="00F76B65">
          <w:rPr>
            <w:rFonts w:asciiTheme="minorHAnsi" w:eastAsiaTheme="minorEastAsia" w:hAnsiTheme="minorHAnsi" w:cstheme="minorBidi"/>
            <w:b w:val="0"/>
            <w:sz w:val="22"/>
            <w:szCs w:val="22"/>
          </w:rPr>
          <w:tab/>
        </w:r>
        <w:r w:rsidR="00F76B65" w:rsidRPr="00092DDB">
          <w:rPr>
            <w:rStyle w:val="Hyperlink"/>
            <w:bCs/>
          </w:rPr>
          <w:t>Included studies – randomised controlled trials</w:t>
        </w:r>
        <w:r w:rsidR="00F76B65">
          <w:rPr>
            <w:webHidden/>
          </w:rPr>
          <w:tab/>
        </w:r>
        <w:r w:rsidR="00F76B65">
          <w:rPr>
            <w:webHidden/>
          </w:rPr>
          <w:fldChar w:fldCharType="begin"/>
        </w:r>
        <w:r w:rsidR="00F76B65">
          <w:rPr>
            <w:webHidden/>
          </w:rPr>
          <w:instrText xml:space="preserve"> PAGEREF _Toc352924454 \h </w:instrText>
        </w:r>
        <w:r w:rsidR="00F76B65">
          <w:rPr>
            <w:webHidden/>
          </w:rPr>
        </w:r>
        <w:r w:rsidR="00F76B65">
          <w:rPr>
            <w:webHidden/>
          </w:rPr>
          <w:fldChar w:fldCharType="separate"/>
        </w:r>
        <w:r w:rsidR="00F76B65">
          <w:rPr>
            <w:webHidden/>
          </w:rPr>
          <w:t>135</w:t>
        </w:r>
        <w:r w:rsidR="00F76B65">
          <w:rPr>
            <w:webHidden/>
          </w:rPr>
          <w:fldChar w:fldCharType="end"/>
        </w:r>
      </w:hyperlink>
    </w:p>
    <w:p w:rsidR="00F76B65" w:rsidRDefault="0042762F">
      <w:pPr>
        <w:pStyle w:val="TOC1"/>
        <w:tabs>
          <w:tab w:val="left" w:pos="2163"/>
        </w:tabs>
        <w:rPr>
          <w:rFonts w:asciiTheme="minorHAnsi" w:eastAsiaTheme="minorEastAsia" w:hAnsiTheme="minorHAnsi" w:cstheme="minorBidi"/>
          <w:b w:val="0"/>
          <w:sz w:val="22"/>
          <w:szCs w:val="22"/>
        </w:rPr>
      </w:pPr>
      <w:hyperlink w:anchor="_Toc352924455" w:history="1">
        <w:r w:rsidR="00F76B65" w:rsidRPr="00092DDB">
          <w:rPr>
            <w:rStyle w:val="Hyperlink"/>
            <w:bCs/>
          </w:rPr>
          <w:t>Appendix G</w:t>
        </w:r>
        <w:r w:rsidR="00F76B65">
          <w:rPr>
            <w:rFonts w:asciiTheme="minorHAnsi" w:eastAsiaTheme="minorEastAsia" w:hAnsiTheme="minorHAnsi" w:cstheme="minorBidi"/>
            <w:b w:val="0"/>
            <w:sz w:val="22"/>
            <w:szCs w:val="22"/>
          </w:rPr>
          <w:tab/>
        </w:r>
        <w:r w:rsidR="00F76B65" w:rsidRPr="00092DDB">
          <w:rPr>
            <w:rStyle w:val="Hyperlink"/>
            <w:bCs/>
          </w:rPr>
          <w:t xml:space="preserve">Included studies – </w:t>
        </w:r>
        <w:r w:rsidR="00F76B65" w:rsidRPr="00092DDB">
          <w:rPr>
            <w:rStyle w:val="Hyperlink"/>
          </w:rPr>
          <w:t>non-randomised comparative studies</w:t>
        </w:r>
        <w:r w:rsidR="00F76B65">
          <w:rPr>
            <w:webHidden/>
          </w:rPr>
          <w:tab/>
        </w:r>
        <w:r w:rsidR="00F76B65">
          <w:rPr>
            <w:webHidden/>
          </w:rPr>
          <w:fldChar w:fldCharType="begin"/>
        </w:r>
        <w:r w:rsidR="00F76B65">
          <w:rPr>
            <w:webHidden/>
          </w:rPr>
          <w:instrText xml:space="preserve"> PAGEREF _Toc352924455 \h </w:instrText>
        </w:r>
        <w:r w:rsidR="00F76B65">
          <w:rPr>
            <w:webHidden/>
          </w:rPr>
        </w:r>
        <w:r w:rsidR="00F76B65">
          <w:rPr>
            <w:webHidden/>
          </w:rPr>
          <w:fldChar w:fldCharType="separate"/>
        </w:r>
        <w:r w:rsidR="00F76B65">
          <w:rPr>
            <w:webHidden/>
          </w:rPr>
          <w:t>136</w:t>
        </w:r>
        <w:r w:rsidR="00F76B65">
          <w:rPr>
            <w:webHidden/>
          </w:rPr>
          <w:fldChar w:fldCharType="end"/>
        </w:r>
      </w:hyperlink>
    </w:p>
    <w:p w:rsidR="00F76B65" w:rsidRDefault="0042762F">
      <w:pPr>
        <w:pStyle w:val="TOC1"/>
        <w:tabs>
          <w:tab w:val="left" w:pos="2195"/>
        </w:tabs>
        <w:rPr>
          <w:rFonts w:asciiTheme="minorHAnsi" w:eastAsiaTheme="minorEastAsia" w:hAnsiTheme="minorHAnsi" w:cstheme="minorBidi"/>
          <w:b w:val="0"/>
          <w:sz w:val="22"/>
          <w:szCs w:val="22"/>
        </w:rPr>
      </w:pPr>
      <w:hyperlink w:anchor="_Toc352924456" w:history="1">
        <w:r w:rsidR="00F76B65" w:rsidRPr="00092DDB">
          <w:rPr>
            <w:rStyle w:val="Hyperlink"/>
            <w:bCs/>
          </w:rPr>
          <w:t>Appendix H</w:t>
        </w:r>
        <w:r w:rsidR="00F76B65">
          <w:rPr>
            <w:rFonts w:asciiTheme="minorHAnsi" w:eastAsiaTheme="minorEastAsia" w:hAnsiTheme="minorHAnsi" w:cstheme="minorBidi"/>
            <w:b w:val="0"/>
            <w:sz w:val="22"/>
            <w:szCs w:val="22"/>
          </w:rPr>
          <w:tab/>
        </w:r>
        <w:r w:rsidR="00F76B65" w:rsidRPr="00092DDB">
          <w:rPr>
            <w:rStyle w:val="Hyperlink"/>
            <w:bCs/>
          </w:rPr>
          <w:t xml:space="preserve">Included studies – </w:t>
        </w:r>
        <w:r w:rsidR="00F76B65" w:rsidRPr="00092DDB">
          <w:rPr>
            <w:rStyle w:val="Hyperlink"/>
          </w:rPr>
          <w:t>level IV evidence</w:t>
        </w:r>
        <w:r w:rsidR="00F76B65">
          <w:rPr>
            <w:webHidden/>
          </w:rPr>
          <w:tab/>
        </w:r>
        <w:r w:rsidR="00F76B65">
          <w:rPr>
            <w:webHidden/>
          </w:rPr>
          <w:fldChar w:fldCharType="begin"/>
        </w:r>
        <w:r w:rsidR="00F76B65">
          <w:rPr>
            <w:webHidden/>
          </w:rPr>
          <w:instrText xml:space="preserve"> PAGEREF _Toc352924456 \h </w:instrText>
        </w:r>
        <w:r w:rsidR="00F76B65">
          <w:rPr>
            <w:webHidden/>
          </w:rPr>
        </w:r>
        <w:r w:rsidR="00F76B65">
          <w:rPr>
            <w:webHidden/>
          </w:rPr>
          <w:fldChar w:fldCharType="separate"/>
        </w:r>
        <w:r w:rsidR="00F76B65">
          <w:rPr>
            <w:webHidden/>
          </w:rPr>
          <w:t>139</w:t>
        </w:r>
        <w:r w:rsidR="00F76B65">
          <w:rPr>
            <w:webHidden/>
          </w:rPr>
          <w:fldChar w:fldCharType="end"/>
        </w:r>
      </w:hyperlink>
    </w:p>
    <w:p w:rsidR="00F76B65" w:rsidRDefault="0042762F">
      <w:pPr>
        <w:pStyle w:val="TOC1"/>
        <w:tabs>
          <w:tab w:val="left" w:pos="2083"/>
        </w:tabs>
        <w:rPr>
          <w:rFonts w:asciiTheme="minorHAnsi" w:eastAsiaTheme="minorEastAsia" w:hAnsiTheme="minorHAnsi" w:cstheme="minorBidi"/>
          <w:b w:val="0"/>
          <w:sz w:val="22"/>
          <w:szCs w:val="22"/>
        </w:rPr>
      </w:pPr>
      <w:hyperlink w:anchor="_Toc352924457" w:history="1">
        <w:r w:rsidR="00F76B65" w:rsidRPr="00092DDB">
          <w:rPr>
            <w:rStyle w:val="Hyperlink"/>
            <w:bCs/>
          </w:rPr>
          <w:t>Appendix I</w:t>
        </w:r>
        <w:r w:rsidR="00F76B65">
          <w:rPr>
            <w:rFonts w:asciiTheme="minorHAnsi" w:eastAsiaTheme="minorEastAsia" w:hAnsiTheme="minorHAnsi" w:cstheme="minorBidi"/>
            <w:b w:val="0"/>
            <w:sz w:val="22"/>
            <w:szCs w:val="22"/>
          </w:rPr>
          <w:tab/>
        </w:r>
        <w:r w:rsidR="00F76B65" w:rsidRPr="00092DDB">
          <w:rPr>
            <w:rStyle w:val="Hyperlink"/>
          </w:rPr>
          <w:t>Excluded studies</w:t>
        </w:r>
        <w:r w:rsidR="00F76B65">
          <w:rPr>
            <w:webHidden/>
          </w:rPr>
          <w:tab/>
        </w:r>
        <w:r w:rsidR="00F76B65">
          <w:rPr>
            <w:webHidden/>
          </w:rPr>
          <w:fldChar w:fldCharType="begin"/>
        </w:r>
        <w:r w:rsidR="00F76B65">
          <w:rPr>
            <w:webHidden/>
          </w:rPr>
          <w:instrText xml:space="preserve"> PAGEREF _Toc352924457 \h </w:instrText>
        </w:r>
        <w:r w:rsidR="00F76B65">
          <w:rPr>
            <w:webHidden/>
          </w:rPr>
        </w:r>
        <w:r w:rsidR="00F76B65">
          <w:rPr>
            <w:webHidden/>
          </w:rPr>
          <w:fldChar w:fldCharType="separate"/>
        </w:r>
        <w:r w:rsidR="00F76B65">
          <w:rPr>
            <w:webHidden/>
          </w:rPr>
          <w:t>156</w:t>
        </w:r>
        <w:r w:rsidR="00F76B65">
          <w:rPr>
            <w:webHidden/>
          </w:rPr>
          <w:fldChar w:fldCharType="end"/>
        </w:r>
      </w:hyperlink>
    </w:p>
    <w:p w:rsidR="00F76B65" w:rsidRDefault="0042762F">
      <w:pPr>
        <w:pStyle w:val="TOC1"/>
        <w:tabs>
          <w:tab w:val="left" w:pos="2078"/>
        </w:tabs>
        <w:rPr>
          <w:rFonts w:asciiTheme="minorHAnsi" w:eastAsiaTheme="minorEastAsia" w:hAnsiTheme="minorHAnsi" w:cstheme="minorBidi"/>
          <w:b w:val="0"/>
          <w:sz w:val="22"/>
          <w:szCs w:val="22"/>
        </w:rPr>
      </w:pPr>
      <w:hyperlink w:anchor="_Toc352924458" w:history="1">
        <w:r w:rsidR="00F76B65" w:rsidRPr="00092DDB">
          <w:rPr>
            <w:rStyle w:val="Hyperlink"/>
          </w:rPr>
          <w:t xml:space="preserve">Appendix </w:t>
        </w:r>
        <w:r w:rsidR="00F76B65" w:rsidRPr="00092DDB">
          <w:rPr>
            <w:rStyle w:val="Hyperlink"/>
            <w:bCs/>
          </w:rPr>
          <w:t>J</w:t>
        </w:r>
        <w:r w:rsidR="00F76B65">
          <w:rPr>
            <w:rFonts w:asciiTheme="minorHAnsi" w:eastAsiaTheme="minorEastAsia" w:hAnsiTheme="minorHAnsi" w:cstheme="minorBidi"/>
            <w:b w:val="0"/>
            <w:sz w:val="22"/>
            <w:szCs w:val="22"/>
          </w:rPr>
          <w:tab/>
        </w:r>
        <w:r w:rsidR="00F76B65" w:rsidRPr="00092DDB">
          <w:rPr>
            <w:rStyle w:val="Hyperlink"/>
          </w:rPr>
          <w:t>Sensitivity analysis</w:t>
        </w:r>
        <w:r w:rsidR="00F76B65">
          <w:rPr>
            <w:webHidden/>
          </w:rPr>
          <w:tab/>
        </w:r>
        <w:r w:rsidR="00F76B65">
          <w:rPr>
            <w:webHidden/>
          </w:rPr>
          <w:fldChar w:fldCharType="begin"/>
        </w:r>
        <w:r w:rsidR="00F76B65">
          <w:rPr>
            <w:webHidden/>
          </w:rPr>
          <w:instrText xml:space="preserve"> PAGEREF _Toc352924458 \h </w:instrText>
        </w:r>
        <w:r w:rsidR="00F76B65">
          <w:rPr>
            <w:webHidden/>
          </w:rPr>
        </w:r>
        <w:r w:rsidR="00F76B65">
          <w:rPr>
            <w:webHidden/>
          </w:rPr>
          <w:fldChar w:fldCharType="separate"/>
        </w:r>
        <w:r w:rsidR="00F76B65">
          <w:rPr>
            <w:webHidden/>
          </w:rPr>
          <w:t>170</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59" w:history="1">
        <w:r w:rsidR="00F76B65" w:rsidRPr="00092DDB">
          <w:rPr>
            <w:rStyle w:val="Hyperlink"/>
          </w:rPr>
          <w:t>Glossary and abbreviations</w:t>
        </w:r>
        <w:r w:rsidR="00F76B65">
          <w:rPr>
            <w:webHidden/>
          </w:rPr>
          <w:tab/>
        </w:r>
        <w:r w:rsidR="00F76B65">
          <w:rPr>
            <w:webHidden/>
          </w:rPr>
          <w:fldChar w:fldCharType="begin"/>
        </w:r>
        <w:r w:rsidR="00F76B65">
          <w:rPr>
            <w:webHidden/>
          </w:rPr>
          <w:instrText xml:space="preserve"> PAGEREF _Toc352924459 \h </w:instrText>
        </w:r>
        <w:r w:rsidR="00F76B65">
          <w:rPr>
            <w:webHidden/>
          </w:rPr>
        </w:r>
        <w:r w:rsidR="00F76B65">
          <w:rPr>
            <w:webHidden/>
          </w:rPr>
          <w:fldChar w:fldCharType="separate"/>
        </w:r>
        <w:r w:rsidR="00F76B65">
          <w:rPr>
            <w:webHidden/>
          </w:rPr>
          <w:t>172</w:t>
        </w:r>
        <w:r w:rsidR="00F76B65">
          <w:rPr>
            <w:webHidden/>
          </w:rPr>
          <w:fldChar w:fldCharType="end"/>
        </w:r>
      </w:hyperlink>
    </w:p>
    <w:p w:rsidR="00F76B65" w:rsidRDefault="0042762F">
      <w:pPr>
        <w:pStyle w:val="TOC1"/>
        <w:rPr>
          <w:rFonts w:asciiTheme="minorHAnsi" w:eastAsiaTheme="minorEastAsia" w:hAnsiTheme="minorHAnsi" w:cstheme="minorBidi"/>
          <w:b w:val="0"/>
          <w:sz w:val="22"/>
          <w:szCs w:val="22"/>
        </w:rPr>
      </w:pPr>
      <w:hyperlink w:anchor="_Toc352924460" w:history="1">
        <w:r w:rsidR="00F76B65" w:rsidRPr="00092DDB">
          <w:rPr>
            <w:rStyle w:val="Hyperlink"/>
          </w:rPr>
          <w:t>References</w:t>
        </w:r>
        <w:r w:rsidR="00F76B65">
          <w:rPr>
            <w:webHidden/>
          </w:rPr>
          <w:tab/>
        </w:r>
        <w:r w:rsidR="00F76B65">
          <w:rPr>
            <w:webHidden/>
          </w:rPr>
          <w:fldChar w:fldCharType="begin"/>
        </w:r>
        <w:r w:rsidR="00F76B65">
          <w:rPr>
            <w:webHidden/>
          </w:rPr>
          <w:instrText xml:space="preserve"> PAGEREF _Toc352924460 \h </w:instrText>
        </w:r>
        <w:r w:rsidR="00F76B65">
          <w:rPr>
            <w:webHidden/>
          </w:rPr>
        </w:r>
        <w:r w:rsidR="00F76B65">
          <w:rPr>
            <w:webHidden/>
          </w:rPr>
          <w:fldChar w:fldCharType="separate"/>
        </w:r>
        <w:r w:rsidR="00F76B65">
          <w:rPr>
            <w:webHidden/>
          </w:rPr>
          <w:t>176</w:t>
        </w:r>
        <w:r w:rsidR="00F76B65">
          <w:rPr>
            <w:webHidden/>
          </w:rPr>
          <w:fldChar w:fldCharType="end"/>
        </w:r>
      </w:hyperlink>
    </w:p>
    <w:p w:rsidR="008F59A8" w:rsidRPr="003A67FE" w:rsidRDefault="00F85E97" w:rsidP="007F6EF6">
      <w:pPr>
        <w:pStyle w:val="Heading2a"/>
      </w:pPr>
      <w:r w:rsidRPr="003A67FE">
        <w:fldChar w:fldCharType="end"/>
      </w:r>
      <w:r w:rsidR="008F59A8" w:rsidRPr="003A67FE">
        <w:br w:type="page"/>
      </w:r>
      <w:r w:rsidR="008F59A8" w:rsidRPr="003A67FE">
        <w:lastRenderedPageBreak/>
        <w:t>Tables</w:t>
      </w:r>
    </w:p>
    <w:p w:rsidR="0071544A" w:rsidRPr="003101AA" w:rsidRDefault="00F85E97">
      <w:pPr>
        <w:pStyle w:val="TableofFigures"/>
        <w:rPr>
          <w:rFonts w:ascii="Calibri" w:hAnsi="Calibri"/>
          <w:sz w:val="22"/>
          <w:szCs w:val="22"/>
        </w:rPr>
      </w:pPr>
      <w:r w:rsidRPr="003A67FE">
        <w:fldChar w:fldCharType="begin"/>
      </w:r>
      <w:r w:rsidRPr="003A67FE">
        <w:instrText xml:space="preserve"> TOC \h \z \c "Table" </w:instrText>
      </w:r>
      <w:r w:rsidRPr="003A67FE">
        <w:fldChar w:fldCharType="separate"/>
      </w:r>
      <w:hyperlink w:anchor="_Toc327522045" w:history="1">
        <w:r w:rsidR="0071544A" w:rsidRPr="007E7D6A">
          <w:rPr>
            <w:rStyle w:val="Hyperlink"/>
            <w:rFonts w:cs="Tahoma"/>
            <w:lang w:eastAsia="ja-JP"/>
          </w:rPr>
          <w:t>Table 1</w:t>
        </w:r>
        <w:r w:rsidR="0071544A" w:rsidRPr="003101AA">
          <w:rPr>
            <w:rFonts w:ascii="Calibri" w:hAnsi="Calibri"/>
            <w:sz w:val="22"/>
            <w:szCs w:val="22"/>
          </w:rPr>
          <w:tab/>
        </w:r>
        <w:r w:rsidR="0071544A" w:rsidRPr="007E7D6A">
          <w:rPr>
            <w:rStyle w:val="Hyperlink"/>
            <w:rFonts w:cs="Tahoma"/>
            <w:lang w:eastAsia="ja-JP"/>
          </w:rPr>
          <w:t>Patient populations indicated for SEMS placement</w:t>
        </w:r>
        <w:r w:rsidR="0071544A">
          <w:rPr>
            <w:webHidden/>
          </w:rPr>
          <w:tab/>
        </w:r>
        <w:r w:rsidR="0071544A">
          <w:rPr>
            <w:webHidden/>
          </w:rPr>
          <w:fldChar w:fldCharType="begin"/>
        </w:r>
        <w:r w:rsidR="0071544A">
          <w:rPr>
            <w:webHidden/>
          </w:rPr>
          <w:instrText xml:space="preserve"> PAGEREF _Toc327522045 \h </w:instrText>
        </w:r>
        <w:r w:rsidR="0071544A">
          <w:rPr>
            <w:webHidden/>
          </w:rPr>
        </w:r>
        <w:r w:rsidR="0071544A">
          <w:rPr>
            <w:webHidden/>
          </w:rPr>
          <w:fldChar w:fldCharType="separate"/>
        </w:r>
        <w:r w:rsidR="0071544A">
          <w:rPr>
            <w:webHidden/>
          </w:rPr>
          <w:t>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46" w:history="1">
        <w:r w:rsidR="0071544A" w:rsidRPr="007E7D6A">
          <w:rPr>
            <w:rStyle w:val="Hyperlink"/>
          </w:rPr>
          <w:t>Table 2</w:t>
        </w:r>
        <w:r w:rsidR="0071544A" w:rsidRPr="003101AA">
          <w:rPr>
            <w:rFonts w:ascii="Calibri" w:hAnsi="Calibri"/>
            <w:sz w:val="22"/>
            <w:szCs w:val="22"/>
          </w:rPr>
          <w:tab/>
        </w:r>
        <w:r w:rsidR="0071544A" w:rsidRPr="007E7D6A">
          <w:rPr>
            <w:rStyle w:val="Hyperlink"/>
            <w:rFonts w:cs="Tahoma"/>
            <w:lang w:eastAsia="ja-JP"/>
          </w:rPr>
          <w:t>Proposed MBS item descriptor for insertion of colonic stents for large bowel obstruction, stricture or stenosis</w:t>
        </w:r>
        <w:r w:rsidR="0071544A">
          <w:rPr>
            <w:webHidden/>
          </w:rPr>
          <w:tab/>
        </w:r>
        <w:r w:rsidR="0071544A">
          <w:rPr>
            <w:webHidden/>
          </w:rPr>
          <w:fldChar w:fldCharType="begin"/>
        </w:r>
        <w:r w:rsidR="0071544A">
          <w:rPr>
            <w:webHidden/>
          </w:rPr>
          <w:instrText xml:space="preserve"> PAGEREF _Toc327522046 \h </w:instrText>
        </w:r>
        <w:r w:rsidR="0071544A">
          <w:rPr>
            <w:webHidden/>
          </w:rPr>
        </w:r>
        <w:r w:rsidR="0071544A">
          <w:rPr>
            <w:webHidden/>
          </w:rPr>
          <w:fldChar w:fldCharType="separate"/>
        </w:r>
        <w:r w:rsidR="0071544A">
          <w:rPr>
            <w:webHidden/>
          </w:rPr>
          <w:t>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47" w:history="1">
        <w:r w:rsidR="0071544A" w:rsidRPr="007E7D6A">
          <w:rPr>
            <w:rStyle w:val="Hyperlink"/>
          </w:rPr>
          <w:t>Table 3</w:t>
        </w:r>
        <w:r w:rsidR="0071544A" w:rsidRPr="003101AA">
          <w:rPr>
            <w:rFonts w:ascii="Calibri" w:hAnsi="Calibri"/>
            <w:sz w:val="22"/>
            <w:szCs w:val="22"/>
          </w:rPr>
          <w:tab/>
        </w:r>
        <w:r w:rsidR="0071544A" w:rsidRPr="007E7D6A">
          <w:rPr>
            <w:rStyle w:val="Hyperlink"/>
            <w:rFonts w:eastAsia="SimSun" w:cs="Arial"/>
            <w:lang w:eastAsia="zh-CN"/>
          </w:rPr>
          <w:t>TGA approved stenting devices and systems for treating colorectal obstruction</w:t>
        </w:r>
        <w:r w:rsidR="0071544A">
          <w:rPr>
            <w:webHidden/>
          </w:rPr>
          <w:tab/>
        </w:r>
        <w:r w:rsidR="0071544A">
          <w:rPr>
            <w:webHidden/>
          </w:rPr>
          <w:fldChar w:fldCharType="begin"/>
        </w:r>
        <w:r w:rsidR="0071544A">
          <w:rPr>
            <w:webHidden/>
          </w:rPr>
          <w:instrText xml:space="preserve"> PAGEREF _Toc327522047 \h </w:instrText>
        </w:r>
        <w:r w:rsidR="0071544A">
          <w:rPr>
            <w:webHidden/>
          </w:rPr>
        </w:r>
        <w:r w:rsidR="0071544A">
          <w:rPr>
            <w:webHidden/>
          </w:rPr>
          <w:fldChar w:fldCharType="separate"/>
        </w:r>
        <w:r w:rsidR="0071544A">
          <w:rPr>
            <w:webHidden/>
          </w:rPr>
          <w:t>4</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48" w:history="1">
        <w:r w:rsidR="0071544A" w:rsidRPr="007E7D6A">
          <w:rPr>
            <w:rStyle w:val="Hyperlink"/>
          </w:rPr>
          <w:t>Table 4</w:t>
        </w:r>
        <w:r w:rsidR="0071544A" w:rsidRPr="003101AA">
          <w:rPr>
            <w:rFonts w:ascii="Calibri" w:hAnsi="Calibri"/>
            <w:sz w:val="22"/>
            <w:szCs w:val="22"/>
          </w:rPr>
          <w:tab/>
        </w:r>
        <w:r w:rsidR="0071544A" w:rsidRPr="007E7D6A">
          <w:rPr>
            <w:rStyle w:val="Hyperlink"/>
            <w:rFonts w:eastAsia="SimSun"/>
          </w:rPr>
          <w:t>Types of resection procedures listed on the MBS for managing colorectal obstructions</w:t>
        </w:r>
        <w:r w:rsidR="0071544A">
          <w:rPr>
            <w:webHidden/>
          </w:rPr>
          <w:tab/>
        </w:r>
        <w:r w:rsidR="0071544A">
          <w:rPr>
            <w:webHidden/>
          </w:rPr>
          <w:fldChar w:fldCharType="begin"/>
        </w:r>
        <w:r w:rsidR="0071544A">
          <w:rPr>
            <w:webHidden/>
          </w:rPr>
          <w:instrText xml:space="preserve"> PAGEREF _Toc327522048 \h </w:instrText>
        </w:r>
        <w:r w:rsidR="0071544A">
          <w:rPr>
            <w:webHidden/>
          </w:rPr>
        </w:r>
        <w:r w:rsidR="0071544A">
          <w:rPr>
            <w:webHidden/>
          </w:rPr>
          <w:fldChar w:fldCharType="separate"/>
        </w:r>
        <w:r w:rsidR="0071544A">
          <w:rPr>
            <w:webHidden/>
          </w:rPr>
          <w:t>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49" w:history="1">
        <w:r w:rsidR="0071544A" w:rsidRPr="007E7D6A">
          <w:rPr>
            <w:rStyle w:val="Hyperlink"/>
          </w:rPr>
          <w:t>Table 5</w:t>
        </w:r>
        <w:r w:rsidR="0071544A" w:rsidRPr="003101AA">
          <w:rPr>
            <w:rFonts w:ascii="Calibri" w:hAnsi="Calibri"/>
            <w:sz w:val="22"/>
            <w:szCs w:val="22"/>
          </w:rPr>
          <w:tab/>
        </w:r>
        <w:r w:rsidR="0071544A" w:rsidRPr="007E7D6A">
          <w:rPr>
            <w:rStyle w:val="Hyperlink"/>
          </w:rPr>
          <w:t>Summary of cost-effectiveness analysis for palliation (stent vs. colostomy)</w:t>
        </w:r>
        <w:r w:rsidR="0071544A">
          <w:rPr>
            <w:webHidden/>
          </w:rPr>
          <w:tab/>
        </w:r>
        <w:r w:rsidR="0071544A">
          <w:rPr>
            <w:webHidden/>
          </w:rPr>
          <w:fldChar w:fldCharType="begin"/>
        </w:r>
        <w:r w:rsidR="0071544A">
          <w:rPr>
            <w:webHidden/>
          </w:rPr>
          <w:instrText xml:space="preserve"> PAGEREF _Toc327522049 \h </w:instrText>
        </w:r>
        <w:r w:rsidR="0071544A">
          <w:rPr>
            <w:webHidden/>
          </w:rPr>
        </w:r>
        <w:r w:rsidR="0071544A">
          <w:rPr>
            <w:webHidden/>
          </w:rPr>
          <w:fldChar w:fldCharType="separate"/>
        </w:r>
        <w:r w:rsidR="0071544A">
          <w:rPr>
            <w:webHidden/>
          </w:rPr>
          <w:t>16</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0" w:history="1">
        <w:r w:rsidR="0071544A" w:rsidRPr="007E7D6A">
          <w:rPr>
            <w:rStyle w:val="Hyperlink"/>
          </w:rPr>
          <w:t>Table 6</w:t>
        </w:r>
        <w:r w:rsidR="0071544A" w:rsidRPr="003101AA">
          <w:rPr>
            <w:rFonts w:ascii="Calibri" w:hAnsi="Calibri"/>
            <w:sz w:val="22"/>
            <w:szCs w:val="22"/>
          </w:rPr>
          <w:tab/>
        </w:r>
        <w:r w:rsidR="0071544A" w:rsidRPr="007E7D6A">
          <w:rPr>
            <w:rStyle w:val="Hyperlink"/>
          </w:rPr>
          <w:t>Summary of cost-effectiveness analysis for bridge to surgery (stent vs. multi-stage surgery)</w:t>
        </w:r>
        <w:r w:rsidR="0071544A">
          <w:rPr>
            <w:webHidden/>
          </w:rPr>
          <w:tab/>
        </w:r>
        <w:r w:rsidR="0071544A">
          <w:rPr>
            <w:webHidden/>
          </w:rPr>
          <w:fldChar w:fldCharType="begin"/>
        </w:r>
        <w:r w:rsidR="0071544A">
          <w:rPr>
            <w:webHidden/>
          </w:rPr>
          <w:instrText xml:space="preserve"> PAGEREF _Toc327522050 \h </w:instrText>
        </w:r>
        <w:r w:rsidR="0071544A">
          <w:rPr>
            <w:webHidden/>
          </w:rPr>
        </w:r>
        <w:r w:rsidR="0071544A">
          <w:rPr>
            <w:webHidden/>
          </w:rPr>
          <w:fldChar w:fldCharType="separate"/>
        </w:r>
        <w:r w:rsidR="0071544A">
          <w:rPr>
            <w:webHidden/>
          </w:rPr>
          <w:t>17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1" w:history="1">
        <w:r w:rsidR="0071544A" w:rsidRPr="007E7D6A">
          <w:rPr>
            <w:rStyle w:val="Hyperlink"/>
          </w:rPr>
          <w:t>Table 7</w:t>
        </w:r>
        <w:r w:rsidR="0071544A" w:rsidRPr="003101AA">
          <w:rPr>
            <w:rFonts w:ascii="Calibri" w:hAnsi="Calibri"/>
            <w:sz w:val="22"/>
            <w:szCs w:val="22"/>
          </w:rPr>
          <w:tab/>
        </w:r>
        <w:r w:rsidR="0071544A" w:rsidRPr="007E7D6A">
          <w:rPr>
            <w:rStyle w:val="Hyperlink"/>
          </w:rPr>
          <w:t>Estimated number of patients to receive treatment</w:t>
        </w:r>
        <w:r w:rsidR="0071544A">
          <w:rPr>
            <w:webHidden/>
          </w:rPr>
          <w:tab/>
        </w:r>
        <w:r w:rsidR="0071544A">
          <w:rPr>
            <w:webHidden/>
          </w:rPr>
          <w:fldChar w:fldCharType="begin"/>
        </w:r>
        <w:r w:rsidR="0071544A">
          <w:rPr>
            <w:webHidden/>
          </w:rPr>
          <w:instrText xml:space="preserve"> PAGEREF _Toc327522051 \h </w:instrText>
        </w:r>
        <w:r w:rsidR="0071544A">
          <w:rPr>
            <w:webHidden/>
          </w:rPr>
        </w:r>
        <w:r w:rsidR="0071544A">
          <w:rPr>
            <w:webHidden/>
          </w:rPr>
          <w:fldChar w:fldCharType="separate"/>
        </w:r>
        <w:r w:rsidR="0071544A">
          <w:rPr>
            <w:webHidden/>
          </w:rPr>
          <w:t>17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2" w:history="1">
        <w:r w:rsidR="0071544A" w:rsidRPr="007E7D6A">
          <w:rPr>
            <w:rStyle w:val="Hyperlink"/>
          </w:rPr>
          <w:t>Table 8</w:t>
        </w:r>
        <w:r w:rsidR="0071544A" w:rsidRPr="003101AA">
          <w:rPr>
            <w:rFonts w:ascii="Calibri" w:hAnsi="Calibri"/>
            <w:sz w:val="22"/>
            <w:szCs w:val="22"/>
          </w:rPr>
          <w:tab/>
        </w:r>
        <w:r w:rsidR="0071544A" w:rsidRPr="007E7D6A">
          <w:rPr>
            <w:rStyle w:val="Hyperlink"/>
          </w:rPr>
          <w:t>Estimated total costs of SEMS versus colostomy (palliation)</w:t>
        </w:r>
        <w:r w:rsidR="0071544A">
          <w:rPr>
            <w:webHidden/>
          </w:rPr>
          <w:tab/>
        </w:r>
        <w:r w:rsidR="0071544A">
          <w:rPr>
            <w:webHidden/>
          </w:rPr>
          <w:fldChar w:fldCharType="begin"/>
        </w:r>
        <w:r w:rsidR="0071544A">
          <w:rPr>
            <w:webHidden/>
          </w:rPr>
          <w:instrText xml:space="preserve"> PAGEREF _Toc327522052 \h </w:instrText>
        </w:r>
        <w:r w:rsidR="0071544A">
          <w:rPr>
            <w:webHidden/>
          </w:rPr>
        </w:r>
        <w:r w:rsidR="0071544A">
          <w:rPr>
            <w:webHidden/>
          </w:rPr>
          <w:fldChar w:fldCharType="separate"/>
        </w:r>
        <w:r w:rsidR="0071544A">
          <w:rPr>
            <w:webHidden/>
          </w:rPr>
          <w:t>18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3" w:history="1">
        <w:r w:rsidR="0071544A" w:rsidRPr="007E7D6A">
          <w:rPr>
            <w:rStyle w:val="Hyperlink"/>
          </w:rPr>
          <w:t>Table 9</w:t>
        </w:r>
        <w:r w:rsidR="0071544A" w:rsidRPr="003101AA">
          <w:rPr>
            <w:rFonts w:ascii="Calibri" w:hAnsi="Calibri"/>
            <w:sz w:val="22"/>
            <w:szCs w:val="22"/>
          </w:rPr>
          <w:tab/>
        </w:r>
        <w:r w:rsidR="0071544A" w:rsidRPr="007E7D6A">
          <w:rPr>
            <w:rStyle w:val="Hyperlink"/>
          </w:rPr>
          <w:t>Estimated total costs of SEMS versus multi-stage surgery</w:t>
        </w:r>
        <w:r w:rsidR="0071544A">
          <w:rPr>
            <w:webHidden/>
          </w:rPr>
          <w:tab/>
        </w:r>
        <w:r w:rsidR="0071544A">
          <w:rPr>
            <w:webHidden/>
          </w:rPr>
          <w:fldChar w:fldCharType="begin"/>
        </w:r>
        <w:r w:rsidR="0071544A">
          <w:rPr>
            <w:webHidden/>
          </w:rPr>
          <w:instrText xml:space="preserve"> PAGEREF _Toc327522053 \h </w:instrText>
        </w:r>
        <w:r w:rsidR="0071544A">
          <w:rPr>
            <w:webHidden/>
          </w:rPr>
        </w:r>
        <w:r w:rsidR="0071544A">
          <w:rPr>
            <w:webHidden/>
          </w:rPr>
          <w:fldChar w:fldCharType="separate"/>
        </w:r>
        <w:r w:rsidR="0071544A">
          <w:rPr>
            <w:webHidden/>
          </w:rPr>
          <w:t>18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4" w:history="1">
        <w:r w:rsidR="0071544A" w:rsidRPr="007E7D6A">
          <w:rPr>
            <w:rStyle w:val="Hyperlink"/>
          </w:rPr>
          <w:t>Table 10</w:t>
        </w:r>
        <w:r w:rsidR="0071544A" w:rsidRPr="003101AA">
          <w:rPr>
            <w:rFonts w:ascii="Calibri" w:hAnsi="Calibri"/>
            <w:sz w:val="22"/>
            <w:szCs w:val="22"/>
          </w:rPr>
          <w:tab/>
        </w:r>
        <w:r w:rsidR="0071544A" w:rsidRPr="007E7D6A">
          <w:rPr>
            <w:rStyle w:val="Hyperlink"/>
          </w:rPr>
          <w:t>Estimated total costs of SEMS versus palliation only (BSC)</w:t>
        </w:r>
        <w:r w:rsidR="0071544A">
          <w:rPr>
            <w:webHidden/>
          </w:rPr>
          <w:tab/>
        </w:r>
        <w:r w:rsidR="0071544A">
          <w:rPr>
            <w:webHidden/>
          </w:rPr>
          <w:fldChar w:fldCharType="begin"/>
        </w:r>
        <w:r w:rsidR="0071544A">
          <w:rPr>
            <w:webHidden/>
          </w:rPr>
          <w:instrText xml:space="preserve"> PAGEREF _Toc327522054 \h </w:instrText>
        </w:r>
        <w:r w:rsidR="0071544A">
          <w:rPr>
            <w:webHidden/>
          </w:rPr>
        </w:r>
        <w:r w:rsidR="0071544A">
          <w:rPr>
            <w:webHidden/>
          </w:rPr>
          <w:fldChar w:fldCharType="separate"/>
        </w:r>
        <w:r w:rsidR="0071544A">
          <w:rPr>
            <w:webHidden/>
          </w:rPr>
          <w:t>18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5" w:history="1">
        <w:r w:rsidR="0071544A" w:rsidRPr="007E7D6A">
          <w:rPr>
            <w:rStyle w:val="Hyperlink"/>
          </w:rPr>
          <w:t>Table 11</w:t>
        </w:r>
        <w:r w:rsidR="0071544A" w:rsidRPr="003101AA">
          <w:rPr>
            <w:rFonts w:ascii="Calibri" w:hAnsi="Calibri"/>
            <w:sz w:val="22"/>
            <w:szCs w:val="22"/>
          </w:rPr>
          <w:tab/>
        </w:r>
        <w:r w:rsidR="0071544A" w:rsidRPr="007E7D6A">
          <w:rPr>
            <w:rStyle w:val="Hyperlink"/>
          </w:rPr>
          <w:t>Estimated total costs of SEMS versus palliative colostomy (lower limit)</w:t>
        </w:r>
        <w:r w:rsidR="0071544A">
          <w:rPr>
            <w:webHidden/>
          </w:rPr>
          <w:tab/>
        </w:r>
        <w:r w:rsidR="0071544A">
          <w:rPr>
            <w:webHidden/>
          </w:rPr>
          <w:fldChar w:fldCharType="begin"/>
        </w:r>
        <w:r w:rsidR="0071544A">
          <w:rPr>
            <w:webHidden/>
          </w:rPr>
          <w:instrText xml:space="preserve"> PAGEREF _Toc327522055 \h </w:instrText>
        </w:r>
        <w:r w:rsidR="0071544A">
          <w:rPr>
            <w:webHidden/>
          </w:rPr>
        </w:r>
        <w:r w:rsidR="0071544A">
          <w:rPr>
            <w:webHidden/>
          </w:rPr>
          <w:fldChar w:fldCharType="separate"/>
        </w:r>
        <w:r w:rsidR="0071544A">
          <w:rPr>
            <w:webHidden/>
          </w:rPr>
          <w:t>19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6" w:history="1">
        <w:r w:rsidR="0071544A" w:rsidRPr="007E7D6A">
          <w:rPr>
            <w:rStyle w:val="Hyperlink"/>
          </w:rPr>
          <w:t>Table 12</w:t>
        </w:r>
        <w:r w:rsidR="0071544A" w:rsidRPr="003101AA">
          <w:rPr>
            <w:rFonts w:ascii="Calibri" w:hAnsi="Calibri"/>
            <w:sz w:val="22"/>
            <w:szCs w:val="22"/>
          </w:rPr>
          <w:tab/>
        </w:r>
        <w:r w:rsidR="0071544A" w:rsidRPr="007E7D6A">
          <w:rPr>
            <w:rStyle w:val="Hyperlink"/>
          </w:rPr>
          <w:t>Estimated total costs of SEMS versus palliative colostomy (upper limit)</w:t>
        </w:r>
        <w:r w:rsidR="0071544A">
          <w:rPr>
            <w:webHidden/>
          </w:rPr>
          <w:tab/>
        </w:r>
        <w:r w:rsidR="0071544A">
          <w:rPr>
            <w:webHidden/>
          </w:rPr>
          <w:fldChar w:fldCharType="begin"/>
        </w:r>
        <w:r w:rsidR="0071544A">
          <w:rPr>
            <w:webHidden/>
          </w:rPr>
          <w:instrText xml:space="preserve"> PAGEREF _Toc327522056 \h </w:instrText>
        </w:r>
        <w:r w:rsidR="0071544A">
          <w:rPr>
            <w:webHidden/>
          </w:rPr>
        </w:r>
        <w:r w:rsidR="0071544A">
          <w:rPr>
            <w:webHidden/>
          </w:rPr>
          <w:fldChar w:fldCharType="separate"/>
        </w:r>
        <w:r w:rsidR="0071544A">
          <w:rPr>
            <w:webHidden/>
          </w:rPr>
          <w:t>19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7" w:history="1">
        <w:r w:rsidR="0071544A" w:rsidRPr="007E7D6A">
          <w:rPr>
            <w:rStyle w:val="Hyperlink"/>
          </w:rPr>
          <w:t>Table 13</w:t>
        </w:r>
        <w:r w:rsidR="0071544A" w:rsidRPr="003101AA">
          <w:rPr>
            <w:rFonts w:ascii="Calibri" w:hAnsi="Calibri"/>
            <w:sz w:val="22"/>
            <w:szCs w:val="22"/>
          </w:rPr>
          <w:tab/>
        </w:r>
        <w:r w:rsidR="0071544A" w:rsidRPr="007E7D6A">
          <w:rPr>
            <w:rStyle w:val="Hyperlink"/>
          </w:rPr>
          <w:t>Estimated total costs of SEMS versus multi-stage surgery (lower limit)</w:t>
        </w:r>
        <w:r w:rsidR="0071544A">
          <w:rPr>
            <w:webHidden/>
          </w:rPr>
          <w:tab/>
        </w:r>
        <w:r w:rsidR="0071544A">
          <w:rPr>
            <w:webHidden/>
          </w:rPr>
          <w:fldChar w:fldCharType="begin"/>
        </w:r>
        <w:r w:rsidR="0071544A">
          <w:rPr>
            <w:webHidden/>
          </w:rPr>
          <w:instrText xml:space="preserve"> PAGEREF _Toc327522057 \h </w:instrText>
        </w:r>
        <w:r w:rsidR="0071544A">
          <w:rPr>
            <w:webHidden/>
          </w:rPr>
        </w:r>
        <w:r w:rsidR="0071544A">
          <w:rPr>
            <w:webHidden/>
          </w:rPr>
          <w:fldChar w:fldCharType="separate"/>
        </w:r>
        <w:r w:rsidR="0071544A">
          <w:rPr>
            <w:webHidden/>
          </w:rPr>
          <w:t>20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8" w:history="1">
        <w:r w:rsidR="0071544A" w:rsidRPr="007E7D6A">
          <w:rPr>
            <w:rStyle w:val="Hyperlink"/>
          </w:rPr>
          <w:t>Table 14</w:t>
        </w:r>
        <w:r w:rsidR="0071544A" w:rsidRPr="003101AA">
          <w:rPr>
            <w:rFonts w:ascii="Calibri" w:hAnsi="Calibri"/>
            <w:sz w:val="22"/>
            <w:szCs w:val="22"/>
          </w:rPr>
          <w:tab/>
        </w:r>
        <w:r w:rsidR="0071544A" w:rsidRPr="007E7D6A">
          <w:rPr>
            <w:rStyle w:val="Hyperlink"/>
          </w:rPr>
          <w:t>Estimated total costs of SEMS versus multi-stage surgery (upper limit)</w:t>
        </w:r>
        <w:r w:rsidR="0071544A">
          <w:rPr>
            <w:webHidden/>
          </w:rPr>
          <w:tab/>
        </w:r>
        <w:r w:rsidR="0071544A">
          <w:rPr>
            <w:webHidden/>
          </w:rPr>
          <w:fldChar w:fldCharType="begin"/>
        </w:r>
        <w:r w:rsidR="0071544A">
          <w:rPr>
            <w:webHidden/>
          </w:rPr>
          <w:instrText xml:space="preserve"> PAGEREF _Toc327522058 \h </w:instrText>
        </w:r>
        <w:r w:rsidR="0071544A">
          <w:rPr>
            <w:webHidden/>
          </w:rPr>
        </w:r>
        <w:r w:rsidR="0071544A">
          <w:rPr>
            <w:webHidden/>
          </w:rPr>
          <w:fldChar w:fldCharType="separate"/>
        </w:r>
        <w:r w:rsidR="0071544A">
          <w:rPr>
            <w:webHidden/>
          </w:rPr>
          <w:t>20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59" w:history="1">
        <w:r w:rsidR="0071544A" w:rsidRPr="007E7D6A">
          <w:rPr>
            <w:rStyle w:val="Hyperlink"/>
          </w:rPr>
          <w:t>Table 15</w:t>
        </w:r>
        <w:r w:rsidR="0071544A" w:rsidRPr="003101AA">
          <w:rPr>
            <w:rFonts w:ascii="Calibri" w:hAnsi="Calibri"/>
            <w:sz w:val="22"/>
            <w:szCs w:val="22"/>
          </w:rPr>
          <w:tab/>
        </w:r>
        <w:r w:rsidR="0071544A" w:rsidRPr="007E7D6A">
          <w:rPr>
            <w:rStyle w:val="Hyperlink"/>
          </w:rPr>
          <w:t>Estimated total costs of SEMS versus BSC (lower limit)</w:t>
        </w:r>
        <w:r w:rsidR="0071544A">
          <w:rPr>
            <w:webHidden/>
          </w:rPr>
          <w:tab/>
        </w:r>
        <w:r w:rsidR="0071544A">
          <w:rPr>
            <w:webHidden/>
          </w:rPr>
          <w:fldChar w:fldCharType="begin"/>
        </w:r>
        <w:r w:rsidR="0071544A">
          <w:rPr>
            <w:webHidden/>
          </w:rPr>
          <w:instrText xml:space="preserve"> PAGEREF _Toc327522059 \h </w:instrText>
        </w:r>
        <w:r w:rsidR="0071544A">
          <w:rPr>
            <w:webHidden/>
          </w:rPr>
        </w:r>
        <w:r w:rsidR="0071544A">
          <w:rPr>
            <w:webHidden/>
          </w:rPr>
          <w:fldChar w:fldCharType="separate"/>
        </w:r>
        <w:r w:rsidR="0071544A">
          <w:rPr>
            <w:webHidden/>
          </w:rPr>
          <w:t>21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0" w:history="1">
        <w:r w:rsidR="0071544A" w:rsidRPr="007E7D6A">
          <w:rPr>
            <w:rStyle w:val="Hyperlink"/>
          </w:rPr>
          <w:t>Table 16</w:t>
        </w:r>
        <w:r w:rsidR="0071544A" w:rsidRPr="003101AA">
          <w:rPr>
            <w:rFonts w:ascii="Calibri" w:hAnsi="Calibri"/>
            <w:sz w:val="22"/>
            <w:szCs w:val="22"/>
          </w:rPr>
          <w:tab/>
        </w:r>
        <w:r w:rsidR="0071544A" w:rsidRPr="007E7D6A">
          <w:rPr>
            <w:rStyle w:val="Hyperlink"/>
          </w:rPr>
          <w:t>Estimated total costs of SEMS versus BSC (upper limit)</w:t>
        </w:r>
        <w:r w:rsidR="0071544A">
          <w:rPr>
            <w:webHidden/>
          </w:rPr>
          <w:tab/>
        </w:r>
        <w:r w:rsidR="0071544A">
          <w:rPr>
            <w:webHidden/>
          </w:rPr>
          <w:fldChar w:fldCharType="begin"/>
        </w:r>
        <w:r w:rsidR="0071544A">
          <w:rPr>
            <w:webHidden/>
          </w:rPr>
          <w:instrText xml:space="preserve"> PAGEREF _Toc327522060 \h </w:instrText>
        </w:r>
        <w:r w:rsidR="0071544A">
          <w:rPr>
            <w:webHidden/>
          </w:rPr>
        </w:r>
        <w:r w:rsidR="0071544A">
          <w:rPr>
            <w:webHidden/>
          </w:rPr>
          <w:fldChar w:fldCharType="separate"/>
        </w:r>
        <w:r w:rsidR="0071544A">
          <w:rPr>
            <w:webHidden/>
          </w:rPr>
          <w:t>21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1" w:history="1">
        <w:r w:rsidR="0071544A" w:rsidRPr="007E7D6A">
          <w:rPr>
            <w:rStyle w:val="Hyperlink"/>
          </w:rPr>
          <w:t>Table 17</w:t>
        </w:r>
        <w:r w:rsidR="0071544A" w:rsidRPr="003101AA">
          <w:rPr>
            <w:rFonts w:ascii="Calibri" w:hAnsi="Calibri"/>
            <w:sz w:val="22"/>
            <w:szCs w:val="22"/>
          </w:rPr>
          <w:tab/>
        </w:r>
        <w:r w:rsidR="0071544A" w:rsidRPr="007E7D6A">
          <w:rPr>
            <w:rStyle w:val="Hyperlink"/>
            <w:rFonts w:eastAsia="SimSun" w:cs="Arial"/>
            <w:lang w:eastAsia="zh-CN"/>
          </w:rPr>
          <w:t>TGA approved stenting devices and systems for treating colorectal obstruction</w:t>
        </w:r>
        <w:r w:rsidR="0071544A">
          <w:rPr>
            <w:webHidden/>
          </w:rPr>
          <w:tab/>
        </w:r>
        <w:r w:rsidR="0071544A">
          <w:rPr>
            <w:webHidden/>
          </w:rPr>
          <w:fldChar w:fldCharType="begin"/>
        </w:r>
        <w:r w:rsidR="0071544A">
          <w:rPr>
            <w:webHidden/>
          </w:rPr>
          <w:instrText xml:space="preserve"> PAGEREF _Toc327522061 \h </w:instrText>
        </w:r>
        <w:r w:rsidR="0071544A">
          <w:rPr>
            <w:webHidden/>
          </w:rPr>
        </w:r>
        <w:r w:rsidR="0071544A">
          <w:rPr>
            <w:webHidden/>
          </w:rPr>
          <w:fldChar w:fldCharType="separate"/>
        </w:r>
        <w:r w:rsidR="0071544A">
          <w:rPr>
            <w:webHidden/>
          </w:rPr>
          <w:t>30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2" w:history="1">
        <w:r w:rsidR="0071544A" w:rsidRPr="007E7D6A">
          <w:rPr>
            <w:rStyle w:val="Hyperlink"/>
          </w:rPr>
          <w:t>Table 18</w:t>
        </w:r>
        <w:r w:rsidR="0071544A" w:rsidRPr="003101AA">
          <w:rPr>
            <w:rFonts w:ascii="Calibri" w:hAnsi="Calibri"/>
            <w:sz w:val="22"/>
            <w:szCs w:val="22"/>
          </w:rPr>
          <w:tab/>
        </w:r>
        <w:r w:rsidR="0071544A" w:rsidRPr="007E7D6A">
          <w:rPr>
            <w:rStyle w:val="Hyperlink"/>
            <w:rFonts w:eastAsia="SimSun"/>
          </w:rPr>
          <w:t>Types of resection procedures listed on the MBS for managing colorectal obstruction</w:t>
        </w:r>
        <w:r w:rsidR="0071544A">
          <w:rPr>
            <w:webHidden/>
          </w:rPr>
          <w:tab/>
        </w:r>
        <w:r w:rsidR="0071544A">
          <w:rPr>
            <w:webHidden/>
          </w:rPr>
          <w:fldChar w:fldCharType="begin"/>
        </w:r>
        <w:r w:rsidR="0071544A">
          <w:rPr>
            <w:webHidden/>
          </w:rPr>
          <w:instrText xml:space="preserve"> PAGEREF _Toc327522062 \h </w:instrText>
        </w:r>
        <w:r w:rsidR="0071544A">
          <w:rPr>
            <w:webHidden/>
          </w:rPr>
        </w:r>
        <w:r w:rsidR="0071544A">
          <w:rPr>
            <w:webHidden/>
          </w:rPr>
          <w:fldChar w:fldCharType="separate"/>
        </w:r>
        <w:r w:rsidR="0071544A">
          <w:rPr>
            <w:webHidden/>
          </w:rPr>
          <w:t>31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3" w:history="1">
        <w:r w:rsidR="0071544A" w:rsidRPr="007E7D6A">
          <w:rPr>
            <w:rStyle w:val="Hyperlink"/>
          </w:rPr>
          <w:t>Table 19</w:t>
        </w:r>
        <w:r w:rsidR="0071544A" w:rsidRPr="003101AA">
          <w:rPr>
            <w:rFonts w:ascii="Calibri" w:hAnsi="Calibri"/>
            <w:sz w:val="22"/>
            <w:szCs w:val="22"/>
          </w:rPr>
          <w:tab/>
        </w:r>
        <w:r w:rsidR="0071544A" w:rsidRPr="007E7D6A">
          <w:rPr>
            <w:rStyle w:val="Hyperlink"/>
            <w:rFonts w:eastAsia="SimSun" w:cs="Arial"/>
          </w:rPr>
          <w:t>The number of services claimed for each MBS item number</w:t>
        </w:r>
        <w:r w:rsidR="0071544A">
          <w:rPr>
            <w:webHidden/>
          </w:rPr>
          <w:tab/>
        </w:r>
        <w:r w:rsidR="0071544A">
          <w:rPr>
            <w:webHidden/>
          </w:rPr>
          <w:fldChar w:fldCharType="begin"/>
        </w:r>
        <w:r w:rsidR="0071544A">
          <w:rPr>
            <w:webHidden/>
          </w:rPr>
          <w:instrText xml:space="preserve"> PAGEREF _Toc327522063 \h </w:instrText>
        </w:r>
        <w:r w:rsidR="0071544A">
          <w:rPr>
            <w:webHidden/>
          </w:rPr>
        </w:r>
        <w:r w:rsidR="0071544A">
          <w:rPr>
            <w:webHidden/>
          </w:rPr>
          <w:fldChar w:fldCharType="separate"/>
        </w:r>
        <w:r w:rsidR="0071544A">
          <w:rPr>
            <w:webHidden/>
          </w:rPr>
          <w:t>32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4" w:history="1">
        <w:r w:rsidR="0071544A" w:rsidRPr="007E7D6A">
          <w:rPr>
            <w:rStyle w:val="Hyperlink"/>
          </w:rPr>
          <w:t>Table 20</w:t>
        </w:r>
        <w:r w:rsidR="0071544A" w:rsidRPr="003101AA">
          <w:rPr>
            <w:rFonts w:ascii="Calibri" w:hAnsi="Calibri"/>
            <w:sz w:val="22"/>
            <w:szCs w:val="22"/>
          </w:rPr>
          <w:tab/>
        </w:r>
        <w:r w:rsidR="0071544A" w:rsidRPr="007E7D6A">
          <w:rPr>
            <w:rStyle w:val="Hyperlink"/>
            <w:lang w:eastAsia="en-US"/>
          </w:rPr>
          <w:t>Search terms used to identify relevant literature</w:t>
        </w:r>
        <w:r w:rsidR="0071544A">
          <w:rPr>
            <w:webHidden/>
          </w:rPr>
          <w:tab/>
        </w:r>
        <w:r w:rsidR="0071544A">
          <w:rPr>
            <w:webHidden/>
          </w:rPr>
          <w:fldChar w:fldCharType="begin"/>
        </w:r>
        <w:r w:rsidR="0071544A">
          <w:rPr>
            <w:webHidden/>
          </w:rPr>
          <w:instrText xml:space="preserve"> PAGEREF _Toc327522064 \h </w:instrText>
        </w:r>
        <w:r w:rsidR="0071544A">
          <w:rPr>
            <w:webHidden/>
          </w:rPr>
        </w:r>
        <w:r w:rsidR="0071544A">
          <w:rPr>
            <w:webHidden/>
          </w:rPr>
          <w:fldChar w:fldCharType="separate"/>
        </w:r>
        <w:r w:rsidR="0071544A">
          <w:rPr>
            <w:webHidden/>
          </w:rPr>
          <w:t>37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5" w:history="1">
        <w:r w:rsidR="0071544A" w:rsidRPr="007E7D6A">
          <w:rPr>
            <w:rStyle w:val="Hyperlink"/>
          </w:rPr>
          <w:t>Table 21</w:t>
        </w:r>
        <w:r w:rsidR="0071544A" w:rsidRPr="003101AA">
          <w:rPr>
            <w:rFonts w:ascii="Calibri" w:hAnsi="Calibri"/>
            <w:sz w:val="22"/>
            <w:szCs w:val="22"/>
          </w:rPr>
          <w:tab/>
        </w:r>
        <w:r w:rsidR="0071544A" w:rsidRPr="007E7D6A">
          <w:rPr>
            <w:rStyle w:val="Hyperlink"/>
          </w:rPr>
          <w:t>Selection criteria for included studies</w:t>
        </w:r>
        <w:r w:rsidR="0071544A">
          <w:rPr>
            <w:webHidden/>
          </w:rPr>
          <w:tab/>
        </w:r>
        <w:r w:rsidR="0071544A">
          <w:rPr>
            <w:webHidden/>
          </w:rPr>
          <w:fldChar w:fldCharType="begin"/>
        </w:r>
        <w:r w:rsidR="0071544A">
          <w:rPr>
            <w:webHidden/>
          </w:rPr>
          <w:instrText xml:space="preserve"> PAGEREF _Toc327522065 \h </w:instrText>
        </w:r>
        <w:r w:rsidR="0071544A">
          <w:rPr>
            <w:webHidden/>
          </w:rPr>
        </w:r>
        <w:r w:rsidR="0071544A">
          <w:rPr>
            <w:webHidden/>
          </w:rPr>
          <w:fldChar w:fldCharType="separate"/>
        </w:r>
        <w:r w:rsidR="0071544A">
          <w:rPr>
            <w:webHidden/>
          </w:rPr>
          <w:t>38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6" w:history="1">
        <w:r w:rsidR="0071544A" w:rsidRPr="007E7D6A">
          <w:rPr>
            <w:rStyle w:val="Hyperlink"/>
          </w:rPr>
          <w:t>Table 22</w:t>
        </w:r>
        <w:r w:rsidR="0071544A" w:rsidRPr="003101AA">
          <w:rPr>
            <w:rFonts w:ascii="Calibri" w:hAnsi="Calibri"/>
            <w:sz w:val="22"/>
            <w:szCs w:val="22"/>
          </w:rPr>
          <w:tab/>
        </w:r>
        <w:r w:rsidR="0071544A" w:rsidRPr="007E7D6A">
          <w:rPr>
            <w:rStyle w:val="Hyperlink"/>
          </w:rPr>
          <w:t>Search results from electronic databases searched</w:t>
        </w:r>
        <w:r w:rsidR="0071544A">
          <w:rPr>
            <w:webHidden/>
          </w:rPr>
          <w:tab/>
        </w:r>
        <w:r w:rsidR="0071544A">
          <w:rPr>
            <w:webHidden/>
          </w:rPr>
          <w:fldChar w:fldCharType="begin"/>
        </w:r>
        <w:r w:rsidR="0071544A">
          <w:rPr>
            <w:webHidden/>
          </w:rPr>
          <w:instrText xml:space="preserve"> PAGEREF _Toc327522066 \h </w:instrText>
        </w:r>
        <w:r w:rsidR="0071544A">
          <w:rPr>
            <w:webHidden/>
          </w:rPr>
        </w:r>
        <w:r w:rsidR="0071544A">
          <w:rPr>
            <w:webHidden/>
          </w:rPr>
          <w:fldChar w:fldCharType="separate"/>
        </w:r>
        <w:r w:rsidR="0071544A">
          <w:rPr>
            <w:webHidden/>
          </w:rPr>
          <w:t>40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7" w:history="1">
        <w:r w:rsidR="0071544A" w:rsidRPr="007E7D6A">
          <w:rPr>
            <w:rStyle w:val="Hyperlink"/>
          </w:rPr>
          <w:t>Table 23</w:t>
        </w:r>
        <w:r w:rsidR="0071544A" w:rsidRPr="003101AA">
          <w:rPr>
            <w:rFonts w:ascii="Calibri" w:hAnsi="Calibri"/>
            <w:sz w:val="22"/>
            <w:szCs w:val="22"/>
          </w:rPr>
          <w:tab/>
        </w:r>
        <w:r w:rsidR="0071544A" w:rsidRPr="007E7D6A">
          <w:rPr>
            <w:rStyle w:val="Hyperlink"/>
          </w:rPr>
          <w:t>Evidence dimensions</w:t>
        </w:r>
        <w:r w:rsidR="0071544A">
          <w:rPr>
            <w:webHidden/>
          </w:rPr>
          <w:tab/>
        </w:r>
        <w:r w:rsidR="0071544A">
          <w:rPr>
            <w:webHidden/>
          </w:rPr>
          <w:fldChar w:fldCharType="begin"/>
        </w:r>
        <w:r w:rsidR="0071544A">
          <w:rPr>
            <w:webHidden/>
          </w:rPr>
          <w:instrText xml:space="preserve"> PAGEREF _Toc327522067 \h </w:instrText>
        </w:r>
        <w:r w:rsidR="0071544A">
          <w:rPr>
            <w:webHidden/>
          </w:rPr>
        </w:r>
        <w:r w:rsidR="0071544A">
          <w:rPr>
            <w:webHidden/>
          </w:rPr>
          <w:fldChar w:fldCharType="separate"/>
        </w:r>
        <w:r w:rsidR="0071544A">
          <w:rPr>
            <w:webHidden/>
          </w:rPr>
          <w:t>42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8" w:history="1">
        <w:r w:rsidR="0071544A" w:rsidRPr="007E7D6A">
          <w:rPr>
            <w:rStyle w:val="Hyperlink"/>
          </w:rPr>
          <w:t>Table 24</w:t>
        </w:r>
        <w:r w:rsidR="0071544A" w:rsidRPr="003101AA">
          <w:rPr>
            <w:rFonts w:ascii="Calibri" w:hAnsi="Calibri"/>
            <w:sz w:val="22"/>
            <w:szCs w:val="22"/>
          </w:rPr>
          <w:tab/>
        </w:r>
        <w:r w:rsidR="0071544A" w:rsidRPr="007E7D6A">
          <w:rPr>
            <w:rStyle w:val="Hyperlink"/>
          </w:rPr>
          <w:t>Designations of levels of evidence according to type of research question.</w:t>
        </w:r>
        <w:r w:rsidR="0071544A">
          <w:rPr>
            <w:webHidden/>
          </w:rPr>
          <w:tab/>
        </w:r>
        <w:r w:rsidR="0071544A">
          <w:rPr>
            <w:webHidden/>
          </w:rPr>
          <w:fldChar w:fldCharType="begin"/>
        </w:r>
        <w:r w:rsidR="0071544A">
          <w:rPr>
            <w:webHidden/>
          </w:rPr>
          <w:instrText xml:space="preserve"> PAGEREF _Toc327522068 \h </w:instrText>
        </w:r>
        <w:r w:rsidR="0071544A">
          <w:rPr>
            <w:webHidden/>
          </w:rPr>
        </w:r>
        <w:r w:rsidR="0071544A">
          <w:rPr>
            <w:webHidden/>
          </w:rPr>
          <w:fldChar w:fldCharType="separate"/>
        </w:r>
        <w:r w:rsidR="0071544A">
          <w:rPr>
            <w:webHidden/>
          </w:rPr>
          <w:t>43</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69" w:history="1">
        <w:r w:rsidR="0071544A" w:rsidRPr="007E7D6A">
          <w:rPr>
            <w:rStyle w:val="Hyperlink"/>
          </w:rPr>
          <w:t>Table 25</w:t>
        </w:r>
        <w:r w:rsidR="0071544A" w:rsidRPr="003101AA">
          <w:rPr>
            <w:rFonts w:ascii="Calibri" w:hAnsi="Calibri"/>
            <w:sz w:val="22"/>
            <w:szCs w:val="22"/>
          </w:rPr>
          <w:tab/>
        </w:r>
        <w:r w:rsidR="0071544A" w:rsidRPr="007E7D6A">
          <w:rPr>
            <w:rStyle w:val="Hyperlink"/>
          </w:rPr>
          <w:t>Body of evidence assessment matrix</w:t>
        </w:r>
        <w:r w:rsidR="0071544A">
          <w:rPr>
            <w:webHidden/>
          </w:rPr>
          <w:tab/>
        </w:r>
        <w:r w:rsidR="0071544A">
          <w:rPr>
            <w:webHidden/>
          </w:rPr>
          <w:fldChar w:fldCharType="begin"/>
        </w:r>
        <w:r w:rsidR="0071544A">
          <w:rPr>
            <w:webHidden/>
          </w:rPr>
          <w:instrText xml:space="preserve"> PAGEREF _Toc327522069 \h </w:instrText>
        </w:r>
        <w:r w:rsidR="0071544A">
          <w:rPr>
            <w:webHidden/>
          </w:rPr>
        </w:r>
        <w:r w:rsidR="0071544A">
          <w:rPr>
            <w:webHidden/>
          </w:rPr>
          <w:fldChar w:fldCharType="separate"/>
        </w:r>
        <w:r w:rsidR="0071544A">
          <w:rPr>
            <w:webHidden/>
          </w:rPr>
          <w:t>45</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0" w:history="1">
        <w:r w:rsidR="0071544A" w:rsidRPr="007E7D6A">
          <w:rPr>
            <w:rStyle w:val="Hyperlink"/>
          </w:rPr>
          <w:t>Table 26</w:t>
        </w:r>
        <w:r w:rsidR="0071544A" w:rsidRPr="003101AA">
          <w:rPr>
            <w:rFonts w:ascii="Calibri" w:hAnsi="Calibri"/>
            <w:sz w:val="22"/>
            <w:szCs w:val="22"/>
          </w:rPr>
          <w:tab/>
        </w:r>
        <w:r w:rsidR="0071544A" w:rsidRPr="007E7D6A">
          <w:rPr>
            <w:rStyle w:val="Hyperlink"/>
          </w:rPr>
          <w:t>Summary of included comparative studies</w:t>
        </w:r>
        <w:r w:rsidR="0071544A">
          <w:rPr>
            <w:webHidden/>
          </w:rPr>
          <w:tab/>
        </w:r>
        <w:r w:rsidR="0071544A">
          <w:rPr>
            <w:webHidden/>
          </w:rPr>
          <w:fldChar w:fldCharType="begin"/>
        </w:r>
        <w:r w:rsidR="0071544A">
          <w:rPr>
            <w:webHidden/>
          </w:rPr>
          <w:instrText xml:space="preserve"> PAGEREF _Toc327522070 \h </w:instrText>
        </w:r>
        <w:r w:rsidR="0071544A">
          <w:rPr>
            <w:webHidden/>
          </w:rPr>
        </w:r>
        <w:r w:rsidR="0071544A">
          <w:rPr>
            <w:webHidden/>
          </w:rPr>
          <w:fldChar w:fldCharType="separate"/>
        </w:r>
        <w:r w:rsidR="0071544A">
          <w:rPr>
            <w:webHidden/>
          </w:rPr>
          <w:t>48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1" w:history="1">
        <w:r w:rsidR="0071544A" w:rsidRPr="007E7D6A">
          <w:rPr>
            <w:rStyle w:val="Hyperlink"/>
          </w:rPr>
          <w:t>Table 27</w:t>
        </w:r>
        <w:r w:rsidR="0071544A" w:rsidRPr="003101AA">
          <w:rPr>
            <w:rFonts w:ascii="Calibri" w:hAnsi="Calibri"/>
            <w:sz w:val="22"/>
            <w:szCs w:val="22"/>
          </w:rPr>
          <w:tab/>
        </w:r>
        <w:r w:rsidR="0071544A" w:rsidRPr="007E7D6A">
          <w:rPr>
            <w:rStyle w:val="Hyperlink"/>
          </w:rPr>
          <w:t>Summary of included level IV evidence</w:t>
        </w:r>
        <w:r w:rsidR="0071544A">
          <w:rPr>
            <w:webHidden/>
          </w:rPr>
          <w:tab/>
        </w:r>
        <w:r w:rsidR="0071544A">
          <w:rPr>
            <w:webHidden/>
          </w:rPr>
          <w:fldChar w:fldCharType="begin"/>
        </w:r>
        <w:r w:rsidR="0071544A">
          <w:rPr>
            <w:webHidden/>
          </w:rPr>
          <w:instrText xml:space="preserve"> PAGEREF _Toc327522071 \h </w:instrText>
        </w:r>
        <w:r w:rsidR="0071544A">
          <w:rPr>
            <w:webHidden/>
          </w:rPr>
        </w:r>
        <w:r w:rsidR="0071544A">
          <w:rPr>
            <w:webHidden/>
          </w:rPr>
          <w:fldChar w:fldCharType="separate"/>
        </w:r>
        <w:r w:rsidR="0071544A">
          <w:rPr>
            <w:webHidden/>
          </w:rPr>
          <w:t>49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2" w:history="1">
        <w:r w:rsidR="0071544A" w:rsidRPr="007E7D6A">
          <w:rPr>
            <w:rStyle w:val="Hyperlink"/>
          </w:rPr>
          <w:t>Table 28</w:t>
        </w:r>
        <w:r w:rsidR="0071544A" w:rsidRPr="003101AA">
          <w:rPr>
            <w:rFonts w:ascii="Calibri" w:hAnsi="Calibri"/>
            <w:sz w:val="22"/>
            <w:szCs w:val="22"/>
          </w:rPr>
          <w:tab/>
        </w:r>
        <w:r w:rsidR="0071544A" w:rsidRPr="007E7D6A">
          <w:rPr>
            <w:rStyle w:val="Hyperlink"/>
            <w:lang w:eastAsia="en-US"/>
          </w:rPr>
          <w:t>Mortality after treatment with SEMS placement and surgery: comparative studies</w:t>
        </w:r>
        <w:r w:rsidR="0071544A">
          <w:rPr>
            <w:webHidden/>
          </w:rPr>
          <w:tab/>
        </w:r>
        <w:r w:rsidR="0071544A">
          <w:rPr>
            <w:webHidden/>
          </w:rPr>
          <w:fldChar w:fldCharType="begin"/>
        </w:r>
        <w:r w:rsidR="0071544A">
          <w:rPr>
            <w:webHidden/>
          </w:rPr>
          <w:instrText xml:space="preserve"> PAGEREF _Toc327522072 \h </w:instrText>
        </w:r>
        <w:r w:rsidR="0071544A">
          <w:rPr>
            <w:webHidden/>
          </w:rPr>
        </w:r>
        <w:r w:rsidR="0071544A">
          <w:rPr>
            <w:webHidden/>
          </w:rPr>
          <w:fldChar w:fldCharType="separate"/>
        </w:r>
        <w:r w:rsidR="0071544A">
          <w:rPr>
            <w:webHidden/>
          </w:rPr>
          <w:t>55</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3" w:history="1">
        <w:r w:rsidR="0071544A" w:rsidRPr="007E7D6A">
          <w:rPr>
            <w:rStyle w:val="Hyperlink"/>
          </w:rPr>
          <w:t>Table 29</w:t>
        </w:r>
        <w:r w:rsidR="0071544A" w:rsidRPr="003101AA">
          <w:rPr>
            <w:rFonts w:ascii="Calibri" w:hAnsi="Calibri"/>
            <w:sz w:val="22"/>
            <w:szCs w:val="22"/>
          </w:rPr>
          <w:tab/>
        </w:r>
        <w:r w:rsidR="0071544A" w:rsidRPr="007E7D6A">
          <w:rPr>
            <w:rStyle w:val="Hyperlink"/>
            <w:lang w:eastAsia="en-US"/>
          </w:rPr>
          <w:t>Adverse events after treatment with SEMS placement and surgery: comparative studies</w:t>
        </w:r>
        <w:r w:rsidR="0071544A">
          <w:rPr>
            <w:webHidden/>
          </w:rPr>
          <w:tab/>
        </w:r>
        <w:r w:rsidR="0071544A">
          <w:rPr>
            <w:webHidden/>
          </w:rPr>
          <w:fldChar w:fldCharType="begin"/>
        </w:r>
        <w:r w:rsidR="0071544A">
          <w:rPr>
            <w:webHidden/>
          </w:rPr>
          <w:instrText xml:space="preserve"> PAGEREF _Toc327522073 \h </w:instrText>
        </w:r>
        <w:r w:rsidR="0071544A">
          <w:rPr>
            <w:webHidden/>
          </w:rPr>
        </w:r>
        <w:r w:rsidR="0071544A">
          <w:rPr>
            <w:webHidden/>
          </w:rPr>
          <w:fldChar w:fldCharType="separate"/>
        </w:r>
        <w:r w:rsidR="0071544A">
          <w:rPr>
            <w:webHidden/>
          </w:rPr>
          <w:t>56</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4" w:history="1">
        <w:r w:rsidR="0071544A" w:rsidRPr="007E7D6A">
          <w:rPr>
            <w:rStyle w:val="Hyperlink"/>
          </w:rPr>
          <w:t>Table 30</w:t>
        </w:r>
        <w:r w:rsidR="0071544A" w:rsidRPr="003101AA">
          <w:rPr>
            <w:rFonts w:ascii="Calibri" w:hAnsi="Calibri"/>
            <w:sz w:val="22"/>
            <w:szCs w:val="22"/>
          </w:rPr>
          <w:tab/>
        </w:r>
        <w:r w:rsidR="0071544A" w:rsidRPr="007E7D6A">
          <w:rPr>
            <w:rStyle w:val="Hyperlink"/>
          </w:rPr>
          <w:t>Summary of procedure-related mortality events reported by level IV primary studies</w:t>
        </w:r>
        <w:r w:rsidR="0071544A">
          <w:rPr>
            <w:webHidden/>
          </w:rPr>
          <w:tab/>
        </w:r>
        <w:r w:rsidR="0071544A">
          <w:rPr>
            <w:webHidden/>
          </w:rPr>
          <w:fldChar w:fldCharType="begin"/>
        </w:r>
        <w:r w:rsidR="0071544A">
          <w:rPr>
            <w:webHidden/>
          </w:rPr>
          <w:instrText xml:space="preserve"> PAGEREF _Toc327522074 \h </w:instrText>
        </w:r>
        <w:r w:rsidR="0071544A">
          <w:rPr>
            <w:webHidden/>
          </w:rPr>
        </w:r>
        <w:r w:rsidR="0071544A">
          <w:rPr>
            <w:webHidden/>
          </w:rPr>
          <w:fldChar w:fldCharType="separate"/>
        </w:r>
        <w:r w:rsidR="0071544A">
          <w:rPr>
            <w:webHidden/>
          </w:rPr>
          <w:t>58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5" w:history="1">
        <w:r w:rsidR="0071544A" w:rsidRPr="007E7D6A">
          <w:rPr>
            <w:rStyle w:val="Hyperlink"/>
          </w:rPr>
          <w:t>Table 31</w:t>
        </w:r>
        <w:r w:rsidR="0071544A" w:rsidRPr="003101AA">
          <w:rPr>
            <w:rFonts w:ascii="Calibri" w:hAnsi="Calibri"/>
            <w:sz w:val="22"/>
            <w:szCs w:val="22"/>
          </w:rPr>
          <w:tab/>
        </w:r>
        <w:r w:rsidR="0071544A" w:rsidRPr="007E7D6A">
          <w:rPr>
            <w:rStyle w:val="Hyperlink"/>
          </w:rPr>
          <w:t>Summary of adverse events reported by studies included for assessment</w:t>
        </w:r>
        <w:r w:rsidR="0071544A">
          <w:rPr>
            <w:webHidden/>
          </w:rPr>
          <w:tab/>
        </w:r>
        <w:r w:rsidR="0071544A">
          <w:rPr>
            <w:webHidden/>
          </w:rPr>
          <w:fldChar w:fldCharType="begin"/>
        </w:r>
        <w:r w:rsidR="0071544A">
          <w:rPr>
            <w:webHidden/>
          </w:rPr>
          <w:instrText xml:space="preserve"> PAGEREF _Toc327522075 \h </w:instrText>
        </w:r>
        <w:r w:rsidR="0071544A">
          <w:rPr>
            <w:webHidden/>
          </w:rPr>
        </w:r>
        <w:r w:rsidR="0071544A">
          <w:rPr>
            <w:webHidden/>
          </w:rPr>
          <w:fldChar w:fldCharType="separate"/>
        </w:r>
        <w:r w:rsidR="0071544A">
          <w:rPr>
            <w:webHidden/>
          </w:rPr>
          <w:t>59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6" w:history="1">
        <w:r w:rsidR="0071544A" w:rsidRPr="007E7D6A">
          <w:rPr>
            <w:rStyle w:val="Hyperlink"/>
          </w:rPr>
          <w:t>Table 32</w:t>
        </w:r>
        <w:r w:rsidR="0071544A" w:rsidRPr="003101AA">
          <w:rPr>
            <w:rFonts w:ascii="Calibri" w:hAnsi="Calibri"/>
            <w:sz w:val="22"/>
            <w:szCs w:val="22"/>
          </w:rPr>
          <w:tab/>
        </w:r>
        <w:r w:rsidR="0071544A" w:rsidRPr="007E7D6A">
          <w:rPr>
            <w:rStyle w:val="Hyperlink"/>
          </w:rPr>
          <w:t>Summary of bowel perforation events reported by included primary studies</w:t>
        </w:r>
        <w:r w:rsidR="0071544A">
          <w:rPr>
            <w:webHidden/>
          </w:rPr>
          <w:tab/>
        </w:r>
        <w:r w:rsidR="0071544A">
          <w:rPr>
            <w:webHidden/>
          </w:rPr>
          <w:fldChar w:fldCharType="begin"/>
        </w:r>
        <w:r w:rsidR="0071544A">
          <w:rPr>
            <w:webHidden/>
          </w:rPr>
          <w:instrText xml:space="preserve"> PAGEREF _Toc327522076 \h </w:instrText>
        </w:r>
        <w:r w:rsidR="0071544A">
          <w:rPr>
            <w:webHidden/>
          </w:rPr>
        </w:r>
        <w:r w:rsidR="0071544A">
          <w:rPr>
            <w:webHidden/>
          </w:rPr>
          <w:fldChar w:fldCharType="separate"/>
        </w:r>
        <w:r w:rsidR="0071544A">
          <w:rPr>
            <w:webHidden/>
          </w:rPr>
          <w:t>61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7" w:history="1">
        <w:r w:rsidR="0071544A" w:rsidRPr="007E7D6A">
          <w:rPr>
            <w:rStyle w:val="Hyperlink"/>
          </w:rPr>
          <w:t>Table 33</w:t>
        </w:r>
        <w:r w:rsidR="0071544A" w:rsidRPr="003101AA">
          <w:rPr>
            <w:rFonts w:ascii="Calibri" w:hAnsi="Calibri"/>
            <w:sz w:val="22"/>
            <w:szCs w:val="22"/>
          </w:rPr>
          <w:tab/>
        </w:r>
        <w:r w:rsidR="0071544A" w:rsidRPr="007E7D6A">
          <w:rPr>
            <w:rStyle w:val="Hyperlink"/>
          </w:rPr>
          <w:t>Summary of re-obstruction events reported by included primary studies</w:t>
        </w:r>
        <w:r w:rsidR="0071544A">
          <w:rPr>
            <w:webHidden/>
          </w:rPr>
          <w:tab/>
        </w:r>
        <w:r w:rsidR="0071544A">
          <w:rPr>
            <w:webHidden/>
          </w:rPr>
          <w:fldChar w:fldCharType="begin"/>
        </w:r>
        <w:r w:rsidR="0071544A">
          <w:rPr>
            <w:webHidden/>
          </w:rPr>
          <w:instrText xml:space="preserve"> PAGEREF _Toc327522077 \h </w:instrText>
        </w:r>
        <w:r w:rsidR="0071544A">
          <w:rPr>
            <w:webHidden/>
          </w:rPr>
        </w:r>
        <w:r w:rsidR="0071544A">
          <w:rPr>
            <w:webHidden/>
          </w:rPr>
          <w:fldChar w:fldCharType="separate"/>
        </w:r>
        <w:r w:rsidR="0071544A">
          <w:rPr>
            <w:webHidden/>
          </w:rPr>
          <w:t>63</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8" w:history="1">
        <w:r w:rsidR="0071544A" w:rsidRPr="007E7D6A">
          <w:rPr>
            <w:rStyle w:val="Hyperlink"/>
          </w:rPr>
          <w:t>Table 34</w:t>
        </w:r>
        <w:r w:rsidR="0071544A" w:rsidRPr="003101AA">
          <w:rPr>
            <w:rFonts w:ascii="Calibri" w:hAnsi="Calibri"/>
            <w:sz w:val="22"/>
            <w:szCs w:val="22"/>
          </w:rPr>
          <w:tab/>
        </w:r>
        <w:r w:rsidR="0071544A" w:rsidRPr="007E7D6A">
          <w:rPr>
            <w:rStyle w:val="Hyperlink"/>
          </w:rPr>
          <w:t>Summary of stent migration events reported by included primary studies</w:t>
        </w:r>
        <w:r w:rsidR="0071544A">
          <w:rPr>
            <w:webHidden/>
          </w:rPr>
          <w:tab/>
        </w:r>
        <w:r w:rsidR="0071544A">
          <w:rPr>
            <w:webHidden/>
          </w:rPr>
          <w:fldChar w:fldCharType="begin"/>
        </w:r>
        <w:r w:rsidR="0071544A">
          <w:rPr>
            <w:webHidden/>
          </w:rPr>
          <w:instrText xml:space="preserve"> PAGEREF _Toc327522078 \h </w:instrText>
        </w:r>
        <w:r w:rsidR="0071544A">
          <w:rPr>
            <w:webHidden/>
          </w:rPr>
        </w:r>
        <w:r w:rsidR="0071544A">
          <w:rPr>
            <w:webHidden/>
          </w:rPr>
          <w:fldChar w:fldCharType="separate"/>
        </w:r>
        <w:r w:rsidR="0071544A">
          <w:rPr>
            <w:webHidden/>
          </w:rPr>
          <w:t>65</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79" w:history="1">
        <w:r w:rsidR="0071544A" w:rsidRPr="007E7D6A">
          <w:rPr>
            <w:rStyle w:val="Hyperlink"/>
          </w:rPr>
          <w:t>Table 35</w:t>
        </w:r>
        <w:r w:rsidR="0071544A" w:rsidRPr="003101AA">
          <w:rPr>
            <w:rFonts w:ascii="Calibri" w:hAnsi="Calibri"/>
            <w:sz w:val="22"/>
            <w:szCs w:val="22"/>
          </w:rPr>
          <w:tab/>
        </w:r>
        <w:r w:rsidR="0071544A" w:rsidRPr="007E7D6A">
          <w:rPr>
            <w:rStyle w:val="Hyperlink"/>
          </w:rPr>
          <w:t>Summary of tumour ingrowths reported by included primary studies</w:t>
        </w:r>
        <w:r w:rsidR="0071544A">
          <w:rPr>
            <w:webHidden/>
          </w:rPr>
          <w:tab/>
        </w:r>
        <w:r w:rsidR="0071544A">
          <w:rPr>
            <w:webHidden/>
          </w:rPr>
          <w:fldChar w:fldCharType="begin"/>
        </w:r>
        <w:r w:rsidR="0071544A">
          <w:rPr>
            <w:webHidden/>
          </w:rPr>
          <w:instrText xml:space="preserve"> PAGEREF _Toc327522079 \h </w:instrText>
        </w:r>
        <w:r w:rsidR="0071544A">
          <w:rPr>
            <w:webHidden/>
          </w:rPr>
        </w:r>
        <w:r w:rsidR="0071544A">
          <w:rPr>
            <w:webHidden/>
          </w:rPr>
          <w:fldChar w:fldCharType="separate"/>
        </w:r>
        <w:r w:rsidR="0071544A">
          <w:rPr>
            <w:webHidden/>
          </w:rPr>
          <w:t>67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0" w:history="1">
        <w:r w:rsidR="0071544A" w:rsidRPr="007E7D6A">
          <w:rPr>
            <w:rStyle w:val="Hyperlink"/>
          </w:rPr>
          <w:t>Table 36</w:t>
        </w:r>
        <w:r w:rsidR="0071544A" w:rsidRPr="003101AA">
          <w:rPr>
            <w:rFonts w:ascii="Calibri" w:hAnsi="Calibri"/>
            <w:sz w:val="22"/>
            <w:szCs w:val="22"/>
          </w:rPr>
          <w:tab/>
        </w:r>
        <w:r w:rsidR="0071544A" w:rsidRPr="007E7D6A">
          <w:rPr>
            <w:rStyle w:val="Hyperlink"/>
          </w:rPr>
          <w:t>Summary of tumour overgrowths reported by included primary studies</w:t>
        </w:r>
        <w:r w:rsidR="0071544A">
          <w:rPr>
            <w:webHidden/>
          </w:rPr>
          <w:tab/>
        </w:r>
        <w:r w:rsidR="0071544A">
          <w:rPr>
            <w:webHidden/>
          </w:rPr>
          <w:fldChar w:fldCharType="begin"/>
        </w:r>
        <w:r w:rsidR="0071544A">
          <w:rPr>
            <w:webHidden/>
          </w:rPr>
          <w:instrText xml:space="preserve"> PAGEREF _Toc327522080 \h </w:instrText>
        </w:r>
        <w:r w:rsidR="0071544A">
          <w:rPr>
            <w:webHidden/>
          </w:rPr>
        </w:r>
        <w:r w:rsidR="0071544A">
          <w:rPr>
            <w:webHidden/>
          </w:rPr>
          <w:fldChar w:fldCharType="separate"/>
        </w:r>
        <w:r w:rsidR="0071544A">
          <w:rPr>
            <w:webHidden/>
          </w:rPr>
          <w:t>68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1" w:history="1">
        <w:r w:rsidR="0071544A" w:rsidRPr="007E7D6A">
          <w:rPr>
            <w:rStyle w:val="Hyperlink"/>
          </w:rPr>
          <w:t>Table 37</w:t>
        </w:r>
        <w:r w:rsidR="0071544A" w:rsidRPr="003101AA">
          <w:rPr>
            <w:rFonts w:ascii="Calibri" w:hAnsi="Calibri"/>
            <w:sz w:val="22"/>
            <w:szCs w:val="22"/>
          </w:rPr>
          <w:tab/>
        </w:r>
        <w:r w:rsidR="0071544A" w:rsidRPr="007E7D6A">
          <w:rPr>
            <w:rStyle w:val="Hyperlink"/>
          </w:rPr>
          <w:t>Summary of pain (and/or discomfort) reported by included primary studies</w:t>
        </w:r>
        <w:r w:rsidR="0071544A">
          <w:rPr>
            <w:webHidden/>
          </w:rPr>
          <w:tab/>
        </w:r>
        <w:r w:rsidR="0071544A">
          <w:rPr>
            <w:webHidden/>
          </w:rPr>
          <w:fldChar w:fldCharType="begin"/>
        </w:r>
        <w:r w:rsidR="0071544A">
          <w:rPr>
            <w:webHidden/>
          </w:rPr>
          <w:instrText xml:space="preserve"> PAGEREF _Toc327522081 \h </w:instrText>
        </w:r>
        <w:r w:rsidR="0071544A">
          <w:rPr>
            <w:webHidden/>
          </w:rPr>
        </w:r>
        <w:r w:rsidR="0071544A">
          <w:rPr>
            <w:webHidden/>
          </w:rPr>
          <w:fldChar w:fldCharType="separate"/>
        </w:r>
        <w:r w:rsidR="0071544A">
          <w:rPr>
            <w:webHidden/>
          </w:rPr>
          <w:t>69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2" w:history="1">
        <w:r w:rsidR="0071544A" w:rsidRPr="007E7D6A">
          <w:rPr>
            <w:rStyle w:val="Hyperlink"/>
          </w:rPr>
          <w:t>Table 38</w:t>
        </w:r>
        <w:r w:rsidR="0071544A" w:rsidRPr="003101AA">
          <w:rPr>
            <w:rFonts w:ascii="Calibri" w:hAnsi="Calibri"/>
            <w:sz w:val="22"/>
            <w:szCs w:val="22"/>
          </w:rPr>
          <w:tab/>
        </w:r>
        <w:r w:rsidR="0071544A" w:rsidRPr="007E7D6A">
          <w:rPr>
            <w:rStyle w:val="Hyperlink"/>
          </w:rPr>
          <w:t>Summary of events of tenesmus reported by included primary studies</w:t>
        </w:r>
        <w:r w:rsidR="0071544A">
          <w:rPr>
            <w:webHidden/>
          </w:rPr>
          <w:tab/>
        </w:r>
        <w:r w:rsidR="0071544A">
          <w:rPr>
            <w:webHidden/>
          </w:rPr>
          <w:fldChar w:fldCharType="begin"/>
        </w:r>
        <w:r w:rsidR="0071544A">
          <w:rPr>
            <w:webHidden/>
          </w:rPr>
          <w:instrText xml:space="preserve"> PAGEREF _Toc327522082 \h </w:instrText>
        </w:r>
        <w:r w:rsidR="0071544A">
          <w:rPr>
            <w:webHidden/>
          </w:rPr>
        </w:r>
        <w:r w:rsidR="0071544A">
          <w:rPr>
            <w:webHidden/>
          </w:rPr>
          <w:fldChar w:fldCharType="separate"/>
        </w:r>
        <w:r w:rsidR="0071544A">
          <w:rPr>
            <w:webHidden/>
          </w:rPr>
          <w:t>69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3" w:history="1">
        <w:r w:rsidR="0071544A" w:rsidRPr="007E7D6A">
          <w:rPr>
            <w:rStyle w:val="Hyperlink"/>
          </w:rPr>
          <w:t>Table 39</w:t>
        </w:r>
        <w:r w:rsidR="0071544A" w:rsidRPr="003101AA">
          <w:rPr>
            <w:rFonts w:ascii="Calibri" w:hAnsi="Calibri"/>
            <w:sz w:val="22"/>
            <w:szCs w:val="22"/>
          </w:rPr>
          <w:tab/>
        </w:r>
        <w:r w:rsidR="0071544A" w:rsidRPr="007E7D6A">
          <w:rPr>
            <w:rStyle w:val="Hyperlink"/>
          </w:rPr>
          <w:t>Summary of bleeding events reported by included primary studies</w:t>
        </w:r>
        <w:r w:rsidR="0071544A">
          <w:rPr>
            <w:webHidden/>
          </w:rPr>
          <w:tab/>
        </w:r>
        <w:r w:rsidR="0071544A">
          <w:rPr>
            <w:webHidden/>
          </w:rPr>
          <w:fldChar w:fldCharType="begin"/>
        </w:r>
        <w:r w:rsidR="0071544A">
          <w:rPr>
            <w:webHidden/>
          </w:rPr>
          <w:instrText xml:space="preserve"> PAGEREF _Toc327522083 \h </w:instrText>
        </w:r>
        <w:r w:rsidR="0071544A">
          <w:rPr>
            <w:webHidden/>
          </w:rPr>
        </w:r>
        <w:r w:rsidR="0071544A">
          <w:rPr>
            <w:webHidden/>
          </w:rPr>
          <w:fldChar w:fldCharType="separate"/>
        </w:r>
        <w:r w:rsidR="0071544A">
          <w:rPr>
            <w:webHidden/>
          </w:rPr>
          <w:t>70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4" w:history="1">
        <w:r w:rsidR="0071544A" w:rsidRPr="007E7D6A">
          <w:rPr>
            <w:rStyle w:val="Hyperlink"/>
          </w:rPr>
          <w:t>Table 40</w:t>
        </w:r>
        <w:r w:rsidR="0071544A" w:rsidRPr="003101AA">
          <w:rPr>
            <w:rFonts w:ascii="Calibri" w:hAnsi="Calibri"/>
            <w:sz w:val="22"/>
            <w:szCs w:val="22"/>
          </w:rPr>
          <w:tab/>
        </w:r>
        <w:r w:rsidR="0071544A" w:rsidRPr="007E7D6A">
          <w:rPr>
            <w:rStyle w:val="Hyperlink"/>
          </w:rPr>
          <w:t>Summary of infectious events reported by included primary studies</w:t>
        </w:r>
        <w:r w:rsidR="0071544A">
          <w:rPr>
            <w:webHidden/>
          </w:rPr>
          <w:tab/>
        </w:r>
        <w:r w:rsidR="0071544A">
          <w:rPr>
            <w:webHidden/>
          </w:rPr>
          <w:fldChar w:fldCharType="begin"/>
        </w:r>
        <w:r w:rsidR="0071544A">
          <w:rPr>
            <w:webHidden/>
          </w:rPr>
          <w:instrText xml:space="preserve"> PAGEREF _Toc327522084 \h </w:instrText>
        </w:r>
        <w:r w:rsidR="0071544A">
          <w:rPr>
            <w:webHidden/>
          </w:rPr>
        </w:r>
        <w:r w:rsidR="0071544A">
          <w:rPr>
            <w:webHidden/>
          </w:rPr>
          <w:fldChar w:fldCharType="separate"/>
        </w:r>
        <w:r w:rsidR="0071544A">
          <w:rPr>
            <w:webHidden/>
          </w:rPr>
          <w:t>71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5" w:history="1">
        <w:r w:rsidR="0071544A" w:rsidRPr="007E7D6A">
          <w:rPr>
            <w:rStyle w:val="Hyperlink"/>
          </w:rPr>
          <w:t>Table 41</w:t>
        </w:r>
        <w:r w:rsidR="0071544A" w:rsidRPr="003101AA">
          <w:rPr>
            <w:rFonts w:ascii="Calibri" w:hAnsi="Calibri"/>
            <w:sz w:val="22"/>
            <w:szCs w:val="22"/>
          </w:rPr>
          <w:tab/>
        </w:r>
        <w:r w:rsidR="0071544A" w:rsidRPr="007E7D6A">
          <w:rPr>
            <w:rStyle w:val="Hyperlink"/>
            <w:lang w:eastAsia="en-US"/>
          </w:rPr>
          <w:t>Technical and clinical success rates of SEMS placement and surgery: comparative studies</w:t>
        </w:r>
        <w:r w:rsidR="0071544A">
          <w:rPr>
            <w:webHidden/>
          </w:rPr>
          <w:tab/>
        </w:r>
        <w:r w:rsidR="0071544A">
          <w:rPr>
            <w:webHidden/>
          </w:rPr>
          <w:fldChar w:fldCharType="begin"/>
        </w:r>
        <w:r w:rsidR="0071544A">
          <w:rPr>
            <w:webHidden/>
          </w:rPr>
          <w:instrText xml:space="preserve"> PAGEREF _Toc327522085 \h </w:instrText>
        </w:r>
        <w:r w:rsidR="0071544A">
          <w:rPr>
            <w:webHidden/>
          </w:rPr>
        </w:r>
        <w:r w:rsidR="0071544A">
          <w:rPr>
            <w:webHidden/>
          </w:rPr>
          <w:fldChar w:fldCharType="separate"/>
        </w:r>
        <w:r w:rsidR="0071544A">
          <w:rPr>
            <w:webHidden/>
          </w:rPr>
          <w:t>73</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6" w:history="1">
        <w:r w:rsidR="0071544A" w:rsidRPr="007E7D6A">
          <w:rPr>
            <w:rStyle w:val="Hyperlink"/>
          </w:rPr>
          <w:t>Table 42</w:t>
        </w:r>
        <w:r w:rsidR="0071544A" w:rsidRPr="003101AA">
          <w:rPr>
            <w:rFonts w:ascii="Calibri" w:hAnsi="Calibri"/>
            <w:sz w:val="22"/>
            <w:szCs w:val="22"/>
          </w:rPr>
          <w:tab/>
        </w:r>
        <w:r w:rsidR="0071544A" w:rsidRPr="007E7D6A">
          <w:rPr>
            <w:rStyle w:val="Hyperlink"/>
            <w:lang w:eastAsia="en-US"/>
          </w:rPr>
          <w:t>Quality of life in patients after SEMS placement and surgery</w:t>
        </w:r>
        <w:r w:rsidR="0071544A">
          <w:rPr>
            <w:webHidden/>
          </w:rPr>
          <w:tab/>
        </w:r>
        <w:r w:rsidR="0071544A">
          <w:rPr>
            <w:webHidden/>
          </w:rPr>
          <w:fldChar w:fldCharType="begin"/>
        </w:r>
        <w:r w:rsidR="0071544A">
          <w:rPr>
            <w:webHidden/>
          </w:rPr>
          <w:instrText xml:space="preserve"> PAGEREF _Toc327522086 \h </w:instrText>
        </w:r>
        <w:r w:rsidR="0071544A">
          <w:rPr>
            <w:webHidden/>
          </w:rPr>
        </w:r>
        <w:r w:rsidR="0071544A">
          <w:rPr>
            <w:webHidden/>
          </w:rPr>
          <w:fldChar w:fldCharType="separate"/>
        </w:r>
        <w:r w:rsidR="0071544A">
          <w:rPr>
            <w:webHidden/>
          </w:rPr>
          <w:t>75</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7" w:history="1">
        <w:r w:rsidR="0071544A" w:rsidRPr="007E7D6A">
          <w:rPr>
            <w:rStyle w:val="Hyperlink"/>
          </w:rPr>
          <w:t>Table 43</w:t>
        </w:r>
        <w:r w:rsidR="0071544A" w:rsidRPr="003101AA">
          <w:rPr>
            <w:rFonts w:ascii="Calibri" w:hAnsi="Calibri"/>
            <w:sz w:val="22"/>
            <w:szCs w:val="22"/>
          </w:rPr>
          <w:tab/>
        </w:r>
        <w:r w:rsidR="0071544A" w:rsidRPr="007E7D6A">
          <w:rPr>
            <w:rStyle w:val="Hyperlink"/>
            <w:lang w:eastAsia="en-US"/>
          </w:rPr>
          <w:t>Length of hospital stay after SEMS placement and surgery: comparative studies</w:t>
        </w:r>
        <w:r w:rsidR="0071544A">
          <w:rPr>
            <w:webHidden/>
          </w:rPr>
          <w:tab/>
        </w:r>
        <w:r w:rsidR="0071544A">
          <w:rPr>
            <w:webHidden/>
          </w:rPr>
          <w:fldChar w:fldCharType="begin"/>
        </w:r>
        <w:r w:rsidR="0071544A">
          <w:rPr>
            <w:webHidden/>
          </w:rPr>
          <w:instrText xml:space="preserve"> PAGEREF _Toc327522087 \h </w:instrText>
        </w:r>
        <w:r w:rsidR="0071544A">
          <w:rPr>
            <w:webHidden/>
          </w:rPr>
        </w:r>
        <w:r w:rsidR="0071544A">
          <w:rPr>
            <w:webHidden/>
          </w:rPr>
          <w:fldChar w:fldCharType="separate"/>
        </w:r>
        <w:r w:rsidR="0071544A">
          <w:rPr>
            <w:webHidden/>
          </w:rPr>
          <w:t>76</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8" w:history="1">
        <w:r w:rsidR="0071544A" w:rsidRPr="007E7D6A">
          <w:rPr>
            <w:rStyle w:val="Hyperlink"/>
          </w:rPr>
          <w:t>Table 44</w:t>
        </w:r>
        <w:r w:rsidR="0071544A" w:rsidRPr="003101AA">
          <w:rPr>
            <w:rFonts w:ascii="Calibri" w:hAnsi="Calibri"/>
            <w:sz w:val="22"/>
            <w:szCs w:val="22"/>
          </w:rPr>
          <w:tab/>
        </w:r>
        <w:r w:rsidR="0071544A" w:rsidRPr="007E7D6A">
          <w:rPr>
            <w:rStyle w:val="Hyperlink"/>
            <w:lang w:eastAsia="en-US"/>
          </w:rPr>
          <w:t>Patient survival after palliative treatment with SEMS placement and surgery: comparative studies</w:t>
        </w:r>
        <w:r w:rsidR="0071544A">
          <w:rPr>
            <w:webHidden/>
          </w:rPr>
          <w:tab/>
        </w:r>
        <w:r w:rsidR="0071544A">
          <w:rPr>
            <w:webHidden/>
          </w:rPr>
          <w:fldChar w:fldCharType="begin"/>
        </w:r>
        <w:r w:rsidR="0071544A">
          <w:rPr>
            <w:webHidden/>
          </w:rPr>
          <w:instrText xml:space="preserve"> PAGEREF _Toc327522088 \h </w:instrText>
        </w:r>
        <w:r w:rsidR="0071544A">
          <w:rPr>
            <w:webHidden/>
          </w:rPr>
        </w:r>
        <w:r w:rsidR="0071544A">
          <w:rPr>
            <w:webHidden/>
          </w:rPr>
          <w:fldChar w:fldCharType="separate"/>
        </w:r>
        <w:r w:rsidR="0071544A">
          <w:rPr>
            <w:webHidden/>
          </w:rPr>
          <w:t>77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89" w:history="1">
        <w:r w:rsidR="0071544A" w:rsidRPr="007E7D6A">
          <w:rPr>
            <w:rStyle w:val="Hyperlink"/>
          </w:rPr>
          <w:t>Table 45</w:t>
        </w:r>
        <w:r w:rsidR="0071544A" w:rsidRPr="003101AA">
          <w:rPr>
            <w:rFonts w:ascii="Calibri" w:hAnsi="Calibri"/>
            <w:sz w:val="22"/>
            <w:szCs w:val="22"/>
          </w:rPr>
          <w:tab/>
        </w:r>
        <w:r w:rsidR="0071544A" w:rsidRPr="007E7D6A">
          <w:rPr>
            <w:rStyle w:val="Hyperlink"/>
            <w:lang w:eastAsia="en-US"/>
          </w:rPr>
          <w:t>Bridge to surgery outcomes after SEMS placement and surgery with temporary stoma</w:t>
        </w:r>
        <w:r w:rsidR="0071544A">
          <w:rPr>
            <w:webHidden/>
          </w:rPr>
          <w:tab/>
        </w:r>
        <w:r w:rsidR="0071544A">
          <w:rPr>
            <w:webHidden/>
          </w:rPr>
          <w:fldChar w:fldCharType="begin"/>
        </w:r>
        <w:r w:rsidR="0071544A">
          <w:rPr>
            <w:webHidden/>
          </w:rPr>
          <w:instrText xml:space="preserve"> PAGEREF _Toc327522089 \h </w:instrText>
        </w:r>
        <w:r w:rsidR="0071544A">
          <w:rPr>
            <w:webHidden/>
          </w:rPr>
        </w:r>
        <w:r w:rsidR="0071544A">
          <w:rPr>
            <w:webHidden/>
          </w:rPr>
          <w:fldChar w:fldCharType="separate"/>
        </w:r>
        <w:r w:rsidR="0071544A">
          <w:rPr>
            <w:webHidden/>
          </w:rPr>
          <w:t>78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0" w:history="1">
        <w:r w:rsidR="0071544A" w:rsidRPr="007E7D6A">
          <w:rPr>
            <w:rStyle w:val="Hyperlink"/>
          </w:rPr>
          <w:t>Table 46</w:t>
        </w:r>
        <w:r w:rsidR="0071544A" w:rsidRPr="003101AA">
          <w:rPr>
            <w:rFonts w:ascii="Calibri" w:hAnsi="Calibri"/>
            <w:sz w:val="22"/>
            <w:szCs w:val="22"/>
          </w:rPr>
          <w:tab/>
        </w:r>
        <w:r w:rsidR="0071544A" w:rsidRPr="007E7D6A">
          <w:rPr>
            <w:rStyle w:val="Hyperlink"/>
          </w:rPr>
          <w:t>Appropriate comparators relevant to patient populations</w:t>
        </w:r>
        <w:r w:rsidR="0071544A">
          <w:rPr>
            <w:webHidden/>
          </w:rPr>
          <w:tab/>
        </w:r>
        <w:r w:rsidR="0071544A">
          <w:rPr>
            <w:webHidden/>
          </w:rPr>
          <w:fldChar w:fldCharType="begin"/>
        </w:r>
        <w:r w:rsidR="0071544A">
          <w:rPr>
            <w:webHidden/>
          </w:rPr>
          <w:instrText xml:space="preserve"> PAGEREF _Toc327522090 \h </w:instrText>
        </w:r>
        <w:r w:rsidR="0071544A">
          <w:rPr>
            <w:webHidden/>
          </w:rPr>
        </w:r>
        <w:r w:rsidR="0071544A">
          <w:rPr>
            <w:webHidden/>
          </w:rPr>
          <w:fldChar w:fldCharType="separate"/>
        </w:r>
        <w:r w:rsidR="0071544A">
          <w:rPr>
            <w:webHidden/>
          </w:rPr>
          <w:t>81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1" w:history="1">
        <w:r w:rsidR="0071544A" w:rsidRPr="007E7D6A">
          <w:rPr>
            <w:rStyle w:val="Hyperlink"/>
          </w:rPr>
          <w:t>Table 47</w:t>
        </w:r>
        <w:r w:rsidR="0071544A" w:rsidRPr="003101AA">
          <w:rPr>
            <w:rFonts w:ascii="Calibri" w:hAnsi="Calibri"/>
            <w:sz w:val="22"/>
            <w:szCs w:val="22"/>
          </w:rPr>
          <w:tab/>
        </w:r>
        <w:r w:rsidR="0071544A" w:rsidRPr="007E7D6A">
          <w:rPr>
            <w:rStyle w:val="Hyperlink"/>
          </w:rPr>
          <w:t>Criteria for selecting studies to assess the cost-effectiveness of colonic SEMS in patients with a colorectal obstruction, stricture or stenosis</w:t>
        </w:r>
        <w:r w:rsidR="0071544A">
          <w:rPr>
            <w:webHidden/>
          </w:rPr>
          <w:tab/>
        </w:r>
        <w:r w:rsidR="0071544A">
          <w:rPr>
            <w:webHidden/>
          </w:rPr>
          <w:fldChar w:fldCharType="begin"/>
        </w:r>
        <w:r w:rsidR="0071544A">
          <w:rPr>
            <w:webHidden/>
          </w:rPr>
          <w:instrText xml:space="preserve"> PAGEREF _Toc327522091 \h </w:instrText>
        </w:r>
        <w:r w:rsidR="0071544A">
          <w:rPr>
            <w:webHidden/>
          </w:rPr>
        </w:r>
        <w:r w:rsidR="0071544A">
          <w:rPr>
            <w:webHidden/>
          </w:rPr>
          <w:fldChar w:fldCharType="separate"/>
        </w:r>
        <w:r w:rsidR="0071544A">
          <w:rPr>
            <w:webHidden/>
          </w:rPr>
          <w:t>82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2" w:history="1">
        <w:r w:rsidR="0071544A" w:rsidRPr="007E7D6A">
          <w:rPr>
            <w:rStyle w:val="Hyperlink"/>
          </w:rPr>
          <w:t>Table 48</w:t>
        </w:r>
        <w:r w:rsidR="0071544A" w:rsidRPr="003101AA">
          <w:rPr>
            <w:rFonts w:ascii="Calibri" w:hAnsi="Calibri"/>
            <w:sz w:val="22"/>
            <w:szCs w:val="22"/>
          </w:rPr>
          <w:tab/>
        </w:r>
        <w:r w:rsidR="0071544A" w:rsidRPr="007E7D6A">
          <w:rPr>
            <w:rStyle w:val="Hyperlink"/>
          </w:rPr>
          <w:t>MBS item numbers, fees and co-payments</w:t>
        </w:r>
        <w:r w:rsidR="0071544A">
          <w:rPr>
            <w:webHidden/>
          </w:rPr>
          <w:tab/>
        </w:r>
        <w:r w:rsidR="0071544A">
          <w:rPr>
            <w:webHidden/>
          </w:rPr>
          <w:fldChar w:fldCharType="begin"/>
        </w:r>
        <w:r w:rsidR="0071544A">
          <w:rPr>
            <w:webHidden/>
          </w:rPr>
          <w:instrText xml:space="preserve"> PAGEREF _Toc327522092 \h </w:instrText>
        </w:r>
        <w:r w:rsidR="0071544A">
          <w:rPr>
            <w:webHidden/>
          </w:rPr>
        </w:r>
        <w:r w:rsidR="0071544A">
          <w:rPr>
            <w:webHidden/>
          </w:rPr>
          <w:fldChar w:fldCharType="separate"/>
        </w:r>
        <w:r w:rsidR="0071544A">
          <w:rPr>
            <w:webHidden/>
          </w:rPr>
          <w:t>85</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3" w:history="1">
        <w:r w:rsidR="0071544A" w:rsidRPr="007E7D6A">
          <w:rPr>
            <w:rStyle w:val="Hyperlink"/>
          </w:rPr>
          <w:t>Table 49</w:t>
        </w:r>
        <w:r w:rsidR="0071544A" w:rsidRPr="003101AA">
          <w:rPr>
            <w:rFonts w:ascii="Calibri" w:hAnsi="Calibri"/>
            <w:sz w:val="22"/>
            <w:szCs w:val="22"/>
          </w:rPr>
          <w:tab/>
        </w:r>
        <w:r w:rsidR="0071544A" w:rsidRPr="007E7D6A">
          <w:rPr>
            <w:rStyle w:val="Hyperlink"/>
          </w:rPr>
          <w:t>Pre-operative treatment costs</w:t>
        </w:r>
        <w:r w:rsidR="0071544A">
          <w:rPr>
            <w:webHidden/>
          </w:rPr>
          <w:tab/>
        </w:r>
        <w:r w:rsidR="0071544A">
          <w:rPr>
            <w:webHidden/>
          </w:rPr>
          <w:fldChar w:fldCharType="begin"/>
        </w:r>
        <w:r w:rsidR="0071544A">
          <w:rPr>
            <w:webHidden/>
          </w:rPr>
          <w:instrText xml:space="preserve"> PAGEREF _Toc327522093 \h </w:instrText>
        </w:r>
        <w:r w:rsidR="0071544A">
          <w:rPr>
            <w:webHidden/>
          </w:rPr>
        </w:r>
        <w:r w:rsidR="0071544A">
          <w:rPr>
            <w:webHidden/>
          </w:rPr>
          <w:fldChar w:fldCharType="separate"/>
        </w:r>
        <w:r w:rsidR="0071544A">
          <w:rPr>
            <w:webHidden/>
          </w:rPr>
          <w:t>86</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4" w:history="1">
        <w:r w:rsidR="0071544A" w:rsidRPr="007E7D6A">
          <w:rPr>
            <w:rStyle w:val="Hyperlink"/>
          </w:rPr>
          <w:t>Table 50</w:t>
        </w:r>
        <w:r w:rsidR="0071544A" w:rsidRPr="003101AA">
          <w:rPr>
            <w:rFonts w:ascii="Calibri" w:hAnsi="Calibri"/>
            <w:sz w:val="22"/>
            <w:szCs w:val="22"/>
          </w:rPr>
          <w:tab/>
        </w:r>
        <w:r w:rsidR="0071544A" w:rsidRPr="007E7D6A">
          <w:rPr>
            <w:rStyle w:val="Hyperlink"/>
          </w:rPr>
          <w:t>Cost of SEMS insertion</w:t>
        </w:r>
        <w:r w:rsidR="0071544A">
          <w:rPr>
            <w:webHidden/>
          </w:rPr>
          <w:tab/>
        </w:r>
        <w:r w:rsidR="0071544A">
          <w:rPr>
            <w:webHidden/>
          </w:rPr>
          <w:fldChar w:fldCharType="begin"/>
        </w:r>
        <w:r w:rsidR="0071544A">
          <w:rPr>
            <w:webHidden/>
          </w:rPr>
          <w:instrText xml:space="preserve"> PAGEREF _Toc327522094 \h </w:instrText>
        </w:r>
        <w:r w:rsidR="0071544A">
          <w:rPr>
            <w:webHidden/>
          </w:rPr>
        </w:r>
        <w:r w:rsidR="0071544A">
          <w:rPr>
            <w:webHidden/>
          </w:rPr>
          <w:fldChar w:fldCharType="separate"/>
        </w:r>
        <w:r w:rsidR="0071544A">
          <w:rPr>
            <w:webHidden/>
          </w:rPr>
          <w:t>87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5" w:history="1">
        <w:r w:rsidR="0071544A" w:rsidRPr="007E7D6A">
          <w:rPr>
            <w:rStyle w:val="Hyperlink"/>
          </w:rPr>
          <w:t>Table 51</w:t>
        </w:r>
        <w:r w:rsidR="0071544A" w:rsidRPr="003101AA">
          <w:rPr>
            <w:rFonts w:ascii="Calibri" w:hAnsi="Calibri"/>
            <w:sz w:val="22"/>
            <w:szCs w:val="22"/>
          </w:rPr>
          <w:tab/>
        </w:r>
        <w:r w:rsidR="0071544A" w:rsidRPr="007E7D6A">
          <w:rPr>
            <w:rStyle w:val="Hyperlink"/>
          </w:rPr>
          <w:t>Cost of colostomy</w:t>
        </w:r>
        <w:r w:rsidR="0071544A">
          <w:rPr>
            <w:webHidden/>
          </w:rPr>
          <w:tab/>
        </w:r>
        <w:r w:rsidR="0071544A">
          <w:rPr>
            <w:webHidden/>
          </w:rPr>
          <w:fldChar w:fldCharType="begin"/>
        </w:r>
        <w:r w:rsidR="0071544A">
          <w:rPr>
            <w:webHidden/>
          </w:rPr>
          <w:instrText xml:space="preserve"> PAGEREF _Toc327522095 \h </w:instrText>
        </w:r>
        <w:r w:rsidR="0071544A">
          <w:rPr>
            <w:webHidden/>
          </w:rPr>
        </w:r>
        <w:r w:rsidR="0071544A">
          <w:rPr>
            <w:webHidden/>
          </w:rPr>
          <w:fldChar w:fldCharType="separate"/>
        </w:r>
        <w:r w:rsidR="0071544A">
          <w:rPr>
            <w:webHidden/>
          </w:rPr>
          <w:t>88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6" w:history="1">
        <w:r w:rsidR="0071544A" w:rsidRPr="007E7D6A">
          <w:rPr>
            <w:rStyle w:val="Hyperlink"/>
          </w:rPr>
          <w:t>Table 52</w:t>
        </w:r>
        <w:r w:rsidR="0071544A" w:rsidRPr="003101AA">
          <w:rPr>
            <w:rFonts w:ascii="Calibri" w:hAnsi="Calibri"/>
            <w:sz w:val="22"/>
            <w:szCs w:val="22"/>
          </w:rPr>
          <w:tab/>
        </w:r>
        <w:r w:rsidR="0071544A" w:rsidRPr="007E7D6A">
          <w:rPr>
            <w:rStyle w:val="Hyperlink"/>
          </w:rPr>
          <w:t>Cost of Hartmann’s procedure</w:t>
        </w:r>
        <w:r w:rsidR="0071544A">
          <w:rPr>
            <w:webHidden/>
          </w:rPr>
          <w:tab/>
        </w:r>
        <w:r w:rsidR="0071544A">
          <w:rPr>
            <w:webHidden/>
          </w:rPr>
          <w:fldChar w:fldCharType="begin"/>
        </w:r>
        <w:r w:rsidR="0071544A">
          <w:rPr>
            <w:webHidden/>
          </w:rPr>
          <w:instrText xml:space="preserve"> PAGEREF _Toc327522096 \h </w:instrText>
        </w:r>
        <w:r w:rsidR="0071544A">
          <w:rPr>
            <w:webHidden/>
          </w:rPr>
        </w:r>
        <w:r w:rsidR="0071544A">
          <w:rPr>
            <w:webHidden/>
          </w:rPr>
          <w:fldChar w:fldCharType="separate"/>
        </w:r>
        <w:r w:rsidR="0071544A">
          <w:rPr>
            <w:webHidden/>
          </w:rPr>
          <w:t>88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7" w:history="1">
        <w:r w:rsidR="0071544A" w:rsidRPr="007E7D6A">
          <w:rPr>
            <w:rStyle w:val="Hyperlink"/>
          </w:rPr>
          <w:t>Table 53</w:t>
        </w:r>
        <w:r w:rsidR="0071544A" w:rsidRPr="003101AA">
          <w:rPr>
            <w:rFonts w:ascii="Calibri" w:hAnsi="Calibri"/>
            <w:sz w:val="22"/>
            <w:szCs w:val="22"/>
          </w:rPr>
          <w:tab/>
        </w:r>
        <w:r w:rsidR="0071544A" w:rsidRPr="007E7D6A">
          <w:rPr>
            <w:rStyle w:val="Hyperlink"/>
          </w:rPr>
          <w:t>Cost of re-anastomosis</w:t>
        </w:r>
        <w:r w:rsidR="0071544A">
          <w:rPr>
            <w:webHidden/>
          </w:rPr>
          <w:tab/>
        </w:r>
        <w:r w:rsidR="0071544A">
          <w:rPr>
            <w:webHidden/>
          </w:rPr>
          <w:fldChar w:fldCharType="begin"/>
        </w:r>
        <w:r w:rsidR="0071544A">
          <w:rPr>
            <w:webHidden/>
          </w:rPr>
          <w:instrText xml:space="preserve"> PAGEREF _Toc327522097 \h </w:instrText>
        </w:r>
        <w:r w:rsidR="0071544A">
          <w:rPr>
            <w:webHidden/>
          </w:rPr>
        </w:r>
        <w:r w:rsidR="0071544A">
          <w:rPr>
            <w:webHidden/>
          </w:rPr>
          <w:fldChar w:fldCharType="separate"/>
        </w:r>
        <w:r w:rsidR="0071544A">
          <w:rPr>
            <w:webHidden/>
          </w:rPr>
          <w:t>89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8" w:history="1">
        <w:r w:rsidR="0071544A" w:rsidRPr="007E7D6A">
          <w:rPr>
            <w:rStyle w:val="Hyperlink"/>
          </w:rPr>
          <w:t>Table 54</w:t>
        </w:r>
        <w:r w:rsidR="0071544A" w:rsidRPr="003101AA">
          <w:rPr>
            <w:rFonts w:ascii="Calibri" w:hAnsi="Calibri"/>
            <w:sz w:val="22"/>
            <w:szCs w:val="22"/>
          </w:rPr>
          <w:tab/>
        </w:r>
        <w:r w:rsidR="0071544A" w:rsidRPr="007E7D6A">
          <w:rPr>
            <w:rStyle w:val="Hyperlink"/>
          </w:rPr>
          <w:t>Cost of resection and primary anastomosis</w:t>
        </w:r>
        <w:r w:rsidR="0071544A">
          <w:rPr>
            <w:webHidden/>
          </w:rPr>
          <w:tab/>
        </w:r>
        <w:r w:rsidR="0071544A">
          <w:rPr>
            <w:webHidden/>
          </w:rPr>
          <w:fldChar w:fldCharType="begin"/>
        </w:r>
        <w:r w:rsidR="0071544A">
          <w:rPr>
            <w:webHidden/>
          </w:rPr>
          <w:instrText xml:space="preserve"> PAGEREF _Toc327522098 \h </w:instrText>
        </w:r>
        <w:r w:rsidR="0071544A">
          <w:rPr>
            <w:webHidden/>
          </w:rPr>
        </w:r>
        <w:r w:rsidR="0071544A">
          <w:rPr>
            <w:webHidden/>
          </w:rPr>
          <w:fldChar w:fldCharType="separate"/>
        </w:r>
        <w:r w:rsidR="0071544A">
          <w:rPr>
            <w:webHidden/>
          </w:rPr>
          <w:t>90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099" w:history="1">
        <w:r w:rsidR="0071544A" w:rsidRPr="007E7D6A">
          <w:rPr>
            <w:rStyle w:val="Hyperlink"/>
          </w:rPr>
          <w:t>Table 55</w:t>
        </w:r>
        <w:r w:rsidR="0071544A" w:rsidRPr="003101AA">
          <w:rPr>
            <w:rFonts w:ascii="Calibri" w:hAnsi="Calibri"/>
            <w:sz w:val="22"/>
            <w:szCs w:val="22"/>
          </w:rPr>
          <w:tab/>
        </w:r>
        <w:r w:rsidR="0071544A" w:rsidRPr="007E7D6A">
          <w:rPr>
            <w:rStyle w:val="Hyperlink"/>
          </w:rPr>
          <w:t>Hospital stay costs used in the model</w:t>
        </w:r>
        <w:r w:rsidR="0071544A">
          <w:rPr>
            <w:webHidden/>
          </w:rPr>
          <w:tab/>
        </w:r>
        <w:r w:rsidR="0071544A">
          <w:rPr>
            <w:webHidden/>
          </w:rPr>
          <w:fldChar w:fldCharType="begin"/>
        </w:r>
        <w:r w:rsidR="0071544A">
          <w:rPr>
            <w:webHidden/>
          </w:rPr>
          <w:instrText xml:space="preserve"> PAGEREF _Toc327522099 \h </w:instrText>
        </w:r>
        <w:r w:rsidR="0071544A">
          <w:rPr>
            <w:webHidden/>
          </w:rPr>
        </w:r>
        <w:r w:rsidR="0071544A">
          <w:rPr>
            <w:webHidden/>
          </w:rPr>
          <w:fldChar w:fldCharType="separate"/>
        </w:r>
        <w:r w:rsidR="0071544A">
          <w:rPr>
            <w:webHidden/>
          </w:rPr>
          <w:t>91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0" w:history="1">
        <w:r w:rsidR="0071544A" w:rsidRPr="007E7D6A">
          <w:rPr>
            <w:rStyle w:val="Hyperlink"/>
          </w:rPr>
          <w:t>Table 56</w:t>
        </w:r>
        <w:r w:rsidR="0071544A" w:rsidRPr="003101AA">
          <w:rPr>
            <w:rFonts w:ascii="Calibri" w:hAnsi="Calibri"/>
            <w:sz w:val="22"/>
            <w:szCs w:val="22"/>
          </w:rPr>
          <w:tab/>
        </w:r>
        <w:r w:rsidR="0071544A" w:rsidRPr="007E7D6A">
          <w:rPr>
            <w:rStyle w:val="Hyperlink"/>
          </w:rPr>
          <w:t>Post-procedural costs used in the model</w:t>
        </w:r>
        <w:r w:rsidR="0071544A">
          <w:rPr>
            <w:webHidden/>
          </w:rPr>
          <w:tab/>
        </w:r>
        <w:r w:rsidR="0071544A">
          <w:rPr>
            <w:webHidden/>
          </w:rPr>
          <w:fldChar w:fldCharType="begin"/>
        </w:r>
        <w:r w:rsidR="0071544A">
          <w:rPr>
            <w:webHidden/>
          </w:rPr>
          <w:instrText xml:space="preserve"> PAGEREF _Toc327522100 \h </w:instrText>
        </w:r>
        <w:r w:rsidR="0071544A">
          <w:rPr>
            <w:webHidden/>
          </w:rPr>
        </w:r>
        <w:r w:rsidR="0071544A">
          <w:rPr>
            <w:webHidden/>
          </w:rPr>
          <w:fldChar w:fldCharType="separate"/>
        </w:r>
        <w:r w:rsidR="0071544A">
          <w:rPr>
            <w:webHidden/>
          </w:rPr>
          <w:t>91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1" w:history="1">
        <w:r w:rsidR="0071544A" w:rsidRPr="007E7D6A">
          <w:rPr>
            <w:rStyle w:val="Hyperlink"/>
          </w:rPr>
          <w:t>Table 57</w:t>
        </w:r>
        <w:r w:rsidR="0071544A" w:rsidRPr="003101AA">
          <w:rPr>
            <w:rFonts w:ascii="Calibri" w:hAnsi="Calibri"/>
            <w:sz w:val="22"/>
            <w:szCs w:val="22"/>
          </w:rPr>
          <w:tab/>
        </w:r>
        <w:r w:rsidR="0071544A" w:rsidRPr="007E7D6A">
          <w:rPr>
            <w:rStyle w:val="Hyperlink"/>
          </w:rPr>
          <w:t>Summary of cost analysis for palliation (stent vs colostomy)</w:t>
        </w:r>
        <w:r w:rsidR="0071544A">
          <w:rPr>
            <w:webHidden/>
          </w:rPr>
          <w:tab/>
        </w:r>
        <w:r w:rsidR="0071544A">
          <w:rPr>
            <w:webHidden/>
          </w:rPr>
          <w:fldChar w:fldCharType="begin"/>
        </w:r>
        <w:r w:rsidR="0071544A">
          <w:rPr>
            <w:webHidden/>
          </w:rPr>
          <w:instrText xml:space="preserve"> PAGEREF _Toc327522101 \h </w:instrText>
        </w:r>
        <w:r w:rsidR="0071544A">
          <w:rPr>
            <w:webHidden/>
          </w:rPr>
        </w:r>
        <w:r w:rsidR="0071544A">
          <w:rPr>
            <w:webHidden/>
          </w:rPr>
          <w:fldChar w:fldCharType="separate"/>
        </w:r>
        <w:r w:rsidR="0071544A">
          <w:rPr>
            <w:webHidden/>
          </w:rPr>
          <w:t>94</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2" w:history="1">
        <w:r w:rsidR="0071544A" w:rsidRPr="007E7D6A">
          <w:rPr>
            <w:rStyle w:val="Hyperlink"/>
          </w:rPr>
          <w:t>Table 58</w:t>
        </w:r>
        <w:r w:rsidR="0071544A" w:rsidRPr="003101AA">
          <w:rPr>
            <w:rFonts w:ascii="Calibri" w:hAnsi="Calibri"/>
            <w:sz w:val="22"/>
            <w:szCs w:val="22"/>
          </w:rPr>
          <w:tab/>
        </w:r>
        <w:r w:rsidR="0071544A" w:rsidRPr="007E7D6A">
          <w:rPr>
            <w:rStyle w:val="Hyperlink"/>
          </w:rPr>
          <w:t>Summary of cost-effectiveness analysis for palliation (stent vs colostomy)</w:t>
        </w:r>
        <w:r w:rsidR="0071544A">
          <w:rPr>
            <w:webHidden/>
          </w:rPr>
          <w:tab/>
        </w:r>
        <w:r w:rsidR="0071544A">
          <w:rPr>
            <w:webHidden/>
          </w:rPr>
          <w:fldChar w:fldCharType="begin"/>
        </w:r>
        <w:r w:rsidR="0071544A">
          <w:rPr>
            <w:webHidden/>
          </w:rPr>
          <w:instrText xml:space="preserve"> PAGEREF _Toc327522102 \h </w:instrText>
        </w:r>
        <w:r w:rsidR="0071544A">
          <w:rPr>
            <w:webHidden/>
          </w:rPr>
        </w:r>
        <w:r w:rsidR="0071544A">
          <w:rPr>
            <w:webHidden/>
          </w:rPr>
          <w:fldChar w:fldCharType="separate"/>
        </w:r>
        <w:r w:rsidR="0071544A">
          <w:rPr>
            <w:webHidden/>
          </w:rPr>
          <w:t>96</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3" w:history="1">
        <w:r w:rsidR="0071544A" w:rsidRPr="007E7D6A">
          <w:rPr>
            <w:rStyle w:val="Hyperlink"/>
          </w:rPr>
          <w:t>Table 59</w:t>
        </w:r>
        <w:r w:rsidR="0071544A" w:rsidRPr="003101AA">
          <w:rPr>
            <w:rFonts w:ascii="Calibri" w:hAnsi="Calibri"/>
            <w:sz w:val="22"/>
            <w:szCs w:val="22"/>
          </w:rPr>
          <w:tab/>
        </w:r>
        <w:r w:rsidR="0071544A" w:rsidRPr="007E7D6A">
          <w:rPr>
            <w:rStyle w:val="Hyperlink"/>
          </w:rPr>
          <w:t>Critical point for parameters (Cost SEMS ≥ Cost of colostomy)</w:t>
        </w:r>
        <w:r w:rsidR="0071544A">
          <w:rPr>
            <w:webHidden/>
          </w:rPr>
          <w:tab/>
        </w:r>
        <w:r w:rsidR="0071544A">
          <w:rPr>
            <w:webHidden/>
          </w:rPr>
          <w:fldChar w:fldCharType="begin"/>
        </w:r>
        <w:r w:rsidR="0071544A">
          <w:rPr>
            <w:webHidden/>
          </w:rPr>
          <w:instrText xml:space="preserve"> PAGEREF _Toc327522103 \h </w:instrText>
        </w:r>
        <w:r w:rsidR="0071544A">
          <w:rPr>
            <w:webHidden/>
          </w:rPr>
        </w:r>
        <w:r w:rsidR="0071544A">
          <w:rPr>
            <w:webHidden/>
          </w:rPr>
          <w:fldChar w:fldCharType="separate"/>
        </w:r>
        <w:r w:rsidR="0071544A">
          <w:rPr>
            <w:webHidden/>
          </w:rPr>
          <w:t>98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4" w:history="1">
        <w:r w:rsidR="0071544A" w:rsidRPr="007E7D6A">
          <w:rPr>
            <w:rStyle w:val="Hyperlink"/>
          </w:rPr>
          <w:t>Table 60</w:t>
        </w:r>
        <w:r w:rsidR="0071544A" w:rsidRPr="003101AA">
          <w:rPr>
            <w:rFonts w:ascii="Calibri" w:hAnsi="Calibri"/>
            <w:sz w:val="22"/>
            <w:szCs w:val="22"/>
          </w:rPr>
          <w:tab/>
        </w:r>
        <w:r w:rsidR="0071544A" w:rsidRPr="007E7D6A">
          <w:rPr>
            <w:rStyle w:val="Hyperlink"/>
          </w:rPr>
          <w:t>Summary of model inputs for the bridge to surgery group</w:t>
        </w:r>
        <w:r w:rsidR="0071544A">
          <w:rPr>
            <w:webHidden/>
          </w:rPr>
          <w:tab/>
        </w:r>
        <w:r w:rsidR="0071544A">
          <w:rPr>
            <w:webHidden/>
          </w:rPr>
          <w:fldChar w:fldCharType="begin"/>
        </w:r>
        <w:r w:rsidR="0071544A">
          <w:rPr>
            <w:webHidden/>
          </w:rPr>
          <w:instrText xml:space="preserve"> PAGEREF _Toc327522104 \h </w:instrText>
        </w:r>
        <w:r w:rsidR="0071544A">
          <w:rPr>
            <w:webHidden/>
          </w:rPr>
        </w:r>
        <w:r w:rsidR="0071544A">
          <w:rPr>
            <w:webHidden/>
          </w:rPr>
          <w:fldChar w:fldCharType="separate"/>
        </w:r>
        <w:r w:rsidR="0071544A">
          <w:rPr>
            <w:webHidden/>
          </w:rPr>
          <w:t>102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5" w:history="1">
        <w:r w:rsidR="0071544A" w:rsidRPr="007E7D6A">
          <w:rPr>
            <w:rStyle w:val="Hyperlink"/>
          </w:rPr>
          <w:t>Table 61</w:t>
        </w:r>
        <w:r w:rsidR="0071544A" w:rsidRPr="003101AA">
          <w:rPr>
            <w:rFonts w:ascii="Calibri" w:hAnsi="Calibri"/>
            <w:sz w:val="22"/>
            <w:szCs w:val="22"/>
          </w:rPr>
          <w:tab/>
        </w:r>
        <w:r w:rsidR="0071544A" w:rsidRPr="007E7D6A">
          <w:rPr>
            <w:rStyle w:val="Hyperlink"/>
          </w:rPr>
          <w:t>Summary of cost-effectiveness analysis for bridge to surgery (SEMS vs multi-stage surgery)</w:t>
        </w:r>
        <w:r w:rsidR="0071544A">
          <w:rPr>
            <w:webHidden/>
          </w:rPr>
          <w:tab/>
        </w:r>
        <w:r w:rsidR="0071544A">
          <w:rPr>
            <w:webHidden/>
          </w:rPr>
          <w:fldChar w:fldCharType="begin"/>
        </w:r>
        <w:r w:rsidR="0071544A">
          <w:rPr>
            <w:webHidden/>
          </w:rPr>
          <w:instrText xml:space="preserve"> PAGEREF _Toc327522105 \h </w:instrText>
        </w:r>
        <w:r w:rsidR="0071544A">
          <w:rPr>
            <w:webHidden/>
          </w:rPr>
        </w:r>
        <w:r w:rsidR="0071544A">
          <w:rPr>
            <w:webHidden/>
          </w:rPr>
          <w:fldChar w:fldCharType="separate"/>
        </w:r>
        <w:r w:rsidR="0071544A">
          <w:rPr>
            <w:webHidden/>
          </w:rPr>
          <w:t>104</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6" w:history="1">
        <w:r w:rsidR="0071544A" w:rsidRPr="007E7D6A">
          <w:rPr>
            <w:rStyle w:val="Hyperlink"/>
          </w:rPr>
          <w:t>Table 62</w:t>
        </w:r>
        <w:r w:rsidR="0071544A" w:rsidRPr="003101AA">
          <w:rPr>
            <w:rFonts w:ascii="Calibri" w:hAnsi="Calibri"/>
            <w:sz w:val="22"/>
            <w:szCs w:val="22"/>
          </w:rPr>
          <w:tab/>
        </w:r>
        <w:r w:rsidR="0071544A" w:rsidRPr="007E7D6A">
          <w:rPr>
            <w:rStyle w:val="Hyperlink"/>
          </w:rPr>
          <w:t>Critical point for parameters (Cost SEMS = Cost of multi-stage surgery)</w:t>
        </w:r>
        <w:r w:rsidR="0071544A">
          <w:rPr>
            <w:webHidden/>
          </w:rPr>
          <w:tab/>
        </w:r>
        <w:r w:rsidR="0071544A">
          <w:rPr>
            <w:webHidden/>
          </w:rPr>
          <w:fldChar w:fldCharType="begin"/>
        </w:r>
        <w:r w:rsidR="0071544A">
          <w:rPr>
            <w:webHidden/>
          </w:rPr>
          <w:instrText xml:space="preserve"> PAGEREF _Toc327522106 \h </w:instrText>
        </w:r>
        <w:r w:rsidR="0071544A">
          <w:rPr>
            <w:webHidden/>
          </w:rPr>
        </w:r>
        <w:r w:rsidR="0071544A">
          <w:rPr>
            <w:webHidden/>
          </w:rPr>
          <w:fldChar w:fldCharType="separate"/>
        </w:r>
        <w:r w:rsidR="0071544A">
          <w:rPr>
            <w:webHidden/>
          </w:rPr>
          <w:t>106</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7" w:history="1">
        <w:r w:rsidR="0071544A" w:rsidRPr="007E7D6A">
          <w:rPr>
            <w:rStyle w:val="Hyperlink"/>
          </w:rPr>
          <w:t>Table 63</w:t>
        </w:r>
        <w:r w:rsidR="0071544A" w:rsidRPr="003101AA">
          <w:rPr>
            <w:rFonts w:ascii="Calibri" w:hAnsi="Calibri"/>
            <w:sz w:val="22"/>
            <w:szCs w:val="22"/>
          </w:rPr>
          <w:tab/>
        </w:r>
        <w:r w:rsidR="0071544A" w:rsidRPr="007E7D6A">
          <w:rPr>
            <w:rStyle w:val="Hyperlink"/>
          </w:rPr>
          <w:t>Summary of cost analysis for palliation only (BSC)</w:t>
        </w:r>
        <w:r w:rsidR="0071544A">
          <w:rPr>
            <w:webHidden/>
          </w:rPr>
          <w:tab/>
        </w:r>
        <w:r w:rsidR="0071544A">
          <w:rPr>
            <w:webHidden/>
          </w:rPr>
          <w:fldChar w:fldCharType="begin"/>
        </w:r>
        <w:r w:rsidR="0071544A">
          <w:rPr>
            <w:webHidden/>
          </w:rPr>
          <w:instrText xml:space="preserve"> PAGEREF _Toc327522107 \h </w:instrText>
        </w:r>
        <w:r w:rsidR="0071544A">
          <w:rPr>
            <w:webHidden/>
          </w:rPr>
        </w:r>
        <w:r w:rsidR="0071544A">
          <w:rPr>
            <w:webHidden/>
          </w:rPr>
          <w:fldChar w:fldCharType="separate"/>
        </w:r>
        <w:r w:rsidR="0071544A">
          <w:rPr>
            <w:webHidden/>
          </w:rPr>
          <w:t>107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8" w:history="1">
        <w:r w:rsidR="0071544A" w:rsidRPr="007E7D6A">
          <w:rPr>
            <w:rStyle w:val="Hyperlink"/>
          </w:rPr>
          <w:t>Table 64</w:t>
        </w:r>
        <w:r w:rsidR="0071544A" w:rsidRPr="003101AA">
          <w:rPr>
            <w:rFonts w:ascii="Calibri" w:hAnsi="Calibri"/>
            <w:sz w:val="22"/>
            <w:szCs w:val="22"/>
          </w:rPr>
          <w:tab/>
        </w:r>
        <w:r w:rsidR="0071544A" w:rsidRPr="007E7D6A">
          <w:rPr>
            <w:rStyle w:val="Hyperlink"/>
          </w:rPr>
          <w:t>Data sources used in estimating the number of colorectal cancer cases</w:t>
        </w:r>
        <w:r w:rsidR="0071544A">
          <w:rPr>
            <w:webHidden/>
          </w:rPr>
          <w:tab/>
        </w:r>
        <w:r w:rsidR="0071544A">
          <w:rPr>
            <w:webHidden/>
          </w:rPr>
          <w:fldChar w:fldCharType="begin"/>
        </w:r>
        <w:r w:rsidR="0071544A">
          <w:rPr>
            <w:webHidden/>
          </w:rPr>
          <w:instrText xml:space="preserve"> PAGEREF _Toc327522108 \h </w:instrText>
        </w:r>
        <w:r w:rsidR="0071544A">
          <w:rPr>
            <w:webHidden/>
          </w:rPr>
        </w:r>
        <w:r w:rsidR="0071544A">
          <w:rPr>
            <w:webHidden/>
          </w:rPr>
          <w:fldChar w:fldCharType="separate"/>
        </w:r>
        <w:r w:rsidR="0071544A">
          <w:rPr>
            <w:webHidden/>
          </w:rPr>
          <w:t>108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09" w:history="1">
        <w:r w:rsidR="0071544A" w:rsidRPr="007E7D6A">
          <w:rPr>
            <w:rStyle w:val="Hyperlink"/>
          </w:rPr>
          <w:t>Table 65</w:t>
        </w:r>
        <w:r w:rsidR="0071544A" w:rsidRPr="003101AA">
          <w:rPr>
            <w:rFonts w:ascii="Calibri" w:hAnsi="Calibri"/>
            <w:sz w:val="22"/>
            <w:szCs w:val="22"/>
          </w:rPr>
          <w:tab/>
        </w:r>
        <w:r w:rsidR="0071544A" w:rsidRPr="007E7D6A">
          <w:rPr>
            <w:rStyle w:val="Hyperlink"/>
          </w:rPr>
          <w:t>Estimated number of colorectal cancer cases</w:t>
        </w:r>
        <w:r w:rsidR="0071544A">
          <w:rPr>
            <w:webHidden/>
          </w:rPr>
          <w:tab/>
        </w:r>
        <w:r w:rsidR="0071544A">
          <w:rPr>
            <w:webHidden/>
          </w:rPr>
          <w:fldChar w:fldCharType="begin"/>
        </w:r>
        <w:r w:rsidR="0071544A">
          <w:rPr>
            <w:webHidden/>
          </w:rPr>
          <w:instrText xml:space="preserve"> PAGEREF _Toc327522109 \h </w:instrText>
        </w:r>
        <w:r w:rsidR="0071544A">
          <w:rPr>
            <w:webHidden/>
          </w:rPr>
        </w:r>
        <w:r w:rsidR="0071544A">
          <w:rPr>
            <w:webHidden/>
          </w:rPr>
          <w:fldChar w:fldCharType="separate"/>
        </w:r>
        <w:r w:rsidR="0071544A">
          <w:rPr>
            <w:webHidden/>
          </w:rPr>
          <w:t>108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0" w:history="1">
        <w:r w:rsidR="0071544A" w:rsidRPr="007E7D6A">
          <w:rPr>
            <w:rStyle w:val="Hyperlink"/>
          </w:rPr>
          <w:t>Table 66</w:t>
        </w:r>
        <w:r w:rsidR="0071544A" w:rsidRPr="003101AA">
          <w:rPr>
            <w:rFonts w:ascii="Calibri" w:hAnsi="Calibri"/>
            <w:sz w:val="22"/>
            <w:szCs w:val="22"/>
          </w:rPr>
          <w:tab/>
        </w:r>
        <w:r w:rsidR="0071544A" w:rsidRPr="007E7D6A">
          <w:rPr>
            <w:rStyle w:val="Hyperlink"/>
          </w:rPr>
          <w:t>Estimated number of patients to receive treatment</w:t>
        </w:r>
        <w:r w:rsidR="0071544A">
          <w:rPr>
            <w:webHidden/>
          </w:rPr>
          <w:tab/>
        </w:r>
        <w:r w:rsidR="0071544A">
          <w:rPr>
            <w:webHidden/>
          </w:rPr>
          <w:fldChar w:fldCharType="begin"/>
        </w:r>
        <w:r w:rsidR="0071544A">
          <w:rPr>
            <w:webHidden/>
          </w:rPr>
          <w:instrText xml:space="preserve"> PAGEREF _Toc327522110 \h </w:instrText>
        </w:r>
        <w:r w:rsidR="0071544A">
          <w:rPr>
            <w:webHidden/>
          </w:rPr>
        </w:r>
        <w:r w:rsidR="0071544A">
          <w:rPr>
            <w:webHidden/>
          </w:rPr>
          <w:fldChar w:fldCharType="separate"/>
        </w:r>
        <w:r w:rsidR="0071544A">
          <w:rPr>
            <w:webHidden/>
          </w:rPr>
          <w:t>109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1" w:history="1">
        <w:r w:rsidR="0071544A" w:rsidRPr="007E7D6A">
          <w:rPr>
            <w:rStyle w:val="Hyperlink"/>
          </w:rPr>
          <w:t>Table 67</w:t>
        </w:r>
        <w:r w:rsidR="0071544A" w:rsidRPr="003101AA">
          <w:rPr>
            <w:rFonts w:ascii="Calibri" w:hAnsi="Calibri"/>
            <w:sz w:val="22"/>
            <w:szCs w:val="22"/>
          </w:rPr>
          <w:tab/>
        </w:r>
        <w:r w:rsidR="0071544A" w:rsidRPr="007E7D6A">
          <w:rPr>
            <w:rStyle w:val="Hyperlink"/>
          </w:rPr>
          <w:t>Estimated costs of SEMS versus colostomy (palliation)</w:t>
        </w:r>
        <w:r w:rsidR="0071544A">
          <w:rPr>
            <w:webHidden/>
          </w:rPr>
          <w:tab/>
        </w:r>
        <w:r w:rsidR="0071544A">
          <w:rPr>
            <w:webHidden/>
          </w:rPr>
          <w:fldChar w:fldCharType="begin"/>
        </w:r>
        <w:r w:rsidR="0071544A">
          <w:rPr>
            <w:webHidden/>
          </w:rPr>
          <w:instrText xml:space="preserve"> PAGEREF _Toc327522111 \h </w:instrText>
        </w:r>
        <w:r w:rsidR="0071544A">
          <w:rPr>
            <w:webHidden/>
          </w:rPr>
        </w:r>
        <w:r w:rsidR="0071544A">
          <w:rPr>
            <w:webHidden/>
          </w:rPr>
          <w:fldChar w:fldCharType="separate"/>
        </w:r>
        <w:r w:rsidR="0071544A">
          <w:rPr>
            <w:webHidden/>
          </w:rPr>
          <w:t>110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2" w:history="1">
        <w:r w:rsidR="0071544A" w:rsidRPr="007E7D6A">
          <w:rPr>
            <w:rStyle w:val="Hyperlink"/>
          </w:rPr>
          <w:t>Table 68</w:t>
        </w:r>
        <w:r w:rsidR="0071544A" w:rsidRPr="003101AA">
          <w:rPr>
            <w:rFonts w:ascii="Calibri" w:hAnsi="Calibri"/>
            <w:sz w:val="22"/>
            <w:szCs w:val="22"/>
          </w:rPr>
          <w:tab/>
        </w:r>
        <w:r w:rsidR="0071544A" w:rsidRPr="007E7D6A">
          <w:rPr>
            <w:rStyle w:val="Hyperlink"/>
          </w:rPr>
          <w:t>Estimated total costs of SEMS versus colostomy (palliation)</w:t>
        </w:r>
        <w:r w:rsidR="0071544A">
          <w:rPr>
            <w:webHidden/>
          </w:rPr>
          <w:tab/>
        </w:r>
        <w:r w:rsidR="0071544A">
          <w:rPr>
            <w:webHidden/>
          </w:rPr>
          <w:fldChar w:fldCharType="begin"/>
        </w:r>
        <w:r w:rsidR="0071544A">
          <w:rPr>
            <w:webHidden/>
          </w:rPr>
          <w:instrText xml:space="preserve"> PAGEREF _Toc327522112 \h </w:instrText>
        </w:r>
        <w:r w:rsidR="0071544A">
          <w:rPr>
            <w:webHidden/>
          </w:rPr>
        </w:r>
        <w:r w:rsidR="0071544A">
          <w:rPr>
            <w:webHidden/>
          </w:rPr>
          <w:fldChar w:fldCharType="separate"/>
        </w:r>
        <w:r w:rsidR="0071544A">
          <w:rPr>
            <w:webHidden/>
          </w:rPr>
          <w:t>110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3" w:history="1">
        <w:r w:rsidR="0071544A" w:rsidRPr="007E7D6A">
          <w:rPr>
            <w:rStyle w:val="Hyperlink"/>
          </w:rPr>
          <w:t>Table 69</w:t>
        </w:r>
        <w:r w:rsidR="0071544A" w:rsidRPr="003101AA">
          <w:rPr>
            <w:rFonts w:ascii="Calibri" w:hAnsi="Calibri"/>
            <w:sz w:val="22"/>
            <w:szCs w:val="22"/>
          </w:rPr>
          <w:tab/>
        </w:r>
        <w:r w:rsidR="0071544A" w:rsidRPr="007E7D6A">
          <w:rPr>
            <w:rStyle w:val="Hyperlink"/>
          </w:rPr>
          <w:t>Estimated total costs of SEMS versus colostomy (lower limit)</w:t>
        </w:r>
        <w:r w:rsidR="0071544A">
          <w:rPr>
            <w:webHidden/>
          </w:rPr>
          <w:tab/>
        </w:r>
        <w:r w:rsidR="0071544A">
          <w:rPr>
            <w:webHidden/>
          </w:rPr>
          <w:fldChar w:fldCharType="begin"/>
        </w:r>
        <w:r w:rsidR="0071544A">
          <w:rPr>
            <w:webHidden/>
          </w:rPr>
          <w:instrText xml:space="preserve"> PAGEREF _Toc327522113 \h </w:instrText>
        </w:r>
        <w:r w:rsidR="0071544A">
          <w:rPr>
            <w:webHidden/>
          </w:rPr>
        </w:r>
        <w:r w:rsidR="0071544A">
          <w:rPr>
            <w:webHidden/>
          </w:rPr>
          <w:fldChar w:fldCharType="separate"/>
        </w:r>
        <w:r w:rsidR="0071544A">
          <w:rPr>
            <w:webHidden/>
          </w:rPr>
          <w:t>111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4" w:history="1">
        <w:r w:rsidR="0071544A" w:rsidRPr="007E7D6A">
          <w:rPr>
            <w:rStyle w:val="Hyperlink"/>
          </w:rPr>
          <w:t>Table 70</w:t>
        </w:r>
        <w:r w:rsidR="0071544A" w:rsidRPr="003101AA">
          <w:rPr>
            <w:rFonts w:ascii="Calibri" w:hAnsi="Calibri"/>
            <w:sz w:val="22"/>
            <w:szCs w:val="22"/>
          </w:rPr>
          <w:tab/>
        </w:r>
        <w:r w:rsidR="0071544A" w:rsidRPr="007E7D6A">
          <w:rPr>
            <w:rStyle w:val="Hyperlink"/>
          </w:rPr>
          <w:t>Estimated total costs of SEMS versus colostomy (upper limit)</w:t>
        </w:r>
        <w:r w:rsidR="0071544A">
          <w:rPr>
            <w:webHidden/>
          </w:rPr>
          <w:tab/>
        </w:r>
        <w:r w:rsidR="0071544A">
          <w:rPr>
            <w:webHidden/>
          </w:rPr>
          <w:fldChar w:fldCharType="begin"/>
        </w:r>
        <w:r w:rsidR="0071544A">
          <w:rPr>
            <w:webHidden/>
          </w:rPr>
          <w:instrText xml:space="preserve"> PAGEREF _Toc327522114 \h </w:instrText>
        </w:r>
        <w:r w:rsidR="0071544A">
          <w:rPr>
            <w:webHidden/>
          </w:rPr>
        </w:r>
        <w:r w:rsidR="0071544A">
          <w:rPr>
            <w:webHidden/>
          </w:rPr>
          <w:fldChar w:fldCharType="separate"/>
        </w:r>
        <w:r w:rsidR="0071544A">
          <w:rPr>
            <w:webHidden/>
          </w:rPr>
          <w:t>111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5" w:history="1">
        <w:r w:rsidR="0071544A" w:rsidRPr="007E7D6A">
          <w:rPr>
            <w:rStyle w:val="Hyperlink"/>
          </w:rPr>
          <w:t>Table 71</w:t>
        </w:r>
        <w:r w:rsidR="0071544A" w:rsidRPr="003101AA">
          <w:rPr>
            <w:rFonts w:ascii="Calibri" w:hAnsi="Calibri"/>
            <w:sz w:val="22"/>
            <w:szCs w:val="22"/>
          </w:rPr>
          <w:tab/>
        </w:r>
        <w:r w:rsidR="0071544A" w:rsidRPr="007E7D6A">
          <w:rPr>
            <w:rStyle w:val="Hyperlink"/>
          </w:rPr>
          <w:t>Estimated total costs of SEMS versus multi-stage surgery</w:t>
        </w:r>
        <w:r w:rsidR="0071544A">
          <w:rPr>
            <w:webHidden/>
          </w:rPr>
          <w:tab/>
        </w:r>
        <w:r w:rsidR="0071544A">
          <w:rPr>
            <w:webHidden/>
          </w:rPr>
          <w:fldChar w:fldCharType="begin"/>
        </w:r>
        <w:r w:rsidR="0071544A">
          <w:rPr>
            <w:webHidden/>
          </w:rPr>
          <w:instrText xml:space="preserve"> PAGEREF _Toc327522115 \h </w:instrText>
        </w:r>
        <w:r w:rsidR="0071544A">
          <w:rPr>
            <w:webHidden/>
          </w:rPr>
        </w:r>
        <w:r w:rsidR="0071544A">
          <w:rPr>
            <w:webHidden/>
          </w:rPr>
          <w:fldChar w:fldCharType="separate"/>
        </w:r>
        <w:r w:rsidR="0071544A">
          <w:rPr>
            <w:webHidden/>
          </w:rPr>
          <w:t>112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6" w:history="1">
        <w:r w:rsidR="0071544A" w:rsidRPr="007E7D6A">
          <w:rPr>
            <w:rStyle w:val="Hyperlink"/>
          </w:rPr>
          <w:t>Table 72</w:t>
        </w:r>
        <w:r w:rsidR="0071544A" w:rsidRPr="003101AA">
          <w:rPr>
            <w:rFonts w:ascii="Calibri" w:hAnsi="Calibri"/>
            <w:sz w:val="22"/>
            <w:szCs w:val="22"/>
          </w:rPr>
          <w:tab/>
        </w:r>
        <w:r w:rsidR="0071544A" w:rsidRPr="007E7D6A">
          <w:rPr>
            <w:rStyle w:val="Hyperlink"/>
          </w:rPr>
          <w:t>Estimated total costs of SEMS versus multi-stage surgery (lower limit)</w:t>
        </w:r>
        <w:r w:rsidR="0071544A">
          <w:rPr>
            <w:webHidden/>
          </w:rPr>
          <w:tab/>
        </w:r>
        <w:r w:rsidR="0071544A">
          <w:rPr>
            <w:webHidden/>
          </w:rPr>
          <w:fldChar w:fldCharType="begin"/>
        </w:r>
        <w:r w:rsidR="0071544A">
          <w:rPr>
            <w:webHidden/>
          </w:rPr>
          <w:instrText xml:space="preserve"> PAGEREF _Toc327522116 \h </w:instrText>
        </w:r>
        <w:r w:rsidR="0071544A">
          <w:rPr>
            <w:webHidden/>
          </w:rPr>
        </w:r>
        <w:r w:rsidR="0071544A">
          <w:rPr>
            <w:webHidden/>
          </w:rPr>
          <w:fldChar w:fldCharType="separate"/>
        </w:r>
        <w:r w:rsidR="0071544A">
          <w:rPr>
            <w:webHidden/>
          </w:rPr>
          <w:t>112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7" w:history="1">
        <w:r w:rsidR="0071544A" w:rsidRPr="007E7D6A">
          <w:rPr>
            <w:rStyle w:val="Hyperlink"/>
          </w:rPr>
          <w:t>Table 73</w:t>
        </w:r>
        <w:r w:rsidR="0071544A" w:rsidRPr="003101AA">
          <w:rPr>
            <w:rFonts w:ascii="Calibri" w:hAnsi="Calibri"/>
            <w:sz w:val="22"/>
            <w:szCs w:val="22"/>
          </w:rPr>
          <w:tab/>
        </w:r>
        <w:r w:rsidR="0071544A" w:rsidRPr="007E7D6A">
          <w:rPr>
            <w:rStyle w:val="Hyperlink"/>
          </w:rPr>
          <w:t>Estimated total costs of SEMS versus multi-stage surgery (upper limit)</w:t>
        </w:r>
        <w:r w:rsidR="0071544A">
          <w:rPr>
            <w:webHidden/>
          </w:rPr>
          <w:tab/>
        </w:r>
        <w:r w:rsidR="0071544A">
          <w:rPr>
            <w:webHidden/>
          </w:rPr>
          <w:fldChar w:fldCharType="begin"/>
        </w:r>
        <w:r w:rsidR="0071544A">
          <w:rPr>
            <w:webHidden/>
          </w:rPr>
          <w:instrText xml:space="preserve"> PAGEREF _Toc327522117 \h </w:instrText>
        </w:r>
        <w:r w:rsidR="0071544A">
          <w:rPr>
            <w:webHidden/>
          </w:rPr>
        </w:r>
        <w:r w:rsidR="0071544A">
          <w:rPr>
            <w:webHidden/>
          </w:rPr>
          <w:fldChar w:fldCharType="separate"/>
        </w:r>
        <w:r w:rsidR="0071544A">
          <w:rPr>
            <w:webHidden/>
          </w:rPr>
          <w:t>112</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8" w:history="1">
        <w:r w:rsidR="0071544A" w:rsidRPr="007E7D6A">
          <w:rPr>
            <w:rStyle w:val="Hyperlink"/>
          </w:rPr>
          <w:t>Table 74</w:t>
        </w:r>
        <w:r w:rsidR="0071544A" w:rsidRPr="003101AA">
          <w:rPr>
            <w:rFonts w:ascii="Calibri" w:hAnsi="Calibri"/>
            <w:sz w:val="22"/>
            <w:szCs w:val="22"/>
          </w:rPr>
          <w:tab/>
        </w:r>
        <w:r w:rsidR="0071544A" w:rsidRPr="007E7D6A">
          <w:rPr>
            <w:rStyle w:val="Hyperlink"/>
          </w:rPr>
          <w:t>Estimated total costs of SEMS versus palliation only (BSC) (lower limit)</w:t>
        </w:r>
        <w:r w:rsidR="0071544A">
          <w:rPr>
            <w:webHidden/>
          </w:rPr>
          <w:tab/>
        </w:r>
        <w:r w:rsidR="0071544A">
          <w:rPr>
            <w:webHidden/>
          </w:rPr>
          <w:fldChar w:fldCharType="begin"/>
        </w:r>
        <w:r w:rsidR="0071544A">
          <w:rPr>
            <w:webHidden/>
          </w:rPr>
          <w:instrText xml:space="preserve"> PAGEREF _Toc327522118 \h </w:instrText>
        </w:r>
        <w:r w:rsidR="0071544A">
          <w:rPr>
            <w:webHidden/>
          </w:rPr>
        </w:r>
        <w:r w:rsidR="0071544A">
          <w:rPr>
            <w:webHidden/>
          </w:rPr>
          <w:fldChar w:fldCharType="separate"/>
        </w:r>
        <w:r w:rsidR="0071544A">
          <w:rPr>
            <w:webHidden/>
          </w:rPr>
          <w:t>113</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19" w:history="1">
        <w:r w:rsidR="0071544A" w:rsidRPr="007E7D6A">
          <w:rPr>
            <w:rStyle w:val="Hyperlink"/>
          </w:rPr>
          <w:t>Table 75</w:t>
        </w:r>
        <w:r w:rsidR="0071544A" w:rsidRPr="003101AA">
          <w:rPr>
            <w:rFonts w:ascii="Calibri" w:hAnsi="Calibri"/>
            <w:sz w:val="22"/>
            <w:szCs w:val="22"/>
          </w:rPr>
          <w:tab/>
        </w:r>
        <w:r w:rsidR="0071544A" w:rsidRPr="007E7D6A">
          <w:rPr>
            <w:rStyle w:val="Hyperlink"/>
          </w:rPr>
          <w:t>Estimated total costs of SEMS versus palliation only (BSC) (upper limit)</w:t>
        </w:r>
        <w:r w:rsidR="0071544A">
          <w:rPr>
            <w:webHidden/>
          </w:rPr>
          <w:tab/>
        </w:r>
        <w:r w:rsidR="0071544A">
          <w:rPr>
            <w:webHidden/>
          </w:rPr>
          <w:fldChar w:fldCharType="begin"/>
        </w:r>
        <w:r w:rsidR="0071544A">
          <w:rPr>
            <w:webHidden/>
          </w:rPr>
          <w:instrText xml:space="preserve"> PAGEREF _Toc327522119 \h </w:instrText>
        </w:r>
        <w:r w:rsidR="0071544A">
          <w:rPr>
            <w:webHidden/>
          </w:rPr>
        </w:r>
        <w:r w:rsidR="0071544A">
          <w:rPr>
            <w:webHidden/>
          </w:rPr>
          <w:fldChar w:fldCharType="separate"/>
        </w:r>
        <w:r w:rsidR="0071544A">
          <w:rPr>
            <w:webHidden/>
          </w:rPr>
          <w:t>113</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20" w:history="1">
        <w:r w:rsidR="0071544A" w:rsidRPr="007E7D6A">
          <w:rPr>
            <w:rStyle w:val="Hyperlink"/>
          </w:rPr>
          <w:t>Table 76</w:t>
        </w:r>
        <w:r w:rsidR="0071544A" w:rsidRPr="003101AA">
          <w:rPr>
            <w:rFonts w:ascii="Calibri" w:hAnsi="Calibri"/>
            <w:sz w:val="22"/>
            <w:szCs w:val="22"/>
          </w:rPr>
          <w:tab/>
        </w:r>
        <w:r w:rsidR="0071544A" w:rsidRPr="007E7D6A">
          <w:rPr>
            <w:rStyle w:val="Hyperlink"/>
          </w:rPr>
          <w:t>Completed body of evidence assessment matrix</w:t>
        </w:r>
        <w:r w:rsidR="0071544A">
          <w:rPr>
            <w:webHidden/>
          </w:rPr>
          <w:tab/>
        </w:r>
        <w:r w:rsidR="0071544A">
          <w:rPr>
            <w:webHidden/>
          </w:rPr>
          <w:fldChar w:fldCharType="begin"/>
        </w:r>
        <w:r w:rsidR="0071544A">
          <w:rPr>
            <w:webHidden/>
          </w:rPr>
          <w:instrText xml:space="preserve"> PAGEREF _Toc327522120 \h </w:instrText>
        </w:r>
        <w:r w:rsidR="0071544A">
          <w:rPr>
            <w:webHidden/>
          </w:rPr>
        </w:r>
        <w:r w:rsidR="0071544A">
          <w:rPr>
            <w:webHidden/>
          </w:rPr>
          <w:fldChar w:fldCharType="separate"/>
        </w:r>
        <w:r w:rsidR="0071544A">
          <w:rPr>
            <w:webHidden/>
          </w:rPr>
          <w:t>118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21" w:history="1">
        <w:r w:rsidR="0071544A" w:rsidRPr="007E7D6A">
          <w:rPr>
            <w:rStyle w:val="Hyperlink"/>
          </w:rPr>
          <w:t>Table 77</w:t>
        </w:r>
        <w:r w:rsidR="0071544A" w:rsidRPr="003101AA">
          <w:rPr>
            <w:rFonts w:ascii="Calibri" w:hAnsi="Calibri"/>
            <w:sz w:val="22"/>
            <w:szCs w:val="22"/>
          </w:rPr>
          <w:tab/>
        </w:r>
        <w:r w:rsidR="0071544A" w:rsidRPr="007E7D6A">
          <w:rPr>
            <w:rStyle w:val="Hyperlink"/>
          </w:rPr>
          <w:t>Electronic databases searched</w:t>
        </w:r>
        <w:r w:rsidR="0071544A">
          <w:rPr>
            <w:webHidden/>
          </w:rPr>
          <w:tab/>
        </w:r>
        <w:r w:rsidR="0071544A">
          <w:rPr>
            <w:webHidden/>
          </w:rPr>
          <w:fldChar w:fldCharType="begin"/>
        </w:r>
        <w:r w:rsidR="0071544A">
          <w:rPr>
            <w:webHidden/>
          </w:rPr>
          <w:instrText xml:space="preserve"> PAGEREF _Toc327522121 \h </w:instrText>
        </w:r>
        <w:r w:rsidR="0071544A">
          <w:rPr>
            <w:webHidden/>
          </w:rPr>
        </w:r>
        <w:r w:rsidR="0071544A">
          <w:rPr>
            <w:webHidden/>
          </w:rPr>
          <w:fldChar w:fldCharType="separate"/>
        </w:r>
        <w:r w:rsidR="0071544A">
          <w:rPr>
            <w:webHidden/>
          </w:rPr>
          <w:t>129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22" w:history="1">
        <w:r w:rsidR="0071544A" w:rsidRPr="007E7D6A">
          <w:rPr>
            <w:rStyle w:val="Hyperlink"/>
          </w:rPr>
          <w:t>Table 78</w:t>
        </w:r>
        <w:r w:rsidR="0071544A" w:rsidRPr="003101AA">
          <w:rPr>
            <w:rFonts w:ascii="Calibri" w:hAnsi="Calibri"/>
            <w:sz w:val="22"/>
            <w:szCs w:val="22"/>
          </w:rPr>
          <w:tab/>
        </w:r>
        <w:r w:rsidR="0071544A" w:rsidRPr="007E7D6A">
          <w:rPr>
            <w:rStyle w:val="Hyperlink"/>
          </w:rPr>
          <w:t>Electronic internet databases searched</w:t>
        </w:r>
        <w:r w:rsidR="0071544A">
          <w:rPr>
            <w:webHidden/>
          </w:rPr>
          <w:tab/>
        </w:r>
        <w:r w:rsidR="0071544A">
          <w:rPr>
            <w:webHidden/>
          </w:rPr>
          <w:fldChar w:fldCharType="begin"/>
        </w:r>
        <w:r w:rsidR="0071544A">
          <w:rPr>
            <w:webHidden/>
          </w:rPr>
          <w:instrText xml:space="preserve"> PAGEREF _Toc327522122 \h </w:instrText>
        </w:r>
        <w:r w:rsidR="0071544A">
          <w:rPr>
            <w:webHidden/>
          </w:rPr>
        </w:r>
        <w:r w:rsidR="0071544A">
          <w:rPr>
            <w:webHidden/>
          </w:rPr>
          <w:fldChar w:fldCharType="separate"/>
        </w:r>
        <w:r w:rsidR="0071544A">
          <w:rPr>
            <w:webHidden/>
          </w:rPr>
          <w:t>129</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23" w:history="1">
        <w:r w:rsidR="0071544A" w:rsidRPr="007E7D6A">
          <w:rPr>
            <w:rStyle w:val="Hyperlink"/>
          </w:rPr>
          <w:t>Table 79</w:t>
        </w:r>
        <w:r w:rsidR="0071544A" w:rsidRPr="003101AA">
          <w:rPr>
            <w:rFonts w:ascii="Calibri" w:hAnsi="Calibri"/>
            <w:sz w:val="22"/>
            <w:szCs w:val="22"/>
          </w:rPr>
          <w:tab/>
        </w:r>
        <w:r w:rsidR="0071544A" w:rsidRPr="007E7D6A">
          <w:rPr>
            <w:rStyle w:val="Hyperlink"/>
          </w:rPr>
          <w:t>Health technology assessment internet sites searched</w:t>
        </w:r>
        <w:r w:rsidR="0071544A">
          <w:rPr>
            <w:webHidden/>
          </w:rPr>
          <w:tab/>
        </w:r>
        <w:r w:rsidR="0071544A">
          <w:rPr>
            <w:webHidden/>
          </w:rPr>
          <w:fldChar w:fldCharType="begin"/>
        </w:r>
        <w:r w:rsidR="0071544A">
          <w:rPr>
            <w:webHidden/>
          </w:rPr>
          <w:instrText xml:space="preserve"> PAGEREF _Toc327522123 \h </w:instrText>
        </w:r>
        <w:r w:rsidR="0071544A">
          <w:rPr>
            <w:webHidden/>
          </w:rPr>
        </w:r>
        <w:r w:rsidR="0071544A">
          <w:rPr>
            <w:webHidden/>
          </w:rPr>
          <w:fldChar w:fldCharType="separate"/>
        </w:r>
        <w:r w:rsidR="0071544A">
          <w:rPr>
            <w:webHidden/>
          </w:rPr>
          <w:t>130</w:t>
        </w:r>
        <w:r w:rsidR="0071544A">
          <w:rPr>
            <w:webHidden/>
          </w:rPr>
          <w:fldChar w:fldCharType="end"/>
        </w:r>
      </w:hyperlink>
    </w:p>
    <w:p w:rsidR="008F59A8" w:rsidRPr="003A67FE" w:rsidRDefault="00F85E97" w:rsidP="00924D47">
      <w:pPr>
        <w:pStyle w:val="TableofFigures"/>
      </w:pPr>
      <w:r w:rsidRPr="003A67FE">
        <w:fldChar w:fldCharType="end"/>
      </w:r>
    </w:p>
    <w:p w:rsidR="00452F32" w:rsidRPr="003A67FE" w:rsidRDefault="008F59A8" w:rsidP="007F6EF6">
      <w:pPr>
        <w:pStyle w:val="Heading2a"/>
      </w:pPr>
      <w:r w:rsidRPr="003A67FE">
        <w:lastRenderedPageBreak/>
        <w:t>Figures</w:t>
      </w:r>
    </w:p>
    <w:p w:rsidR="0071544A" w:rsidRPr="003101AA" w:rsidRDefault="00452F32">
      <w:pPr>
        <w:pStyle w:val="TableofFigures"/>
        <w:rPr>
          <w:rFonts w:ascii="Calibri" w:hAnsi="Calibri"/>
          <w:sz w:val="22"/>
          <w:szCs w:val="22"/>
        </w:rPr>
      </w:pPr>
      <w:r w:rsidRPr="003A67FE">
        <w:fldChar w:fldCharType="begin"/>
      </w:r>
      <w:r w:rsidRPr="003A67FE">
        <w:instrText xml:space="preserve"> TOC \h \z \c "Figure" </w:instrText>
      </w:r>
      <w:r w:rsidRPr="003A67FE">
        <w:fldChar w:fldCharType="separate"/>
      </w:r>
      <w:hyperlink w:anchor="_Toc327522124" w:history="1">
        <w:r w:rsidR="0071544A" w:rsidRPr="003A4F55">
          <w:rPr>
            <w:rStyle w:val="Hyperlink"/>
          </w:rPr>
          <w:t>Figure 1</w:t>
        </w:r>
        <w:r w:rsidR="0071544A" w:rsidRPr="003101AA">
          <w:rPr>
            <w:rFonts w:ascii="Calibri" w:hAnsi="Calibri"/>
            <w:sz w:val="22"/>
            <w:szCs w:val="22"/>
          </w:rPr>
          <w:tab/>
        </w:r>
        <w:r w:rsidR="0071544A" w:rsidRPr="003A4F55">
          <w:rPr>
            <w:rStyle w:val="Hyperlink"/>
          </w:rPr>
          <w:t>Current clinical management algorithm of intestinal obstruction caused by colorectal cancer</w:t>
        </w:r>
        <w:r w:rsidR="0071544A">
          <w:rPr>
            <w:webHidden/>
          </w:rPr>
          <w:tab/>
        </w:r>
        <w:r w:rsidR="0071544A">
          <w:rPr>
            <w:webHidden/>
          </w:rPr>
          <w:fldChar w:fldCharType="begin"/>
        </w:r>
        <w:r w:rsidR="0071544A">
          <w:rPr>
            <w:webHidden/>
          </w:rPr>
          <w:instrText xml:space="preserve"> PAGEREF _Toc327522124 \h </w:instrText>
        </w:r>
        <w:r w:rsidR="0071544A">
          <w:rPr>
            <w:webHidden/>
          </w:rPr>
        </w:r>
        <w:r w:rsidR="0071544A">
          <w:rPr>
            <w:webHidden/>
          </w:rPr>
          <w:fldChar w:fldCharType="separate"/>
        </w:r>
        <w:r w:rsidR="0071544A">
          <w:rPr>
            <w:webHidden/>
          </w:rPr>
          <w:t>6</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25" w:history="1">
        <w:r w:rsidR="0071544A" w:rsidRPr="003A4F55">
          <w:rPr>
            <w:rStyle w:val="Hyperlink"/>
          </w:rPr>
          <w:t>Figure 2</w:t>
        </w:r>
        <w:r w:rsidR="0071544A" w:rsidRPr="003101AA">
          <w:rPr>
            <w:rFonts w:ascii="Calibri" w:hAnsi="Calibri"/>
            <w:sz w:val="22"/>
            <w:szCs w:val="22"/>
          </w:rPr>
          <w:tab/>
        </w:r>
        <w:r w:rsidR="0071544A" w:rsidRPr="003A4F55">
          <w:rPr>
            <w:rStyle w:val="Hyperlink"/>
          </w:rPr>
          <w:t>Proposed clinical management algorithm (once SEMS insertion introduced)</w:t>
        </w:r>
        <w:r w:rsidR="0071544A">
          <w:rPr>
            <w:webHidden/>
          </w:rPr>
          <w:tab/>
        </w:r>
        <w:r w:rsidR="0071544A">
          <w:rPr>
            <w:webHidden/>
          </w:rPr>
          <w:fldChar w:fldCharType="begin"/>
        </w:r>
        <w:r w:rsidR="0071544A">
          <w:rPr>
            <w:webHidden/>
          </w:rPr>
          <w:instrText xml:space="preserve"> PAGEREF _Toc327522125 \h </w:instrText>
        </w:r>
        <w:r w:rsidR="0071544A">
          <w:rPr>
            <w:webHidden/>
          </w:rPr>
        </w:r>
        <w:r w:rsidR="0071544A">
          <w:rPr>
            <w:webHidden/>
          </w:rPr>
          <w:fldChar w:fldCharType="separate"/>
        </w:r>
        <w:r w:rsidR="0071544A">
          <w:rPr>
            <w:webHidden/>
          </w:rPr>
          <w:t>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26" w:history="1">
        <w:r w:rsidR="0071544A" w:rsidRPr="003A4F55">
          <w:rPr>
            <w:rStyle w:val="Hyperlink"/>
          </w:rPr>
          <w:t>Figure 3</w:t>
        </w:r>
        <w:r w:rsidR="0071544A" w:rsidRPr="003101AA">
          <w:rPr>
            <w:rFonts w:ascii="Calibri" w:hAnsi="Calibri"/>
            <w:sz w:val="22"/>
            <w:szCs w:val="22"/>
          </w:rPr>
          <w:tab/>
        </w:r>
        <w:r w:rsidR="0071544A" w:rsidRPr="003A4F55">
          <w:rPr>
            <w:rStyle w:val="Hyperlink"/>
          </w:rPr>
          <w:t>Decision tree for patients requiring palliation (SEMS versus colostomy)</w:t>
        </w:r>
        <w:r w:rsidR="0071544A">
          <w:rPr>
            <w:webHidden/>
          </w:rPr>
          <w:tab/>
        </w:r>
        <w:r w:rsidR="0071544A">
          <w:rPr>
            <w:webHidden/>
          </w:rPr>
          <w:fldChar w:fldCharType="begin"/>
        </w:r>
        <w:r w:rsidR="0071544A">
          <w:rPr>
            <w:webHidden/>
          </w:rPr>
          <w:instrText xml:space="preserve"> PAGEREF _Toc327522126 \h </w:instrText>
        </w:r>
        <w:r w:rsidR="0071544A">
          <w:rPr>
            <w:webHidden/>
          </w:rPr>
        </w:r>
        <w:r w:rsidR="0071544A">
          <w:rPr>
            <w:webHidden/>
          </w:rPr>
          <w:fldChar w:fldCharType="separate"/>
        </w:r>
        <w:r w:rsidR="0071544A">
          <w:rPr>
            <w:webHidden/>
          </w:rPr>
          <w:t>14</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27" w:history="1">
        <w:r w:rsidR="0071544A" w:rsidRPr="003A4F55">
          <w:rPr>
            <w:rStyle w:val="Hyperlink"/>
          </w:rPr>
          <w:t>Figure 4</w:t>
        </w:r>
        <w:r w:rsidR="0071544A" w:rsidRPr="003101AA">
          <w:rPr>
            <w:rFonts w:ascii="Calibri" w:hAnsi="Calibri"/>
            <w:sz w:val="22"/>
            <w:szCs w:val="22"/>
          </w:rPr>
          <w:tab/>
        </w:r>
        <w:r w:rsidR="0071544A" w:rsidRPr="003A4F55">
          <w:rPr>
            <w:rStyle w:val="Hyperlink"/>
          </w:rPr>
          <w:t>Decision tree for patients requiring a bridge-to-surgery (SEMS versus colostomy/ Hartmann’s procedure)</w:t>
        </w:r>
        <w:r w:rsidR="0071544A">
          <w:rPr>
            <w:webHidden/>
          </w:rPr>
          <w:tab/>
        </w:r>
        <w:r w:rsidR="0071544A">
          <w:rPr>
            <w:webHidden/>
          </w:rPr>
          <w:fldChar w:fldCharType="begin"/>
        </w:r>
        <w:r w:rsidR="0071544A">
          <w:rPr>
            <w:webHidden/>
          </w:rPr>
          <w:instrText xml:space="preserve"> PAGEREF _Toc327522127 \h </w:instrText>
        </w:r>
        <w:r w:rsidR="0071544A">
          <w:rPr>
            <w:webHidden/>
          </w:rPr>
        </w:r>
        <w:r w:rsidR="0071544A">
          <w:rPr>
            <w:webHidden/>
          </w:rPr>
          <w:fldChar w:fldCharType="separate"/>
        </w:r>
        <w:r w:rsidR="0071544A">
          <w:rPr>
            <w:webHidden/>
          </w:rPr>
          <w:t>15</w:t>
        </w:r>
        <w:r w:rsidR="0071544A">
          <w:rPr>
            <w:webHidden/>
          </w:rPr>
          <w:fldChar w:fldCharType="end"/>
        </w:r>
      </w:hyperlink>
    </w:p>
    <w:p w:rsidR="0071544A" w:rsidRPr="003101AA" w:rsidRDefault="0042762F">
      <w:pPr>
        <w:pStyle w:val="TableofFigures"/>
        <w:rPr>
          <w:rFonts w:ascii="Calibri" w:hAnsi="Calibri"/>
          <w:sz w:val="22"/>
          <w:szCs w:val="22"/>
        </w:rPr>
      </w:pPr>
      <w:hyperlink r:id="rId10" w:anchor="_Toc327522128" w:history="1">
        <w:r w:rsidR="0071544A" w:rsidRPr="003A4F55">
          <w:rPr>
            <w:rStyle w:val="Hyperlink"/>
          </w:rPr>
          <w:t xml:space="preserve">Figure 5 </w:t>
        </w:r>
        <w:r w:rsidR="0071544A" w:rsidRPr="003101AA">
          <w:rPr>
            <w:rFonts w:ascii="Calibri" w:hAnsi="Calibri"/>
            <w:sz w:val="22"/>
            <w:szCs w:val="22"/>
          </w:rPr>
          <w:tab/>
        </w:r>
        <w:r w:rsidR="0071544A" w:rsidRPr="003A4F55">
          <w:rPr>
            <w:rStyle w:val="Hyperlink"/>
          </w:rPr>
          <w:t>Current clinical management algorithm</w:t>
        </w:r>
        <w:r w:rsidR="0071544A">
          <w:rPr>
            <w:webHidden/>
          </w:rPr>
          <w:tab/>
        </w:r>
        <w:r w:rsidR="0071544A">
          <w:rPr>
            <w:webHidden/>
          </w:rPr>
          <w:fldChar w:fldCharType="begin"/>
        </w:r>
        <w:r w:rsidR="0071544A">
          <w:rPr>
            <w:webHidden/>
          </w:rPr>
          <w:instrText xml:space="preserve"> PAGEREF _Toc327522128 \h </w:instrText>
        </w:r>
        <w:r w:rsidR="0071544A">
          <w:rPr>
            <w:webHidden/>
          </w:rPr>
        </w:r>
        <w:r w:rsidR="0071544A">
          <w:rPr>
            <w:webHidden/>
          </w:rPr>
          <w:fldChar w:fldCharType="separate"/>
        </w:r>
        <w:r w:rsidR="0071544A">
          <w:rPr>
            <w:webHidden/>
          </w:rPr>
          <w:t>34</w:t>
        </w:r>
        <w:r w:rsidR="0071544A">
          <w:rPr>
            <w:webHidden/>
          </w:rPr>
          <w:fldChar w:fldCharType="end"/>
        </w:r>
      </w:hyperlink>
    </w:p>
    <w:p w:rsidR="0071544A" w:rsidRPr="003101AA" w:rsidRDefault="0042762F">
      <w:pPr>
        <w:pStyle w:val="TableofFigures"/>
        <w:rPr>
          <w:rFonts w:ascii="Calibri" w:hAnsi="Calibri"/>
          <w:sz w:val="22"/>
          <w:szCs w:val="22"/>
        </w:rPr>
      </w:pPr>
      <w:hyperlink r:id="rId11" w:anchor="_Toc327522129" w:history="1">
        <w:r w:rsidR="0071544A" w:rsidRPr="003A4F55">
          <w:rPr>
            <w:rStyle w:val="Hyperlink"/>
          </w:rPr>
          <w:t xml:space="preserve">Figure 6 </w:t>
        </w:r>
        <w:r w:rsidR="0071544A" w:rsidRPr="003101AA">
          <w:rPr>
            <w:rFonts w:ascii="Calibri" w:hAnsi="Calibri"/>
            <w:sz w:val="22"/>
            <w:szCs w:val="22"/>
          </w:rPr>
          <w:tab/>
        </w:r>
        <w:r w:rsidR="0071544A" w:rsidRPr="003A4F55">
          <w:rPr>
            <w:rStyle w:val="Hyperlink"/>
          </w:rPr>
          <w:t>Proposed clinical management algorithm</w:t>
        </w:r>
        <w:r w:rsidR="0071544A">
          <w:rPr>
            <w:webHidden/>
          </w:rPr>
          <w:tab/>
        </w:r>
        <w:r w:rsidR="0071544A">
          <w:rPr>
            <w:webHidden/>
          </w:rPr>
          <w:fldChar w:fldCharType="begin"/>
        </w:r>
        <w:r w:rsidR="0071544A">
          <w:rPr>
            <w:webHidden/>
          </w:rPr>
          <w:instrText xml:space="preserve"> PAGEREF _Toc327522129 \h </w:instrText>
        </w:r>
        <w:r w:rsidR="0071544A">
          <w:rPr>
            <w:webHidden/>
          </w:rPr>
        </w:r>
        <w:r w:rsidR="0071544A">
          <w:rPr>
            <w:webHidden/>
          </w:rPr>
          <w:fldChar w:fldCharType="separate"/>
        </w:r>
        <w:r w:rsidR="0071544A">
          <w:rPr>
            <w:webHidden/>
          </w:rPr>
          <w:t>35</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30" w:history="1">
        <w:r w:rsidR="0071544A" w:rsidRPr="003A4F55">
          <w:rPr>
            <w:rStyle w:val="Hyperlink"/>
          </w:rPr>
          <w:t>Figure 7</w:t>
        </w:r>
        <w:r w:rsidR="0071544A" w:rsidRPr="003101AA">
          <w:rPr>
            <w:rFonts w:ascii="Calibri" w:hAnsi="Calibri"/>
            <w:sz w:val="22"/>
            <w:szCs w:val="22"/>
          </w:rPr>
          <w:tab/>
        </w:r>
        <w:r w:rsidR="0071544A" w:rsidRPr="003A4F55">
          <w:rPr>
            <w:rStyle w:val="Hyperlink"/>
          </w:rPr>
          <w:t>Summary of the process used to identify and select studies for the review</w:t>
        </w:r>
        <w:r w:rsidR="0071544A">
          <w:rPr>
            <w:webHidden/>
          </w:rPr>
          <w:tab/>
        </w:r>
        <w:r w:rsidR="0071544A">
          <w:rPr>
            <w:webHidden/>
          </w:rPr>
          <w:fldChar w:fldCharType="begin"/>
        </w:r>
        <w:r w:rsidR="0071544A">
          <w:rPr>
            <w:webHidden/>
          </w:rPr>
          <w:instrText xml:space="preserve"> PAGEREF _Toc327522130 \h </w:instrText>
        </w:r>
        <w:r w:rsidR="0071544A">
          <w:rPr>
            <w:webHidden/>
          </w:rPr>
        </w:r>
        <w:r w:rsidR="0071544A">
          <w:rPr>
            <w:webHidden/>
          </w:rPr>
          <w:fldChar w:fldCharType="separate"/>
        </w:r>
        <w:r w:rsidR="0071544A">
          <w:rPr>
            <w:webHidden/>
          </w:rPr>
          <w:t>41</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31" w:history="1">
        <w:r w:rsidR="0071544A" w:rsidRPr="003A4F55">
          <w:rPr>
            <w:rStyle w:val="Hyperlink"/>
          </w:rPr>
          <w:t xml:space="preserve">Figure 8 </w:t>
        </w:r>
        <w:r w:rsidR="0071544A" w:rsidRPr="003101AA">
          <w:rPr>
            <w:rFonts w:ascii="Calibri" w:hAnsi="Calibri"/>
            <w:sz w:val="22"/>
            <w:szCs w:val="22"/>
          </w:rPr>
          <w:tab/>
        </w:r>
        <w:r w:rsidR="0071544A" w:rsidRPr="003A4F55">
          <w:rPr>
            <w:rStyle w:val="Hyperlink"/>
          </w:rPr>
          <w:t>Decision tree used in the economic model for patients requiring palliation (stent vs. colostomy)</w:t>
        </w:r>
        <w:r w:rsidR="0071544A">
          <w:rPr>
            <w:webHidden/>
          </w:rPr>
          <w:tab/>
        </w:r>
        <w:r w:rsidR="0071544A">
          <w:rPr>
            <w:webHidden/>
          </w:rPr>
          <w:fldChar w:fldCharType="begin"/>
        </w:r>
        <w:r w:rsidR="0071544A">
          <w:rPr>
            <w:webHidden/>
          </w:rPr>
          <w:instrText xml:space="preserve"> PAGEREF _Toc327522131 \h </w:instrText>
        </w:r>
        <w:r w:rsidR="0071544A">
          <w:rPr>
            <w:webHidden/>
          </w:rPr>
        </w:r>
        <w:r w:rsidR="0071544A">
          <w:rPr>
            <w:webHidden/>
          </w:rPr>
          <w:fldChar w:fldCharType="separate"/>
        </w:r>
        <w:r w:rsidR="0071544A">
          <w:rPr>
            <w:webHidden/>
          </w:rPr>
          <w:t>93</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32" w:history="1">
        <w:r w:rsidR="0071544A" w:rsidRPr="003A4F55">
          <w:rPr>
            <w:rStyle w:val="Hyperlink"/>
          </w:rPr>
          <w:t>Figure 9</w:t>
        </w:r>
        <w:r w:rsidR="0071544A" w:rsidRPr="003101AA">
          <w:rPr>
            <w:rFonts w:ascii="Calibri" w:hAnsi="Calibri"/>
            <w:sz w:val="22"/>
            <w:szCs w:val="22"/>
          </w:rPr>
          <w:tab/>
        </w:r>
        <w:r w:rsidR="0071544A" w:rsidRPr="003A4F55">
          <w:rPr>
            <w:rStyle w:val="Hyperlink"/>
          </w:rPr>
          <w:t>One-way sensitivity analysis (SEMS vs. colostomy)</w:t>
        </w:r>
        <w:r w:rsidR="0071544A">
          <w:rPr>
            <w:webHidden/>
          </w:rPr>
          <w:tab/>
        </w:r>
        <w:r w:rsidR="0071544A">
          <w:rPr>
            <w:webHidden/>
          </w:rPr>
          <w:fldChar w:fldCharType="begin"/>
        </w:r>
        <w:r w:rsidR="0071544A">
          <w:rPr>
            <w:webHidden/>
          </w:rPr>
          <w:instrText xml:space="preserve"> PAGEREF _Toc327522132 \h </w:instrText>
        </w:r>
        <w:r w:rsidR="0071544A">
          <w:rPr>
            <w:webHidden/>
          </w:rPr>
        </w:r>
        <w:r w:rsidR="0071544A">
          <w:rPr>
            <w:webHidden/>
          </w:rPr>
          <w:fldChar w:fldCharType="separate"/>
        </w:r>
        <w:r w:rsidR="0071544A">
          <w:rPr>
            <w:webHidden/>
          </w:rPr>
          <w:t>97</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33" w:history="1">
        <w:r w:rsidR="0071544A" w:rsidRPr="003A4F55">
          <w:rPr>
            <w:rStyle w:val="Hyperlink"/>
          </w:rPr>
          <w:t>Figure 10</w:t>
        </w:r>
        <w:r w:rsidR="0071544A" w:rsidRPr="003101AA">
          <w:rPr>
            <w:rFonts w:ascii="Calibri" w:hAnsi="Calibri"/>
            <w:sz w:val="22"/>
            <w:szCs w:val="22"/>
          </w:rPr>
          <w:tab/>
        </w:r>
        <w:r w:rsidR="0071544A" w:rsidRPr="003A4F55">
          <w:rPr>
            <w:rStyle w:val="Hyperlink"/>
          </w:rPr>
          <w:t>LOS stent versus LOS colostomy (WTP=$50,000/QALY)</w:t>
        </w:r>
        <w:r w:rsidR="0071544A">
          <w:rPr>
            <w:webHidden/>
          </w:rPr>
          <w:tab/>
        </w:r>
        <w:r w:rsidR="0071544A">
          <w:rPr>
            <w:webHidden/>
          </w:rPr>
          <w:fldChar w:fldCharType="begin"/>
        </w:r>
        <w:r w:rsidR="0071544A">
          <w:rPr>
            <w:webHidden/>
          </w:rPr>
          <w:instrText xml:space="preserve"> PAGEREF _Toc327522133 \h </w:instrText>
        </w:r>
        <w:r w:rsidR="0071544A">
          <w:rPr>
            <w:webHidden/>
          </w:rPr>
        </w:r>
        <w:r w:rsidR="0071544A">
          <w:rPr>
            <w:webHidden/>
          </w:rPr>
          <w:fldChar w:fldCharType="separate"/>
        </w:r>
        <w:r w:rsidR="0071544A">
          <w:rPr>
            <w:webHidden/>
          </w:rPr>
          <w:t>98</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34" w:history="1">
        <w:r w:rsidR="0071544A" w:rsidRPr="003A4F55">
          <w:rPr>
            <w:rStyle w:val="Hyperlink"/>
          </w:rPr>
          <w:t>Figure 11</w:t>
        </w:r>
        <w:r w:rsidR="0071544A" w:rsidRPr="003101AA">
          <w:rPr>
            <w:rFonts w:ascii="Calibri" w:hAnsi="Calibri"/>
            <w:sz w:val="22"/>
            <w:szCs w:val="22"/>
          </w:rPr>
          <w:tab/>
        </w:r>
        <w:r w:rsidR="0071544A" w:rsidRPr="003A4F55">
          <w:rPr>
            <w:rStyle w:val="Hyperlink"/>
          </w:rPr>
          <w:t>Decision tree for bridge-to–surgery (SEMS vs multi-stage surgery)</w:t>
        </w:r>
        <w:r w:rsidR="0071544A">
          <w:rPr>
            <w:webHidden/>
          </w:rPr>
          <w:tab/>
        </w:r>
        <w:r w:rsidR="0071544A">
          <w:rPr>
            <w:webHidden/>
          </w:rPr>
          <w:fldChar w:fldCharType="begin"/>
        </w:r>
        <w:r w:rsidR="0071544A">
          <w:rPr>
            <w:webHidden/>
          </w:rPr>
          <w:instrText xml:space="preserve"> PAGEREF _Toc327522134 \h </w:instrText>
        </w:r>
        <w:r w:rsidR="0071544A">
          <w:rPr>
            <w:webHidden/>
          </w:rPr>
        </w:r>
        <w:r w:rsidR="0071544A">
          <w:rPr>
            <w:webHidden/>
          </w:rPr>
          <w:fldChar w:fldCharType="separate"/>
        </w:r>
        <w:r w:rsidR="0071544A">
          <w:rPr>
            <w:webHidden/>
          </w:rPr>
          <w:t>100</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35" w:history="1">
        <w:r w:rsidR="0071544A" w:rsidRPr="003A4F55">
          <w:rPr>
            <w:rStyle w:val="Hyperlink"/>
          </w:rPr>
          <w:t>Figure 12</w:t>
        </w:r>
        <w:r w:rsidR="0071544A" w:rsidRPr="003101AA">
          <w:rPr>
            <w:rFonts w:ascii="Calibri" w:hAnsi="Calibri"/>
            <w:sz w:val="22"/>
            <w:szCs w:val="22"/>
          </w:rPr>
          <w:tab/>
        </w:r>
        <w:r w:rsidR="0071544A" w:rsidRPr="003A4F55">
          <w:rPr>
            <w:rStyle w:val="Hyperlink"/>
          </w:rPr>
          <w:t>One-way sensitivity analysis (SEMS vs multi-stage surgery)</w:t>
        </w:r>
        <w:r w:rsidR="0071544A">
          <w:rPr>
            <w:webHidden/>
          </w:rPr>
          <w:tab/>
        </w:r>
        <w:r w:rsidR="0071544A">
          <w:rPr>
            <w:webHidden/>
          </w:rPr>
          <w:fldChar w:fldCharType="begin"/>
        </w:r>
        <w:r w:rsidR="0071544A">
          <w:rPr>
            <w:webHidden/>
          </w:rPr>
          <w:instrText xml:space="preserve"> PAGEREF _Toc327522135 \h </w:instrText>
        </w:r>
        <w:r w:rsidR="0071544A">
          <w:rPr>
            <w:webHidden/>
          </w:rPr>
        </w:r>
        <w:r w:rsidR="0071544A">
          <w:rPr>
            <w:webHidden/>
          </w:rPr>
          <w:fldChar w:fldCharType="separate"/>
        </w:r>
        <w:r w:rsidR="0071544A">
          <w:rPr>
            <w:webHidden/>
          </w:rPr>
          <w:t>105</w:t>
        </w:r>
        <w:r w:rsidR="0071544A">
          <w:rPr>
            <w:webHidden/>
          </w:rPr>
          <w:fldChar w:fldCharType="end"/>
        </w:r>
      </w:hyperlink>
    </w:p>
    <w:p w:rsidR="0071544A" w:rsidRPr="003101AA" w:rsidRDefault="0042762F">
      <w:pPr>
        <w:pStyle w:val="TableofFigures"/>
        <w:rPr>
          <w:rFonts w:ascii="Calibri" w:hAnsi="Calibri"/>
          <w:sz w:val="22"/>
          <w:szCs w:val="22"/>
        </w:rPr>
      </w:pPr>
      <w:hyperlink w:anchor="_Toc327522136" w:history="1">
        <w:r w:rsidR="0071544A" w:rsidRPr="003A4F55">
          <w:rPr>
            <w:rStyle w:val="Hyperlink"/>
          </w:rPr>
          <w:t>Figure 13</w:t>
        </w:r>
        <w:r w:rsidR="0071544A" w:rsidRPr="003101AA">
          <w:rPr>
            <w:rFonts w:ascii="Calibri" w:hAnsi="Calibri"/>
            <w:sz w:val="22"/>
            <w:szCs w:val="22"/>
          </w:rPr>
          <w:tab/>
        </w:r>
        <w:r w:rsidR="0071544A" w:rsidRPr="003A4F55">
          <w:rPr>
            <w:rStyle w:val="Hyperlink"/>
          </w:rPr>
          <w:t>Estimated cost/cost savings of treating palliative patients</w:t>
        </w:r>
        <w:r w:rsidR="0071544A">
          <w:rPr>
            <w:webHidden/>
          </w:rPr>
          <w:tab/>
        </w:r>
        <w:r w:rsidR="0071544A">
          <w:rPr>
            <w:webHidden/>
          </w:rPr>
          <w:fldChar w:fldCharType="begin"/>
        </w:r>
        <w:r w:rsidR="0071544A">
          <w:rPr>
            <w:webHidden/>
          </w:rPr>
          <w:instrText xml:space="preserve"> PAGEREF _Toc327522136 \h </w:instrText>
        </w:r>
        <w:r w:rsidR="0071544A">
          <w:rPr>
            <w:webHidden/>
          </w:rPr>
        </w:r>
        <w:r w:rsidR="0071544A">
          <w:rPr>
            <w:webHidden/>
          </w:rPr>
          <w:fldChar w:fldCharType="separate"/>
        </w:r>
        <w:r w:rsidR="0071544A">
          <w:rPr>
            <w:webHidden/>
          </w:rPr>
          <w:t>114</w:t>
        </w:r>
        <w:r w:rsidR="0071544A">
          <w:rPr>
            <w:webHidden/>
          </w:rPr>
          <w:fldChar w:fldCharType="end"/>
        </w:r>
      </w:hyperlink>
    </w:p>
    <w:p w:rsidR="008F59A8" w:rsidRPr="009E5C53" w:rsidRDefault="00452F32" w:rsidP="00941B19">
      <w:pPr>
        <w:sectPr w:rsidR="008F59A8" w:rsidRPr="009E5C53" w:rsidSect="00A90770">
          <w:footerReference w:type="even" r:id="rId12"/>
          <w:footerReference w:type="default" r:id="rId13"/>
          <w:type w:val="oddPage"/>
          <w:pgSz w:w="11906" w:h="16838"/>
          <w:pgMar w:top="1440" w:right="1440" w:bottom="1440" w:left="1440" w:header="720" w:footer="720" w:gutter="0"/>
          <w:paperSrc w:first="2" w:other="2"/>
          <w:pgNumType w:fmt="lowerRoman"/>
          <w:cols w:space="720"/>
        </w:sectPr>
      </w:pPr>
      <w:r w:rsidRPr="003A67FE">
        <w:fldChar w:fldCharType="end"/>
      </w:r>
    </w:p>
    <w:p w:rsidR="00941B19" w:rsidRPr="009E5C53" w:rsidRDefault="00941B19" w:rsidP="00941B19">
      <w:pPr>
        <w:pStyle w:val="Heading1"/>
      </w:pPr>
      <w:bookmarkStart w:id="6" w:name="_Toc236559502"/>
      <w:bookmarkStart w:id="7" w:name="_Toc352924399"/>
      <w:r w:rsidRPr="009E5C53">
        <w:lastRenderedPageBreak/>
        <w:t>Executive summary</w:t>
      </w:r>
      <w:bookmarkEnd w:id="6"/>
      <w:bookmarkEnd w:id="7"/>
    </w:p>
    <w:p w:rsidR="00941B19" w:rsidRPr="00D50014" w:rsidRDefault="00941B19" w:rsidP="00FC35F9">
      <w:pPr>
        <w:pStyle w:val="Heading2a"/>
      </w:pPr>
      <w:bookmarkStart w:id="8" w:name="_Toc236559505"/>
      <w:r w:rsidRPr="00D50014">
        <w:t xml:space="preserve">Assessment of </w:t>
      </w:r>
      <w:bookmarkEnd w:id="8"/>
      <w:r w:rsidR="00A53963" w:rsidRPr="00D50014">
        <w:t xml:space="preserve">insertion of colonic stents for the management of </w:t>
      </w:r>
      <w:r w:rsidR="000D2B6B" w:rsidRPr="00D50014">
        <w:t>malignant large bowel obstruction</w:t>
      </w:r>
    </w:p>
    <w:p w:rsidR="00941B19" w:rsidRPr="00C27C1E" w:rsidRDefault="00941B19" w:rsidP="00A75144">
      <w:pPr>
        <w:pStyle w:val="Heading2"/>
      </w:pPr>
      <w:r w:rsidRPr="009E5C53">
        <w:t xml:space="preserve">Purpose of </w:t>
      </w:r>
      <w:r w:rsidR="000222A1">
        <w:t>a</w:t>
      </w:r>
      <w:r w:rsidRPr="009E5C53">
        <w:t>pplication</w:t>
      </w:r>
    </w:p>
    <w:p w:rsidR="00941B19" w:rsidRPr="007D5B7C" w:rsidRDefault="00941B19" w:rsidP="00432638">
      <w:r w:rsidRPr="00A30BA9">
        <w:t xml:space="preserve">An application requesting </w:t>
      </w:r>
      <w:r w:rsidR="000D2B6B" w:rsidRPr="00A87C52">
        <w:t>Medicare Benefit</w:t>
      </w:r>
      <w:r w:rsidR="00E408A9">
        <w:t>s</w:t>
      </w:r>
      <w:r w:rsidR="000D2B6B" w:rsidRPr="00A87C52">
        <w:t xml:space="preserve"> Schedule (</w:t>
      </w:r>
      <w:r w:rsidRPr="00A87C52">
        <w:t>MBS</w:t>
      </w:r>
      <w:r w:rsidR="000D2B6B" w:rsidRPr="00A87C52">
        <w:t>)</w:t>
      </w:r>
      <w:r w:rsidRPr="00A87C52">
        <w:t xml:space="preserve"> listing of </w:t>
      </w:r>
      <w:r w:rsidR="000D2B6B" w:rsidRPr="00A87C52">
        <w:t>colonic stents</w:t>
      </w:r>
      <w:r w:rsidRPr="00A87C52">
        <w:t xml:space="preserve"> for </w:t>
      </w:r>
      <w:r w:rsidR="000D2B6B" w:rsidRPr="00F13A5A">
        <w:t>the management of large bowel obstruction</w:t>
      </w:r>
      <w:r w:rsidRPr="00E767D0">
        <w:t xml:space="preserve"> was received from </w:t>
      </w:r>
      <w:r w:rsidR="000D2B6B" w:rsidRPr="00BE3EA8">
        <w:t>the Colorectal Surgical Society of Australia and New Zealand</w:t>
      </w:r>
      <w:r w:rsidR="00665EB9" w:rsidRPr="008F42F9">
        <w:t xml:space="preserve"> (CSSANZ)</w:t>
      </w:r>
      <w:r w:rsidR="000D2B6B" w:rsidRPr="008F42F9">
        <w:t xml:space="preserve"> </w:t>
      </w:r>
      <w:r w:rsidRPr="008F42F9">
        <w:t>by the</w:t>
      </w:r>
      <w:r w:rsidR="00E21E86">
        <w:t xml:space="preserve"> Commonwealth</w:t>
      </w:r>
      <w:r w:rsidRPr="008F42F9">
        <w:t xml:space="preserve"> Department of Health</w:t>
      </w:r>
      <w:r w:rsidR="000D2B6B" w:rsidRPr="008F42F9">
        <w:t xml:space="preserve"> and Ag</w:t>
      </w:r>
      <w:r w:rsidR="00E21E86">
        <w:t>e</w:t>
      </w:r>
      <w:r w:rsidR="000D2B6B" w:rsidRPr="008F42F9">
        <w:t>ing</w:t>
      </w:r>
      <w:r w:rsidR="00E21E86">
        <w:t xml:space="preserve"> (‘the department’)</w:t>
      </w:r>
      <w:r w:rsidRPr="00325C69">
        <w:t xml:space="preserve"> in </w:t>
      </w:r>
      <w:r w:rsidR="000D2B6B" w:rsidRPr="007D5B7C">
        <w:t>October 2010</w:t>
      </w:r>
      <w:r w:rsidRPr="007D5B7C">
        <w:t>.</w:t>
      </w:r>
    </w:p>
    <w:p w:rsidR="00C604CD" w:rsidRDefault="005237DF" w:rsidP="00C604CD">
      <w:r w:rsidRPr="00960A9E">
        <w:t>Colonic stents are indicated</w:t>
      </w:r>
      <w:r w:rsidR="00170DBB" w:rsidRPr="00EA2600">
        <w:t xml:space="preserve"> for </w:t>
      </w:r>
      <w:r w:rsidRPr="00EA2600">
        <w:t>patients who suffer colonic obstruction</w:t>
      </w:r>
      <w:r w:rsidR="00503F80" w:rsidRPr="00EA2600">
        <w:t>, stricture or stenosis</w:t>
      </w:r>
      <w:r w:rsidR="00170DBB" w:rsidRPr="00EC591E">
        <w:t xml:space="preserve"> of a known or unknown diagnosis</w:t>
      </w:r>
      <w:r w:rsidR="00D30359" w:rsidRPr="00430AA8">
        <w:t xml:space="preserve">. </w:t>
      </w:r>
      <w:r w:rsidR="00C604CD">
        <w:t xml:space="preserve">Stents can be </w:t>
      </w:r>
      <w:r w:rsidR="00C604CD" w:rsidRPr="00F332E9">
        <w:t>metallic or non-metallic (</w:t>
      </w:r>
      <w:r w:rsidR="00CE0D06">
        <w:t>eg</w:t>
      </w:r>
      <w:r w:rsidR="00C604CD" w:rsidRPr="00F332E9">
        <w:t xml:space="preserve"> plastic)</w:t>
      </w:r>
      <w:r w:rsidR="00C604CD">
        <w:t xml:space="preserve">. </w:t>
      </w:r>
      <w:r w:rsidR="00377766">
        <w:rPr>
          <w:rFonts w:cs="Arial"/>
          <w:szCs w:val="24"/>
        </w:rPr>
        <w:t>A s</w:t>
      </w:r>
      <w:r w:rsidR="00E21E86">
        <w:rPr>
          <w:rFonts w:cs="Arial"/>
          <w:szCs w:val="24"/>
        </w:rPr>
        <w:t>elf-expanding metallic stent (SEMS), the colonic stent</w:t>
      </w:r>
      <w:r w:rsidR="00C604CD">
        <w:rPr>
          <w:rFonts w:cs="Arial"/>
          <w:szCs w:val="24"/>
        </w:rPr>
        <w:t xml:space="preserve"> </w:t>
      </w:r>
      <w:r w:rsidR="00FE30E6">
        <w:rPr>
          <w:rFonts w:cs="Arial"/>
          <w:szCs w:val="24"/>
        </w:rPr>
        <w:t>most commonly used</w:t>
      </w:r>
      <w:r w:rsidR="00C604CD">
        <w:rPr>
          <w:rFonts w:cs="Arial"/>
          <w:szCs w:val="24"/>
        </w:rPr>
        <w:t xml:space="preserve"> in Australia</w:t>
      </w:r>
      <w:r w:rsidR="00E21E86">
        <w:rPr>
          <w:rFonts w:cs="Arial"/>
          <w:szCs w:val="24"/>
        </w:rPr>
        <w:t xml:space="preserve">, </w:t>
      </w:r>
      <w:r w:rsidR="00377766">
        <w:rPr>
          <w:rFonts w:cs="Arial"/>
          <w:szCs w:val="24"/>
        </w:rPr>
        <w:t>is an</w:t>
      </w:r>
      <w:r w:rsidR="00E21E86">
        <w:rPr>
          <w:rFonts w:cs="Arial"/>
          <w:szCs w:val="24"/>
        </w:rPr>
        <w:t xml:space="preserve"> expandable metallic tube adopted for the relief of malignant colorectal obstruction as a minimally invasive alternative procedure to open surgical techniques.</w:t>
      </w:r>
      <w:r w:rsidR="00217EFC" w:rsidRPr="00217EFC">
        <w:rPr>
          <w:rFonts w:cs="Arial"/>
          <w:szCs w:val="24"/>
        </w:rPr>
        <w:t xml:space="preserve"> </w:t>
      </w:r>
      <w:r w:rsidR="00C604CD">
        <w:t>A</w:t>
      </w:r>
      <w:r w:rsidR="00C604CD" w:rsidRPr="00F332E9">
        <w:t>ll stents have a mesh design</w:t>
      </w:r>
      <w:r w:rsidR="00C604CD">
        <w:t xml:space="preserve"> and are available in covered (full or partial) or u</w:t>
      </w:r>
      <w:r w:rsidR="00C604CD" w:rsidRPr="00F332E9">
        <w:t>ncovered</w:t>
      </w:r>
      <w:r w:rsidR="00C604CD">
        <w:t xml:space="preserve"> compositions</w:t>
      </w:r>
      <w:r w:rsidR="00C604CD" w:rsidRPr="00F332E9">
        <w:t xml:space="preserve">. </w:t>
      </w:r>
      <w:r w:rsidR="00C604CD">
        <w:t>T</w:t>
      </w:r>
      <w:r w:rsidR="00C604CD" w:rsidRPr="00F332E9">
        <w:t xml:space="preserve">he majority of stents used in Australia are of the uncovered type. </w:t>
      </w:r>
      <w:r w:rsidR="00A35134">
        <w:t xml:space="preserve">A </w:t>
      </w:r>
      <w:r w:rsidR="00C604CD">
        <w:t>SEMS</w:t>
      </w:r>
      <w:r w:rsidR="00C604CD" w:rsidRPr="00F332E9">
        <w:t xml:space="preserve"> self-expand</w:t>
      </w:r>
      <w:r w:rsidR="00A35134">
        <w:t>s</w:t>
      </w:r>
      <w:r w:rsidR="00C604CD" w:rsidRPr="00F332E9">
        <w:t xml:space="preserve"> due to radial force </w:t>
      </w:r>
      <w:r w:rsidR="00C604CD">
        <w:t xml:space="preserve">following </w:t>
      </w:r>
      <w:r w:rsidR="00C604CD" w:rsidRPr="00F332E9">
        <w:t>deploy</w:t>
      </w:r>
      <w:r w:rsidR="00C604CD">
        <w:t>ment with</w:t>
      </w:r>
      <w:r w:rsidR="00C604CD" w:rsidRPr="00F332E9">
        <w:t xml:space="preserve"> a delivery catheter (Small and Baron </w:t>
      </w:r>
      <w:r w:rsidR="00993CAF">
        <w:t>2008</w:t>
      </w:r>
      <w:r w:rsidR="00137135">
        <w:t>;</w:t>
      </w:r>
      <w:r w:rsidR="00C604CD" w:rsidRPr="00F332E9">
        <w:t xml:space="preserve"> Watt et al 2007).  </w:t>
      </w:r>
    </w:p>
    <w:p w:rsidR="00217EFC" w:rsidRPr="009E5C53" w:rsidRDefault="00217EFC" w:rsidP="00217EFC">
      <w:r>
        <w:t xml:space="preserve">For the purpose of the current assessment, </w:t>
      </w:r>
      <w:r w:rsidR="00D30359" w:rsidRPr="008978EE">
        <w:t>SEM</w:t>
      </w:r>
      <w:r w:rsidR="00933DE2" w:rsidRPr="00A30BA9">
        <w:t>S</w:t>
      </w:r>
      <w:r w:rsidR="00D30359" w:rsidRPr="00A87C52">
        <w:t xml:space="preserve"> deployment </w:t>
      </w:r>
      <w:r w:rsidR="00C644C5">
        <w:t>is indicated for two distinct</w:t>
      </w:r>
      <w:r>
        <w:t xml:space="preserve"> </w:t>
      </w:r>
      <w:r w:rsidR="00C644C5">
        <w:t>patient groups</w:t>
      </w:r>
      <w:r w:rsidR="00D30359" w:rsidRPr="00A87C52">
        <w:t>. Firstly, a SEM</w:t>
      </w:r>
      <w:r w:rsidR="00933DE2" w:rsidRPr="00A87C52">
        <w:t>S</w:t>
      </w:r>
      <w:r w:rsidR="00D30359" w:rsidRPr="00A87C52">
        <w:t xml:space="preserve"> can be</w:t>
      </w:r>
      <w:r w:rsidR="00503F80" w:rsidRPr="00A87C52">
        <w:t xml:space="preserve"> </w:t>
      </w:r>
      <w:r w:rsidR="00D30359" w:rsidRPr="00F13A5A">
        <w:t>deployed as a bridge</w:t>
      </w:r>
      <w:r w:rsidR="00C644C5">
        <w:t xml:space="preserve"> </w:t>
      </w:r>
      <w:r w:rsidR="00D30359" w:rsidRPr="00F13A5A">
        <w:t>to</w:t>
      </w:r>
      <w:r w:rsidR="00C644C5">
        <w:t xml:space="preserve"> </w:t>
      </w:r>
      <w:r w:rsidR="00D30359" w:rsidRPr="00F13A5A">
        <w:t>surgery</w:t>
      </w:r>
      <w:r w:rsidR="00C644C5">
        <w:t xml:space="preserve"> </w:t>
      </w:r>
      <w:r w:rsidR="009E5EA6">
        <w:t>for cases in which</w:t>
      </w:r>
      <w:r w:rsidR="00C644C5">
        <w:t xml:space="preserve"> an</w:t>
      </w:r>
      <w:r w:rsidR="00D30359" w:rsidRPr="00F13A5A">
        <w:t xml:space="preserve"> emergency resection of the </w:t>
      </w:r>
      <w:r w:rsidR="00503F80" w:rsidRPr="00E767D0">
        <w:t>ob</w:t>
      </w:r>
      <w:r w:rsidR="00503F80" w:rsidRPr="00BE3EA8">
        <w:t xml:space="preserve">structed </w:t>
      </w:r>
      <w:r w:rsidR="00D30359" w:rsidRPr="00BE3EA8">
        <w:t>colon</w:t>
      </w:r>
      <w:r w:rsidR="00503F80" w:rsidRPr="00BE3EA8">
        <w:t xml:space="preserve"> </w:t>
      </w:r>
      <w:r w:rsidR="00D30359" w:rsidRPr="00BE3EA8">
        <w:t xml:space="preserve">could lead to serious complications, </w:t>
      </w:r>
      <w:r w:rsidR="00C644C5">
        <w:t>such as</w:t>
      </w:r>
      <w:r w:rsidR="00D30359" w:rsidRPr="00BE3EA8">
        <w:t xml:space="preserve"> patients who are frail and</w:t>
      </w:r>
      <w:r w:rsidR="001E1A4B">
        <w:t>/or</w:t>
      </w:r>
      <w:r w:rsidR="00D30359" w:rsidRPr="00BE3EA8">
        <w:t xml:space="preserve"> suffering from significant comorbidities (NICE 2004</w:t>
      </w:r>
      <w:r w:rsidR="009E5EA6">
        <w:t>a</w:t>
      </w:r>
      <w:r w:rsidR="00D30359" w:rsidRPr="00BE3EA8">
        <w:t>)</w:t>
      </w:r>
      <w:r w:rsidR="00C644C5">
        <w:t>. T</w:t>
      </w:r>
      <w:r w:rsidR="00C644C5">
        <w:rPr>
          <w:rFonts w:cs="Arial"/>
          <w:szCs w:val="24"/>
        </w:rPr>
        <w:t>his allows for management of the emergency and provides time to plan elective surgery</w:t>
      </w:r>
      <w:r w:rsidR="0044517E">
        <w:t>.</w:t>
      </w:r>
      <w:r w:rsidR="00D30359" w:rsidRPr="00BE3EA8">
        <w:t xml:space="preserve"> Secondly, placement of a SEM</w:t>
      </w:r>
      <w:r w:rsidR="00933DE2" w:rsidRPr="008F42F9">
        <w:t>S</w:t>
      </w:r>
      <w:r w:rsidR="00D30359" w:rsidRPr="008F42F9">
        <w:t xml:space="preserve"> can be used for the palliative management of a colonic obstruction in patients who suffer from incurable metastatic disease and/or are medically unfit for surgery (ACPGBI 2007). A </w:t>
      </w:r>
      <w:r w:rsidR="00C644C5">
        <w:t>SEMS</w:t>
      </w:r>
      <w:r w:rsidR="00C644C5" w:rsidRPr="008F42F9">
        <w:t xml:space="preserve"> </w:t>
      </w:r>
      <w:r w:rsidR="00D30359" w:rsidRPr="008F42F9">
        <w:t>can obviate the need for stoma or resection and may be effective for over a year, potentially providing palliation until death.</w:t>
      </w:r>
      <w:bookmarkStart w:id="9" w:name="_Ref317968307"/>
      <w:r w:rsidR="00B43462" w:rsidRPr="00325C69">
        <w:t xml:space="preserve"> Even</w:t>
      </w:r>
      <w:r w:rsidR="008B7BA9" w:rsidRPr="007D5B7C">
        <w:t xml:space="preserve"> </w:t>
      </w:r>
      <w:r w:rsidR="00B43462" w:rsidRPr="007D5B7C">
        <w:t xml:space="preserve">though these </w:t>
      </w:r>
      <w:r w:rsidR="008B7BA9" w:rsidRPr="007D5B7C">
        <w:t>patient</w:t>
      </w:r>
      <w:r w:rsidR="00B43462" w:rsidRPr="007D5B7C">
        <w:t xml:space="preserve"> populations are distinct in terms of </w:t>
      </w:r>
      <w:r w:rsidR="00C644C5">
        <w:t xml:space="preserve">their </w:t>
      </w:r>
      <w:r w:rsidR="00B43462" w:rsidRPr="007D5B7C">
        <w:t xml:space="preserve">baseline morbidity, it is possible </w:t>
      </w:r>
      <w:r w:rsidR="00C644C5">
        <w:t xml:space="preserve">that </w:t>
      </w:r>
      <w:r w:rsidR="00B43462" w:rsidRPr="007D5B7C">
        <w:t xml:space="preserve">some patients who initially receive </w:t>
      </w:r>
      <w:r w:rsidR="008B7BA9" w:rsidRPr="00960A9E">
        <w:t xml:space="preserve">a </w:t>
      </w:r>
      <w:r w:rsidR="00C644C5">
        <w:t xml:space="preserve">SEMS for </w:t>
      </w:r>
      <w:r w:rsidR="00B43462" w:rsidRPr="00EA2600">
        <w:t xml:space="preserve">palliative </w:t>
      </w:r>
      <w:r w:rsidR="00C644C5">
        <w:t>purposes</w:t>
      </w:r>
      <w:r w:rsidR="00B43462" w:rsidRPr="00EA2600">
        <w:t xml:space="preserve"> improve over time as a result of chemotherapy and</w:t>
      </w:r>
      <w:r w:rsidR="00E356DC">
        <w:t>,</w:t>
      </w:r>
      <w:r w:rsidR="00C644C5" w:rsidRPr="00C644C5">
        <w:t xml:space="preserve"> </w:t>
      </w:r>
      <w:r w:rsidR="00C644C5">
        <w:t>accordingly</w:t>
      </w:r>
      <w:r w:rsidR="00E356DC">
        <w:t>,</w:t>
      </w:r>
      <w:r w:rsidR="00C644C5">
        <w:t xml:space="preserve"> become</w:t>
      </w:r>
      <w:r w:rsidR="00B43462" w:rsidRPr="00EC591E">
        <w:t xml:space="preserve"> eligible for resection. </w:t>
      </w:r>
      <w:r w:rsidR="00C644C5">
        <w:t>Conversely,</w:t>
      </w:r>
      <w:r w:rsidR="00B43462" w:rsidRPr="00EC591E">
        <w:t xml:space="preserve"> </w:t>
      </w:r>
      <w:r w:rsidR="008B7BA9" w:rsidRPr="00430AA8">
        <w:t xml:space="preserve">some </w:t>
      </w:r>
      <w:r w:rsidR="00B43462" w:rsidRPr="00C81D67">
        <w:t xml:space="preserve">patients </w:t>
      </w:r>
      <w:r w:rsidR="00C644C5">
        <w:t xml:space="preserve">who </w:t>
      </w:r>
      <w:r w:rsidR="00B43462" w:rsidRPr="00C81D67">
        <w:t xml:space="preserve">initially </w:t>
      </w:r>
      <w:r w:rsidR="008B7BA9" w:rsidRPr="003A67FE">
        <w:t>received</w:t>
      </w:r>
      <w:r w:rsidR="00B43462" w:rsidRPr="003A67FE">
        <w:t xml:space="preserve"> SEMS as a bridge to surgery </w:t>
      </w:r>
      <w:r w:rsidR="00C644C5">
        <w:t xml:space="preserve">may unexpectedly deteriorate in condition </w:t>
      </w:r>
      <w:r w:rsidR="00B43462" w:rsidRPr="003A67FE">
        <w:t xml:space="preserve">and </w:t>
      </w:r>
      <w:r w:rsidR="008B7BA9" w:rsidRPr="003A67FE">
        <w:t xml:space="preserve">die, </w:t>
      </w:r>
      <w:r w:rsidR="00C644C5">
        <w:t>rendering</w:t>
      </w:r>
      <w:r w:rsidR="00C644C5" w:rsidRPr="003A67FE">
        <w:t xml:space="preserve"> </w:t>
      </w:r>
      <w:r w:rsidR="008B7BA9" w:rsidRPr="003A67FE">
        <w:t xml:space="preserve">the inserted </w:t>
      </w:r>
      <w:r w:rsidR="00C644C5">
        <w:t>SEMS as</w:t>
      </w:r>
      <w:r w:rsidR="00C644C5" w:rsidRPr="003A67FE">
        <w:t xml:space="preserve"> </w:t>
      </w:r>
      <w:r w:rsidR="008B7BA9" w:rsidRPr="003A67FE">
        <w:t>p</w:t>
      </w:r>
      <w:r w:rsidR="00B43462" w:rsidRPr="003A67FE">
        <w:t>alliative.</w:t>
      </w:r>
      <w:r w:rsidR="005E64C3">
        <w:t xml:space="preserve"> Based on this</w:t>
      </w:r>
      <w:r w:rsidR="00C644C5">
        <w:t>, f</w:t>
      </w:r>
      <w:r w:rsidRPr="00430AA8">
        <w:t xml:space="preserve">our patient populations are indicated for the placement of a </w:t>
      </w:r>
      <w:r w:rsidRPr="003A67FE">
        <w:t>SEMS</w:t>
      </w:r>
      <w:r w:rsidR="005E64C3">
        <w:t>,</w:t>
      </w:r>
      <w:r w:rsidRPr="003A67FE">
        <w:t xml:space="preserve"> outlined in</w:t>
      </w:r>
      <w:r>
        <w:t xml:space="preserve"> </w:t>
      </w:r>
      <w:r>
        <w:fldChar w:fldCharType="begin"/>
      </w:r>
      <w:r>
        <w:instrText xml:space="preserve"> REF _Ref324919812 \h </w:instrText>
      </w:r>
      <w:r>
        <w:fldChar w:fldCharType="separate"/>
      </w:r>
      <w:r w:rsidR="0071544A" w:rsidRPr="006D07D2">
        <w:rPr>
          <w:rFonts w:cs="Tahoma"/>
          <w:szCs w:val="24"/>
          <w:lang w:eastAsia="ja-JP"/>
        </w:rPr>
        <w:t xml:space="preserve">Table </w:t>
      </w:r>
      <w:r w:rsidR="0071544A">
        <w:rPr>
          <w:rFonts w:cs="Tahoma"/>
          <w:noProof/>
          <w:szCs w:val="24"/>
          <w:lang w:eastAsia="ja-JP"/>
        </w:rPr>
        <w:t>1</w:t>
      </w:r>
      <w:r>
        <w:fldChar w:fldCharType="end"/>
      </w:r>
      <w:r>
        <w:t>.</w:t>
      </w:r>
    </w:p>
    <w:p w:rsidR="00D30359" w:rsidRPr="006D07D2" w:rsidRDefault="00764057" w:rsidP="006D07D2">
      <w:pPr>
        <w:pStyle w:val="Caption"/>
        <w:rPr>
          <w:rFonts w:cs="Tahoma"/>
          <w:szCs w:val="24"/>
          <w:lang w:eastAsia="ja-JP"/>
        </w:rPr>
      </w:pPr>
      <w:bookmarkStart w:id="10" w:name="_Ref324919812"/>
      <w:bookmarkStart w:id="11" w:name="_Toc327522045"/>
      <w:r w:rsidRPr="006D07D2">
        <w:rPr>
          <w:rFonts w:cs="Tahoma"/>
          <w:szCs w:val="24"/>
          <w:lang w:eastAsia="ja-JP"/>
        </w:rPr>
        <w:lastRenderedPageBreak/>
        <w:t xml:space="preserve">Table </w:t>
      </w:r>
      <w:r w:rsidRPr="006D07D2">
        <w:rPr>
          <w:rFonts w:cs="Tahoma"/>
          <w:szCs w:val="24"/>
          <w:lang w:eastAsia="ja-JP"/>
        </w:rPr>
        <w:fldChar w:fldCharType="begin"/>
      </w:r>
      <w:r w:rsidRPr="006D07D2">
        <w:rPr>
          <w:rFonts w:cs="Tahoma"/>
          <w:szCs w:val="24"/>
          <w:lang w:eastAsia="ja-JP"/>
        </w:rPr>
        <w:instrText xml:space="preserve"> SEQ Table \* ARABIC </w:instrText>
      </w:r>
      <w:r w:rsidRPr="006D07D2">
        <w:rPr>
          <w:rFonts w:cs="Tahoma"/>
          <w:szCs w:val="24"/>
          <w:lang w:eastAsia="ja-JP"/>
        </w:rPr>
        <w:fldChar w:fldCharType="separate"/>
      </w:r>
      <w:r w:rsidR="0071544A">
        <w:rPr>
          <w:rFonts w:cs="Tahoma"/>
          <w:noProof/>
          <w:szCs w:val="24"/>
          <w:lang w:eastAsia="ja-JP"/>
        </w:rPr>
        <w:t>1</w:t>
      </w:r>
      <w:r w:rsidRPr="006D07D2">
        <w:rPr>
          <w:rFonts w:cs="Tahoma"/>
          <w:szCs w:val="24"/>
          <w:lang w:eastAsia="ja-JP"/>
        </w:rPr>
        <w:fldChar w:fldCharType="end"/>
      </w:r>
      <w:bookmarkEnd w:id="9"/>
      <w:bookmarkEnd w:id="10"/>
      <w:r w:rsidR="006D07D2" w:rsidRPr="006D07D2">
        <w:rPr>
          <w:rFonts w:cs="Tahoma"/>
          <w:szCs w:val="24"/>
          <w:lang w:eastAsia="ja-JP"/>
        </w:rPr>
        <w:tab/>
      </w:r>
      <w:r w:rsidR="00EF04ED" w:rsidRPr="006D07D2">
        <w:rPr>
          <w:rFonts w:cs="Tahoma"/>
          <w:szCs w:val="24"/>
          <w:lang w:eastAsia="ja-JP"/>
        </w:rPr>
        <w:t>P</w:t>
      </w:r>
      <w:r w:rsidRPr="006D07D2">
        <w:rPr>
          <w:rFonts w:cs="Tahoma"/>
          <w:szCs w:val="24"/>
          <w:lang w:eastAsia="ja-JP"/>
        </w:rPr>
        <w:t>atient</w:t>
      </w:r>
      <w:r w:rsidR="005E64C3" w:rsidRPr="006D07D2">
        <w:rPr>
          <w:rFonts w:cs="Tahoma"/>
          <w:szCs w:val="24"/>
          <w:lang w:eastAsia="ja-JP"/>
        </w:rPr>
        <w:t xml:space="preserve"> populations</w:t>
      </w:r>
      <w:r w:rsidRPr="006D07D2">
        <w:rPr>
          <w:rFonts w:cs="Tahoma"/>
          <w:szCs w:val="24"/>
          <w:lang w:eastAsia="ja-JP"/>
        </w:rPr>
        <w:t xml:space="preserve"> indicated for SEMS placement</w:t>
      </w:r>
      <w:bookmarkEnd w:id="11"/>
      <w:r w:rsidRPr="006D07D2">
        <w:rPr>
          <w:rFonts w:cs="Tahoma"/>
          <w:szCs w:val="24"/>
          <w:lang w:eastAsia="ja-JP"/>
        </w:rPr>
        <w:t xml:space="preserve"> </w:t>
      </w:r>
    </w:p>
    <w:tbl>
      <w:tblPr>
        <w:tblW w:w="8556" w:type="dxa"/>
        <w:tblInd w:w="720" w:type="dxa"/>
        <w:tblBorders>
          <w:top w:val="single" w:sz="12" w:space="0" w:color="auto"/>
          <w:bottom w:val="single" w:sz="12" w:space="0" w:color="auto"/>
          <w:insideH w:val="single" w:sz="4" w:space="0" w:color="auto"/>
        </w:tblBorders>
        <w:tblLook w:val="04A0" w:firstRow="1" w:lastRow="0" w:firstColumn="1" w:lastColumn="0" w:noHBand="0" w:noVBand="1"/>
      </w:tblPr>
      <w:tblGrid>
        <w:gridCol w:w="2374"/>
        <w:gridCol w:w="6182"/>
      </w:tblGrid>
      <w:tr w:rsidR="00D30359" w:rsidRPr="00A87C52" w:rsidTr="001F7E3E">
        <w:trPr>
          <w:trHeight w:val="250"/>
        </w:trPr>
        <w:tc>
          <w:tcPr>
            <w:tcW w:w="2374" w:type="dxa"/>
            <w:tcBorders>
              <w:bottom w:val="single" w:sz="4" w:space="0" w:color="auto"/>
            </w:tcBorders>
            <w:shd w:val="clear" w:color="auto" w:fill="auto"/>
          </w:tcPr>
          <w:p w:rsidR="00D30359" w:rsidRPr="00A87C52" w:rsidRDefault="00D30359" w:rsidP="001F7E3E">
            <w:pPr>
              <w:pStyle w:val="TableHeading"/>
            </w:pPr>
            <w:r w:rsidRPr="00A87C52">
              <w:t>Diagnosis</w:t>
            </w:r>
          </w:p>
        </w:tc>
        <w:tc>
          <w:tcPr>
            <w:tcW w:w="6182" w:type="dxa"/>
            <w:tcBorders>
              <w:bottom w:val="single" w:sz="4" w:space="0" w:color="auto"/>
            </w:tcBorders>
            <w:shd w:val="clear" w:color="auto" w:fill="auto"/>
          </w:tcPr>
          <w:p w:rsidR="00D30359" w:rsidRPr="00A87C52" w:rsidRDefault="00D30359" w:rsidP="001F7E3E">
            <w:pPr>
              <w:pStyle w:val="TableHeading"/>
            </w:pPr>
            <w:r w:rsidRPr="00A87C52">
              <w:t>Patient population</w:t>
            </w:r>
          </w:p>
        </w:tc>
      </w:tr>
      <w:tr w:rsidR="00D30359" w:rsidRPr="00C27C1E" w:rsidTr="001F7E3E">
        <w:trPr>
          <w:trHeight w:val="556"/>
        </w:trPr>
        <w:tc>
          <w:tcPr>
            <w:tcW w:w="2374" w:type="dxa"/>
            <w:vMerge w:val="restart"/>
            <w:tcBorders>
              <w:top w:val="single" w:sz="4" w:space="0" w:color="auto"/>
              <w:bottom w:val="nil"/>
            </w:tcBorders>
            <w:shd w:val="clear" w:color="auto" w:fill="auto"/>
          </w:tcPr>
          <w:p w:rsidR="00D30359" w:rsidRPr="000F3C8B" w:rsidRDefault="002D1D52" w:rsidP="001F7E3E">
            <w:pPr>
              <w:pStyle w:val="TableText0"/>
              <w:rPr>
                <w:lang w:val="en-AU"/>
              </w:rPr>
            </w:pPr>
            <w:r w:rsidRPr="000F3C8B">
              <w:rPr>
                <w:lang w:val="en-AU"/>
              </w:rPr>
              <w:t>Large bowel obstruction, stricture or stenosis</w:t>
            </w:r>
            <w:r w:rsidRPr="000F3C8B">
              <w:rPr>
                <w:b/>
                <w:lang w:val="en-AU"/>
              </w:rPr>
              <w:t xml:space="preserve"> </w:t>
            </w:r>
            <w:r w:rsidRPr="000F3C8B">
              <w:rPr>
                <w:lang w:val="en-AU"/>
              </w:rPr>
              <w:t>caused by</w:t>
            </w:r>
            <w:r w:rsidRPr="000F3C8B">
              <w:rPr>
                <w:b/>
                <w:lang w:val="en-AU"/>
              </w:rPr>
              <w:t xml:space="preserve"> </w:t>
            </w:r>
            <w:r w:rsidR="00541D45" w:rsidRPr="000F3C8B">
              <w:rPr>
                <w:b/>
                <w:lang w:val="en-AU"/>
              </w:rPr>
              <w:t>c</w:t>
            </w:r>
            <w:r w:rsidR="00D30359" w:rsidRPr="000F3C8B">
              <w:rPr>
                <w:b/>
                <w:lang w:val="en-AU"/>
              </w:rPr>
              <w:t>onfirmed diagnosis</w:t>
            </w:r>
            <w:r w:rsidR="00D30359" w:rsidRPr="000F3C8B">
              <w:rPr>
                <w:lang w:val="en-AU"/>
              </w:rPr>
              <w:t xml:space="preserve"> of colorectal cancer or cancer of an organ adjacent to the bowel</w:t>
            </w:r>
          </w:p>
        </w:tc>
        <w:tc>
          <w:tcPr>
            <w:tcW w:w="6182" w:type="dxa"/>
            <w:tcBorders>
              <w:top w:val="single" w:sz="4" w:space="0" w:color="auto"/>
              <w:bottom w:val="nil"/>
            </w:tcBorders>
            <w:shd w:val="clear" w:color="auto" w:fill="auto"/>
          </w:tcPr>
          <w:p w:rsidR="00D30359" w:rsidRPr="000F3C8B" w:rsidRDefault="00813ED3" w:rsidP="00CB5216">
            <w:pPr>
              <w:pStyle w:val="TableText0"/>
              <w:rPr>
                <w:lang w:val="en-AU"/>
              </w:rPr>
            </w:pPr>
            <w:r w:rsidRPr="000F3C8B">
              <w:rPr>
                <w:b/>
                <w:lang w:val="en-AU"/>
              </w:rPr>
              <w:t>Bridge</w:t>
            </w:r>
            <w:r w:rsidR="00511399" w:rsidRPr="000F3C8B">
              <w:rPr>
                <w:b/>
                <w:lang w:val="en-AU"/>
              </w:rPr>
              <w:t xml:space="preserve"> </w:t>
            </w:r>
            <w:r w:rsidRPr="000F3C8B">
              <w:rPr>
                <w:b/>
                <w:lang w:val="en-AU"/>
              </w:rPr>
              <w:t>to</w:t>
            </w:r>
            <w:r w:rsidR="00511399" w:rsidRPr="000F3C8B">
              <w:rPr>
                <w:b/>
                <w:lang w:val="en-AU"/>
              </w:rPr>
              <w:t xml:space="preserve"> </w:t>
            </w:r>
            <w:r w:rsidRPr="000F3C8B">
              <w:rPr>
                <w:b/>
                <w:lang w:val="en-AU"/>
              </w:rPr>
              <w:t>surgery:</w:t>
            </w:r>
            <w:r w:rsidRPr="000F3C8B">
              <w:rPr>
                <w:lang w:val="en-AU"/>
              </w:rPr>
              <w:t xml:space="preserve"> </w:t>
            </w:r>
            <w:r w:rsidR="005E64C3" w:rsidRPr="000F3C8B">
              <w:rPr>
                <w:lang w:val="en-AU"/>
              </w:rPr>
              <w:t xml:space="preserve">Patient </w:t>
            </w:r>
            <w:r w:rsidRPr="000F3C8B">
              <w:rPr>
                <w:lang w:val="en-AU"/>
              </w:rPr>
              <w:t xml:space="preserve">condition </w:t>
            </w:r>
            <w:r w:rsidR="005E64C3" w:rsidRPr="000F3C8B">
              <w:rPr>
                <w:lang w:val="en-AU"/>
              </w:rPr>
              <w:t xml:space="preserve">expected </w:t>
            </w:r>
            <w:r w:rsidRPr="000F3C8B">
              <w:rPr>
                <w:lang w:val="en-AU"/>
              </w:rPr>
              <w:t xml:space="preserve">to improve after insertion of </w:t>
            </w:r>
            <w:r w:rsidR="005E64C3" w:rsidRPr="000F3C8B">
              <w:rPr>
                <w:lang w:val="en-AU"/>
              </w:rPr>
              <w:t>SEMS</w:t>
            </w:r>
            <w:r w:rsidRPr="000F3C8B">
              <w:rPr>
                <w:lang w:val="en-AU"/>
              </w:rPr>
              <w:t xml:space="preserve">, </w:t>
            </w:r>
            <w:r w:rsidR="005E64C3" w:rsidRPr="000F3C8B">
              <w:rPr>
                <w:lang w:val="en-AU"/>
              </w:rPr>
              <w:t>with</w:t>
            </w:r>
            <w:r w:rsidRPr="000F3C8B">
              <w:rPr>
                <w:lang w:val="en-AU"/>
              </w:rPr>
              <w:t xml:space="preserve"> subsequent surgical management indicated.</w:t>
            </w:r>
            <w:r w:rsidR="00CB5216" w:rsidRPr="00CB5216">
              <w:rPr>
                <w:vertAlign w:val="superscript"/>
                <w:lang w:val="en-AU"/>
              </w:rPr>
              <w:t>a</w:t>
            </w:r>
          </w:p>
        </w:tc>
      </w:tr>
      <w:tr w:rsidR="00D30359" w:rsidRPr="00C27C1E" w:rsidTr="001F7E3E">
        <w:trPr>
          <w:trHeight w:val="557"/>
        </w:trPr>
        <w:tc>
          <w:tcPr>
            <w:tcW w:w="2374" w:type="dxa"/>
            <w:vMerge/>
            <w:tcBorders>
              <w:top w:val="nil"/>
              <w:bottom w:val="nil"/>
            </w:tcBorders>
            <w:shd w:val="clear" w:color="auto" w:fill="auto"/>
          </w:tcPr>
          <w:p w:rsidR="00D30359" w:rsidRPr="000F3C8B" w:rsidRDefault="00D30359" w:rsidP="001F7E3E">
            <w:pPr>
              <w:pStyle w:val="TableText0"/>
              <w:rPr>
                <w:lang w:val="en-AU"/>
              </w:rPr>
            </w:pPr>
          </w:p>
        </w:tc>
        <w:tc>
          <w:tcPr>
            <w:tcW w:w="6182" w:type="dxa"/>
            <w:tcBorders>
              <w:top w:val="nil"/>
              <w:bottom w:val="nil"/>
            </w:tcBorders>
            <w:shd w:val="clear" w:color="auto" w:fill="auto"/>
          </w:tcPr>
          <w:p w:rsidR="00D30359" w:rsidRPr="000F3C8B" w:rsidRDefault="00813ED3" w:rsidP="001F7E3E">
            <w:pPr>
              <w:pStyle w:val="TableText0"/>
              <w:rPr>
                <w:lang w:val="en-AU"/>
              </w:rPr>
            </w:pPr>
            <w:r w:rsidRPr="000F3C8B">
              <w:rPr>
                <w:b/>
                <w:lang w:val="en-AU"/>
              </w:rPr>
              <w:t>Palliative:</w:t>
            </w:r>
            <w:r w:rsidRPr="000F3C8B">
              <w:rPr>
                <w:lang w:val="en-AU"/>
              </w:rPr>
              <w:t xml:space="preserve"> SEMS as a palliative measure for patients with incurable malignant large bowel obstruction with either chronic or acute </w:t>
            </w:r>
            <w:r w:rsidR="009E5EA6" w:rsidRPr="000F3C8B">
              <w:rPr>
                <w:lang w:val="en-AU"/>
              </w:rPr>
              <w:t>comorbidit</w:t>
            </w:r>
            <w:r w:rsidRPr="000F3C8B">
              <w:rPr>
                <w:lang w:val="en-AU"/>
              </w:rPr>
              <w:t>ies, with or without metastasis.</w:t>
            </w:r>
          </w:p>
        </w:tc>
      </w:tr>
      <w:tr w:rsidR="00D30359" w:rsidRPr="00027046" w:rsidTr="001F7E3E">
        <w:trPr>
          <w:trHeight w:val="140"/>
        </w:trPr>
        <w:tc>
          <w:tcPr>
            <w:tcW w:w="2374" w:type="dxa"/>
            <w:vMerge w:val="restart"/>
            <w:tcBorders>
              <w:top w:val="nil"/>
              <w:bottom w:val="nil"/>
            </w:tcBorders>
            <w:shd w:val="clear" w:color="auto" w:fill="auto"/>
          </w:tcPr>
          <w:p w:rsidR="00D30359" w:rsidRPr="000F3C8B" w:rsidRDefault="00D30359" w:rsidP="001F7E3E">
            <w:pPr>
              <w:pStyle w:val="TableText0"/>
              <w:rPr>
                <w:lang w:val="en-AU"/>
              </w:rPr>
            </w:pPr>
            <w:r w:rsidRPr="000F3C8B">
              <w:rPr>
                <w:lang w:val="en-AU"/>
              </w:rPr>
              <w:t>Large bowel obstruction</w:t>
            </w:r>
            <w:r w:rsidR="002D1D52" w:rsidRPr="000F3C8B">
              <w:rPr>
                <w:lang w:val="en-AU"/>
              </w:rPr>
              <w:t>, stricture or stenosis</w:t>
            </w:r>
            <w:r w:rsidRPr="000F3C8B">
              <w:rPr>
                <w:lang w:val="en-AU"/>
              </w:rPr>
              <w:t xml:space="preserve"> </w:t>
            </w:r>
            <w:r w:rsidR="002D1D52" w:rsidRPr="000F3C8B">
              <w:rPr>
                <w:lang w:val="en-AU"/>
              </w:rPr>
              <w:t>caused by</w:t>
            </w:r>
            <w:r w:rsidRPr="000F3C8B">
              <w:rPr>
                <w:lang w:val="en-AU"/>
              </w:rPr>
              <w:t xml:space="preserve"> </w:t>
            </w:r>
            <w:r w:rsidRPr="000F3C8B">
              <w:rPr>
                <w:b/>
                <w:lang w:val="en-AU"/>
              </w:rPr>
              <w:t>unknown diagnosis</w:t>
            </w:r>
            <w:r w:rsidR="00CB5216" w:rsidRPr="00CB5216">
              <w:rPr>
                <w:vertAlign w:val="superscript"/>
                <w:lang w:val="en-AU"/>
              </w:rPr>
              <w:t>b</w:t>
            </w:r>
          </w:p>
        </w:tc>
        <w:tc>
          <w:tcPr>
            <w:tcW w:w="6182" w:type="dxa"/>
            <w:tcBorders>
              <w:top w:val="nil"/>
              <w:bottom w:val="nil"/>
            </w:tcBorders>
            <w:shd w:val="clear" w:color="auto" w:fill="auto"/>
          </w:tcPr>
          <w:p w:rsidR="00D30359" w:rsidRPr="000F3C8B" w:rsidRDefault="00813ED3" w:rsidP="001F7E3E">
            <w:pPr>
              <w:pStyle w:val="TableText0"/>
              <w:rPr>
                <w:lang w:val="en-AU"/>
              </w:rPr>
            </w:pPr>
            <w:r w:rsidRPr="000F3C8B">
              <w:rPr>
                <w:b/>
                <w:lang w:val="en-AU"/>
              </w:rPr>
              <w:t>Bridge</w:t>
            </w:r>
            <w:r w:rsidR="00511399" w:rsidRPr="000F3C8B">
              <w:rPr>
                <w:b/>
                <w:lang w:val="en-AU"/>
              </w:rPr>
              <w:t xml:space="preserve"> </w:t>
            </w:r>
            <w:r w:rsidRPr="000F3C8B">
              <w:rPr>
                <w:b/>
                <w:lang w:val="en-AU"/>
              </w:rPr>
              <w:t>to</w:t>
            </w:r>
            <w:r w:rsidR="00511399" w:rsidRPr="000F3C8B">
              <w:rPr>
                <w:b/>
                <w:lang w:val="en-AU"/>
              </w:rPr>
              <w:t xml:space="preserve"> </w:t>
            </w:r>
            <w:r w:rsidRPr="000F3C8B">
              <w:rPr>
                <w:b/>
                <w:lang w:val="en-AU"/>
              </w:rPr>
              <w:t>surgery:</w:t>
            </w:r>
            <w:r w:rsidRPr="000F3C8B">
              <w:rPr>
                <w:lang w:val="en-AU"/>
              </w:rPr>
              <w:t xml:space="preserve"> </w:t>
            </w:r>
            <w:r w:rsidR="005E64C3" w:rsidRPr="000F3C8B">
              <w:rPr>
                <w:lang w:val="en-AU"/>
              </w:rPr>
              <w:t xml:space="preserve">Patient </w:t>
            </w:r>
            <w:r w:rsidRPr="000F3C8B">
              <w:rPr>
                <w:lang w:val="en-AU"/>
              </w:rPr>
              <w:t xml:space="preserve">condition </w:t>
            </w:r>
            <w:r w:rsidR="005E64C3" w:rsidRPr="000F3C8B">
              <w:rPr>
                <w:lang w:val="en-AU"/>
              </w:rPr>
              <w:t xml:space="preserve">expected </w:t>
            </w:r>
            <w:r w:rsidRPr="000F3C8B">
              <w:rPr>
                <w:lang w:val="en-AU"/>
              </w:rPr>
              <w:t xml:space="preserve">to improve after insertion of </w:t>
            </w:r>
            <w:r w:rsidR="005E64C3" w:rsidRPr="000F3C8B">
              <w:rPr>
                <w:lang w:val="en-AU"/>
              </w:rPr>
              <w:t>SEMS</w:t>
            </w:r>
            <w:r w:rsidRPr="000F3C8B">
              <w:rPr>
                <w:lang w:val="en-AU"/>
              </w:rPr>
              <w:t xml:space="preserve">, </w:t>
            </w:r>
            <w:r w:rsidR="005E64C3" w:rsidRPr="000F3C8B">
              <w:rPr>
                <w:lang w:val="en-AU"/>
              </w:rPr>
              <w:t>with</w:t>
            </w:r>
            <w:r w:rsidRPr="000F3C8B">
              <w:rPr>
                <w:lang w:val="en-AU"/>
              </w:rPr>
              <w:t xml:space="preserve"> subsequent s</w:t>
            </w:r>
            <w:r w:rsidR="00CB5216">
              <w:rPr>
                <w:lang w:val="en-AU"/>
              </w:rPr>
              <w:t>urgical management indicated</w:t>
            </w:r>
            <w:r w:rsidRPr="000F3C8B">
              <w:rPr>
                <w:lang w:val="en-AU"/>
              </w:rPr>
              <w:t>.</w:t>
            </w:r>
            <w:r w:rsidR="00CB5216" w:rsidRPr="00CB5216">
              <w:rPr>
                <w:vertAlign w:val="superscript"/>
                <w:lang w:val="en-AU"/>
              </w:rPr>
              <w:t>a</w:t>
            </w:r>
          </w:p>
        </w:tc>
      </w:tr>
      <w:tr w:rsidR="00D30359" w:rsidRPr="00027046" w:rsidTr="001F7E3E">
        <w:trPr>
          <w:trHeight w:val="140"/>
        </w:trPr>
        <w:tc>
          <w:tcPr>
            <w:tcW w:w="2374" w:type="dxa"/>
            <w:vMerge/>
            <w:tcBorders>
              <w:top w:val="nil"/>
            </w:tcBorders>
            <w:shd w:val="clear" w:color="auto" w:fill="auto"/>
          </w:tcPr>
          <w:p w:rsidR="00D30359" w:rsidRPr="000F3C8B" w:rsidRDefault="00D30359" w:rsidP="001F7E3E">
            <w:pPr>
              <w:pStyle w:val="TableText0"/>
              <w:rPr>
                <w:lang w:val="en-AU"/>
              </w:rPr>
            </w:pPr>
          </w:p>
        </w:tc>
        <w:tc>
          <w:tcPr>
            <w:tcW w:w="6182" w:type="dxa"/>
            <w:tcBorders>
              <w:top w:val="nil"/>
            </w:tcBorders>
            <w:shd w:val="clear" w:color="auto" w:fill="auto"/>
          </w:tcPr>
          <w:p w:rsidR="00D30359" w:rsidRPr="000F3C8B" w:rsidRDefault="00813ED3" w:rsidP="001F7E3E">
            <w:pPr>
              <w:pStyle w:val="TableText0"/>
              <w:rPr>
                <w:lang w:val="en-AU"/>
              </w:rPr>
            </w:pPr>
            <w:r w:rsidRPr="000F3C8B">
              <w:rPr>
                <w:b/>
                <w:lang w:val="en-AU"/>
              </w:rPr>
              <w:t>Palliative:</w:t>
            </w:r>
            <w:r w:rsidRPr="000F3C8B">
              <w:rPr>
                <w:lang w:val="en-AU"/>
              </w:rPr>
              <w:t xml:space="preserve"> SEMS as a palliative measure for patients with incurable malignant or non-malignant obstruction with either chronic or acute </w:t>
            </w:r>
            <w:r w:rsidR="009E5EA6" w:rsidRPr="000F3C8B">
              <w:rPr>
                <w:lang w:val="en-AU"/>
              </w:rPr>
              <w:t>comorbidit</w:t>
            </w:r>
            <w:r w:rsidRPr="000F3C8B">
              <w:rPr>
                <w:lang w:val="en-AU"/>
              </w:rPr>
              <w:t>ies, with or without metastasis.</w:t>
            </w:r>
          </w:p>
        </w:tc>
      </w:tr>
    </w:tbl>
    <w:p w:rsidR="003A5D05" w:rsidRDefault="00CB5216" w:rsidP="003A5D05">
      <w:pPr>
        <w:pStyle w:val="TableNotes"/>
      </w:pPr>
      <w:proofErr w:type="gramStart"/>
      <w:r>
        <w:rPr>
          <w:lang w:val="en-AU"/>
        </w:rPr>
        <w:t xml:space="preserve">a  </w:t>
      </w:r>
      <w:r w:rsidR="003A5D05">
        <w:t>The</w:t>
      </w:r>
      <w:proofErr w:type="gramEnd"/>
      <w:r w:rsidR="003A5D05">
        <w:t xml:space="preserve"> subsequent surgical management of any patient who has received a SEMS may be any type of surgical intervention</w:t>
      </w:r>
      <w:r w:rsidR="005E64C3">
        <w:t>,</w:t>
      </w:r>
      <w:r w:rsidR="003A5D05">
        <w:t xml:space="preserve"> including curative surgery or non-curative surgery, single-stage resection or a </w:t>
      </w:r>
      <w:r w:rsidR="00DF03CC">
        <w:t>multi-stage</w:t>
      </w:r>
      <w:r w:rsidR="003A5D05">
        <w:t xml:space="preserve"> procedure.</w:t>
      </w:r>
      <w:r w:rsidR="003A5D05">
        <w:br/>
      </w:r>
      <w:proofErr w:type="gramStart"/>
      <w:r>
        <w:rPr>
          <w:lang w:val="en-AU"/>
        </w:rPr>
        <w:t xml:space="preserve">b  </w:t>
      </w:r>
      <w:r w:rsidR="003A5D05">
        <w:t>This</w:t>
      </w:r>
      <w:proofErr w:type="gramEnd"/>
      <w:r w:rsidR="003A5D05">
        <w:t xml:space="preserve"> group may include less than 25% of patients with colonic obstructions of non-malignant aetiologies</w:t>
      </w:r>
      <w:r w:rsidR="00511399">
        <w:t>,</w:t>
      </w:r>
      <w:r w:rsidR="003A5D05">
        <w:t xml:space="preserve"> such as diverticulitis and Crohn’s disease.</w:t>
      </w:r>
    </w:p>
    <w:p w:rsidR="00842B9D" w:rsidRPr="00027046" w:rsidRDefault="00C604CD" w:rsidP="00F332E9">
      <w:r>
        <w:t xml:space="preserve">For </w:t>
      </w:r>
      <w:r w:rsidR="00511399">
        <w:t xml:space="preserve">the </w:t>
      </w:r>
      <w:r>
        <w:t xml:space="preserve">purposes of the current assessment, SEMS placement </w:t>
      </w:r>
      <w:r w:rsidRPr="00542CC4">
        <w:t xml:space="preserve">is not advocated </w:t>
      </w:r>
      <w:r>
        <w:rPr>
          <w:rFonts w:cs="Arial"/>
          <w:szCs w:val="24"/>
        </w:rPr>
        <w:t>to treat benign obstructions caused by conditions such as diverticular and Crohn</w:t>
      </w:r>
      <w:r w:rsidR="00511399">
        <w:rPr>
          <w:rFonts w:cs="Arial"/>
          <w:szCs w:val="24"/>
        </w:rPr>
        <w:t>’s</w:t>
      </w:r>
      <w:r>
        <w:rPr>
          <w:rFonts w:cs="Arial"/>
          <w:szCs w:val="24"/>
        </w:rPr>
        <w:t xml:space="preserve"> disease. </w:t>
      </w:r>
      <w:r w:rsidR="00412C15" w:rsidRPr="00027046">
        <w:t>SEMS insertion is proposed as an extension of current management</w:t>
      </w:r>
      <w:r w:rsidR="0045257E" w:rsidRPr="00027046">
        <w:t xml:space="preserve"> </w:t>
      </w:r>
      <w:r w:rsidR="00EA32F3">
        <w:t xml:space="preserve">of </w:t>
      </w:r>
      <w:r w:rsidR="00EA32F3" w:rsidRPr="00027046">
        <w:t xml:space="preserve">malignant colorectal obstruction </w:t>
      </w:r>
      <w:r w:rsidR="0045257E" w:rsidRPr="00027046">
        <w:t xml:space="preserve">which </w:t>
      </w:r>
      <w:r w:rsidR="00EB42E4" w:rsidRPr="00EB42E4">
        <w:t xml:space="preserve">is </w:t>
      </w:r>
      <w:r w:rsidR="00EA32F3">
        <w:t xml:space="preserve">at present </w:t>
      </w:r>
      <w:r w:rsidR="00412C15" w:rsidRPr="00027046">
        <w:t xml:space="preserve">surgical resection. </w:t>
      </w:r>
    </w:p>
    <w:p w:rsidR="00941B19" w:rsidRPr="009E5C53" w:rsidRDefault="00941B19" w:rsidP="00FC35F9">
      <w:pPr>
        <w:pStyle w:val="Heading3"/>
      </w:pPr>
      <w:r w:rsidRPr="009E5C53">
        <w:t>Proposal for public funding</w:t>
      </w:r>
    </w:p>
    <w:p w:rsidR="00EB42E4" w:rsidRDefault="00EA32F3" w:rsidP="000F4A48">
      <w:r>
        <w:t xml:space="preserve">The proposed MBS </w:t>
      </w:r>
      <w:r w:rsidR="00856D07">
        <w:t>i</w:t>
      </w:r>
      <w:r>
        <w:t xml:space="preserve">tem descriptor for SEMS insertion for the management of </w:t>
      </w:r>
      <w:r w:rsidRPr="00027046">
        <w:t>malignant colorectal obstruction</w:t>
      </w:r>
      <w:r>
        <w:t xml:space="preserve"> is presented in </w:t>
      </w:r>
      <w:r>
        <w:fldChar w:fldCharType="begin"/>
      </w:r>
      <w:r>
        <w:instrText xml:space="preserve"> REF _Ref324929017 \h </w:instrText>
      </w:r>
      <w:r w:rsidR="00EB42E4">
        <w:instrText xml:space="preserve"> \* MERGEFORMAT </w:instrText>
      </w:r>
      <w:r>
        <w:fldChar w:fldCharType="separate"/>
      </w:r>
      <w:r w:rsidR="0071544A">
        <w:t>Table 2</w:t>
      </w:r>
      <w:r>
        <w:fldChar w:fldCharType="end"/>
      </w:r>
      <w:r w:rsidR="00EB42E4">
        <w:t>.</w:t>
      </w:r>
    </w:p>
    <w:p w:rsidR="0057388E" w:rsidRPr="009E5C53" w:rsidRDefault="00C361F0" w:rsidP="00C361F0">
      <w:pPr>
        <w:pStyle w:val="Caption"/>
      </w:pPr>
      <w:bookmarkStart w:id="12" w:name="_Ref324929017"/>
      <w:bookmarkStart w:id="13" w:name="_Toc327522046"/>
      <w:r>
        <w:t xml:space="preserve">Table </w:t>
      </w:r>
      <w:fldSimple w:instr=" SEQ Table \* ARABIC ">
        <w:r w:rsidR="0071544A">
          <w:rPr>
            <w:noProof/>
          </w:rPr>
          <w:t>2</w:t>
        </w:r>
      </w:fldSimple>
      <w:bookmarkEnd w:id="12"/>
      <w:r w:rsidR="0057388E" w:rsidRPr="009E5C53">
        <w:tab/>
      </w:r>
      <w:r w:rsidR="0057388E" w:rsidRPr="009E5C53">
        <w:rPr>
          <w:rFonts w:cs="Tahoma"/>
          <w:szCs w:val="24"/>
          <w:lang w:eastAsia="ja-JP"/>
        </w:rPr>
        <w:t>Proposed MBS item descriptor for insertion of colonic stents for large bowel obstruction, stricture or stenosis</w:t>
      </w:r>
      <w:bookmarkEnd w:id="13"/>
    </w:p>
    <w:tbl>
      <w:tblPr>
        <w:tblW w:w="0" w:type="auto"/>
        <w:tblInd w:w="720" w:type="dxa"/>
        <w:tblBorders>
          <w:top w:val="single" w:sz="12" w:space="0" w:color="000000"/>
          <w:bottom w:val="single" w:sz="12" w:space="0" w:color="000000"/>
          <w:insideH w:val="single" w:sz="4" w:space="0" w:color="000000"/>
          <w:insideV w:val="single" w:sz="4" w:space="0" w:color="000000"/>
        </w:tblBorders>
        <w:tblLook w:val="00A0" w:firstRow="1" w:lastRow="0" w:firstColumn="1" w:lastColumn="0" w:noHBand="0" w:noVBand="0"/>
      </w:tblPr>
      <w:tblGrid>
        <w:gridCol w:w="8358"/>
      </w:tblGrid>
      <w:tr w:rsidR="0057388E" w:rsidRPr="00027046" w:rsidTr="001F7E3E">
        <w:trPr>
          <w:trHeight w:val="251"/>
        </w:trPr>
        <w:tc>
          <w:tcPr>
            <w:tcW w:w="8358" w:type="dxa"/>
          </w:tcPr>
          <w:p w:rsidR="0057388E" w:rsidRPr="00E2422F" w:rsidRDefault="0057388E" w:rsidP="00007456">
            <w:pPr>
              <w:pStyle w:val="TableHeading"/>
            </w:pPr>
            <w:r w:rsidRPr="00E2422F">
              <w:t>Category 3 – Therapeutic procedures</w:t>
            </w:r>
          </w:p>
        </w:tc>
      </w:tr>
      <w:tr w:rsidR="0057388E" w:rsidRPr="00027046" w:rsidTr="001F7E3E">
        <w:tc>
          <w:tcPr>
            <w:tcW w:w="8358" w:type="dxa"/>
          </w:tcPr>
          <w:p w:rsidR="0057388E" w:rsidRPr="000F3C8B" w:rsidRDefault="0057388E" w:rsidP="00863C1B">
            <w:pPr>
              <w:pStyle w:val="TableText0"/>
              <w:rPr>
                <w:lang w:val="en-AU"/>
              </w:rPr>
            </w:pPr>
            <w:r w:rsidRPr="000F3C8B">
              <w:rPr>
                <w:lang w:val="en-AU"/>
              </w:rPr>
              <w:t>MBS [item number]</w:t>
            </w:r>
          </w:p>
          <w:p w:rsidR="0057388E" w:rsidRPr="000F3C8B" w:rsidRDefault="0057388E" w:rsidP="00856D07">
            <w:pPr>
              <w:pStyle w:val="TableText0"/>
              <w:spacing w:after="0"/>
              <w:rPr>
                <w:lang w:val="en-AU"/>
              </w:rPr>
            </w:pPr>
            <w:r w:rsidRPr="000F3C8B">
              <w:rPr>
                <w:lang w:val="en-AU"/>
              </w:rPr>
              <w:t xml:space="preserve">Endoscopic insertion of stent or stents for large bowel obstruction, stricture or stenosis, where cause of the obstruction is due to: </w:t>
            </w:r>
          </w:p>
          <w:p w:rsidR="0057388E" w:rsidRPr="000F3C8B" w:rsidRDefault="0057388E" w:rsidP="00856D07">
            <w:pPr>
              <w:pStyle w:val="TableText0"/>
              <w:numPr>
                <w:ilvl w:val="0"/>
                <w:numId w:val="39"/>
              </w:numPr>
              <w:spacing w:before="0" w:after="0"/>
              <w:ind w:left="714" w:hanging="357"/>
              <w:rPr>
                <w:lang w:val="en-AU"/>
              </w:rPr>
            </w:pPr>
            <w:r w:rsidRPr="000F3C8B">
              <w:rPr>
                <w:lang w:val="en-AU"/>
              </w:rPr>
              <w:t>a pre-diagnosed colorectal cancer</w:t>
            </w:r>
            <w:r w:rsidR="00856D07" w:rsidRPr="000F3C8B">
              <w:rPr>
                <w:lang w:val="en-AU"/>
              </w:rPr>
              <w:t>,</w:t>
            </w:r>
            <w:r w:rsidRPr="000F3C8B">
              <w:rPr>
                <w:lang w:val="en-AU"/>
              </w:rPr>
              <w:t xml:space="preserve"> or cancer of an organ adjacent to the bowel </w:t>
            </w:r>
          </w:p>
          <w:p w:rsidR="0057388E" w:rsidRPr="000F3C8B" w:rsidRDefault="0057388E" w:rsidP="00856D07">
            <w:pPr>
              <w:pStyle w:val="TableText0"/>
              <w:numPr>
                <w:ilvl w:val="0"/>
                <w:numId w:val="39"/>
              </w:numPr>
              <w:spacing w:before="0"/>
              <w:ind w:left="714" w:hanging="357"/>
              <w:rPr>
                <w:lang w:val="en-AU"/>
              </w:rPr>
            </w:pPr>
            <w:proofErr w:type="gramStart"/>
            <w:r w:rsidRPr="000F3C8B">
              <w:rPr>
                <w:lang w:val="en-AU"/>
              </w:rPr>
              <w:t>an</w:t>
            </w:r>
            <w:proofErr w:type="gramEnd"/>
            <w:r w:rsidRPr="000F3C8B">
              <w:rPr>
                <w:lang w:val="en-AU"/>
              </w:rPr>
              <w:t xml:space="preserve"> unknown diagnosis. </w:t>
            </w:r>
          </w:p>
          <w:p w:rsidR="0057388E" w:rsidRPr="000F3C8B" w:rsidRDefault="0057388E" w:rsidP="00863C1B">
            <w:pPr>
              <w:pStyle w:val="TableText0"/>
              <w:rPr>
                <w:lang w:val="en-AU"/>
              </w:rPr>
            </w:pPr>
            <w:r w:rsidRPr="000F3C8B">
              <w:rPr>
                <w:lang w:val="en-AU"/>
              </w:rPr>
              <w:t>(Anaes.)</w:t>
            </w:r>
          </w:p>
          <w:p w:rsidR="0057388E" w:rsidRPr="000F3C8B" w:rsidRDefault="0057388E" w:rsidP="00863C1B">
            <w:pPr>
              <w:pStyle w:val="TableText0"/>
              <w:rPr>
                <w:lang w:val="en-AU"/>
              </w:rPr>
            </w:pPr>
            <w:r w:rsidRPr="000F3C8B">
              <w:rPr>
                <w:lang w:val="en-AU"/>
              </w:rPr>
              <w:t>Fee: $650</w:t>
            </w:r>
            <w:r w:rsidR="00856D07" w:rsidRPr="000F3C8B">
              <w:rPr>
                <w:lang w:val="en-AU"/>
              </w:rPr>
              <w:t>.00</w:t>
            </w:r>
          </w:p>
          <w:p w:rsidR="0057388E" w:rsidRPr="000F3C8B" w:rsidRDefault="00856D07" w:rsidP="00856D07">
            <w:pPr>
              <w:pStyle w:val="TableText0"/>
              <w:spacing w:after="0"/>
              <w:rPr>
                <w:lang w:val="en-AU"/>
              </w:rPr>
            </w:pPr>
            <w:r w:rsidRPr="000F3C8B">
              <w:rPr>
                <w:lang w:val="en-AU"/>
              </w:rPr>
              <w:t>Explanatory notes:</w:t>
            </w:r>
          </w:p>
          <w:p w:rsidR="0057388E" w:rsidRPr="000F3C8B" w:rsidRDefault="0057388E" w:rsidP="00856D07">
            <w:pPr>
              <w:pStyle w:val="TableText0"/>
              <w:numPr>
                <w:ilvl w:val="0"/>
                <w:numId w:val="40"/>
              </w:numPr>
              <w:spacing w:before="0" w:after="0"/>
              <w:ind w:left="714" w:hanging="357"/>
              <w:rPr>
                <w:lang w:val="en-AU"/>
              </w:rPr>
            </w:pPr>
            <w:r w:rsidRPr="000F3C8B">
              <w:rPr>
                <w:lang w:val="en-AU"/>
              </w:rPr>
              <w:t xml:space="preserve">The fee for the insertion of a colonic stent covers the colonoscopy to the point of obstruction, stricture or stenosis, passage of a guide wire under fluoroscopy and deployment of a colonic stent. </w:t>
            </w:r>
          </w:p>
          <w:p w:rsidR="0057388E" w:rsidRPr="000F3C8B" w:rsidRDefault="0057388E" w:rsidP="00856D07">
            <w:pPr>
              <w:pStyle w:val="TableText0"/>
              <w:numPr>
                <w:ilvl w:val="0"/>
                <w:numId w:val="40"/>
              </w:numPr>
              <w:spacing w:before="0" w:after="0"/>
              <w:ind w:left="714" w:hanging="357"/>
              <w:rPr>
                <w:lang w:val="en-AU"/>
              </w:rPr>
            </w:pPr>
            <w:r w:rsidRPr="000F3C8B">
              <w:rPr>
                <w:lang w:val="en-AU"/>
              </w:rPr>
              <w:t xml:space="preserve">Two colonic stents are listed on the ARTG for use in colonic obstruction caused by malignancy (ARTG numbers 119517, 157191). The remaining three colonic stents are listed for use in strictures caused by colorectal cancer (ARTG numbers 139317, 144564, 167223). </w:t>
            </w:r>
          </w:p>
          <w:p w:rsidR="0057388E" w:rsidRPr="000F3C8B" w:rsidRDefault="0057388E" w:rsidP="00856D07">
            <w:pPr>
              <w:pStyle w:val="TableText0"/>
              <w:numPr>
                <w:ilvl w:val="0"/>
                <w:numId w:val="40"/>
              </w:numPr>
              <w:spacing w:before="0" w:after="0"/>
              <w:ind w:left="714" w:hanging="357"/>
              <w:rPr>
                <w:rFonts w:eastAsia="SimSun"/>
                <w:lang w:val="en-AU"/>
              </w:rPr>
            </w:pPr>
            <w:r w:rsidRPr="000F3C8B">
              <w:rPr>
                <w:rFonts w:eastAsia="SimSun"/>
                <w:lang w:val="en-AU"/>
              </w:rPr>
              <w:t>The fee to be indexed by 201</w:t>
            </w:r>
            <w:r w:rsidR="00E34CB0" w:rsidRPr="000F3C8B">
              <w:rPr>
                <w:rFonts w:eastAsia="SimSun"/>
                <w:lang w:val="en-AU"/>
              </w:rPr>
              <w:t>2</w:t>
            </w:r>
            <w:r w:rsidRPr="000F3C8B">
              <w:rPr>
                <w:rFonts w:eastAsia="SimSun"/>
                <w:lang w:val="en-AU"/>
              </w:rPr>
              <w:t>/201</w:t>
            </w:r>
            <w:r w:rsidR="00E34CB0" w:rsidRPr="000F3C8B">
              <w:rPr>
                <w:rFonts w:eastAsia="SimSun"/>
                <w:lang w:val="en-AU"/>
              </w:rPr>
              <w:t>3</w:t>
            </w:r>
            <w:r w:rsidRPr="000F3C8B">
              <w:rPr>
                <w:rFonts w:eastAsia="SimSun"/>
                <w:lang w:val="en-AU"/>
              </w:rPr>
              <w:t xml:space="preserve"> </w:t>
            </w:r>
            <w:r w:rsidR="005E227B" w:rsidRPr="000F3C8B">
              <w:rPr>
                <w:rFonts w:eastAsia="SimSun"/>
                <w:lang w:val="en-AU"/>
              </w:rPr>
              <w:t xml:space="preserve">Wage Cost Index 5 </w:t>
            </w:r>
            <w:r w:rsidRPr="000F3C8B">
              <w:rPr>
                <w:rFonts w:eastAsia="SimSun"/>
                <w:lang w:val="en-AU"/>
              </w:rPr>
              <w:t xml:space="preserve">rate that is </w:t>
            </w:r>
            <w:r w:rsidR="005E227B" w:rsidRPr="000F3C8B">
              <w:rPr>
                <w:rFonts w:eastAsia="SimSun"/>
                <w:lang w:val="en-AU"/>
              </w:rPr>
              <w:t>C</w:t>
            </w:r>
            <w:r w:rsidRPr="000F3C8B">
              <w:rPr>
                <w:rFonts w:eastAsia="SimSun"/>
                <w:lang w:val="en-AU"/>
              </w:rPr>
              <w:t>abinet-in-</w:t>
            </w:r>
            <w:r w:rsidR="005E227B" w:rsidRPr="000F3C8B">
              <w:rPr>
                <w:rFonts w:eastAsia="SimSun"/>
                <w:lang w:val="en-AU"/>
              </w:rPr>
              <w:t>C</w:t>
            </w:r>
            <w:r w:rsidRPr="000F3C8B">
              <w:rPr>
                <w:rFonts w:eastAsia="SimSun"/>
                <w:lang w:val="en-AU"/>
              </w:rPr>
              <w:t>onfidence</w:t>
            </w:r>
            <w:r w:rsidR="005E227B" w:rsidRPr="000F3C8B">
              <w:rPr>
                <w:rFonts w:eastAsia="SimSun"/>
                <w:lang w:val="en-AU"/>
              </w:rPr>
              <w:t xml:space="preserve"> information</w:t>
            </w:r>
            <w:r w:rsidRPr="000F3C8B">
              <w:rPr>
                <w:rFonts w:eastAsia="SimSun"/>
                <w:lang w:val="en-AU"/>
              </w:rPr>
              <w:t>.</w:t>
            </w:r>
          </w:p>
          <w:p w:rsidR="0057388E" w:rsidRPr="000F3C8B" w:rsidRDefault="0057388E" w:rsidP="00856D07">
            <w:pPr>
              <w:pStyle w:val="TableText0"/>
              <w:numPr>
                <w:ilvl w:val="0"/>
                <w:numId w:val="40"/>
              </w:numPr>
              <w:spacing w:before="0" w:after="0"/>
              <w:ind w:left="714" w:hanging="357"/>
              <w:rPr>
                <w:i/>
                <w:iCs/>
                <w:lang w:val="en-AU"/>
              </w:rPr>
            </w:pPr>
            <w:r w:rsidRPr="000F3C8B">
              <w:rPr>
                <w:iCs/>
                <w:lang w:val="en-AU"/>
              </w:rPr>
              <w:t xml:space="preserve">Anaes. </w:t>
            </w:r>
            <w:proofErr w:type="gramStart"/>
            <w:r w:rsidRPr="000F3C8B">
              <w:rPr>
                <w:iCs/>
                <w:lang w:val="en-AU"/>
              </w:rPr>
              <w:t>item</w:t>
            </w:r>
            <w:proofErr w:type="gramEnd"/>
            <w:r w:rsidRPr="000F3C8B">
              <w:rPr>
                <w:iCs/>
                <w:lang w:val="en-AU"/>
              </w:rPr>
              <w:t xml:space="preserve"> </w:t>
            </w:r>
            <w:r w:rsidR="002A6CFC" w:rsidRPr="000F3C8B">
              <w:rPr>
                <w:iCs/>
                <w:lang w:val="en-AU"/>
              </w:rPr>
              <w:t>numbers</w:t>
            </w:r>
            <w:r w:rsidRPr="000F3C8B">
              <w:rPr>
                <w:iCs/>
                <w:lang w:val="en-AU"/>
              </w:rPr>
              <w:t xml:space="preserve"> 20810 and 23063 (or 23031, 23032, 23033, 23041, 23042, 23043, 23051, 23052, 23053, 23061, 23062) to be charged with the service accordingly.</w:t>
            </w:r>
            <w:r w:rsidRPr="000F3C8B">
              <w:rPr>
                <w:i/>
                <w:iCs/>
                <w:lang w:val="en-AU"/>
              </w:rPr>
              <w:t xml:space="preserve"> </w:t>
            </w:r>
          </w:p>
          <w:p w:rsidR="0057388E" w:rsidRPr="000F3C8B" w:rsidRDefault="0057388E" w:rsidP="00856D07">
            <w:pPr>
              <w:pStyle w:val="TableText0"/>
              <w:numPr>
                <w:ilvl w:val="0"/>
                <w:numId w:val="40"/>
              </w:numPr>
              <w:spacing w:before="0"/>
              <w:ind w:left="714" w:hanging="357"/>
              <w:rPr>
                <w:rFonts w:ascii="Tahoma" w:eastAsia="SimSun" w:hAnsi="Tahoma"/>
                <w:lang w:val="en-AU"/>
              </w:rPr>
            </w:pPr>
            <w:r w:rsidRPr="000F3C8B">
              <w:rPr>
                <w:rFonts w:eastAsia="SimSun" w:cs="Arial"/>
                <w:lang w:val="en-AU" w:eastAsia="zh-CN"/>
              </w:rPr>
              <w:t>The procedure is undertaken by a colorectal surgeon or gastroenterologist appropriately trained in this procedure</w:t>
            </w:r>
            <w:r w:rsidRPr="000F3C8B">
              <w:rPr>
                <w:lang w:val="en-AU"/>
              </w:rPr>
              <w:t xml:space="preserve"> </w:t>
            </w:r>
            <w:r w:rsidRPr="000F3C8B">
              <w:rPr>
                <w:rFonts w:eastAsia="SimSun" w:cs="Arial"/>
                <w:lang w:val="en-AU" w:eastAsia="zh-CN"/>
              </w:rPr>
              <w:t>and certified by the Conjoint Committee for Recognition of Training in Gastrointestinal Endoscopy.</w:t>
            </w:r>
          </w:p>
        </w:tc>
      </w:tr>
    </w:tbl>
    <w:p w:rsidR="0057388E" w:rsidRPr="009E5C53" w:rsidRDefault="00AA69D5" w:rsidP="001F7E3E">
      <w:pPr>
        <w:pStyle w:val="TableNotes"/>
        <w:rPr>
          <w:rFonts w:cs="Tahoma"/>
          <w:b/>
          <w:sz w:val="18"/>
          <w:szCs w:val="18"/>
          <w:lang w:eastAsia="ja-JP"/>
        </w:rPr>
      </w:pPr>
      <w:r w:rsidRPr="0007443E">
        <w:rPr>
          <w:rStyle w:val="TableNotesChar"/>
        </w:rPr>
        <w:t>MBS: Medicare Benefits Schedule</w:t>
      </w:r>
      <w:r w:rsidR="0026112F">
        <w:rPr>
          <w:rStyle w:val="TableNotesChar"/>
        </w:rPr>
        <w:t>.</w:t>
      </w:r>
    </w:p>
    <w:p w:rsidR="00EA32F3" w:rsidRPr="008F42F9" w:rsidRDefault="00EA32F3" w:rsidP="00EA32F3">
      <w:r w:rsidRPr="00F13A5A">
        <w:t xml:space="preserve">The </w:t>
      </w:r>
      <w:r w:rsidRPr="00E767D0">
        <w:t>proposed</w:t>
      </w:r>
      <w:r w:rsidR="00856D07">
        <w:t xml:space="preserve"> item</w:t>
      </w:r>
      <w:r w:rsidRPr="00E767D0">
        <w:t xml:space="preserve"> fee </w:t>
      </w:r>
      <w:r w:rsidRPr="00BE3EA8">
        <w:t xml:space="preserve">includes colonoscopy to the point of obstruction, passage of a guide-wire across the obstruction under fluoroscopy and deployment of a colonic stent. </w:t>
      </w:r>
      <w:r w:rsidR="001237B2" w:rsidRPr="00F13A5A">
        <w:t xml:space="preserve">The procedure is </w:t>
      </w:r>
      <w:r w:rsidR="001237B2">
        <w:t xml:space="preserve">to be </w:t>
      </w:r>
      <w:r w:rsidR="001237B2" w:rsidRPr="00F13A5A">
        <w:t>undertaken by a colorectal surgeon or gastroenterologist appropriately trained in this procedure and certified by the Conjoint Committee for Re</w:t>
      </w:r>
      <w:r w:rsidR="001237B2" w:rsidRPr="00E767D0">
        <w:t>cognition of Training in Gastrointestinal Endoscopy.</w:t>
      </w:r>
      <w:r w:rsidR="001237B2">
        <w:t xml:space="preserve"> </w:t>
      </w:r>
      <w:r w:rsidRPr="00BE3EA8">
        <w:t>The technical difficulty of this procedure e</w:t>
      </w:r>
      <w:r w:rsidRPr="008F42F9">
        <w:t>xceeds that for deployment of an oesophageal or biliary stent</w:t>
      </w:r>
      <w:r w:rsidR="00856D07">
        <w:t>, and</w:t>
      </w:r>
      <w:r w:rsidR="00856D07" w:rsidRPr="00856D07">
        <w:t xml:space="preserve"> </w:t>
      </w:r>
      <w:r w:rsidR="00856D07">
        <w:t>p</w:t>
      </w:r>
      <w:r w:rsidR="00856D07" w:rsidRPr="008F42F9">
        <w:t xml:space="preserve">rocedural </w:t>
      </w:r>
      <w:r w:rsidR="00856D07" w:rsidRPr="008F42F9">
        <w:lastRenderedPageBreak/>
        <w:t>duration ranges from 30-90 minutes</w:t>
      </w:r>
      <w:r w:rsidRPr="008F42F9">
        <w:t>. The relief of obstruction is accompanied by immediate and often dramatic passage of stool</w:t>
      </w:r>
      <w:r w:rsidR="00856D07">
        <w:t>,</w:t>
      </w:r>
      <w:r w:rsidRPr="008F42F9">
        <w:t xml:space="preserve"> which can be extremely unpleasant for the proceduralist and other team members. </w:t>
      </w:r>
      <w:r w:rsidR="00856D07" w:rsidRPr="009E5C53">
        <w:t xml:space="preserve">The fee utilised for </w:t>
      </w:r>
      <w:r w:rsidR="00856D07" w:rsidRPr="00E2422F">
        <w:t>this</w:t>
      </w:r>
      <w:r w:rsidR="00856D07" w:rsidRPr="00892811">
        <w:t xml:space="preserve"> report shall be indexed by 201</w:t>
      </w:r>
      <w:r w:rsidR="00856D07" w:rsidRPr="008978EE">
        <w:t>2</w:t>
      </w:r>
      <w:r w:rsidR="00856D07" w:rsidRPr="00A30BA9">
        <w:t>/201</w:t>
      </w:r>
      <w:r w:rsidR="00856D07" w:rsidRPr="00A87C52">
        <w:t xml:space="preserve">3 Wages Cost Index rate </w:t>
      </w:r>
      <w:r w:rsidR="00856D07">
        <w:t>(C</w:t>
      </w:r>
      <w:r w:rsidR="00856D07" w:rsidRPr="00E767D0">
        <w:t>abinet-in-</w:t>
      </w:r>
      <w:r w:rsidR="00856D07">
        <w:t>C</w:t>
      </w:r>
      <w:r w:rsidR="00856D07" w:rsidRPr="00E767D0">
        <w:t>onfidence</w:t>
      </w:r>
      <w:r w:rsidR="00856D07">
        <w:t>)</w:t>
      </w:r>
      <w:r w:rsidR="00856D07" w:rsidRPr="00E767D0">
        <w:t>.</w:t>
      </w:r>
    </w:p>
    <w:p w:rsidR="001237B2" w:rsidRDefault="00E34CB0" w:rsidP="001237B2">
      <w:r w:rsidRPr="009E5C53">
        <w:t xml:space="preserve">It is suggested that the MBS item descriptor should not limit repeat use of stents. </w:t>
      </w:r>
      <w:r w:rsidR="004C151D">
        <w:t>O</w:t>
      </w:r>
      <w:r w:rsidR="001237B2" w:rsidRPr="00E2422F">
        <w:t xml:space="preserve">ne stent </w:t>
      </w:r>
      <w:r w:rsidR="004C151D">
        <w:t xml:space="preserve">may be placed </w:t>
      </w:r>
      <w:r w:rsidR="001237B2" w:rsidRPr="008978EE">
        <w:t xml:space="preserve">within </w:t>
      </w:r>
      <w:r w:rsidR="001237B2" w:rsidRPr="00A30BA9">
        <w:t xml:space="preserve">another (re-stenting) if the initial stent </w:t>
      </w:r>
      <w:r w:rsidR="004C151D">
        <w:t xml:space="preserve">has </w:t>
      </w:r>
      <w:r w:rsidR="001237B2" w:rsidRPr="00A30BA9">
        <w:t>become obstructed by granulation tissue or tumour.</w:t>
      </w:r>
      <w:r w:rsidR="001237B2" w:rsidRPr="001237B2">
        <w:t xml:space="preserve"> </w:t>
      </w:r>
      <w:r w:rsidR="001237B2">
        <w:t>However, r</w:t>
      </w:r>
      <w:r w:rsidR="001237B2" w:rsidRPr="00A30BA9">
        <w:t>e</w:t>
      </w:r>
      <w:r w:rsidR="001237B2">
        <w:t>-</w:t>
      </w:r>
      <w:r w:rsidR="001237B2" w:rsidRPr="00A30BA9">
        <w:t>stenting is usually attempted on</w:t>
      </w:r>
      <w:r w:rsidR="001237B2" w:rsidRPr="00A87C52">
        <w:t>ly twice</w:t>
      </w:r>
      <w:r w:rsidR="001237B2">
        <w:t xml:space="preserve">; </w:t>
      </w:r>
      <w:r w:rsidR="003E3B03">
        <w:t>after</w:t>
      </w:r>
      <w:r w:rsidRPr="009E5C53">
        <w:t xml:space="preserve"> two or more </w:t>
      </w:r>
      <w:r w:rsidR="001237B2">
        <w:t>unsuccessful attempts</w:t>
      </w:r>
      <w:r w:rsidR="003E3B03">
        <w:t>,</w:t>
      </w:r>
      <w:r w:rsidRPr="009E5C53">
        <w:t xml:space="preserve"> an alternative approach would </w:t>
      </w:r>
      <w:r w:rsidR="003E3B03">
        <w:t xml:space="preserve">likely </w:t>
      </w:r>
      <w:r w:rsidRPr="009E5C53">
        <w:t>be taken. However, it may be that stents need to b</w:t>
      </w:r>
      <w:r w:rsidRPr="00E2422F">
        <w:t>e inserted in separate lo</w:t>
      </w:r>
      <w:r w:rsidR="001237B2">
        <w:t>cations in the same individual.</w:t>
      </w:r>
    </w:p>
    <w:p w:rsidR="00DB6EA4" w:rsidRPr="009E5C53" w:rsidRDefault="00DB6EA4" w:rsidP="00DB6EA4">
      <w:r w:rsidRPr="009E5C53">
        <w:t>In the case of a failed attempt at stent insertion, there is a generic MBS item (</w:t>
      </w:r>
      <w:r w:rsidR="003E3B03">
        <w:t xml:space="preserve">MBS </w:t>
      </w:r>
      <w:r w:rsidR="00A148C0">
        <w:t>i</w:t>
      </w:r>
      <w:r w:rsidR="003E3B03">
        <w:t xml:space="preserve">tem </w:t>
      </w:r>
      <w:r w:rsidRPr="009E5C53">
        <w:t>30001) to cover failed surgical interventions</w:t>
      </w:r>
      <w:r w:rsidR="003E3B03">
        <w:t>,</w:t>
      </w:r>
      <w:r w:rsidRPr="009E5C53">
        <w:t xml:space="preserve"> where 50</w:t>
      </w:r>
      <w:r w:rsidR="00A148C0">
        <w:t xml:space="preserve"> per cent</w:t>
      </w:r>
      <w:r w:rsidR="00A148C0" w:rsidRPr="009E5C53">
        <w:t xml:space="preserve"> </w:t>
      </w:r>
      <w:r w:rsidRPr="009E5C53">
        <w:t>of the usual fee could be claimed.</w:t>
      </w:r>
      <w:r w:rsidRPr="009E5C53" w:rsidDel="00E355A6">
        <w:t xml:space="preserve"> </w:t>
      </w:r>
      <w:r w:rsidRPr="009E5C53">
        <w:t>If an obstruction or stenosis becomes reduced</w:t>
      </w:r>
      <w:r w:rsidR="003E3B03">
        <w:t xml:space="preserve"> in size,</w:t>
      </w:r>
      <w:r w:rsidRPr="009E5C53">
        <w:t xml:space="preserve"> a stent will likely simply fall out, as stent</w:t>
      </w:r>
      <w:r w:rsidR="003E3B03">
        <w:t>s</w:t>
      </w:r>
      <w:r w:rsidRPr="009E5C53">
        <w:t xml:space="preserve"> </w:t>
      </w:r>
      <w:r w:rsidR="003E3B03">
        <w:t xml:space="preserve">generally </w:t>
      </w:r>
      <w:r w:rsidRPr="009E5C53">
        <w:t xml:space="preserve">require an obstruction to </w:t>
      </w:r>
      <w:r w:rsidR="003E3B03">
        <w:t>stay</w:t>
      </w:r>
      <w:r w:rsidRPr="009E5C53">
        <w:t xml:space="preserve"> in place. This may also occur in the case of stent migration</w:t>
      </w:r>
      <w:r w:rsidR="001237B2" w:rsidRPr="009E5C53">
        <w:t xml:space="preserve">, </w:t>
      </w:r>
      <w:r w:rsidR="001237B2">
        <w:t xml:space="preserve">where </w:t>
      </w:r>
      <w:r w:rsidR="001237B2" w:rsidRPr="009E5C53">
        <w:t>reintervention involving t</w:t>
      </w:r>
      <w:r w:rsidR="001237B2" w:rsidRPr="00E2422F">
        <w:t>he removal of the migrated stent and the deployment of a new SEM</w:t>
      </w:r>
      <w:r w:rsidR="001237B2">
        <w:t>S</w:t>
      </w:r>
      <w:r w:rsidR="001237B2" w:rsidRPr="00E2422F">
        <w:t xml:space="preserve"> is required</w:t>
      </w:r>
      <w:r w:rsidRPr="009E5C53">
        <w:t>. Therefore</w:t>
      </w:r>
      <w:r w:rsidR="003E3B03">
        <w:t>,</w:t>
      </w:r>
      <w:r w:rsidRPr="009E5C53">
        <w:t xml:space="preserve"> there is no need to have a specific MBS item number for stent removal.</w:t>
      </w:r>
    </w:p>
    <w:p w:rsidR="006F2BEC" w:rsidRPr="009E5C53" w:rsidRDefault="002054DD" w:rsidP="006F2BEC">
      <w:r w:rsidRPr="009E5C53">
        <w:t>The procedure is contraindicated when the obstruction is suspected to be associated with bowel perforation, intestinal ischemia or intra</w:t>
      </w:r>
      <w:r w:rsidR="002305C7" w:rsidRPr="009E5C53">
        <w:t>-</w:t>
      </w:r>
      <w:r w:rsidRPr="009E5C53">
        <w:t xml:space="preserve">abdominal infections </w:t>
      </w:r>
      <w:r w:rsidR="0085037E" w:rsidRPr="009E5C53">
        <w:t>such as ab</w:t>
      </w:r>
      <w:r w:rsidR="002305C7" w:rsidRPr="009E5C53">
        <w:t>s</w:t>
      </w:r>
      <w:r w:rsidR="0085037E" w:rsidRPr="009E5C53">
        <w:t>cesses or</w:t>
      </w:r>
      <w:r w:rsidRPr="009E5C53">
        <w:t xml:space="preserve"> perito</w:t>
      </w:r>
      <w:r w:rsidR="0085037E" w:rsidRPr="009E5C53">
        <w:t>nitis (</w:t>
      </w:r>
      <w:r w:rsidR="00F51CF1">
        <w:t>W</w:t>
      </w:r>
      <w:r w:rsidR="0085037E" w:rsidRPr="009E5C53">
        <w:t>att et al 2007)</w:t>
      </w:r>
      <w:r w:rsidRPr="009E5C53">
        <w:t xml:space="preserve">. </w:t>
      </w:r>
      <w:r w:rsidR="003C6FAF" w:rsidRPr="009E5C53">
        <w:t xml:space="preserve">Stenting should be </w:t>
      </w:r>
      <w:r w:rsidR="002305C7" w:rsidRPr="009E5C53">
        <w:t>cautiously</w:t>
      </w:r>
      <w:r w:rsidR="003C6FAF" w:rsidRPr="009E5C53">
        <w:t xml:space="preserve"> considered when the obstruction is complete and</w:t>
      </w:r>
      <w:r w:rsidRPr="009E5C53">
        <w:t xml:space="preserve"> </w:t>
      </w:r>
      <w:r w:rsidR="0085037E" w:rsidRPr="009E5C53">
        <w:t xml:space="preserve">the stricture </w:t>
      </w:r>
      <w:r w:rsidRPr="009E5C53">
        <w:t>do</w:t>
      </w:r>
      <w:r w:rsidR="00F953F0" w:rsidRPr="009E5C53">
        <w:t>es</w:t>
      </w:r>
      <w:r w:rsidRPr="009E5C53">
        <w:t xml:space="preserve"> no</w:t>
      </w:r>
      <w:r w:rsidR="003C6FAF" w:rsidRPr="009E5C53">
        <w:t xml:space="preserve">t allow passage of a guide-wire, as </w:t>
      </w:r>
      <w:r w:rsidR="0085037E" w:rsidRPr="009E5C53">
        <w:t>forc</w:t>
      </w:r>
      <w:r w:rsidR="006F2BEC" w:rsidRPr="009E5C53">
        <w:t>e</w:t>
      </w:r>
      <w:r w:rsidR="0085037E" w:rsidRPr="009E5C53">
        <w:t xml:space="preserve">ful </w:t>
      </w:r>
      <w:r w:rsidR="003C6FAF" w:rsidRPr="009E5C53">
        <w:t xml:space="preserve">attempts could lead to bowel perforation.  </w:t>
      </w:r>
    </w:p>
    <w:p w:rsidR="00941B19" w:rsidRPr="00EA2600" w:rsidRDefault="00941B19" w:rsidP="0085037E">
      <w:r w:rsidRPr="008F42F9">
        <w:t>A team from</w:t>
      </w:r>
      <w:r w:rsidR="00E56F25" w:rsidRPr="008F42F9">
        <w:t xml:space="preserve"> the Australian Safety and Efficacy </w:t>
      </w:r>
      <w:r w:rsidR="00A308FE">
        <w:t>R</w:t>
      </w:r>
      <w:r w:rsidR="00E56F25" w:rsidRPr="008F42F9">
        <w:t xml:space="preserve">egister of New Interventional </w:t>
      </w:r>
      <w:r w:rsidR="00A308FE">
        <w:t>P</w:t>
      </w:r>
      <w:r w:rsidR="00E56F25" w:rsidRPr="008F42F9">
        <w:t>rocedures-Surgical (ASERNIP-S</w:t>
      </w:r>
      <w:r w:rsidR="006F2BEC" w:rsidRPr="008F42F9">
        <w:t>)</w:t>
      </w:r>
      <w:r w:rsidRPr="008F42F9">
        <w:t xml:space="preserve"> was </w:t>
      </w:r>
      <w:r w:rsidR="00CE0459">
        <w:t>contracted</w:t>
      </w:r>
      <w:r w:rsidR="00CE0459" w:rsidRPr="008F42F9">
        <w:t xml:space="preserve"> </w:t>
      </w:r>
      <w:r w:rsidRPr="008F42F9">
        <w:t>to conduct a systematic review of th</w:t>
      </w:r>
      <w:r w:rsidRPr="00325C69">
        <w:t xml:space="preserve">e literature and an economic evaluation of </w:t>
      </w:r>
      <w:r w:rsidR="00E56F25" w:rsidRPr="007D5B7C">
        <w:t>colonic stents</w:t>
      </w:r>
      <w:r w:rsidRPr="007D5B7C">
        <w:rPr>
          <w:i/>
        </w:rPr>
        <w:t xml:space="preserve"> </w:t>
      </w:r>
      <w:r w:rsidRPr="007D5B7C">
        <w:t xml:space="preserve">for </w:t>
      </w:r>
      <w:r w:rsidR="00E56F25" w:rsidRPr="00960A9E">
        <w:t>the management of malignant colorectal obstruction</w:t>
      </w:r>
      <w:r w:rsidR="00CE0459">
        <w:t xml:space="preserve"> for MSAC consideration</w:t>
      </w:r>
      <w:proofErr w:type="gramStart"/>
      <w:r w:rsidR="00CE0459">
        <w:t>.</w:t>
      </w:r>
      <w:r w:rsidRPr="00EA2600">
        <w:t>.</w:t>
      </w:r>
      <w:proofErr w:type="gramEnd"/>
      <w:r w:rsidRPr="00EA2600">
        <w:t xml:space="preserve"> </w:t>
      </w:r>
    </w:p>
    <w:p w:rsidR="00941B19" w:rsidRPr="009E5C53" w:rsidRDefault="00941B19" w:rsidP="00FC35F9">
      <w:pPr>
        <w:pStyle w:val="Heading3"/>
      </w:pPr>
      <w:r w:rsidRPr="009E5C53">
        <w:t>Current arrangements for public reimbursement</w:t>
      </w:r>
    </w:p>
    <w:p w:rsidR="003C05D0" w:rsidRDefault="003C05D0" w:rsidP="00E51BB1">
      <w:r>
        <w:t>Although not currently listed on the MBS, the</w:t>
      </w:r>
      <w:r w:rsidRPr="00E2422F">
        <w:t xml:space="preserve"> </w:t>
      </w:r>
      <w:r>
        <w:t xml:space="preserve">placement of </w:t>
      </w:r>
      <w:r w:rsidRPr="00E2422F">
        <w:t xml:space="preserve">SEMS </w:t>
      </w:r>
      <w:r>
        <w:t xml:space="preserve">for the treatment of malignant colorectal obstruction </w:t>
      </w:r>
      <w:r w:rsidR="00F725BB">
        <w:t>is performed widely throughout</w:t>
      </w:r>
      <w:r>
        <w:t xml:space="preserve"> Australia. </w:t>
      </w:r>
      <w:r w:rsidRPr="00AB6C65">
        <w:t xml:space="preserve">The current arrangements for reimbursement of the </w:t>
      </w:r>
      <w:r>
        <w:t>SEMS</w:t>
      </w:r>
      <w:r w:rsidRPr="00AB6C65">
        <w:t xml:space="preserve"> procedure itself are paid for out</w:t>
      </w:r>
      <w:r w:rsidR="00982FEE">
        <w:t xml:space="preserve"> </w:t>
      </w:r>
      <w:r w:rsidRPr="00AB6C65">
        <w:t>of</w:t>
      </w:r>
      <w:r w:rsidR="00982FEE">
        <w:t xml:space="preserve"> </w:t>
      </w:r>
      <w:r w:rsidRPr="00AB6C65">
        <w:t>pocket by the patient.</w:t>
      </w:r>
    </w:p>
    <w:p w:rsidR="00941B19" w:rsidRPr="009E5C53" w:rsidRDefault="00941B19" w:rsidP="00FC35F9">
      <w:pPr>
        <w:pStyle w:val="Heading3"/>
      </w:pPr>
      <w:r w:rsidRPr="009E5C53">
        <w:t>Background</w:t>
      </w:r>
    </w:p>
    <w:p w:rsidR="00941B19" w:rsidRPr="008F42F9" w:rsidRDefault="00E51BB1" w:rsidP="00941B19">
      <w:r w:rsidRPr="00F13A5A">
        <w:t>The</w:t>
      </w:r>
      <w:r w:rsidR="00941B19" w:rsidRPr="00E767D0">
        <w:t xml:space="preserve"> intervention has </w:t>
      </w:r>
      <w:r w:rsidRPr="00BE3EA8">
        <w:t xml:space="preserve">not </w:t>
      </w:r>
      <w:r w:rsidR="00941B19" w:rsidRPr="00BE3EA8">
        <w:t xml:space="preserve">previously been considered by </w:t>
      </w:r>
      <w:r w:rsidR="008F1C4F">
        <w:t>the Medical Services Advisory Committee (</w:t>
      </w:r>
      <w:r w:rsidR="00941B19" w:rsidRPr="00BE3EA8">
        <w:t>MSAC</w:t>
      </w:r>
      <w:r w:rsidR="008F1C4F">
        <w:t>)</w:t>
      </w:r>
      <w:r w:rsidR="00F03EA7" w:rsidRPr="003C49DC">
        <w:t>, and no related reviews have been conducted</w:t>
      </w:r>
      <w:r w:rsidR="002C4DD9" w:rsidRPr="008F42F9">
        <w:t xml:space="preserve"> that have examined the specific patient population defined in the current assessment</w:t>
      </w:r>
      <w:r w:rsidRPr="008F42F9">
        <w:t>.</w:t>
      </w:r>
    </w:p>
    <w:p w:rsidR="00941B19" w:rsidRPr="009E5C53" w:rsidRDefault="00941B19" w:rsidP="00FC35F9">
      <w:pPr>
        <w:pStyle w:val="Heading3"/>
      </w:pPr>
      <w:r w:rsidRPr="009E5C53">
        <w:t>Prerequisites to implementation of any funding advice</w:t>
      </w:r>
    </w:p>
    <w:p w:rsidR="00941B19" w:rsidRDefault="008F1C4F" w:rsidP="00025187">
      <w:r>
        <w:t>The colonic stenting devices</w:t>
      </w:r>
      <w:r w:rsidRPr="00A87C52">
        <w:t xml:space="preserve"> </w:t>
      </w:r>
      <w:r w:rsidR="00025187" w:rsidRPr="00A87C52">
        <w:t>approved for use in Australia</w:t>
      </w:r>
      <w:r w:rsidR="00E00E62" w:rsidRPr="00A87C52">
        <w:t xml:space="preserve"> by the Therapeutic Goods Administration (TGA)</w:t>
      </w:r>
      <w:r w:rsidR="00025187" w:rsidRPr="00F13A5A">
        <w:t xml:space="preserve"> </w:t>
      </w:r>
      <w:r w:rsidR="00E00E62" w:rsidRPr="00E767D0">
        <w:t>are outlined</w:t>
      </w:r>
      <w:r w:rsidR="00025187" w:rsidRPr="00BE3EA8">
        <w:t xml:space="preserve"> in</w:t>
      </w:r>
      <w:r w:rsidR="008F008E">
        <w:t xml:space="preserve"> </w:t>
      </w:r>
      <w:r w:rsidR="00480D5D">
        <w:fldChar w:fldCharType="begin"/>
      </w:r>
      <w:r w:rsidR="00480D5D">
        <w:instrText xml:space="preserve"> REF _Ref324929094 \h </w:instrText>
      </w:r>
      <w:r w:rsidR="00480D5D">
        <w:fldChar w:fldCharType="separate"/>
      </w:r>
      <w:r w:rsidR="0071544A">
        <w:t xml:space="preserve">Table </w:t>
      </w:r>
      <w:r w:rsidR="0071544A">
        <w:rPr>
          <w:noProof/>
        </w:rPr>
        <w:t>3</w:t>
      </w:r>
      <w:r w:rsidR="00480D5D">
        <w:fldChar w:fldCharType="end"/>
      </w:r>
      <w:r w:rsidR="00025187" w:rsidRPr="009E5C53">
        <w:t xml:space="preserve">. The </w:t>
      </w:r>
      <w:r w:rsidR="00E00E62" w:rsidRPr="009E5C53">
        <w:t>SEMS</w:t>
      </w:r>
      <w:r w:rsidR="00025187" w:rsidRPr="009E5C53">
        <w:t xml:space="preserve"> which has been named as part of the current submission </w:t>
      </w:r>
      <w:r w:rsidR="00C34E93" w:rsidRPr="009E5C53">
        <w:t xml:space="preserve">is based on </w:t>
      </w:r>
      <w:r w:rsidR="00C34E93" w:rsidRPr="00E2422F">
        <w:t>Ul</w:t>
      </w:r>
      <w:r w:rsidR="00F06A36" w:rsidRPr="00892811">
        <w:t xml:space="preserve">traflex™, </w:t>
      </w:r>
      <w:r w:rsidR="00C34E93" w:rsidRPr="008978EE">
        <w:t>Wal</w:t>
      </w:r>
      <w:r w:rsidR="00C34E93" w:rsidRPr="00A30BA9">
        <w:t xml:space="preserve">lstent® and WallFlex® </w:t>
      </w:r>
      <w:r w:rsidR="00F65CF4">
        <w:t xml:space="preserve">stents </w:t>
      </w:r>
      <w:r w:rsidR="00C34E93" w:rsidRPr="00A30BA9">
        <w:t>manufactured by Boston Scientific Pty Ltd (</w:t>
      </w:r>
      <w:r w:rsidR="00025187" w:rsidRPr="00A87C52">
        <w:t>ARTG 119517</w:t>
      </w:r>
      <w:r w:rsidR="00C34E93" w:rsidRPr="00A87C52">
        <w:t>)</w:t>
      </w:r>
      <w:r w:rsidR="00025187" w:rsidRPr="00A87C52">
        <w:t>, which is estimated to have 85</w:t>
      </w:r>
      <w:r>
        <w:t xml:space="preserve"> </w:t>
      </w:r>
      <w:r w:rsidR="00A148C0">
        <w:t>per cent</w:t>
      </w:r>
      <w:r w:rsidR="00025187" w:rsidRPr="00A87C52">
        <w:t xml:space="preserve"> of Australian market share. Expert clinical opinion suggests that there is little clinical difference between the stents currently available i</w:t>
      </w:r>
      <w:r w:rsidR="00025187" w:rsidRPr="00F13A5A">
        <w:t xml:space="preserve">n the Australian market. </w:t>
      </w:r>
      <w:r w:rsidR="00025187" w:rsidRPr="00F13A5A">
        <w:lastRenderedPageBreak/>
        <w:t>However, while some of the listed stents may be used for obstruction caused by unspecified malignancy (ARTG 119517, 157191), other stents are restricted to use</w:t>
      </w:r>
      <w:r w:rsidR="00F65CF4">
        <w:t xml:space="preserve"> specifically</w:t>
      </w:r>
      <w:r w:rsidR="00025187" w:rsidRPr="00F13A5A">
        <w:t xml:space="preserve"> in the case of obstructions caused by colorectal c</w:t>
      </w:r>
      <w:r w:rsidR="00025187" w:rsidRPr="00E767D0">
        <w:t>ancer (ARTG 139317, 144564, 167223). Duodenal stents are also listed on the ARTG; however, these are not appropriate for use in the treatment of colorectal obstructions.</w:t>
      </w:r>
    </w:p>
    <w:p w:rsidR="00EA2600" w:rsidRPr="00EA2600" w:rsidRDefault="00480D5D" w:rsidP="00480D5D">
      <w:pPr>
        <w:pStyle w:val="Caption"/>
        <w:rPr>
          <w:bCs w:val="0"/>
          <w:szCs w:val="24"/>
        </w:rPr>
      </w:pPr>
      <w:bookmarkStart w:id="14" w:name="_Ref324929094"/>
      <w:bookmarkStart w:id="15" w:name="_Toc327522047"/>
      <w:r>
        <w:t xml:space="preserve">Table </w:t>
      </w:r>
      <w:fldSimple w:instr=" SEQ Table \* ARABIC ">
        <w:r w:rsidR="0071544A">
          <w:rPr>
            <w:noProof/>
          </w:rPr>
          <w:t>3</w:t>
        </w:r>
      </w:fldSimple>
      <w:bookmarkEnd w:id="14"/>
      <w:r>
        <w:tab/>
      </w:r>
      <w:r w:rsidR="00EA2600" w:rsidRPr="00EA2600">
        <w:rPr>
          <w:rFonts w:eastAsia="SimSun" w:cs="Arial"/>
          <w:szCs w:val="24"/>
          <w:lang w:eastAsia="zh-CN"/>
        </w:rPr>
        <w:t>TGA approved stenting devices and systems for treating colorectal obstruction</w:t>
      </w:r>
      <w:bookmarkEnd w:id="15"/>
    </w:p>
    <w:tbl>
      <w:tblPr>
        <w:tblW w:w="8460" w:type="dxa"/>
        <w:tblInd w:w="720" w:type="dxa"/>
        <w:tblBorders>
          <w:top w:val="single" w:sz="12" w:space="0" w:color="auto"/>
          <w:bottom w:val="single" w:sz="12" w:space="0" w:color="auto"/>
        </w:tblBorders>
        <w:tblLook w:val="0000" w:firstRow="0" w:lastRow="0" w:firstColumn="0" w:lastColumn="0" w:noHBand="0" w:noVBand="0"/>
      </w:tblPr>
      <w:tblGrid>
        <w:gridCol w:w="826"/>
        <w:gridCol w:w="1888"/>
        <w:gridCol w:w="2124"/>
        <w:gridCol w:w="1187"/>
        <w:gridCol w:w="2435"/>
      </w:tblGrid>
      <w:tr w:rsidR="00EA2600" w:rsidRPr="00EA2600" w:rsidTr="00863C1B">
        <w:trPr>
          <w:trHeight w:val="214"/>
        </w:trPr>
        <w:tc>
          <w:tcPr>
            <w:tcW w:w="826" w:type="dxa"/>
            <w:tcBorders>
              <w:top w:val="single" w:sz="12" w:space="0" w:color="auto"/>
              <w:bottom w:val="single" w:sz="4" w:space="0" w:color="auto"/>
            </w:tcBorders>
          </w:tcPr>
          <w:p w:rsidR="00EA2600" w:rsidRPr="00EA2600" w:rsidRDefault="00EA2600" w:rsidP="002A6CFC">
            <w:pPr>
              <w:pStyle w:val="TableHeading"/>
              <w:rPr>
                <w:rFonts w:eastAsia="SimSun"/>
                <w:lang w:eastAsia="zh-CN"/>
              </w:rPr>
            </w:pPr>
            <w:r w:rsidRPr="00EA2600">
              <w:rPr>
                <w:rFonts w:eastAsia="SimSun"/>
                <w:lang w:eastAsia="zh-CN"/>
              </w:rPr>
              <w:t xml:space="preserve">ARTG </w:t>
            </w:r>
            <w:r w:rsidR="002A6CFC">
              <w:rPr>
                <w:rFonts w:eastAsia="SimSun"/>
                <w:lang w:eastAsia="zh-CN"/>
              </w:rPr>
              <w:t>n</w:t>
            </w:r>
            <w:r w:rsidRPr="00EA2600">
              <w:rPr>
                <w:rFonts w:eastAsia="SimSun"/>
                <w:lang w:eastAsia="zh-CN"/>
              </w:rPr>
              <w:t>o</w:t>
            </w:r>
          </w:p>
        </w:tc>
        <w:tc>
          <w:tcPr>
            <w:tcW w:w="1888" w:type="dxa"/>
            <w:tcBorders>
              <w:top w:val="single" w:sz="12" w:space="0" w:color="auto"/>
              <w:bottom w:val="single" w:sz="4" w:space="0" w:color="auto"/>
            </w:tcBorders>
          </w:tcPr>
          <w:p w:rsidR="00EA2600" w:rsidRPr="00EA2600" w:rsidRDefault="00EA2600" w:rsidP="002A6CFC">
            <w:pPr>
              <w:pStyle w:val="TableHeading"/>
              <w:rPr>
                <w:rFonts w:eastAsia="SimSun"/>
                <w:lang w:eastAsia="zh-CN"/>
              </w:rPr>
            </w:pPr>
            <w:r w:rsidRPr="00EA2600">
              <w:rPr>
                <w:rFonts w:eastAsia="SimSun"/>
                <w:lang w:eastAsia="zh-CN"/>
              </w:rPr>
              <w:t>Manufacture</w:t>
            </w:r>
            <w:r w:rsidR="002A6CFC">
              <w:rPr>
                <w:rFonts w:eastAsia="SimSun"/>
                <w:lang w:eastAsia="zh-CN"/>
              </w:rPr>
              <w:t>r</w:t>
            </w:r>
            <w:r w:rsidRPr="00EA2600">
              <w:rPr>
                <w:rFonts w:eastAsia="SimSun"/>
                <w:lang w:eastAsia="zh-CN"/>
              </w:rPr>
              <w:t>/</w:t>
            </w:r>
            <w:r w:rsidR="002A6CFC">
              <w:rPr>
                <w:rFonts w:eastAsia="SimSun"/>
                <w:lang w:eastAsia="zh-CN"/>
              </w:rPr>
              <w:t>i</w:t>
            </w:r>
            <w:r w:rsidRPr="00EA2600">
              <w:rPr>
                <w:rFonts w:eastAsia="SimSun"/>
                <w:lang w:eastAsia="zh-CN"/>
              </w:rPr>
              <w:t xml:space="preserve">mporter/ </w:t>
            </w:r>
            <w:r w:rsidR="002A6CFC">
              <w:rPr>
                <w:rFonts w:eastAsia="SimSun"/>
                <w:lang w:eastAsia="zh-CN"/>
              </w:rPr>
              <w:t>s</w:t>
            </w:r>
            <w:r w:rsidRPr="00EA2600">
              <w:rPr>
                <w:rFonts w:eastAsia="SimSun"/>
                <w:lang w:eastAsia="zh-CN"/>
              </w:rPr>
              <w:t>ponsor</w:t>
            </w:r>
          </w:p>
        </w:tc>
        <w:tc>
          <w:tcPr>
            <w:tcW w:w="2124" w:type="dxa"/>
            <w:tcBorders>
              <w:top w:val="single" w:sz="12" w:space="0" w:color="auto"/>
              <w:bottom w:val="single" w:sz="4" w:space="0" w:color="auto"/>
            </w:tcBorders>
          </w:tcPr>
          <w:p w:rsidR="00EA2600" w:rsidRPr="00EA2600" w:rsidRDefault="00EA2600" w:rsidP="00CB5216">
            <w:pPr>
              <w:pStyle w:val="TableHeading"/>
              <w:rPr>
                <w:rFonts w:eastAsia="SimSun"/>
                <w:lang w:eastAsia="zh-CN"/>
              </w:rPr>
            </w:pPr>
            <w:r w:rsidRPr="00EA2600">
              <w:rPr>
                <w:rFonts w:eastAsia="SimSun"/>
                <w:lang w:eastAsia="zh-CN"/>
              </w:rPr>
              <w:t>Device name</w:t>
            </w:r>
            <w:r w:rsidR="00CB5216" w:rsidRPr="00CB5216">
              <w:rPr>
                <w:rFonts w:eastAsia="SimSun"/>
                <w:vertAlign w:val="superscript"/>
                <w:lang w:eastAsia="zh-CN"/>
              </w:rPr>
              <w:t>b</w:t>
            </w:r>
          </w:p>
        </w:tc>
        <w:tc>
          <w:tcPr>
            <w:tcW w:w="1187" w:type="dxa"/>
            <w:tcBorders>
              <w:top w:val="single" w:sz="12" w:space="0" w:color="auto"/>
              <w:bottom w:val="single" w:sz="4" w:space="0" w:color="auto"/>
            </w:tcBorders>
          </w:tcPr>
          <w:p w:rsidR="00EA2600" w:rsidRPr="00EA2600" w:rsidRDefault="00EA2600" w:rsidP="00863C1B">
            <w:pPr>
              <w:pStyle w:val="TableHeading"/>
              <w:rPr>
                <w:rFonts w:eastAsia="SimSun"/>
                <w:lang w:eastAsia="zh-CN"/>
              </w:rPr>
            </w:pPr>
            <w:r w:rsidRPr="00EA2600">
              <w:rPr>
                <w:rFonts w:eastAsia="SimSun"/>
                <w:lang w:eastAsia="zh-CN"/>
              </w:rPr>
              <w:t>GMDN</w:t>
            </w:r>
          </w:p>
        </w:tc>
        <w:tc>
          <w:tcPr>
            <w:tcW w:w="2435" w:type="dxa"/>
            <w:tcBorders>
              <w:top w:val="single" w:sz="12" w:space="0" w:color="auto"/>
              <w:bottom w:val="single" w:sz="4" w:space="0" w:color="auto"/>
            </w:tcBorders>
          </w:tcPr>
          <w:p w:rsidR="00EA2600" w:rsidRPr="00EA2600" w:rsidRDefault="00EA2600" w:rsidP="00863C1B">
            <w:pPr>
              <w:pStyle w:val="TableHeading"/>
              <w:rPr>
                <w:rFonts w:eastAsia="SimSun"/>
                <w:lang w:eastAsia="zh-CN"/>
              </w:rPr>
            </w:pPr>
            <w:r w:rsidRPr="00EA2600">
              <w:rPr>
                <w:rFonts w:eastAsia="SimSun"/>
                <w:lang w:eastAsia="zh-CN"/>
              </w:rPr>
              <w:t>Intended purpose</w:t>
            </w:r>
          </w:p>
        </w:tc>
      </w:tr>
      <w:tr w:rsidR="00EA2600" w:rsidRPr="00EA2600" w:rsidTr="00863C1B">
        <w:trPr>
          <w:trHeight w:val="528"/>
        </w:trPr>
        <w:tc>
          <w:tcPr>
            <w:tcW w:w="826" w:type="dxa"/>
            <w:tcBorders>
              <w:top w:val="single" w:sz="4" w:space="0" w:color="auto"/>
            </w:tcBorders>
          </w:tcPr>
          <w:p w:rsidR="00EA2600" w:rsidRPr="000F3C8B" w:rsidRDefault="00EA2600" w:rsidP="00863C1B">
            <w:pPr>
              <w:pStyle w:val="TableText0"/>
              <w:rPr>
                <w:rFonts w:eastAsia="SimSun"/>
                <w:lang w:val="en-AU"/>
              </w:rPr>
            </w:pPr>
            <w:r w:rsidRPr="000F3C8B">
              <w:rPr>
                <w:rFonts w:eastAsia="SimSun"/>
                <w:lang w:val="en-AU"/>
              </w:rPr>
              <w:t xml:space="preserve">119517 </w:t>
            </w:r>
          </w:p>
        </w:tc>
        <w:tc>
          <w:tcPr>
            <w:tcW w:w="1888" w:type="dxa"/>
            <w:tcBorders>
              <w:top w:val="single" w:sz="4" w:space="0" w:color="auto"/>
            </w:tcBorders>
          </w:tcPr>
          <w:p w:rsidR="00EA2600" w:rsidRPr="000F3C8B" w:rsidRDefault="00EA2600" w:rsidP="00863C1B">
            <w:pPr>
              <w:pStyle w:val="TableText0"/>
              <w:rPr>
                <w:rFonts w:eastAsia="SimSun"/>
                <w:lang w:val="en-AU"/>
              </w:rPr>
            </w:pPr>
            <w:r w:rsidRPr="000F3C8B">
              <w:rPr>
                <w:rFonts w:eastAsia="SimSun"/>
                <w:lang w:val="en-AU"/>
              </w:rPr>
              <w:t>Boston Scientific Pty Ltd</w:t>
            </w:r>
            <w:r w:rsidR="00CB5216" w:rsidRPr="00CB5216">
              <w:rPr>
                <w:rFonts w:eastAsia="SimSun"/>
                <w:vertAlign w:val="superscript"/>
                <w:lang w:val="en-AU"/>
              </w:rPr>
              <w:t>a</w:t>
            </w:r>
          </w:p>
        </w:tc>
        <w:tc>
          <w:tcPr>
            <w:tcW w:w="2124" w:type="dxa"/>
            <w:tcBorders>
              <w:top w:val="single" w:sz="4" w:space="0" w:color="auto"/>
            </w:tcBorders>
          </w:tcPr>
          <w:p w:rsidR="00EA2600" w:rsidRPr="000F3C8B" w:rsidRDefault="00EA2600" w:rsidP="00863C1B">
            <w:pPr>
              <w:pStyle w:val="TableText0"/>
              <w:rPr>
                <w:rFonts w:eastAsia="SimSun"/>
                <w:lang w:val="en-AU"/>
              </w:rPr>
            </w:pPr>
            <w:r w:rsidRPr="000F3C8B">
              <w:rPr>
                <w:rFonts w:eastAsia="SimSun"/>
                <w:lang w:val="en-AU"/>
              </w:rPr>
              <w:t>Ultraflex™ Precision Colonic Stent System</w:t>
            </w:r>
          </w:p>
        </w:tc>
        <w:tc>
          <w:tcPr>
            <w:tcW w:w="1187" w:type="dxa"/>
            <w:tcBorders>
              <w:top w:val="single" w:sz="4" w:space="0" w:color="auto"/>
            </w:tcBorders>
          </w:tcPr>
          <w:p w:rsidR="00EA2600" w:rsidRPr="000F3C8B" w:rsidRDefault="00EA2600" w:rsidP="00863C1B">
            <w:pPr>
              <w:pStyle w:val="TableText0"/>
              <w:rPr>
                <w:rFonts w:eastAsia="SimSun"/>
                <w:lang w:val="en-AU"/>
              </w:rPr>
            </w:pPr>
            <w:r w:rsidRPr="000F3C8B">
              <w:rPr>
                <w:rFonts w:eastAsia="SimSun"/>
                <w:lang w:val="en-AU"/>
              </w:rPr>
              <w:t>38442 Unclassified</w:t>
            </w:r>
          </w:p>
          <w:p w:rsidR="00EA2600" w:rsidRPr="000F3C8B" w:rsidRDefault="00EA2600" w:rsidP="00863C1B">
            <w:pPr>
              <w:pStyle w:val="TableText0"/>
              <w:rPr>
                <w:rFonts w:eastAsia="SimSun"/>
                <w:lang w:val="en-AU"/>
              </w:rPr>
            </w:pPr>
          </w:p>
        </w:tc>
        <w:tc>
          <w:tcPr>
            <w:tcW w:w="2435" w:type="dxa"/>
            <w:vMerge w:val="restart"/>
            <w:tcBorders>
              <w:top w:val="single" w:sz="4" w:space="0" w:color="auto"/>
            </w:tcBorders>
          </w:tcPr>
          <w:p w:rsidR="00EA2600" w:rsidRPr="000F3C8B" w:rsidRDefault="00EA2600" w:rsidP="00863C1B">
            <w:pPr>
              <w:pStyle w:val="TableText0"/>
              <w:rPr>
                <w:rFonts w:eastAsia="SimSun"/>
                <w:lang w:val="en-AU"/>
              </w:rPr>
            </w:pPr>
            <w:r w:rsidRPr="000F3C8B">
              <w:rPr>
                <w:rFonts w:eastAsia="SimSun"/>
                <w:lang w:val="en-AU"/>
              </w:rPr>
              <w:t xml:space="preserve">Palliative treatment of gastro-duodenal obstructions and colonic strictures produced by malignancy. </w:t>
            </w:r>
          </w:p>
        </w:tc>
      </w:tr>
      <w:tr w:rsidR="00EA2600" w:rsidRPr="00EA2600" w:rsidTr="00863C1B">
        <w:trPr>
          <w:trHeight w:val="446"/>
        </w:trPr>
        <w:tc>
          <w:tcPr>
            <w:tcW w:w="826" w:type="dxa"/>
          </w:tcPr>
          <w:p w:rsidR="00EA2600" w:rsidRPr="000F3C8B" w:rsidRDefault="00EA2600" w:rsidP="00863C1B">
            <w:pPr>
              <w:pStyle w:val="TableText0"/>
              <w:rPr>
                <w:rFonts w:eastAsia="SimSun"/>
                <w:lang w:val="en-AU"/>
              </w:rPr>
            </w:pPr>
            <w:r w:rsidRPr="000F3C8B">
              <w:rPr>
                <w:rFonts w:eastAsia="SimSun"/>
                <w:lang w:val="en-AU"/>
              </w:rPr>
              <w:t xml:space="preserve">119517 </w:t>
            </w:r>
          </w:p>
        </w:tc>
        <w:tc>
          <w:tcPr>
            <w:tcW w:w="1888" w:type="dxa"/>
          </w:tcPr>
          <w:p w:rsidR="00EA2600" w:rsidRPr="000F3C8B" w:rsidRDefault="00EA2600" w:rsidP="00863C1B">
            <w:pPr>
              <w:pStyle w:val="TableText0"/>
              <w:rPr>
                <w:rFonts w:eastAsia="SimSun"/>
                <w:lang w:val="en-AU"/>
              </w:rPr>
            </w:pPr>
            <w:r w:rsidRPr="000F3C8B">
              <w:rPr>
                <w:rFonts w:eastAsia="SimSun"/>
                <w:lang w:val="en-AU"/>
              </w:rPr>
              <w:t xml:space="preserve">Boston Scientific Pty </w:t>
            </w:r>
            <w:r w:rsidR="00CB5216" w:rsidRPr="000F3C8B">
              <w:rPr>
                <w:rFonts w:eastAsia="SimSun"/>
                <w:lang w:val="en-AU"/>
              </w:rPr>
              <w:t>Ltd</w:t>
            </w:r>
            <w:r w:rsidR="00CB5216" w:rsidRPr="00CB5216">
              <w:rPr>
                <w:rFonts w:eastAsia="SimSun"/>
                <w:vertAlign w:val="superscript"/>
                <w:lang w:val="en-AU"/>
              </w:rPr>
              <w:t>a</w:t>
            </w:r>
          </w:p>
          <w:p w:rsidR="00EA2600" w:rsidRPr="000F3C8B" w:rsidRDefault="00EA2600" w:rsidP="00863C1B">
            <w:pPr>
              <w:pStyle w:val="TableText0"/>
              <w:rPr>
                <w:rFonts w:eastAsia="SimSun"/>
                <w:lang w:val="en-AU"/>
              </w:rPr>
            </w:pPr>
          </w:p>
        </w:tc>
        <w:tc>
          <w:tcPr>
            <w:tcW w:w="2124" w:type="dxa"/>
          </w:tcPr>
          <w:p w:rsidR="00EA2600" w:rsidRPr="000F3C8B" w:rsidRDefault="00EA2600" w:rsidP="00863C1B">
            <w:pPr>
              <w:pStyle w:val="TableText0"/>
              <w:rPr>
                <w:rFonts w:eastAsia="SimSun"/>
                <w:lang w:val="en-AU"/>
              </w:rPr>
            </w:pPr>
            <w:r w:rsidRPr="000F3C8B">
              <w:rPr>
                <w:rFonts w:eastAsia="SimSun"/>
                <w:lang w:val="en-AU"/>
              </w:rPr>
              <w:t xml:space="preserve">Wallstent® Enteral colonic Endoprosthesis </w:t>
            </w:r>
          </w:p>
        </w:tc>
        <w:tc>
          <w:tcPr>
            <w:tcW w:w="1187" w:type="dxa"/>
          </w:tcPr>
          <w:p w:rsidR="00EA2600" w:rsidRPr="000F3C8B" w:rsidRDefault="00EA2600" w:rsidP="00863C1B">
            <w:pPr>
              <w:pStyle w:val="TableText0"/>
              <w:rPr>
                <w:rFonts w:eastAsia="SimSun"/>
                <w:lang w:val="en-AU"/>
              </w:rPr>
            </w:pPr>
          </w:p>
        </w:tc>
        <w:tc>
          <w:tcPr>
            <w:tcW w:w="2435" w:type="dxa"/>
            <w:vMerge/>
          </w:tcPr>
          <w:p w:rsidR="00EA2600" w:rsidRPr="000F3C8B" w:rsidRDefault="00EA2600" w:rsidP="00863C1B">
            <w:pPr>
              <w:pStyle w:val="TableText0"/>
              <w:rPr>
                <w:rFonts w:eastAsia="SimSun"/>
                <w:lang w:val="en-AU"/>
              </w:rPr>
            </w:pPr>
          </w:p>
        </w:tc>
      </w:tr>
      <w:tr w:rsidR="00EA2600" w:rsidRPr="00EA2600" w:rsidTr="00863C1B">
        <w:trPr>
          <w:trHeight w:val="255"/>
        </w:trPr>
        <w:tc>
          <w:tcPr>
            <w:tcW w:w="826" w:type="dxa"/>
          </w:tcPr>
          <w:p w:rsidR="00EA2600" w:rsidRPr="000F3C8B" w:rsidRDefault="00EA2600" w:rsidP="00863C1B">
            <w:pPr>
              <w:pStyle w:val="TableText0"/>
              <w:rPr>
                <w:rFonts w:eastAsia="SimSun"/>
                <w:lang w:val="en-AU"/>
              </w:rPr>
            </w:pPr>
            <w:r w:rsidRPr="000F3C8B">
              <w:rPr>
                <w:rFonts w:eastAsia="SimSun"/>
                <w:lang w:val="en-AU"/>
              </w:rPr>
              <w:t>119517</w:t>
            </w:r>
          </w:p>
        </w:tc>
        <w:tc>
          <w:tcPr>
            <w:tcW w:w="1888" w:type="dxa"/>
          </w:tcPr>
          <w:p w:rsidR="00EA2600" w:rsidRPr="000F3C8B" w:rsidRDefault="00EA2600" w:rsidP="00863C1B">
            <w:pPr>
              <w:pStyle w:val="TableText0"/>
              <w:rPr>
                <w:rFonts w:eastAsia="SimSun"/>
                <w:lang w:val="en-AU"/>
              </w:rPr>
            </w:pPr>
            <w:r w:rsidRPr="000F3C8B">
              <w:rPr>
                <w:rFonts w:eastAsia="SimSun"/>
                <w:lang w:val="en-AU"/>
              </w:rPr>
              <w:t xml:space="preserve">Boston Scientific Pty </w:t>
            </w:r>
            <w:r w:rsidR="00CB5216" w:rsidRPr="000F3C8B">
              <w:rPr>
                <w:rFonts w:eastAsia="SimSun"/>
                <w:lang w:val="en-AU"/>
              </w:rPr>
              <w:t>Ltd</w:t>
            </w:r>
            <w:r w:rsidR="00CB5216" w:rsidRPr="00CB5216">
              <w:rPr>
                <w:rFonts w:eastAsia="SimSun"/>
                <w:vertAlign w:val="superscript"/>
                <w:lang w:val="en-AU"/>
              </w:rPr>
              <w:t>a</w:t>
            </w:r>
          </w:p>
        </w:tc>
        <w:tc>
          <w:tcPr>
            <w:tcW w:w="2124" w:type="dxa"/>
          </w:tcPr>
          <w:p w:rsidR="00EA2600" w:rsidRPr="000F3C8B" w:rsidRDefault="00EA2600" w:rsidP="00863C1B">
            <w:pPr>
              <w:pStyle w:val="TableText0"/>
              <w:rPr>
                <w:rFonts w:eastAsia="SimSun"/>
                <w:lang w:val="en-AU"/>
              </w:rPr>
            </w:pPr>
            <w:r w:rsidRPr="000F3C8B">
              <w:rPr>
                <w:rFonts w:eastAsia="SimSun"/>
                <w:lang w:val="en-AU"/>
              </w:rPr>
              <w:t>WallFlex® Colonic Stents</w:t>
            </w:r>
          </w:p>
        </w:tc>
        <w:tc>
          <w:tcPr>
            <w:tcW w:w="1187" w:type="dxa"/>
          </w:tcPr>
          <w:p w:rsidR="00EA2600" w:rsidRPr="000F3C8B" w:rsidRDefault="00EA2600" w:rsidP="00863C1B">
            <w:pPr>
              <w:pStyle w:val="TableText0"/>
              <w:rPr>
                <w:rFonts w:eastAsia="SimSun"/>
                <w:lang w:val="en-AU"/>
              </w:rPr>
            </w:pPr>
          </w:p>
        </w:tc>
        <w:tc>
          <w:tcPr>
            <w:tcW w:w="2435" w:type="dxa"/>
            <w:vMerge/>
          </w:tcPr>
          <w:p w:rsidR="00EA2600" w:rsidRPr="000F3C8B" w:rsidRDefault="00EA2600" w:rsidP="00863C1B">
            <w:pPr>
              <w:pStyle w:val="TableText0"/>
              <w:rPr>
                <w:rFonts w:eastAsia="SimSun"/>
                <w:lang w:val="en-AU"/>
              </w:rPr>
            </w:pPr>
          </w:p>
        </w:tc>
      </w:tr>
      <w:tr w:rsidR="00EA2600" w:rsidRPr="00EA2600" w:rsidTr="00863C1B">
        <w:trPr>
          <w:trHeight w:val="577"/>
        </w:trPr>
        <w:tc>
          <w:tcPr>
            <w:tcW w:w="826" w:type="dxa"/>
          </w:tcPr>
          <w:p w:rsidR="00EA2600" w:rsidRPr="000F3C8B" w:rsidRDefault="00EA2600" w:rsidP="00863C1B">
            <w:pPr>
              <w:pStyle w:val="TableText0"/>
              <w:rPr>
                <w:rFonts w:eastAsia="SimSun"/>
                <w:lang w:val="en-AU"/>
              </w:rPr>
            </w:pPr>
            <w:r w:rsidRPr="000F3C8B">
              <w:rPr>
                <w:rFonts w:eastAsia="SimSun"/>
                <w:lang w:val="en-AU"/>
              </w:rPr>
              <w:t>157191</w:t>
            </w:r>
          </w:p>
          <w:p w:rsidR="00EA2600" w:rsidRPr="000F3C8B" w:rsidRDefault="00EA2600" w:rsidP="00863C1B">
            <w:pPr>
              <w:pStyle w:val="TableText0"/>
              <w:rPr>
                <w:rFonts w:eastAsia="SimSun"/>
                <w:lang w:val="en-AU"/>
              </w:rPr>
            </w:pPr>
          </w:p>
        </w:tc>
        <w:tc>
          <w:tcPr>
            <w:tcW w:w="1888" w:type="dxa"/>
          </w:tcPr>
          <w:p w:rsidR="00EA2600" w:rsidRPr="000F3C8B" w:rsidRDefault="00EA2600" w:rsidP="00863C1B">
            <w:pPr>
              <w:pStyle w:val="TableText0"/>
              <w:rPr>
                <w:rFonts w:eastAsia="SimSun"/>
                <w:lang w:val="en-AU"/>
              </w:rPr>
            </w:pPr>
            <w:r w:rsidRPr="000F3C8B">
              <w:rPr>
                <w:rFonts w:eastAsia="SimSun"/>
                <w:lang w:val="en-AU"/>
              </w:rPr>
              <w:t>William A. Cook Australia Pty Ltd</w:t>
            </w:r>
          </w:p>
        </w:tc>
        <w:tc>
          <w:tcPr>
            <w:tcW w:w="2124" w:type="dxa"/>
          </w:tcPr>
          <w:p w:rsidR="00EA2600" w:rsidRPr="000F3C8B" w:rsidRDefault="00EA2600" w:rsidP="00863C1B">
            <w:pPr>
              <w:pStyle w:val="TableText0"/>
              <w:rPr>
                <w:rFonts w:eastAsia="SimSun"/>
                <w:lang w:val="en-AU"/>
              </w:rPr>
            </w:pPr>
            <w:r w:rsidRPr="000F3C8B">
              <w:rPr>
                <w:rFonts w:eastAsia="SimSun"/>
                <w:lang w:val="en-AU"/>
              </w:rPr>
              <w:t>Cook Colonic Z-Stent® with induction system</w:t>
            </w:r>
          </w:p>
        </w:tc>
        <w:tc>
          <w:tcPr>
            <w:tcW w:w="1187" w:type="dxa"/>
          </w:tcPr>
          <w:p w:rsidR="00EA2600" w:rsidRPr="000F3C8B" w:rsidRDefault="00EA2600" w:rsidP="00863C1B">
            <w:pPr>
              <w:pStyle w:val="TableText0"/>
              <w:rPr>
                <w:rFonts w:eastAsia="SimSun"/>
                <w:lang w:val="en-AU"/>
              </w:rPr>
            </w:pPr>
            <w:r w:rsidRPr="000F3C8B">
              <w:rPr>
                <w:rFonts w:eastAsia="SimSun"/>
                <w:lang w:val="en-AU"/>
              </w:rPr>
              <w:t>37847 Colonic Stent</w:t>
            </w:r>
          </w:p>
          <w:p w:rsidR="00EA2600" w:rsidRPr="000F3C8B" w:rsidRDefault="00EA2600" w:rsidP="00863C1B">
            <w:pPr>
              <w:pStyle w:val="TableText0"/>
              <w:rPr>
                <w:rFonts w:eastAsia="SimSun"/>
                <w:lang w:val="en-AU"/>
              </w:rPr>
            </w:pPr>
          </w:p>
          <w:p w:rsidR="00EA2600" w:rsidRPr="000F3C8B" w:rsidRDefault="00EA2600" w:rsidP="00863C1B">
            <w:pPr>
              <w:pStyle w:val="TableText0"/>
              <w:rPr>
                <w:rFonts w:eastAsia="SimSun"/>
                <w:lang w:val="en-AU"/>
              </w:rPr>
            </w:pPr>
          </w:p>
        </w:tc>
        <w:tc>
          <w:tcPr>
            <w:tcW w:w="2435" w:type="dxa"/>
          </w:tcPr>
          <w:p w:rsidR="00EA2600" w:rsidRPr="000F3C8B" w:rsidRDefault="00EA2600" w:rsidP="00863C1B">
            <w:pPr>
              <w:pStyle w:val="TableText0"/>
              <w:rPr>
                <w:rFonts w:eastAsia="SimSun"/>
                <w:lang w:val="en-AU"/>
              </w:rPr>
            </w:pPr>
            <w:r w:rsidRPr="000F3C8B">
              <w:rPr>
                <w:rFonts w:eastAsia="SimSun"/>
                <w:lang w:val="en-AU"/>
              </w:rPr>
              <w:t xml:space="preserve">Palliative treatment for colonic, duodenal or gastric obstruction or strictures caused by malignant neoplasm, and to relieve large bowel obstruction prior to colectomy in patients with malignant strictures. </w:t>
            </w:r>
          </w:p>
        </w:tc>
      </w:tr>
      <w:tr w:rsidR="00EA2600" w:rsidRPr="00EA2600" w:rsidTr="00863C1B">
        <w:trPr>
          <w:trHeight w:val="194"/>
        </w:trPr>
        <w:tc>
          <w:tcPr>
            <w:tcW w:w="826" w:type="dxa"/>
          </w:tcPr>
          <w:p w:rsidR="00EA2600" w:rsidRPr="000F3C8B" w:rsidRDefault="00EA2600" w:rsidP="00863C1B">
            <w:pPr>
              <w:pStyle w:val="TableText0"/>
              <w:rPr>
                <w:rFonts w:eastAsia="SimSun"/>
                <w:lang w:val="en-AU"/>
              </w:rPr>
            </w:pPr>
            <w:r w:rsidRPr="000F3C8B">
              <w:rPr>
                <w:rFonts w:eastAsia="SimSun"/>
                <w:lang w:val="en-AU"/>
              </w:rPr>
              <w:t>139317</w:t>
            </w:r>
          </w:p>
        </w:tc>
        <w:tc>
          <w:tcPr>
            <w:tcW w:w="1888" w:type="dxa"/>
          </w:tcPr>
          <w:p w:rsidR="00EA2600" w:rsidRPr="000F3C8B" w:rsidRDefault="00EA2600" w:rsidP="00863C1B">
            <w:pPr>
              <w:pStyle w:val="TableText0"/>
              <w:rPr>
                <w:rFonts w:eastAsia="SimSun"/>
                <w:lang w:val="en-AU"/>
              </w:rPr>
            </w:pPr>
            <w:r w:rsidRPr="000F3C8B">
              <w:rPr>
                <w:rFonts w:eastAsia="SimSun"/>
                <w:lang w:val="en-AU"/>
              </w:rPr>
              <w:t>William A. Cook Australia Pty Ltd</w:t>
            </w:r>
          </w:p>
        </w:tc>
        <w:tc>
          <w:tcPr>
            <w:tcW w:w="2124" w:type="dxa"/>
          </w:tcPr>
          <w:p w:rsidR="00EA2600" w:rsidRPr="000F3C8B" w:rsidRDefault="00EA2600" w:rsidP="00863C1B">
            <w:pPr>
              <w:pStyle w:val="TableText0"/>
              <w:rPr>
                <w:rFonts w:eastAsia="SimSun"/>
                <w:lang w:val="en-AU"/>
              </w:rPr>
            </w:pPr>
          </w:p>
        </w:tc>
        <w:tc>
          <w:tcPr>
            <w:tcW w:w="1187" w:type="dxa"/>
          </w:tcPr>
          <w:p w:rsidR="00EA2600" w:rsidRPr="000F3C8B" w:rsidRDefault="00EA2600" w:rsidP="00863C1B">
            <w:pPr>
              <w:pStyle w:val="TableText0"/>
              <w:rPr>
                <w:rFonts w:eastAsia="SimSun"/>
                <w:lang w:val="en-AU"/>
              </w:rPr>
            </w:pPr>
            <w:r w:rsidRPr="000F3C8B">
              <w:rPr>
                <w:rFonts w:eastAsia="SimSun"/>
                <w:lang w:val="en-AU"/>
              </w:rPr>
              <w:t>37847 Colonic Stent</w:t>
            </w:r>
          </w:p>
        </w:tc>
        <w:tc>
          <w:tcPr>
            <w:tcW w:w="2435" w:type="dxa"/>
          </w:tcPr>
          <w:p w:rsidR="00EA2600" w:rsidRPr="000F3C8B" w:rsidRDefault="00EA2600" w:rsidP="00863C1B">
            <w:pPr>
              <w:pStyle w:val="TableText0"/>
              <w:rPr>
                <w:rFonts w:eastAsia="SimSun"/>
                <w:lang w:val="en-AU"/>
              </w:rPr>
            </w:pPr>
            <w:r w:rsidRPr="000F3C8B">
              <w:rPr>
                <w:rFonts w:eastAsia="SimSun"/>
                <w:lang w:val="en-AU"/>
              </w:rPr>
              <w:t xml:space="preserve">Maintain patency of malignant colonic strictures. </w:t>
            </w:r>
          </w:p>
        </w:tc>
      </w:tr>
      <w:tr w:rsidR="00EA2600" w:rsidRPr="00EA2600" w:rsidTr="00863C1B">
        <w:trPr>
          <w:trHeight w:val="343"/>
        </w:trPr>
        <w:tc>
          <w:tcPr>
            <w:tcW w:w="826" w:type="dxa"/>
          </w:tcPr>
          <w:p w:rsidR="00EA2600" w:rsidRPr="000F3C8B" w:rsidRDefault="00EA2600" w:rsidP="00863C1B">
            <w:pPr>
              <w:pStyle w:val="TableText0"/>
              <w:rPr>
                <w:rFonts w:eastAsia="SimSun"/>
                <w:lang w:val="en-AU"/>
              </w:rPr>
            </w:pPr>
            <w:r w:rsidRPr="000F3C8B">
              <w:rPr>
                <w:rFonts w:eastAsia="SimSun"/>
                <w:lang w:val="en-AU"/>
              </w:rPr>
              <w:t>144564</w:t>
            </w:r>
          </w:p>
        </w:tc>
        <w:tc>
          <w:tcPr>
            <w:tcW w:w="1888" w:type="dxa"/>
          </w:tcPr>
          <w:p w:rsidR="00EA2600" w:rsidRPr="000F3C8B" w:rsidRDefault="00EA2600" w:rsidP="00863C1B">
            <w:pPr>
              <w:pStyle w:val="TableText0"/>
              <w:rPr>
                <w:rFonts w:eastAsia="SimSun"/>
                <w:lang w:val="en-AU"/>
              </w:rPr>
            </w:pPr>
            <w:r w:rsidRPr="000F3C8B">
              <w:rPr>
                <w:rFonts w:eastAsia="SimSun"/>
                <w:lang w:val="en-AU"/>
              </w:rPr>
              <w:t xml:space="preserve">Endotherapeutics Pty Ltd. </w:t>
            </w:r>
          </w:p>
        </w:tc>
        <w:tc>
          <w:tcPr>
            <w:tcW w:w="2124" w:type="dxa"/>
          </w:tcPr>
          <w:p w:rsidR="00EA2600" w:rsidRPr="000F3C8B" w:rsidRDefault="00EA2600" w:rsidP="00863C1B">
            <w:pPr>
              <w:pStyle w:val="TableText0"/>
              <w:rPr>
                <w:rFonts w:eastAsia="SimSun"/>
                <w:lang w:val="en-AU"/>
              </w:rPr>
            </w:pPr>
          </w:p>
        </w:tc>
        <w:tc>
          <w:tcPr>
            <w:tcW w:w="1187" w:type="dxa"/>
          </w:tcPr>
          <w:p w:rsidR="00EA2600" w:rsidRPr="000F3C8B" w:rsidRDefault="00EA2600" w:rsidP="00863C1B">
            <w:pPr>
              <w:pStyle w:val="TableText0"/>
              <w:rPr>
                <w:rFonts w:eastAsia="SimSun"/>
                <w:lang w:val="en-AU"/>
              </w:rPr>
            </w:pPr>
            <w:r w:rsidRPr="000F3C8B">
              <w:rPr>
                <w:rFonts w:eastAsia="SimSun"/>
                <w:lang w:val="en-AU"/>
              </w:rPr>
              <w:t>37847 Colonic Stent</w:t>
            </w:r>
          </w:p>
        </w:tc>
        <w:tc>
          <w:tcPr>
            <w:tcW w:w="2435" w:type="dxa"/>
          </w:tcPr>
          <w:p w:rsidR="00EA2600" w:rsidRPr="000F3C8B" w:rsidRDefault="00EA2600" w:rsidP="00863C1B">
            <w:pPr>
              <w:pStyle w:val="TableText0"/>
              <w:rPr>
                <w:rFonts w:eastAsia="SimSun"/>
                <w:lang w:val="en-AU"/>
              </w:rPr>
            </w:pPr>
            <w:r w:rsidRPr="000F3C8B">
              <w:rPr>
                <w:rFonts w:eastAsia="SimSun"/>
                <w:lang w:val="en-AU"/>
              </w:rPr>
              <w:t xml:space="preserve">Palliative treatment of colonic strictures caused by malignant neoplasm in the rectum, sigmoid colon and descending colon. </w:t>
            </w:r>
          </w:p>
        </w:tc>
      </w:tr>
      <w:tr w:rsidR="00EA2600" w:rsidRPr="00003831" w:rsidTr="00863C1B">
        <w:trPr>
          <w:trHeight w:val="343"/>
        </w:trPr>
        <w:tc>
          <w:tcPr>
            <w:tcW w:w="826" w:type="dxa"/>
          </w:tcPr>
          <w:p w:rsidR="00EA2600" w:rsidRPr="000F3C8B" w:rsidRDefault="00EA2600" w:rsidP="00863C1B">
            <w:pPr>
              <w:pStyle w:val="TableText0"/>
              <w:rPr>
                <w:rFonts w:eastAsia="SimSun"/>
                <w:lang w:val="en-AU"/>
              </w:rPr>
            </w:pPr>
            <w:r w:rsidRPr="000F3C8B">
              <w:rPr>
                <w:rFonts w:eastAsia="SimSun"/>
                <w:lang w:val="en-AU"/>
              </w:rPr>
              <w:t>167223</w:t>
            </w:r>
          </w:p>
        </w:tc>
        <w:tc>
          <w:tcPr>
            <w:tcW w:w="1888" w:type="dxa"/>
          </w:tcPr>
          <w:p w:rsidR="00EA2600" w:rsidRPr="000F3C8B" w:rsidRDefault="00EA2600" w:rsidP="00863C1B">
            <w:pPr>
              <w:pStyle w:val="TableText0"/>
              <w:rPr>
                <w:rFonts w:eastAsia="SimSun"/>
                <w:lang w:val="en-AU"/>
              </w:rPr>
            </w:pPr>
            <w:r w:rsidRPr="000F3C8B">
              <w:rPr>
                <w:rFonts w:eastAsia="SimSun"/>
                <w:lang w:val="en-AU"/>
              </w:rPr>
              <w:t xml:space="preserve">Device Technologies Australia Pty Ltd. </w:t>
            </w:r>
          </w:p>
        </w:tc>
        <w:tc>
          <w:tcPr>
            <w:tcW w:w="2124" w:type="dxa"/>
          </w:tcPr>
          <w:p w:rsidR="00EA2600" w:rsidRPr="000F3C8B" w:rsidRDefault="00EA2600" w:rsidP="00863C1B">
            <w:pPr>
              <w:pStyle w:val="TableText0"/>
              <w:rPr>
                <w:rFonts w:eastAsia="SimSun"/>
                <w:lang w:val="en-AU"/>
              </w:rPr>
            </w:pPr>
          </w:p>
        </w:tc>
        <w:tc>
          <w:tcPr>
            <w:tcW w:w="1187" w:type="dxa"/>
          </w:tcPr>
          <w:p w:rsidR="00EA2600" w:rsidRPr="000F3C8B" w:rsidRDefault="00EA2600" w:rsidP="00863C1B">
            <w:pPr>
              <w:pStyle w:val="TableText0"/>
              <w:rPr>
                <w:rFonts w:eastAsia="SimSun"/>
                <w:lang w:val="en-AU"/>
              </w:rPr>
            </w:pPr>
            <w:r w:rsidRPr="000F3C8B">
              <w:rPr>
                <w:rFonts w:eastAsia="SimSun"/>
                <w:lang w:val="en-AU"/>
              </w:rPr>
              <w:t>37847 Colonic Stent</w:t>
            </w:r>
          </w:p>
        </w:tc>
        <w:tc>
          <w:tcPr>
            <w:tcW w:w="2435" w:type="dxa"/>
          </w:tcPr>
          <w:p w:rsidR="00EA2600" w:rsidRPr="000F3C8B" w:rsidRDefault="00EA2600" w:rsidP="00863C1B">
            <w:pPr>
              <w:pStyle w:val="TableText0"/>
              <w:rPr>
                <w:rFonts w:eastAsia="SimSun"/>
                <w:lang w:val="en-AU"/>
              </w:rPr>
            </w:pPr>
            <w:r w:rsidRPr="000F3C8B">
              <w:rPr>
                <w:rFonts w:eastAsia="SimSun"/>
                <w:lang w:val="en-AU"/>
              </w:rPr>
              <w:t xml:space="preserve">Implanted for pre-operative obstruction relief prior to removal of colo-rectal carcinoma, designed to maintain the patency of colo-rectal strictures caused by malignant tumour. </w:t>
            </w:r>
          </w:p>
        </w:tc>
      </w:tr>
    </w:tbl>
    <w:p w:rsidR="00BE51CC" w:rsidRDefault="00CB5216" w:rsidP="00863C1B">
      <w:pPr>
        <w:pStyle w:val="TableNotes"/>
        <w:rPr>
          <w:rFonts w:eastAsia="SimSun"/>
          <w:lang w:val="en-AU" w:eastAsia="zh-CN"/>
        </w:rPr>
      </w:pPr>
      <w:proofErr w:type="gramStart"/>
      <w:r>
        <w:rPr>
          <w:rFonts w:eastAsia="SimSun" w:cs="Tahoma"/>
          <w:lang w:val="en-AU" w:eastAsia="zh-CN"/>
        </w:rPr>
        <w:t>a  B</w:t>
      </w:r>
      <w:r w:rsidR="00EA2600" w:rsidRPr="00A87C52">
        <w:rPr>
          <w:rFonts w:eastAsia="SimSun" w:cs="Tahoma"/>
          <w:lang w:eastAsia="zh-CN"/>
        </w:rPr>
        <w:t>oston</w:t>
      </w:r>
      <w:proofErr w:type="gramEnd"/>
      <w:r w:rsidR="00EA2600" w:rsidRPr="00A87C52">
        <w:rPr>
          <w:rFonts w:eastAsia="SimSun" w:cs="Tahoma"/>
          <w:lang w:eastAsia="zh-CN"/>
        </w:rPr>
        <w:t xml:space="preserve"> Scientific Pty Ltd </w:t>
      </w:r>
      <w:r w:rsidR="00EA2600" w:rsidRPr="00A87C52">
        <w:rPr>
          <w:rFonts w:eastAsia="SimSun"/>
          <w:lang w:eastAsia="zh-CN"/>
        </w:rPr>
        <w:t xml:space="preserve">WallFlex® Colonic Stents are new generation stents and account for </w:t>
      </w:r>
      <w:r w:rsidR="00EA2600" w:rsidRPr="00A87C52">
        <w:rPr>
          <w:rFonts w:eastAsia="SimSun" w:cs="Tahoma"/>
          <w:lang w:eastAsia="zh-CN"/>
        </w:rPr>
        <w:t>85% of Australian market share</w:t>
      </w:r>
      <w:r w:rsidR="00EA2600" w:rsidRPr="00F13A5A">
        <w:rPr>
          <w:rFonts w:eastAsia="SimSun"/>
          <w:lang w:eastAsia="zh-CN"/>
        </w:rPr>
        <w:t>. Ultraflex™ and Wallstent® are first generatio</w:t>
      </w:r>
      <w:r w:rsidR="00EA2600" w:rsidRPr="00E767D0">
        <w:rPr>
          <w:rFonts w:eastAsia="SimSun"/>
          <w:lang w:eastAsia="zh-CN"/>
        </w:rPr>
        <w:t>n stents</w:t>
      </w:r>
      <w:r>
        <w:rPr>
          <w:rFonts w:eastAsia="SimSun"/>
          <w:lang w:val="en-AU" w:eastAsia="zh-CN"/>
        </w:rPr>
        <w:br/>
        <w:t xml:space="preserve">b  </w:t>
      </w:r>
      <w:r w:rsidR="00064BF8" w:rsidRPr="00BE3EA8">
        <w:rPr>
          <w:rFonts w:eastAsia="SimSun"/>
          <w:lang w:eastAsia="zh-CN"/>
        </w:rPr>
        <w:t>A</w:t>
      </w:r>
      <w:r w:rsidR="00EA2600" w:rsidRPr="00BE3EA8">
        <w:rPr>
          <w:rFonts w:eastAsia="SimSun"/>
          <w:lang w:eastAsia="zh-CN"/>
        </w:rPr>
        <w:t>ll the devices are metallic stents, mainly SEMS.</w:t>
      </w:r>
      <w:r w:rsidR="00EA2600" w:rsidRPr="00A3741F">
        <w:rPr>
          <w:rFonts w:eastAsia="SimSun"/>
          <w:lang w:eastAsia="zh-CN"/>
        </w:rPr>
        <w:t xml:space="preserve"> They can be both covered and uncovered; nevertheless uncovered stents are most commonly deployed in Australia</w:t>
      </w:r>
    </w:p>
    <w:p w:rsidR="00EA2600" w:rsidRPr="00CB5216" w:rsidRDefault="00BE51CC" w:rsidP="00863C1B">
      <w:pPr>
        <w:pStyle w:val="TableNotes"/>
        <w:rPr>
          <w:rFonts w:eastAsia="SimSun" w:cs="Tahoma"/>
          <w:lang w:val="en-AU" w:eastAsia="zh-CN"/>
        </w:rPr>
      </w:pPr>
      <w:r>
        <w:rPr>
          <w:rFonts w:eastAsia="SimSun"/>
          <w:lang w:eastAsia="zh-CN"/>
        </w:rPr>
        <w:t xml:space="preserve">ARTG: Australian register of Therapeutic Goods; GMDN: </w:t>
      </w:r>
      <w:r w:rsidRPr="0026112F">
        <w:rPr>
          <w:rFonts w:eastAsia="SimSun"/>
          <w:lang w:eastAsia="zh-CN"/>
        </w:rPr>
        <w:t>Global Medical Device Nomenclature</w:t>
      </w:r>
      <w:r>
        <w:rPr>
          <w:rFonts w:eastAsia="SimSun"/>
          <w:lang w:eastAsia="zh-CN"/>
        </w:rPr>
        <w:t>.</w:t>
      </w:r>
    </w:p>
    <w:p w:rsidR="00941B19" w:rsidRPr="009E5C53" w:rsidRDefault="00941B19" w:rsidP="00FC35F9">
      <w:pPr>
        <w:pStyle w:val="Heading3"/>
      </w:pPr>
      <w:r w:rsidRPr="009E5C53">
        <w:t xml:space="preserve">Consumer </w:t>
      </w:r>
      <w:r w:rsidR="000222A1">
        <w:t>i</w:t>
      </w:r>
      <w:r w:rsidRPr="009E5C53">
        <w:t xml:space="preserve">mpact </w:t>
      </w:r>
      <w:r w:rsidR="000222A1">
        <w:t>s</w:t>
      </w:r>
      <w:r w:rsidRPr="009E5C53">
        <w:t>tatement</w:t>
      </w:r>
    </w:p>
    <w:p w:rsidR="00525D7F" w:rsidRDefault="00A84480" w:rsidP="00915F0B">
      <w:pPr>
        <w:tabs>
          <w:tab w:val="left" w:pos="720"/>
          <w:tab w:val="left" w:pos="1140"/>
        </w:tabs>
        <w:spacing w:before="120" w:after="0"/>
      </w:pPr>
      <w:r>
        <w:t xml:space="preserve">No input has been received from </w:t>
      </w:r>
      <w:r w:rsidR="00186148">
        <w:t>external</w:t>
      </w:r>
      <w:r>
        <w:t xml:space="preserve"> </w:t>
      </w:r>
      <w:r w:rsidR="00A32225">
        <w:t>craft</w:t>
      </w:r>
      <w:r w:rsidR="00F65CF4">
        <w:t xml:space="preserve"> or consumer</w:t>
      </w:r>
      <w:r w:rsidR="00A32225">
        <w:t xml:space="preserve"> </w:t>
      </w:r>
      <w:r>
        <w:t>groups</w:t>
      </w:r>
      <w:r w:rsidR="00525D7F">
        <w:t xml:space="preserve"> addressing potential advantage</w:t>
      </w:r>
      <w:r w:rsidR="00F65CF4">
        <w:t>s</w:t>
      </w:r>
      <w:r w:rsidR="00525D7F">
        <w:t xml:space="preserve"> (or disadvantages) </w:t>
      </w:r>
      <w:r w:rsidR="00186148">
        <w:t xml:space="preserve">to consumers </w:t>
      </w:r>
      <w:r w:rsidR="00915F0B">
        <w:t>if treatment with SEMS becomes available through the public healthcare system.</w:t>
      </w:r>
      <w:r>
        <w:t xml:space="preserve"> </w:t>
      </w:r>
    </w:p>
    <w:p w:rsidR="00E70B41" w:rsidRPr="00F154E9" w:rsidRDefault="00941B19" w:rsidP="00FC35F9">
      <w:pPr>
        <w:pStyle w:val="Heading3"/>
        <w:rPr>
          <w:rStyle w:val="Heading4Char"/>
          <w:b/>
          <w:lang w:eastAsia="en-AU"/>
        </w:rPr>
      </w:pPr>
      <w:r w:rsidRPr="000222A1">
        <w:rPr>
          <w:rStyle w:val="Heading4Char"/>
          <w:b/>
          <w:lang w:eastAsia="en-AU"/>
        </w:rPr>
        <w:t>Clinical need</w:t>
      </w:r>
    </w:p>
    <w:p w:rsidR="00DB48E4" w:rsidRPr="00A550ED" w:rsidRDefault="001652C9" w:rsidP="005B0A1D">
      <w:pPr>
        <w:rPr>
          <w:rFonts w:cs="Arial"/>
          <w:szCs w:val="24"/>
        </w:rPr>
      </w:pPr>
      <w:r w:rsidRPr="001652C9">
        <w:t xml:space="preserve">In </w:t>
      </w:r>
      <w:r>
        <w:t>the management of</w:t>
      </w:r>
      <w:r w:rsidRPr="001652C9">
        <w:t xml:space="preserve"> malignant colorectal obstruction</w:t>
      </w:r>
      <w:r>
        <w:t>,</w:t>
      </w:r>
      <w:r w:rsidRPr="001652C9">
        <w:t xml:space="preserve"> </w:t>
      </w:r>
      <w:r w:rsidR="001E62E8" w:rsidRPr="008F42F9">
        <w:t xml:space="preserve">SEMS </w:t>
      </w:r>
      <w:r w:rsidR="001E62E8" w:rsidRPr="00325C69">
        <w:t>is to be used as alternative modality in ad</w:t>
      </w:r>
      <w:r w:rsidR="002305C7" w:rsidRPr="007D5B7C">
        <w:t>d</w:t>
      </w:r>
      <w:r w:rsidR="001E62E8" w:rsidRPr="007D5B7C">
        <w:t xml:space="preserve">ition to the current management procedures. </w:t>
      </w:r>
      <w:r w:rsidR="00DB48E4" w:rsidRPr="007D5B7C">
        <w:t>For patients who are medically fit for surgery</w:t>
      </w:r>
      <w:r w:rsidR="00607F64">
        <w:t>,</w:t>
      </w:r>
      <w:r w:rsidR="00CF51EA" w:rsidRPr="007D5B7C">
        <w:t xml:space="preserve"> SEMS</w:t>
      </w:r>
      <w:r w:rsidR="00DB48E4" w:rsidRPr="007D5B7C">
        <w:t xml:space="preserve"> </w:t>
      </w:r>
      <w:r w:rsidR="00CF51EA" w:rsidRPr="00960A9E">
        <w:t>can serve as</w:t>
      </w:r>
      <w:r w:rsidR="005B0A1D">
        <w:t xml:space="preserve"> a</w:t>
      </w:r>
      <w:r w:rsidR="00CF51EA" w:rsidRPr="00960A9E">
        <w:t xml:space="preserve"> bridge</w:t>
      </w:r>
      <w:r w:rsidR="005B0A1D">
        <w:t xml:space="preserve"> </w:t>
      </w:r>
      <w:r w:rsidR="00CF51EA" w:rsidRPr="00960A9E">
        <w:t>to</w:t>
      </w:r>
      <w:r w:rsidR="005B0A1D">
        <w:t xml:space="preserve"> </w:t>
      </w:r>
      <w:r w:rsidR="00CF51EA" w:rsidRPr="00960A9E">
        <w:t>surgery</w:t>
      </w:r>
      <w:r w:rsidR="00A94FC0" w:rsidRPr="00EA2600">
        <w:t xml:space="preserve">, which </w:t>
      </w:r>
      <w:r w:rsidR="0057134E">
        <w:t xml:space="preserve">would </w:t>
      </w:r>
      <w:r w:rsidR="001E62E8" w:rsidRPr="00EA2600">
        <w:t>avoid</w:t>
      </w:r>
      <w:r w:rsidR="005B0A1D">
        <w:t xml:space="preserve"> the need for</w:t>
      </w:r>
      <w:r w:rsidR="00CF51EA" w:rsidRPr="00EA2600">
        <w:t xml:space="preserve"> emergency</w:t>
      </w:r>
      <w:r w:rsidR="001E62E8" w:rsidRPr="00EA2600">
        <w:t xml:space="preserve"> surgery</w:t>
      </w:r>
      <w:r w:rsidR="001E62E8" w:rsidRPr="00EC591E">
        <w:t xml:space="preserve"> and </w:t>
      </w:r>
      <w:r w:rsidR="00607F64">
        <w:t>allow</w:t>
      </w:r>
      <w:r w:rsidR="005B0A1D">
        <w:t xml:space="preserve"> time </w:t>
      </w:r>
      <w:r w:rsidR="001E62E8" w:rsidRPr="00EC591E">
        <w:t xml:space="preserve">to plan </w:t>
      </w:r>
      <w:r w:rsidR="005B0A1D">
        <w:t>appropriate</w:t>
      </w:r>
      <w:r w:rsidR="001E62E8" w:rsidRPr="00EC591E">
        <w:t xml:space="preserve"> elective surgery</w:t>
      </w:r>
      <w:r w:rsidR="00CF51EA" w:rsidRPr="00430AA8">
        <w:t>.</w:t>
      </w:r>
      <w:r w:rsidR="00915F0B">
        <w:t xml:space="preserve"> It can also serve as an alternative to surgery for palliative purposes in patients </w:t>
      </w:r>
      <w:r w:rsidR="00915F0B" w:rsidRPr="008F42F9">
        <w:t>suffer</w:t>
      </w:r>
      <w:r w:rsidR="00915F0B">
        <w:t>ing</w:t>
      </w:r>
      <w:r w:rsidR="00915F0B" w:rsidRPr="008F42F9">
        <w:t xml:space="preserve"> from incurable metastatic disease</w:t>
      </w:r>
      <w:r w:rsidR="00915F0B">
        <w:t>.</w:t>
      </w:r>
      <w:r w:rsidR="005B0A1D">
        <w:t xml:space="preserve"> </w:t>
      </w:r>
      <w:r w:rsidR="00DB48E4" w:rsidRPr="003A67FE">
        <w:rPr>
          <w:rFonts w:cs="Arial"/>
          <w:szCs w:val="24"/>
        </w:rPr>
        <w:t>For patients who are medically unfit for surgery</w:t>
      </w:r>
      <w:r w:rsidR="00F51CF1">
        <w:rPr>
          <w:rFonts w:cs="Arial"/>
          <w:szCs w:val="24"/>
        </w:rPr>
        <w:t xml:space="preserve">, SEMS insertion provides an additional </w:t>
      </w:r>
      <w:r w:rsidR="00C71AD4">
        <w:rPr>
          <w:rFonts w:cs="Arial"/>
          <w:szCs w:val="24"/>
        </w:rPr>
        <w:t>option;</w:t>
      </w:r>
      <w:r w:rsidR="00F51CF1">
        <w:rPr>
          <w:rFonts w:cs="Arial"/>
          <w:szCs w:val="24"/>
        </w:rPr>
        <w:t xml:space="preserve"> otherwise</w:t>
      </w:r>
      <w:r w:rsidR="00C71AD4">
        <w:rPr>
          <w:rFonts w:cs="Arial"/>
          <w:szCs w:val="24"/>
        </w:rPr>
        <w:t>,</w:t>
      </w:r>
      <w:r w:rsidR="00F51CF1">
        <w:rPr>
          <w:rFonts w:cs="Arial"/>
          <w:szCs w:val="24"/>
        </w:rPr>
        <w:t xml:space="preserve"> </w:t>
      </w:r>
      <w:r w:rsidR="00494F71">
        <w:rPr>
          <w:rFonts w:cs="Arial"/>
          <w:szCs w:val="24"/>
        </w:rPr>
        <w:t>best supportive care is</w:t>
      </w:r>
      <w:r w:rsidR="00CF51EA" w:rsidRPr="009672A9">
        <w:rPr>
          <w:rFonts w:cs="Arial"/>
          <w:szCs w:val="24"/>
        </w:rPr>
        <w:t xml:space="preserve"> the</w:t>
      </w:r>
      <w:r w:rsidR="00DB48E4" w:rsidRPr="009672A9">
        <w:rPr>
          <w:rFonts w:cs="Arial"/>
          <w:szCs w:val="24"/>
        </w:rPr>
        <w:t xml:space="preserve"> only </w:t>
      </w:r>
      <w:r w:rsidR="00CF51EA" w:rsidRPr="00584C29">
        <w:rPr>
          <w:rFonts w:cs="Arial"/>
          <w:szCs w:val="24"/>
        </w:rPr>
        <w:lastRenderedPageBreak/>
        <w:t xml:space="preserve">treatment </w:t>
      </w:r>
      <w:r w:rsidR="00DB48E4" w:rsidRPr="00DA0155">
        <w:rPr>
          <w:rFonts w:cs="Arial"/>
          <w:szCs w:val="24"/>
        </w:rPr>
        <w:t>available</w:t>
      </w:r>
      <w:r w:rsidR="00370943">
        <w:rPr>
          <w:rFonts w:cs="Arial"/>
          <w:szCs w:val="24"/>
        </w:rPr>
        <w:t xml:space="preserve"> </w:t>
      </w:r>
      <w:r w:rsidR="00494F71">
        <w:rPr>
          <w:rFonts w:cs="Arial"/>
          <w:szCs w:val="24"/>
        </w:rPr>
        <w:t>at present</w:t>
      </w:r>
      <w:r w:rsidR="00DB48E4" w:rsidRPr="00DA0155">
        <w:rPr>
          <w:rFonts w:cs="Arial"/>
          <w:szCs w:val="24"/>
        </w:rPr>
        <w:t>.</w:t>
      </w:r>
      <w:r w:rsidR="00A94FC0" w:rsidRPr="00DA0155">
        <w:rPr>
          <w:rFonts w:cs="Arial"/>
          <w:szCs w:val="24"/>
        </w:rPr>
        <w:t xml:space="preserve"> SEM</w:t>
      </w:r>
      <w:r w:rsidR="00A94FC0" w:rsidRPr="00CF31D5">
        <w:rPr>
          <w:rFonts w:cs="Arial"/>
          <w:szCs w:val="24"/>
        </w:rPr>
        <w:t xml:space="preserve">S </w:t>
      </w:r>
      <w:r w:rsidR="00370943">
        <w:rPr>
          <w:rFonts w:cs="Arial"/>
          <w:szCs w:val="24"/>
        </w:rPr>
        <w:t>is used</w:t>
      </w:r>
      <w:r w:rsidR="00A94FC0" w:rsidRPr="00CF31D5">
        <w:rPr>
          <w:rFonts w:cs="Arial"/>
          <w:szCs w:val="24"/>
        </w:rPr>
        <w:t xml:space="preserve"> to provide palliation until deaths in this group of </w:t>
      </w:r>
      <w:r w:rsidR="00494F71">
        <w:rPr>
          <w:rFonts w:cs="Arial"/>
          <w:szCs w:val="24"/>
        </w:rPr>
        <w:t>patients</w:t>
      </w:r>
      <w:r w:rsidR="00A94FC0" w:rsidRPr="00CF31D5">
        <w:rPr>
          <w:rFonts w:cs="Arial"/>
          <w:szCs w:val="24"/>
        </w:rPr>
        <w:t xml:space="preserve">. </w:t>
      </w:r>
    </w:p>
    <w:p w:rsidR="00816579" w:rsidRPr="0072092E" w:rsidRDefault="00915F0B" w:rsidP="00816579">
      <w:pPr>
        <w:tabs>
          <w:tab w:val="left" w:pos="720"/>
          <w:tab w:val="left" w:pos="1140"/>
        </w:tabs>
        <w:spacing w:before="120" w:after="0"/>
        <w:rPr>
          <w:rFonts w:cs="Arial"/>
          <w:szCs w:val="24"/>
        </w:rPr>
      </w:pPr>
      <w:r w:rsidRPr="00CD21F6">
        <w:rPr>
          <w:rFonts w:cs="Arial"/>
          <w:szCs w:val="24"/>
        </w:rPr>
        <w:t xml:space="preserve">According to </w:t>
      </w:r>
      <w:r>
        <w:rPr>
          <w:rFonts w:cs="Arial"/>
          <w:szCs w:val="24"/>
        </w:rPr>
        <w:t xml:space="preserve">data from </w:t>
      </w:r>
      <w:r w:rsidRPr="00CD21F6">
        <w:rPr>
          <w:rFonts w:cs="Arial"/>
          <w:szCs w:val="24"/>
        </w:rPr>
        <w:t>the Australian Institute of Health and Welfare</w:t>
      </w:r>
      <w:r>
        <w:rPr>
          <w:rFonts w:cs="Arial"/>
          <w:szCs w:val="24"/>
        </w:rPr>
        <w:t xml:space="preserve"> </w:t>
      </w:r>
      <w:r w:rsidRPr="00CD21F6">
        <w:rPr>
          <w:rFonts w:cs="Arial"/>
          <w:szCs w:val="24"/>
        </w:rPr>
        <w:t>(AIHW)</w:t>
      </w:r>
      <w:r>
        <w:rPr>
          <w:rFonts w:cs="Arial"/>
          <w:szCs w:val="24"/>
        </w:rPr>
        <w:t>,</w:t>
      </w:r>
      <w:r w:rsidRPr="00CD21F6">
        <w:rPr>
          <w:rFonts w:cs="Arial"/>
          <w:szCs w:val="24"/>
        </w:rPr>
        <w:t xml:space="preserve"> </w:t>
      </w:r>
      <w:r w:rsidR="00816579" w:rsidRPr="001949E9">
        <w:rPr>
          <w:rFonts w:cs="Arial"/>
          <w:szCs w:val="24"/>
        </w:rPr>
        <w:t xml:space="preserve">colorectal cancer is the second most common </w:t>
      </w:r>
      <w:r w:rsidR="005B0A1D">
        <w:rPr>
          <w:rFonts w:cs="Arial"/>
          <w:szCs w:val="24"/>
        </w:rPr>
        <w:t xml:space="preserve">form of </w:t>
      </w:r>
      <w:r w:rsidR="00816579" w:rsidRPr="001949E9">
        <w:rPr>
          <w:rFonts w:cs="Arial"/>
          <w:szCs w:val="24"/>
        </w:rPr>
        <w:t>cancer</w:t>
      </w:r>
      <w:r w:rsidRPr="00915F0B">
        <w:rPr>
          <w:rFonts w:cs="Arial"/>
          <w:szCs w:val="24"/>
        </w:rPr>
        <w:t xml:space="preserve"> </w:t>
      </w:r>
      <w:r>
        <w:rPr>
          <w:rFonts w:cs="Arial"/>
          <w:szCs w:val="24"/>
        </w:rPr>
        <w:t>i</w:t>
      </w:r>
      <w:r w:rsidRPr="001949E9">
        <w:rPr>
          <w:rFonts w:cs="Arial"/>
          <w:szCs w:val="24"/>
        </w:rPr>
        <w:t>n Australia</w:t>
      </w:r>
      <w:r w:rsidR="00816579" w:rsidRPr="001949E9">
        <w:rPr>
          <w:rFonts w:cs="Arial"/>
          <w:szCs w:val="24"/>
        </w:rPr>
        <w:t xml:space="preserve">, </w:t>
      </w:r>
      <w:r w:rsidR="009855A3">
        <w:rPr>
          <w:rFonts w:cs="Arial"/>
          <w:szCs w:val="24"/>
        </w:rPr>
        <w:t>making up</w:t>
      </w:r>
      <w:r w:rsidR="00816579" w:rsidRPr="00CD21F6">
        <w:rPr>
          <w:rFonts w:cs="Arial"/>
          <w:szCs w:val="24"/>
        </w:rPr>
        <w:t xml:space="preserve"> 13.1</w:t>
      </w:r>
      <w:r w:rsidR="00370943">
        <w:rPr>
          <w:rFonts w:cs="Arial"/>
          <w:szCs w:val="24"/>
        </w:rPr>
        <w:t xml:space="preserve"> </w:t>
      </w:r>
      <w:r w:rsidR="00A148C0">
        <w:rPr>
          <w:rFonts w:cs="Arial"/>
          <w:szCs w:val="24"/>
        </w:rPr>
        <w:t>per cent</w:t>
      </w:r>
      <w:r w:rsidR="00816579" w:rsidRPr="00CD21F6">
        <w:rPr>
          <w:rFonts w:cs="Arial"/>
          <w:szCs w:val="24"/>
        </w:rPr>
        <w:t xml:space="preserve"> (males</w:t>
      </w:r>
      <w:r w:rsidR="009855A3">
        <w:rPr>
          <w:rFonts w:cs="Arial"/>
          <w:szCs w:val="24"/>
        </w:rPr>
        <w:t>:</w:t>
      </w:r>
      <w:r w:rsidR="00816579" w:rsidRPr="00CD21F6">
        <w:rPr>
          <w:rFonts w:cs="Arial"/>
          <w:szCs w:val="24"/>
        </w:rPr>
        <w:t xml:space="preserve"> 12.6%, female</w:t>
      </w:r>
      <w:r w:rsidR="009855A3">
        <w:rPr>
          <w:rFonts w:cs="Arial"/>
          <w:szCs w:val="24"/>
        </w:rPr>
        <w:t>s:</w:t>
      </w:r>
      <w:r w:rsidR="00816579" w:rsidRPr="00CD21F6">
        <w:rPr>
          <w:rFonts w:cs="Arial"/>
          <w:szCs w:val="24"/>
        </w:rPr>
        <w:t xml:space="preserve"> 13.9%) of</w:t>
      </w:r>
      <w:r w:rsidR="009855A3">
        <w:rPr>
          <w:rFonts w:cs="Arial"/>
          <w:szCs w:val="24"/>
        </w:rPr>
        <w:t xml:space="preserve"> all</w:t>
      </w:r>
      <w:r w:rsidR="00816579" w:rsidRPr="00CD21F6">
        <w:rPr>
          <w:rFonts w:cs="Arial"/>
          <w:szCs w:val="24"/>
        </w:rPr>
        <w:t xml:space="preserve"> </w:t>
      </w:r>
      <w:r w:rsidR="009855A3">
        <w:rPr>
          <w:rFonts w:cs="Arial"/>
          <w:szCs w:val="24"/>
        </w:rPr>
        <w:t xml:space="preserve">reported </w:t>
      </w:r>
      <w:r w:rsidR="00816579" w:rsidRPr="00CD21F6">
        <w:rPr>
          <w:rFonts w:cs="Arial"/>
          <w:szCs w:val="24"/>
        </w:rPr>
        <w:t xml:space="preserve">incidences </w:t>
      </w:r>
      <w:r w:rsidR="009855A3">
        <w:rPr>
          <w:rFonts w:cs="Arial"/>
          <w:szCs w:val="24"/>
        </w:rPr>
        <w:t xml:space="preserve">of cancer </w:t>
      </w:r>
      <w:r w:rsidR="00816579" w:rsidRPr="00CD21F6">
        <w:rPr>
          <w:rFonts w:cs="Arial"/>
          <w:szCs w:val="24"/>
        </w:rPr>
        <w:t xml:space="preserve">in 2007. </w:t>
      </w:r>
      <w:r>
        <w:rPr>
          <w:rFonts w:cs="Arial"/>
          <w:szCs w:val="24"/>
        </w:rPr>
        <w:t xml:space="preserve">In addition, </w:t>
      </w:r>
      <w:r w:rsidR="00816579" w:rsidRPr="00CD21F6">
        <w:rPr>
          <w:rFonts w:cs="Arial"/>
          <w:szCs w:val="24"/>
        </w:rPr>
        <w:t>the incidence rate of colorectal canc</w:t>
      </w:r>
      <w:r w:rsidR="00816579" w:rsidRPr="0086082D">
        <w:rPr>
          <w:rFonts w:cs="Arial"/>
          <w:szCs w:val="24"/>
        </w:rPr>
        <w:t xml:space="preserve">er and </w:t>
      </w:r>
      <w:r w:rsidR="009855A3">
        <w:rPr>
          <w:rFonts w:cs="Arial"/>
          <w:szCs w:val="24"/>
        </w:rPr>
        <w:t xml:space="preserve">corresponding </w:t>
      </w:r>
      <w:r w:rsidR="004B0E71" w:rsidRPr="0072092E">
        <w:rPr>
          <w:rFonts w:cs="Arial"/>
          <w:szCs w:val="24"/>
        </w:rPr>
        <w:t>utili</w:t>
      </w:r>
      <w:r w:rsidR="004B0E71">
        <w:rPr>
          <w:rFonts w:cs="Arial"/>
          <w:szCs w:val="24"/>
        </w:rPr>
        <w:t>s</w:t>
      </w:r>
      <w:r w:rsidR="004B0E71" w:rsidRPr="0072092E">
        <w:rPr>
          <w:rFonts w:cs="Arial"/>
          <w:szCs w:val="24"/>
        </w:rPr>
        <w:t>ation</w:t>
      </w:r>
      <w:r w:rsidR="004B0E71" w:rsidRPr="0072092E" w:rsidDel="004B0E71">
        <w:rPr>
          <w:rFonts w:cs="Arial"/>
          <w:szCs w:val="24"/>
        </w:rPr>
        <w:t xml:space="preserve"> </w:t>
      </w:r>
      <w:r w:rsidR="004B0E71">
        <w:rPr>
          <w:rFonts w:cs="Arial"/>
          <w:szCs w:val="24"/>
        </w:rPr>
        <w:t xml:space="preserve">of resources </w:t>
      </w:r>
      <w:r w:rsidR="00816579" w:rsidRPr="0072092E">
        <w:rPr>
          <w:rFonts w:cs="Arial"/>
          <w:szCs w:val="24"/>
        </w:rPr>
        <w:t>have dramatically increased from 1982 to 2007</w:t>
      </w:r>
      <w:r w:rsidR="00370943">
        <w:rPr>
          <w:rFonts w:cs="Arial"/>
          <w:szCs w:val="24"/>
        </w:rPr>
        <w:t xml:space="preserve"> </w:t>
      </w:r>
      <w:r w:rsidR="00816579" w:rsidRPr="0072092E">
        <w:rPr>
          <w:rFonts w:cs="Arial"/>
          <w:szCs w:val="24"/>
        </w:rPr>
        <w:t>(AIHW 2010</w:t>
      </w:r>
      <w:r w:rsidR="00494F71">
        <w:rPr>
          <w:rFonts w:cs="Arial"/>
          <w:szCs w:val="24"/>
        </w:rPr>
        <w:t>; AIHW 2011</w:t>
      </w:r>
      <w:r w:rsidR="00C71AD4">
        <w:rPr>
          <w:rFonts w:cs="Arial"/>
          <w:szCs w:val="24"/>
        </w:rPr>
        <w:t>)</w:t>
      </w:r>
      <w:r w:rsidR="00816579" w:rsidRPr="0072092E">
        <w:rPr>
          <w:rFonts w:cs="Arial"/>
          <w:szCs w:val="24"/>
        </w:rPr>
        <w:t xml:space="preserve">. </w:t>
      </w:r>
    </w:p>
    <w:p w:rsidR="00816579" w:rsidRPr="0052787F" w:rsidRDefault="00816579" w:rsidP="00816579">
      <w:pPr>
        <w:tabs>
          <w:tab w:val="left" w:pos="720"/>
          <w:tab w:val="left" w:pos="1140"/>
        </w:tabs>
        <w:spacing w:before="120" w:after="0"/>
        <w:rPr>
          <w:rFonts w:cs="Arial"/>
          <w:szCs w:val="24"/>
        </w:rPr>
      </w:pPr>
    </w:p>
    <w:p w:rsidR="00816579" w:rsidRPr="00525D7F" w:rsidRDefault="009855A3" w:rsidP="00816579">
      <w:r>
        <w:t>Based on</w:t>
      </w:r>
      <w:r w:rsidRPr="00A84480">
        <w:t xml:space="preserve"> data from the Australian Cancer Registry (AIHW 2004)</w:t>
      </w:r>
      <w:r>
        <w:t xml:space="preserve">, CSSANZ has </w:t>
      </w:r>
      <w:r w:rsidR="00816579" w:rsidRPr="00A84480">
        <w:t>calculated</w:t>
      </w:r>
      <w:r>
        <w:t xml:space="preserve"> that</w:t>
      </w:r>
      <w:r w:rsidR="00816579" w:rsidRPr="00A84480">
        <w:t xml:space="preserve"> approximately 1,100 patients per year would be suitable for the placement of a SEMS. </w:t>
      </w:r>
      <w:r>
        <w:t>A</w:t>
      </w:r>
      <w:r w:rsidRPr="00A84480">
        <w:t xml:space="preserve">llowing </w:t>
      </w:r>
      <w:r w:rsidR="00816579" w:rsidRPr="00A84480">
        <w:t xml:space="preserve">for local </w:t>
      </w:r>
      <w:r>
        <w:t>variation</w:t>
      </w:r>
      <w:r w:rsidRPr="00A84480">
        <w:t xml:space="preserve"> </w:t>
      </w:r>
      <w:r w:rsidR="00816579" w:rsidRPr="00A84480">
        <w:t xml:space="preserve">in expertise and facilities, and individual surgeon or patient bias and preference, </w:t>
      </w:r>
      <w:r>
        <w:t xml:space="preserve">CSSANZ </w:t>
      </w:r>
      <w:r w:rsidR="00816579" w:rsidRPr="00A84480">
        <w:t>has proposed an annual SEMS deployment rate of 575</w:t>
      </w:r>
      <w:r>
        <w:t xml:space="preserve"> to </w:t>
      </w:r>
      <w:r w:rsidR="00816579" w:rsidRPr="00A84480">
        <w:t>625 patients</w:t>
      </w:r>
      <w:r w:rsidR="00816579" w:rsidRPr="00525D7F">
        <w:t xml:space="preserve"> as a fair estimate. </w:t>
      </w:r>
    </w:p>
    <w:p w:rsidR="008F42F9" w:rsidRDefault="00025187" w:rsidP="005C55C9">
      <w:pPr>
        <w:sectPr w:rsidR="008F42F9" w:rsidSect="00AC773F">
          <w:headerReference w:type="even" r:id="rId14"/>
          <w:headerReference w:type="default" r:id="rId15"/>
          <w:headerReference w:type="first" r:id="rId16"/>
          <w:type w:val="oddPage"/>
          <w:pgSz w:w="11906" w:h="16838"/>
          <w:pgMar w:top="1440" w:right="1440" w:bottom="1440" w:left="1440" w:header="720" w:footer="720" w:gutter="0"/>
          <w:paperSrc w:first="2" w:other="2"/>
          <w:pgNumType w:start="1"/>
          <w:cols w:space="720"/>
        </w:sectPr>
      </w:pPr>
      <w:r w:rsidRPr="008F42F9">
        <w:t xml:space="preserve">Current clinical management of intestinal obstruction caused by colorectal cancer </w:t>
      </w:r>
      <w:r w:rsidR="009E0694" w:rsidRPr="00325C69">
        <w:t>is outlined</w:t>
      </w:r>
      <w:r w:rsidRPr="007D5B7C">
        <w:t xml:space="preserve"> in </w:t>
      </w:r>
      <w:r w:rsidR="00132286">
        <w:fldChar w:fldCharType="begin"/>
      </w:r>
      <w:r w:rsidR="00132286">
        <w:instrText xml:space="preserve"> REF _Ref324930235 \h </w:instrText>
      </w:r>
      <w:r w:rsidR="00132286">
        <w:fldChar w:fldCharType="separate"/>
      </w:r>
      <w:r w:rsidR="0071544A">
        <w:t xml:space="preserve">Figure </w:t>
      </w:r>
      <w:r w:rsidR="0071544A">
        <w:rPr>
          <w:noProof/>
        </w:rPr>
        <w:t>1</w:t>
      </w:r>
      <w:r w:rsidR="00132286">
        <w:fldChar w:fldCharType="end"/>
      </w:r>
      <w:r w:rsidR="00DE29C7">
        <w:t>. T</w:t>
      </w:r>
      <w:r w:rsidR="00DE29C7" w:rsidRPr="009E5C53">
        <w:t xml:space="preserve">he </w:t>
      </w:r>
      <w:r w:rsidRPr="009E5C53">
        <w:t xml:space="preserve">proposed clinical management algorithm with the addition of </w:t>
      </w:r>
      <w:r w:rsidR="009E0694" w:rsidRPr="009E5C53">
        <w:t>the SEMS procedure</w:t>
      </w:r>
      <w:r w:rsidRPr="009E5C53">
        <w:t xml:space="preserve"> as an option follows in</w:t>
      </w:r>
      <w:r w:rsidR="00132286">
        <w:t xml:space="preserve"> </w:t>
      </w:r>
      <w:r w:rsidR="00132286">
        <w:fldChar w:fldCharType="begin"/>
      </w:r>
      <w:r w:rsidR="00132286">
        <w:instrText xml:space="preserve"> REF _Ref324930438 \h </w:instrText>
      </w:r>
      <w:r w:rsidR="00132286">
        <w:fldChar w:fldCharType="separate"/>
      </w:r>
      <w:r w:rsidR="0071544A">
        <w:t xml:space="preserve">Figure </w:t>
      </w:r>
      <w:r w:rsidR="0071544A">
        <w:rPr>
          <w:noProof/>
        </w:rPr>
        <w:t>2</w:t>
      </w:r>
      <w:r w:rsidR="00132286">
        <w:fldChar w:fldCharType="end"/>
      </w:r>
      <w:r w:rsidRPr="009E5C53">
        <w:t xml:space="preserve">. </w:t>
      </w:r>
    </w:p>
    <w:p w:rsidR="008F42F9" w:rsidRDefault="00C70054" w:rsidP="00C70054">
      <w:pPr>
        <w:pStyle w:val="Caption"/>
      </w:pPr>
      <w:bookmarkStart w:id="16" w:name="_Ref324930235"/>
      <w:bookmarkStart w:id="17" w:name="_Toc327522124"/>
      <w:r>
        <w:lastRenderedPageBreak/>
        <w:t xml:space="preserve">Figure </w:t>
      </w:r>
      <w:fldSimple w:instr=" SEQ Figure \* ARABIC ">
        <w:r w:rsidR="0071544A">
          <w:rPr>
            <w:noProof/>
          </w:rPr>
          <w:t>1</w:t>
        </w:r>
      </w:fldSimple>
      <w:bookmarkEnd w:id="16"/>
      <w:r w:rsidR="00325C69">
        <w:tab/>
      </w:r>
      <w:r w:rsidR="00960A9E">
        <w:t>C</w:t>
      </w:r>
      <w:r w:rsidR="008F42F9" w:rsidRPr="008F42F9">
        <w:t>urrent clinical management</w:t>
      </w:r>
      <w:r w:rsidR="008F42F9">
        <w:t xml:space="preserve"> algorithm </w:t>
      </w:r>
      <w:r w:rsidR="008F42F9" w:rsidRPr="008F42F9">
        <w:t>of intestinal obstruction caused by colorectal cancer</w:t>
      </w:r>
      <w:bookmarkEnd w:id="17"/>
    </w:p>
    <w:p w:rsidR="008F42F9" w:rsidRPr="003A2357" w:rsidRDefault="00516B5D" w:rsidP="00816579">
      <w:pPr>
        <w:rPr>
          <w:rFonts w:ascii="Arial" w:hAnsi="Arial" w:cs="Arial"/>
          <w:sz w:val="18"/>
          <w:szCs w:val="18"/>
        </w:rPr>
      </w:pPr>
      <w:r>
        <w:rPr>
          <w:rFonts w:ascii="Arial" w:hAnsi="Arial" w:cs="Arial"/>
          <w:noProof/>
          <w:sz w:val="18"/>
          <w:szCs w:val="18"/>
        </w:rPr>
        <mc:AlternateContent>
          <mc:Choice Requires="wpc">
            <w:drawing>
              <wp:inline distT="0" distB="0" distL="0" distR="0">
                <wp:extent cx="8553450" cy="5347970"/>
                <wp:effectExtent l="0" t="0" r="19050" b="24130"/>
                <wp:docPr id="1490" name="Canvas 1490" title="Figure 1 Current clinical management algorithm of intestinal obstruction caused by colorectal cance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64" name="Line 1493"/>
                        <wps:cNvCnPr/>
                        <wps:spPr bwMode="auto">
                          <a:xfrm flipH="1">
                            <a:off x="4521202" y="202118"/>
                            <a:ext cx="543" cy="119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5" name="Line 1495"/>
                        <wps:cNvCnPr/>
                        <wps:spPr bwMode="auto">
                          <a:xfrm>
                            <a:off x="4253907" y="234608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6" name="Text Box 1496"/>
                        <wps:cNvSpPr txBox="1">
                          <a:spLocks noChangeArrowheads="1"/>
                        </wps:cNvSpPr>
                        <wps:spPr bwMode="auto">
                          <a:xfrm>
                            <a:off x="3297185" y="3260"/>
                            <a:ext cx="2482804" cy="248844"/>
                          </a:xfrm>
                          <a:prstGeom prst="rect">
                            <a:avLst/>
                          </a:prstGeom>
                          <a:solidFill>
                            <a:srgbClr val="FFFFFF"/>
                          </a:solidFill>
                          <a:ln w="9525">
                            <a:solidFill>
                              <a:srgbClr val="000000"/>
                            </a:solidFill>
                            <a:miter lim="800000"/>
                            <a:headEnd/>
                            <a:tailEnd/>
                          </a:ln>
                        </wps:spPr>
                        <wps:txbx>
                          <w:txbxContent>
                            <w:p w:rsidR="0042762F" w:rsidRPr="00AA6410" w:rsidRDefault="0042762F" w:rsidP="00AA6410">
                              <w:pPr>
                                <w:ind w:left="0"/>
                                <w:jc w:val="center"/>
                                <w:rPr>
                                  <w:rFonts w:ascii="Arial" w:hAnsi="Arial" w:cs="Arial"/>
                                  <w:sz w:val="18"/>
                                  <w:szCs w:val="18"/>
                                </w:rPr>
                              </w:pPr>
                              <w:r w:rsidRPr="00AA6410">
                                <w:rPr>
                                  <w:rFonts w:ascii="Arial" w:hAnsi="Arial" w:cs="Arial"/>
                                  <w:sz w:val="18"/>
                                  <w:szCs w:val="18"/>
                                </w:rPr>
                                <w:t>Large bowel obstruction, stricture or stenosis</w:t>
                              </w:r>
                            </w:p>
                          </w:txbxContent>
                        </wps:txbx>
                        <wps:bodyPr rot="0" vert="horz" wrap="square" lIns="78840" tIns="39421" rIns="78840" bIns="39421" anchor="t" anchorCtr="0" upright="1">
                          <a:noAutofit/>
                        </wps:bodyPr>
                      </wps:wsp>
                      <wps:wsp>
                        <wps:cNvPr id="1967" name="Line 1497"/>
                        <wps:cNvCnPr/>
                        <wps:spPr bwMode="auto">
                          <a:xfrm>
                            <a:off x="2387186" y="321650"/>
                            <a:ext cx="4489149" cy="2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8" name="Line 1498"/>
                        <wps:cNvCnPr/>
                        <wps:spPr bwMode="auto">
                          <a:xfrm flipH="1">
                            <a:off x="6874705" y="324910"/>
                            <a:ext cx="543" cy="124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9" name="Line 1499"/>
                        <wps:cNvCnPr/>
                        <wps:spPr bwMode="auto">
                          <a:xfrm flipH="1" flipV="1">
                            <a:off x="6874162" y="667206"/>
                            <a:ext cx="2173" cy="2249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0" name="Line 1500"/>
                        <wps:cNvCnPr/>
                        <wps:spPr bwMode="auto">
                          <a:xfrm>
                            <a:off x="5778903" y="894317"/>
                            <a:ext cx="2476285" cy="1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1" name="Line 1501"/>
                        <wps:cNvCnPr/>
                        <wps:spPr bwMode="auto">
                          <a:xfrm flipH="1">
                            <a:off x="8214441" y="1287686"/>
                            <a:ext cx="1087" cy="1157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2" name="Line 1502"/>
                        <wps:cNvCnPr/>
                        <wps:spPr bwMode="auto">
                          <a:xfrm flipH="1">
                            <a:off x="8253014" y="896490"/>
                            <a:ext cx="2173" cy="195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3" name="Line 1504"/>
                        <wps:cNvCnPr/>
                        <wps:spPr bwMode="auto">
                          <a:xfrm>
                            <a:off x="5777273" y="893773"/>
                            <a:ext cx="2716" cy="210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4" name="Line 1505"/>
                        <wps:cNvCnPr/>
                        <wps:spPr bwMode="auto">
                          <a:xfrm flipH="1">
                            <a:off x="5778903" y="1302355"/>
                            <a:ext cx="1087" cy="167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5" name="Line 1506"/>
                        <wps:cNvCnPr/>
                        <wps:spPr bwMode="auto">
                          <a:xfrm>
                            <a:off x="8433928" y="3320816"/>
                            <a:ext cx="10322" cy="499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6" name="Line 1508"/>
                        <wps:cNvCnPr/>
                        <wps:spPr bwMode="auto">
                          <a:xfrm>
                            <a:off x="2384470" y="323280"/>
                            <a:ext cx="2716" cy="130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7" name="Line 1509"/>
                        <wps:cNvCnPr/>
                        <wps:spPr bwMode="auto">
                          <a:xfrm flipH="1" flipV="1">
                            <a:off x="2383926" y="679702"/>
                            <a:ext cx="3260" cy="212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8" name="Line 1510"/>
                        <wps:cNvCnPr/>
                        <wps:spPr bwMode="auto">
                          <a:xfrm>
                            <a:off x="1353318" y="891057"/>
                            <a:ext cx="2119348" cy="1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9" name="Line 1511"/>
                        <wps:cNvCnPr/>
                        <wps:spPr bwMode="auto">
                          <a:xfrm>
                            <a:off x="1352775" y="890513"/>
                            <a:ext cx="1087" cy="2330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0" name="Line 1512"/>
                        <wps:cNvCnPr/>
                        <wps:spPr bwMode="auto">
                          <a:xfrm>
                            <a:off x="3471579" y="894317"/>
                            <a:ext cx="4346" cy="2118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1" name="Line 1515"/>
                        <wps:cNvCnPr/>
                        <wps:spPr bwMode="auto">
                          <a:xfrm flipH="1">
                            <a:off x="3471579" y="1307245"/>
                            <a:ext cx="1087" cy="147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2" name="Line 1516"/>
                        <wps:cNvCnPr/>
                        <wps:spPr bwMode="auto">
                          <a:xfrm>
                            <a:off x="1350602" y="1333868"/>
                            <a:ext cx="2173" cy="155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3" name="Line 1517"/>
                        <wps:cNvCnPr/>
                        <wps:spPr bwMode="auto">
                          <a:xfrm flipH="1">
                            <a:off x="3470493" y="1455030"/>
                            <a:ext cx="1087" cy="1009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6" name="Text Box 1518"/>
                        <wps:cNvSpPr txBox="1">
                          <a:spLocks noChangeArrowheads="1"/>
                        </wps:cNvSpPr>
                        <wps:spPr bwMode="auto">
                          <a:xfrm>
                            <a:off x="3033150" y="3820134"/>
                            <a:ext cx="888811" cy="591140"/>
                          </a:xfrm>
                          <a:prstGeom prst="rect">
                            <a:avLst/>
                          </a:prstGeom>
                          <a:solidFill>
                            <a:srgbClr val="FFFFFF"/>
                          </a:solidFill>
                          <a:ln w="6350">
                            <a:solidFill>
                              <a:srgbClr val="000000"/>
                            </a:solidFill>
                            <a:miter lim="800000"/>
                            <a:headEnd/>
                            <a:tailEnd/>
                          </a:ln>
                        </wps:spPr>
                        <wps:txbx>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wps:txbx>
                        <wps:bodyPr rot="0" vert="horz" wrap="square" lIns="78840" tIns="39421" rIns="78840" bIns="39421" anchor="t" anchorCtr="0" upright="1">
                          <a:noAutofit/>
                        </wps:bodyPr>
                      </wps:wsp>
                      <wps:wsp>
                        <wps:cNvPr id="1537" name="Line 1519"/>
                        <wps:cNvCnPr/>
                        <wps:spPr bwMode="auto">
                          <a:xfrm flipH="1">
                            <a:off x="3683460" y="3309406"/>
                            <a:ext cx="543" cy="510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 name="Line 1520"/>
                        <wps:cNvCnPr/>
                        <wps:spPr bwMode="auto">
                          <a:xfrm flipV="1">
                            <a:off x="582400" y="1493607"/>
                            <a:ext cx="1435354"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9" name="Text Box 1521"/>
                        <wps:cNvSpPr txBox="1">
                          <a:spLocks noChangeArrowheads="1"/>
                        </wps:cNvSpPr>
                        <wps:spPr bwMode="auto">
                          <a:xfrm>
                            <a:off x="1602685" y="2463989"/>
                            <a:ext cx="846978" cy="372179"/>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Other surgery</w:t>
                              </w:r>
                              <w:r w:rsidRPr="00CB5216">
                                <w:rPr>
                                  <w:rFonts w:ascii="Arial" w:hAnsi="Arial" w:cs="Arial"/>
                                  <w:sz w:val="18"/>
                                  <w:szCs w:val="18"/>
                                  <w:vertAlign w:val="superscript"/>
                                </w:rPr>
                                <w:t>b</w:t>
                              </w:r>
                            </w:p>
                          </w:txbxContent>
                        </wps:txbx>
                        <wps:bodyPr rot="0" vert="horz" wrap="square" lIns="78840" tIns="39421" rIns="78840" bIns="39421" anchor="t" anchorCtr="0" upright="1">
                          <a:noAutofit/>
                        </wps:bodyPr>
                      </wps:wsp>
                      <wps:wsp>
                        <wps:cNvPr id="1540" name="Line 1522"/>
                        <wps:cNvCnPr/>
                        <wps:spPr bwMode="auto">
                          <a:xfrm flipH="1">
                            <a:off x="581313" y="1497953"/>
                            <a:ext cx="1087" cy="9611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1" name="Text Box 1523"/>
                        <wps:cNvSpPr txBox="1">
                          <a:spLocks noChangeArrowheads="1"/>
                        </wps:cNvSpPr>
                        <wps:spPr bwMode="auto">
                          <a:xfrm>
                            <a:off x="82579" y="3820134"/>
                            <a:ext cx="906196" cy="591140"/>
                          </a:xfrm>
                          <a:prstGeom prst="rect">
                            <a:avLst/>
                          </a:prstGeom>
                          <a:solidFill>
                            <a:srgbClr val="FFFFFF"/>
                          </a:solidFill>
                          <a:ln w="6350">
                            <a:solidFill>
                              <a:srgbClr val="000000"/>
                            </a:solidFill>
                            <a:miter lim="800000"/>
                            <a:headEnd/>
                            <a:tailEnd/>
                          </a:ln>
                        </wps:spPr>
                        <wps:txbx>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wps:txbx>
                        <wps:bodyPr rot="0" vert="horz" wrap="square" lIns="78840" tIns="39421" rIns="78840" bIns="39421" anchor="t" anchorCtr="0" upright="1">
                          <a:noAutofit/>
                        </wps:bodyPr>
                      </wps:wsp>
                      <wps:wsp>
                        <wps:cNvPr id="1542" name="Text Box 1524"/>
                        <wps:cNvSpPr txBox="1">
                          <a:spLocks noChangeArrowheads="1"/>
                        </wps:cNvSpPr>
                        <wps:spPr bwMode="auto">
                          <a:xfrm>
                            <a:off x="1271283" y="3820134"/>
                            <a:ext cx="1498918" cy="591140"/>
                          </a:xfrm>
                          <a:prstGeom prst="rect">
                            <a:avLst/>
                          </a:prstGeom>
                          <a:solidFill>
                            <a:srgbClr val="FFFFFF"/>
                          </a:solidFill>
                          <a:ln w="9525">
                            <a:solidFill>
                              <a:srgbClr val="000000"/>
                            </a:solidFill>
                            <a:miter lim="800000"/>
                            <a:headEnd/>
                            <a:tailEnd/>
                          </a:ln>
                        </wps:spPr>
                        <wps:txbx>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Subsequent surgical management as indicated</w:t>
                              </w:r>
                            </w:p>
                          </w:txbxContent>
                        </wps:txbx>
                        <wps:bodyPr rot="0" vert="horz" wrap="square" lIns="78840" tIns="39421" rIns="78840" bIns="39421" anchor="t" anchorCtr="0" upright="1">
                          <a:noAutofit/>
                        </wps:bodyPr>
                      </wps:wsp>
                      <wps:wsp>
                        <wps:cNvPr id="1543" name="Line 1525"/>
                        <wps:cNvCnPr/>
                        <wps:spPr bwMode="auto">
                          <a:xfrm>
                            <a:off x="2018297" y="2836168"/>
                            <a:ext cx="543" cy="9839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4" name="Line 1526"/>
                        <wps:cNvCnPr/>
                        <wps:spPr bwMode="auto">
                          <a:xfrm>
                            <a:off x="578053" y="2744346"/>
                            <a:ext cx="543" cy="10757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5" name="Line 1527"/>
                        <wps:cNvCnPr/>
                        <wps:spPr bwMode="auto">
                          <a:xfrm flipV="1">
                            <a:off x="988775" y="1499583"/>
                            <a:ext cx="727999" cy="113283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46" name="Text Box 1528"/>
                        <wps:cNvSpPr txBox="1">
                          <a:spLocks noChangeArrowheads="1"/>
                        </wps:cNvSpPr>
                        <wps:spPr bwMode="auto">
                          <a:xfrm>
                            <a:off x="676388" y="1654975"/>
                            <a:ext cx="1108841" cy="691112"/>
                          </a:xfrm>
                          <a:prstGeom prst="rect">
                            <a:avLst/>
                          </a:prstGeom>
                          <a:solidFill>
                            <a:srgbClr val="FFFFFF"/>
                          </a:solidFill>
                          <a:ln w="9525">
                            <a:solidFill>
                              <a:srgbClr val="FFFFFF"/>
                            </a:solidFill>
                            <a:miter lim="800000"/>
                            <a:headEnd/>
                            <a:tailEnd/>
                          </a:ln>
                        </wps:spPr>
                        <wps:txbx>
                          <w:txbxContent>
                            <w:p w:rsidR="0042762F" w:rsidRPr="003A2357" w:rsidRDefault="0042762F" w:rsidP="008F0835">
                              <w:pPr>
                                <w:ind w:left="0"/>
                                <w:jc w:val="center"/>
                                <w:rPr>
                                  <w:rFonts w:ascii="Arial" w:hAnsi="Arial" w:cs="Arial"/>
                                  <w:sz w:val="18"/>
                                  <w:szCs w:val="18"/>
                                </w:rPr>
                              </w:pPr>
                              <w:r w:rsidRPr="003A2357">
                                <w:rPr>
                                  <w:rFonts w:ascii="Arial" w:hAnsi="Arial" w:cs="Arial"/>
                                  <w:sz w:val="18"/>
                                  <w:szCs w:val="18"/>
                                </w:rPr>
                                <w:t>During procedure</w:t>
                              </w:r>
                              <w:r w:rsidRPr="003A2357">
                                <w:rPr>
                                  <w:rFonts w:ascii="Arial" w:hAnsi="Arial" w:cs="Arial"/>
                                  <w:sz w:val="18"/>
                                  <w:szCs w:val="18"/>
                                </w:rPr>
                                <w:br/>
                                <w:t>cure not possible or multi stage surgery required</w:t>
                              </w:r>
                            </w:p>
                          </w:txbxContent>
                        </wps:txbx>
                        <wps:bodyPr rot="0" vert="horz" wrap="square" lIns="78840" tIns="39421" rIns="78840" bIns="39421" anchor="t" anchorCtr="0" upright="1">
                          <a:noAutofit/>
                        </wps:bodyPr>
                      </wps:wsp>
                      <wps:wsp>
                        <wps:cNvPr id="1547" name="Line 1529"/>
                        <wps:cNvCnPr/>
                        <wps:spPr bwMode="auto">
                          <a:xfrm>
                            <a:off x="2018297" y="1494150"/>
                            <a:ext cx="7606" cy="968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8" name="Line 1531"/>
                        <wps:cNvCnPr/>
                        <wps:spPr bwMode="auto">
                          <a:xfrm flipV="1">
                            <a:off x="4908020" y="1471873"/>
                            <a:ext cx="1435354"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 name="Line 1534"/>
                        <wps:cNvCnPr/>
                        <wps:spPr bwMode="auto">
                          <a:xfrm flipH="1">
                            <a:off x="4903130" y="1476220"/>
                            <a:ext cx="4890" cy="989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0" name="Text Box 1535"/>
                        <wps:cNvSpPr txBox="1">
                          <a:spLocks noChangeArrowheads="1"/>
                        </wps:cNvSpPr>
                        <wps:spPr bwMode="auto">
                          <a:xfrm>
                            <a:off x="4467961" y="3820134"/>
                            <a:ext cx="854584" cy="591140"/>
                          </a:xfrm>
                          <a:prstGeom prst="rect">
                            <a:avLst/>
                          </a:prstGeom>
                          <a:solidFill>
                            <a:srgbClr val="FFFFFF"/>
                          </a:solidFill>
                          <a:ln w="6350">
                            <a:solidFill>
                              <a:srgbClr val="000000"/>
                            </a:solidFill>
                            <a:miter lim="800000"/>
                            <a:headEnd/>
                            <a:tailEnd/>
                          </a:ln>
                        </wps:spPr>
                        <wps:txbx>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wps:txbx>
                        <wps:bodyPr rot="0" vert="horz" wrap="square" lIns="78840" tIns="39421" rIns="78840" bIns="39421" anchor="t" anchorCtr="0" upright="1">
                          <a:noAutofit/>
                        </wps:bodyPr>
                      </wps:wsp>
                      <wps:wsp>
                        <wps:cNvPr id="1551" name="Text Box 1536"/>
                        <wps:cNvSpPr txBox="1">
                          <a:spLocks noChangeArrowheads="1"/>
                        </wps:cNvSpPr>
                        <wps:spPr bwMode="auto">
                          <a:xfrm>
                            <a:off x="5841924" y="3820134"/>
                            <a:ext cx="1498918" cy="591140"/>
                          </a:xfrm>
                          <a:prstGeom prst="rect">
                            <a:avLst/>
                          </a:prstGeom>
                          <a:solidFill>
                            <a:srgbClr val="FFFFFF"/>
                          </a:solidFill>
                          <a:ln w="9525">
                            <a:solidFill>
                              <a:srgbClr val="000000"/>
                            </a:solidFill>
                            <a:miter lim="800000"/>
                            <a:headEnd/>
                            <a:tailEnd/>
                          </a:ln>
                        </wps:spPr>
                        <wps:txbx>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Subsequent surgical management as indicated</w:t>
                              </w:r>
                            </w:p>
                          </w:txbxContent>
                        </wps:txbx>
                        <wps:bodyPr rot="0" vert="horz" wrap="square" lIns="78840" tIns="39421" rIns="78840" bIns="39421" anchor="t" anchorCtr="0" upright="1">
                          <a:noAutofit/>
                        </wps:bodyPr>
                      </wps:wsp>
                      <wps:wsp>
                        <wps:cNvPr id="1552" name="Line 1537"/>
                        <wps:cNvCnPr/>
                        <wps:spPr bwMode="auto">
                          <a:xfrm>
                            <a:off x="6343374" y="2744346"/>
                            <a:ext cx="543" cy="10757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4" name="Line 1538"/>
                        <wps:cNvCnPr/>
                        <wps:spPr bwMode="auto">
                          <a:xfrm>
                            <a:off x="4903130" y="2744346"/>
                            <a:ext cx="4890" cy="10757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5" name="Line 1539"/>
                        <wps:cNvCnPr/>
                        <wps:spPr bwMode="auto">
                          <a:xfrm flipV="1">
                            <a:off x="5322545" y="1481653"/>
                            <a:ext cx="809492" cy="116163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56" name="Text Box 1540"/>
                        <wps:cNvSpPr txBox="1">
                          <a:spLocks noChangeArrowheads="1"/>
                        </wps:cNvSpPr>
                        <wps:spPr bwMode="auto">
                          <a:xfrm>
                            <a:off x="5038951" y="1738647"/>
                            <a:ext cx="1071898" cy="622110"/>
                          </a:xfrm>
                          <a:prstGeom prst="rect">
                            <a:avLst/>
                          </a:prstGeom>
                          <a:solidFill>
                            <a:srgbClr val="FFFFFF"/>
                          </a:solidFill>
                          <a:ln w="9525">
                            <a:solidFill>
                              <a:srgbClr val="FFFFFF"/>
                            </a:solidFill>
                            <a:miter lim="800000"/>
                            <a:headEnd/>
                            <a:tailEnd/>
                          </a:ln>
                        </wps:spPr>
                        <wps:txbx>
                          <w:txbxContent>
                            <w:p w:rsidR="0042762F" w:rsidRPr="00132286" w:rsidRDefault="0042762F" w:rsidP="008F0835">
                              <w:pPr>
                                <w:ind w:left="0"/>
                                <w:jc w:val="center"/>
                                <w:rPr>
                                  <w:rFonts w:ascii="Arial" w:hAnsi="Arial" w:cs="Arial"/>
                                  <w:sz w:val="18"/>
                                  <w:szCs w:val="18"/>
                                </w:rPr>
                              </w:pPr>
                              <w:r w:rsidRPr="00132286">
                                <w:rPr>
                                  <w:rFonts w:ascii="Arial" w:hAnsi="Arial" w:cs="Arial"/>
                                  <w:sz w:val="18"/>
                                  <w:szCs w:val="18"/>
                                </w:rPr>
                                <w:t>During procedure</w:t>
                              </w:r>
                              <w:r w:rsidRPr="00132286">
                                <w:rPr>
                                  <w:rFonts w:ascii="Arial" w:hAnsi="Arial" w:cs="Arial"/>
                                  <w:sz w:val="18"/>
                                  <w:szCs w:val="18"/>
                                </w:rPr>
                                <w:br/>
                                <w:t>cure not possible or multi stage surgery required</w:t>
                              </w:r>
                            </w:p>
                          </w:txbxContent>
                        </wps:txbx>
                        <wps:bodyPr rot="0" vert="horz" wrap="square" lIns="78840" tIns="39421" rIns="78840" bIns="39421" anchor="t" anchorCtr="0" upright="1">
                          <a:noAutofit/>
                        </wps:bodyPr>
                      </wps:wsp>
                      <wps:wsp>
                        <wps:cNvPr id="1557" name="Line 1541"/>
                        <wps:cNvCnPr/>
                        <wps:spPr bwMode="auto">
                          <a:xfrm>
                            <a:off x="6343917" y="1472417"/>
                            <a:ext cx="7606" cy="993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8" name="Line 1542"/>
                        <wps:cNvCnPr/>
                        <wps:spPr bwMode="auto">
                          <a:xfrm flipV="1">
                            <a:off x="2590917" y="3308863"/>
                            <a:ext cx="1093086"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9" name="Line 1543"/>
                        <wps:cNvCnPr/>
                        <wps:spPr bwMode="auto">
                          <a:xfrm>
                            <a:off x="3469406" y="2744346"/>
                            <a:ext cx="1087" cy="565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0" name="Line 1544"/>
                        <wps:cNvCnPr/>
                        <wps:spPr bwMode="auto">
                          <a:xfrm flipH="1">
                            <a:off x="2590374" y="3308863"/>
                            <a:ext cx="543" cy="511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1" name="Text Box 1545"/>
                        <wps:cNvSpPr txBox="1">
                          <a:spLocks noChangeArrowheads="1"/>
                        </wps:cNvSpPr>
                        <wps:spPr bwMode="auto">
                          <a:xfrm>
                            <a:off x="2950571" y="2463989"/>
                            <a:ext cx="971390" cy="371636"/>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Best supportive</w:t>
                              </w:r>
                            </w:p>
                            <w:p w:rsidR="0042762F" w:rsidRPr="003A2357" w:rsidRDefault="0042762F" w:rsidP="008F0835">
                              <w:pPr>
                                <w:spacing w:after="0"/>
                                <w:ind w:left="0"/>
                                <w:jc w:val="center"/>
                                <w:rPr>
                                  <w:rFonts w:ascii="Arial" w:hAnsi="Arial" w:cs="Arial"/>
                                  <w:sz w:val="18"/>
                                  <w:szCs w:val="18"/>
                                </w:rPr>
                              </w:pPr>
                              <w:proofErr w:type="gramStart"/>
                              <w:r w:rsidRPr="003A2357">
                                <w:rPr>
                                  <w:rFonts w:ascii="Arial" w:hAnsi="Arial" w:cs="Arial"/>
                                  <w:sz w:val="18"/>
                                  <w:szCs w:val="18"/>
                                </w:rPr>
                                <w:t>care</w:t>
                              </w:r>
                              <w:r w:rsidRPr="00CB5216">
                                <w:rPr>
                                  <w:rFonts w:ascii="Arial" w:hAnsi="Arial" w:cs="Arial"/>
                                  <w:sz w:val="18"/>
                                  <w:szCs w:val="18"/>
                                  <w:vertAlign w:val="superscript"/>
                                </w:rPr>
                                <w:t>b</w:t>
                              </w:r>
                              <w:proofErr w:type="gramEnd"/>
                              <w:r w:rsidRPr="003A2357">
                                <w:rPr>
                                  <w:rFonts w:ascii="Arial" w:hAnsi="Arial" w:cs="Arial"/>
                                  <w:sz w:val="18"/>
                                  <w:szCs w:val="18"/>
                                </w:rPr>
                                <w:t xml:space="preserve"> </w:t>
                              </w:r>
                            </w:p>
                            <w:p w:rsidR="0042762F" w:rsidRPr="00C36F23" w:rsidRDefault="0042762F" w:rsidP="008F0835">
                              <w:pPr>
                                <w:ind w:left="0"/>
                                <w:jc w:val="center"/>
                                <w:rPr>
                                  <w:sz w:val="14"/>
                                  <w:szCs w:val="16"/>
                                </w:rPr>
                              </w:pPr>
                            </w:p>
                          </w:txbxContent>
                        </wps:txbx>
                        <wps:bodyPr rot="0" vert="horz" wrap="square" lIns="78840" tIns="39421" rIns="78840" bIns="39421" anchor="t" anchorCtr="0" upright="1">
                          <a:noAutofit/>
                        </wps:bodyPr>
                      </wps:wsp>
                      <wps:wsp>
                        <wps:cNvPr id="1562" name="Line 1546"/>
                        <wps:cNvCnPr/>
                        <wps:spPr bwMode="auto">
                          <a:xfrm>
                            <a:off x="8212268" y="2744346"/>
                            <a:ext cx="543" cy="577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3" name="Line 1547"/>
                        <wps:cNvCnPr/>
                        <wps:spPr bwMode="auto">
                          <a:xfrm flipV="1">
                            <a:off x="6981189" y="3320816"/>
                            <a:ext cx="1454912"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4" name="Line 1548"/>
                        <wps:cNvCnPr/>
                        <wps:spPr bwMode="auto">
                          <a:xfrm>
                            <a:off x="6971409" y="3320816"/>
                            <a:ext cx="9779" cy="4993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5" name="Text Box 1549"/>
                        <wps:cNvSpPr txBox="1">
                          <a:spLocks noChangeArrowheads="1"/>
                        </wps:cNvSpPr>
                        <wps:spPr bwMode="auto">
                          <a:xfrm>
                            <a:off x="0" y="2466162"/>
                            <a:ext cx="1350602" cy="370006"/>
                          </a:xfrm>
                          <a:prstGeom prst="rect">
                            <a:avLst/>
                          </a:prstGeom>
                          <a:solidFill>
                            <a:srgbClr val="FFFFFF"/>
                          </a:solidFill>
                          <a:ln w="9525">
                            <a:solidFill>
                              <a:srgbClr val="000000"/>
                            </a:solidFill>
                            <a:miter lim="800000"/>
                            <a:headEnd/>
                            <a:tailEnd/>
                          </a:ln>
                        </wps:spPr>
                        <wps:txbx>
                          <w:txbxContent>
                            <w:p w:rsidR="0042762F" w:rsidRPr="006C5DEB" w:rsidRDefault="0042762F" w:rsidP="006C5DEB">
                              <w:pPr>
                                <w:spacing w:after="0"/>
                                <w:ind w:left="0"/>
                                <w:jc w:val="center"/>
                                <w:rPr>
                                  <w:rFonts w:ascii="Arial" w:hAnsi="Arial" w:cs="Arial"/>
                                  <w:sz w:val="18"/>
                                  <w:szCs w:val="18"/>
                                </w:rPr>
                              </w:pPr>
                              <w:r w:rsidRPr="003A2357">
                                <w:rPr>
                                  <w:rFonts w:ascii="Arial" w:hAnsi="Arial" w:cs="Arial"/>
                                  <w:sz w:val="18"/>
                                  <w:szCs w:val="18"/>
                                </w:rPr>
                                <w:t xml:space="preserve">Intended </w:t>
                              </w:r>
                              <w:r>
                                <w:rPr>
                                  <w:rFonts w:ascii="Arial" w:hAnsi="Arial" w:cs="Arial"/>
                                  <w:sz w:val="18"/>
                                  <w:szCs w:val="18"/>
                                </w:rPr>
                                <w:t>single-stage</w:t>
                              </w:r>
                              <w:r w:rsidRPr="003A2357">
                                <w:rPr>
                                  <w:rFonts w:ascii="Arial" w:hAnsi="Arial" w:cs="Arial"/>
                                  <w:sz w:val="18"/>
                                  <w:szCs w:val="18"/>
                                </w:rPr>
                                <w:t xml:space="preserve"> curative surgery</w:t>
                              </w:r>
                              <w:r w:rsidRPr="00CB5216">
                                <w:rPr>
                                  <w:rFonts w:ascii="Arial" w:hAnsi="Arial" w:cs="Arial"/>
                                  <w:sz w:val="18"/>
                                  <w:szCs w:val="18"/>
                                  <w:vertAlign w:val="superscript"/>
                                </w:rPr>
                                <w:t>b</w:t>
                              </w:r>
                            </w:p>
                          </w:txbxContent>
                        </wps:txbx>
                        <wps:bodyPr rot="0" vert="horz" wrap="square" lIns="78840" tIns="39421" rIns="78840" bIns="39421" anchor="t" anchorCtr="0" upright="1">
                          <a:noAutofit/>
                        </wps:bodyPr>
                      </wps:wsp>
                      <wps:wsp>
                        <wps:cNvPr id="1566" name="Text Box 1550"/>
                        <wps:cNvSpPr txBox="1">
                          <a:spLocks noChangeArrowheads="1"/>
                        </wps:cNvSpPr>
                        <wps:spPr bwMode="auto">
                          <a:xfrm>
                            <a:off x="7467427" y="2450949"/>
                            <a:ext cx="1086023" cy="385219"/>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Best supportive</w:t>
                              </w:r>
                            </w:p>
                            <w:p w:rsidR="0042762F" w:rsidRPr="003A2357" w:rsidRDefault="0042762F" w:rsidP="008F0835">
                              <w:pPr>
                                <w:spacing w:after="0"/>
                                <w:ind w:left="0"/>
                                <w:jc w:val="center"/>
                                <w:rPr>
                                  <w:rFonts w:ascii="Arial" w:hAnsi="Arial" w:cs="Arial"/>
                                  <w:sz w:val="18"/>
                                  <w:szCs w:val="18"/>
                                </w:rPr>
                              </w:pPr>
                              <w:proofErr w:type="gramStart"/>
                              <w:r w:rsidRPr="003A2357">
                                <w:rPr>
                                  <w:rFonts w:ascii="Arial" w:hAnsi="Arial" w:cs="Arial"/>
                                  <w:sz w:val="18"/>
                                  <w:szCs w:val="18"/>
                                </w:rPr>
                                <w:t>care</w:t>
                              </w:r>
                              <w:r w:rsidRPr="00CB5216">
                                <w:rPr>
                                  <w:rFonts w:ascii="Arial" w:hAnsi="Arial" w:cs="Arial"/>
                                  <w:sz w:val="18"/>
                                  <w:szCs w:val="18"/>
                                  <w:vertAlign w:val="superscript"/>
                                </w:rPr>
                                <w:t>b</w:t>
                              </w:r>
                              <w:proofErr w:type="gramEnd"/>
                              <w:r w:rsidRPr="003A2357">
                                <w:rPr>
                                  <w:rFonts w:ascii="Arial" w:hAnsi="Arial" w:cs="Arial"/>
                                  <w:sz w:val="18"/>
                                  <w:szCs w:val="18"/>
                                </w:rPr>
                                <w:t xml:space="preserve"> </w:t>
                              </w:r>
                            </w:p>
                            <w:p w:rsidR="0042762F" w:rsidRPr="00C36F23" w:rsidRDefault="0042762F" w:rsidP="008F0835">
                              <w:pPr>
                                <w:ind w:left="0"/>
                                <w:jc w:val="center"/>
                                <w:rPr>
                                  <w:sz w:val="14"/>
                                  <w:szCs w:val="16"/>
                                </w:rPr>
                              </w:pPr>
                            </w:p>
                          </w:txbxContent>
                        </wps:txbx>
                        <wps:bodyPr rot="0" vert="horz" wrap="square" lIns="78840" tIns="39421" rIns="78840" bIns="39421" anchor="t" anchorCtr="0" upright="1">
                          <a:noAutofit/>
                        </wps:bodyPr>
                      </wps:wsp>
                      <wps:wsp>
                        <wps:cNvPr id="1567" name="Text Box 1551"/>
                        <wps:cNvSpPr txBox="1">
                          <a:spLocks noChangeArrowheads="1"/>
                        </wps:cNvSpPr>
                        <wps:spPr bwMode="auto">
                          <a:xfrm>
                            <a:off x="7677134" y="3820134"/>
                            <a:ext cx="876316" cy="591140"/>
                          </a:xfrm>
                          <a:prstGeom prst="rect">
                            <a:avLst/>
                          </a:prstGeom>
                          <a:solidFill>
                            <a:srgbClr val="FFFFFF"/>
                          </a:solidFill>
                          <a:ln w="6350">
                            <a:solidFill>
                              <a:srgbClr val="000000"/>
                            </a:solidFill>
                            <a:miter lim="800000"/>
                            <a:headEnd/>
                            <a:tailEnd/>
                          </a:ln>
                        </wps:spPr>
                        <wps:txbx>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wps:txbx>
                        <wps:bodyPr rot="0" vert="horz" wrap="square" lIns="78840" tIns="39421" rIns="78840" bIns="39421" anchor="t" anchorCtr="0" upright="1">
                          <a:noAutofit/>
                        </wps:bodyPr>
                      </wps:wsp>
                      <wps:wsp>
                        <wps:cNvPr id="1984" name="Text Box 1652"/>
                        <wps:cNvSpPr txBox="1">
                          <a:spLocks noChangeArrowheads="1"/>
                        </wps:cNvSpPr>
                        <wps:spPr bwMode="auto">
                          <a:xfrm>
                            <a:off x="0" y="4496576"/>
                            <a:ext cx="8484996" cy="851394"/>
                          </a:xfrm>
                          <a:prstGeom prst="rect">
                            <a:avLst/>
                          </a:prstGeom>
                          <a:solidFill>
                            <a:srgbClr val="FFFFFF"/>
                          </a:solidFill>
                          <a:ln w="9525">
                            <a:solidFill>
                              <a:srgbClr val="FFFFFF"/>
                            </a:solidFill>
                            <a:miter lim="800000"/>
                            <a:headEnd/>
                            <a:tailEnd/>
                          </a:ln>
                        </wps:spPr>
                        <wps:txbx>
                          <w:txbxContent>
                            <w:p w:rsidR="0042762F" w:rsidRPr="00BD6470" w:rsidRDefault="0042762F" w:rsidP="003A2357">
                              <w:pPr>
                                <w:pStyle w:val="TableNotes"/>
                                <w:ind w:left="0"/>
                              </w:pPr>
                              <w:r w:rsidRPr="00BD6470">
                                <w:t>Other surgery: Two</w:t>
                              </w:r>
                              <w:r>
                                <w:t>-</w:t>
                              </w:r>
                              <w:r w:rsidRPr="00BD6470">
                                <w:t xml:space="preserve"> and three</w:t>
                              </w:r>
                              <w:r>
                                <w:t>-</w:t>
                              </w:r>
                              <w:r w:rsidRPr="00BD6470">
                                <w:t>staged resection techniques used in managing colorectal obstructions, strictures or stenosis. Hartmann’s procedure and primary anastomosis could be performed by itself or together with staged surgical resections. Current MBS</w:t>
                              </w:r>
                              <w:r>
                                <w:t>-</w:t>
                              </w:r>
                              <w:r w:rsidRPr="00BD6470">
                                <w:t>listed surgical resection techniques are listed in Table 2.</w:t>
                              </w:r>
                            </w:p>
                            <w:p w:rsidR="0042762F" w:rsidRPr="00BD6470" w:rsidRDefault="0042762F" w:rsidP="003A2357">
                              <w:pPr>
                                <w:pStyle w:val="TableNotes"/>
                                <w:ind w:left="0"/>
                              </w:pPr>
                              <w:r w:rsidRPr="00BD6470">
                                <w:t>Subsequent surgical management: Any surgical intervention including single</w:t>
                              </w:r>
                              <w:r>
                                <w:t>-</w:t>
                              </w:r>
                              <w:r w:rsidRPr="00BD6470">
                                <w:t>stage surgery and ‘other surgery</w:t>
                              </w:r>
                              <w:r>
                                <w:t>’</w:t>
                              </w:r>
                              <w:r w:rsidRPr="00BD6470">
                                <w:t xml:space="preserve">. </w:t>
                              </w:r>
                            </w:p>
                            <w:p w:rsidR="0042762F" w:rsidRPr="00BD6470" w:rsidRDefault="0042762F" w:rsidP="003A2357">
                              <w:pPr>
                                <w:pStyle w:val="TableNotes"/>
                                <w:ind w:left="0"/>
                              </w:pPr>
                              <w:r w:rsidRPr="00BD6470">
                                <w:t>Best supportive care: Conservative/clinical management of symptoms without surgical interventions.</w:t>
                              </w:r>
                              <w:r>
                                <w:br/>
                              </w:r>
                              <w:r>
                                <w:rPr>
                                  <w:lang w:val="en-AU"/>
                                </w:rPr>
                                <w:t>a</w:t>
                              </w:r>
                              <w:r w:rsidRPr="00BD6470">
                                <w:t xml:space="preserve"> </w:t>
                              </w:r>
                              <w:r>
                                <w:rPr>
                                  <w:lang w:val="en-AU"/>
                                </w:rPr>
                                <w:t xml:space="preserve"> </w:t>
                              </w:r>
                              <w:r w:rsidRPr="00BD6470">
                                <w:t>This group may include less than 25% of patients with colonic obstructions of non-malignant aetiologies such as diverticulitis and Crohn’s disease</w:t>
                              </w:r>
                              <w:r>
                                <w:br/>
                              </w:r>
                              <w:r>
                                <w:rPr>
                                  <w:lang w:val="en-AU"/>
                                </w:rPr>
                                <w:t xml:space="preserve">b  </w:t>
                              </w:r>
                              <w:r w:rsidRPr="00BD6470">
                                <w:t xml:space="preserve">Patients would receive chemotherapy, radiotherapy and/or palliation in addition to ongoing medical management. </w:t>
                              </w:r>
                              <w:r w:rsidRPr="00BD6470">
                                <w:t xml:space="preserve">The type and combination of medical management received is individually based. </w:t>
                              </w:r>
                            </w:p>
                            <w:p w:rsidR="0042762F" w:rsidRPr="00C36F23" w:rsidRDefault="0042762F" w:rsidP="008F0835">
                              <w:pPr>
                                <w:shd w:val="clear" w:color="auto" w:fill="FFFFFF"/>
                                <w:rPr>
                                  <w:sz w:val="14"/>
                                  <w:szCs w:val="16"/>
                                </w:rPr>
                              </w:pPr>
                            </w:p>
                          </w:txbxContent>
                        </wps:txbx>
                        <wps:bodyPr rot="0" vert="horz" wrap="square" lIns="78840" tIns="39421" rIns="78840" bIns="39421" anchor="t" anchorCtr="0" upright="1">
                          <a:noAutofit/>
                        </wps:bodyPr>
                      </wps:wsp>
                      <wps:wsp>
                        <wps:cNvPr id="1985" name="Text Box 1532"/>
                        <wps:cNvSpPr txBox="1">
                          <a:spLocks noChangeArrowheads="1"/>
                        </wps:cNvSpPr>
                        <wps:spPr bwMode="auto">
                          <a:xfrm>
                            <a:off x="4211531" y="2463989"/>
                            <a:ext cx="1296274" cy="372179"/>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 xml:space="preserve">Intended </w:t>
                              </w:r>
                              <w:r>
                                <w:rPr>
                                  <w:rFonts w:ascii="Arial" w:hAnsi="Arial" w:cs="Arial"/>
                                  <w:sz w:val="18"/>
                                  <w:szCs w:val="18"/>
                                </w:rPr>
                                <w:t>single-stage</w:t>
                              </w:r>
                              <w:r w:rsidRPr="003A2357">
                                <w:rPr>
                                  <w:rFonts w:ascii="Arial" w:hAnsi="Arial" w:cs="Arial"/>
                                  <w:sz w:val="18"/>
                                  <w:szCs w:val="18"/>
                                </w:rPr>
                                <w:t xml:space="preserve"> curative surgery</w:t>
                              </w:r>
                              <w:r w:rsidRPr="00CB5216">
                                <w:rPr>
                                  <w:rFonts w:ascii="Arial" w:hAnsi="Arial" w:cs="Arial"/>
                                  <w:sz w:val="18"/>
                                  <w:szCs w:val="18"/>
                                  <w:vertAlign w:val="superscript"/>
                                </w:rPr>
                                <w:t>b</w:t>
                              </w:r>
                            </w:p>
                          </w:txbxContent>
                        </wps:txbx>
                        <wps:bodyPr rot="0" vert="horz" wrap="square" lIns="78840" tIns="39421" rIns="78840" bIns="39421" anchor="t" anchorCtr="0" upright="1">
                          <a:noAutofit/>
                        </wps:bodyPr>
                      </wps:wsp>
                      <wps:wsp>
                        <wps:cNvPr id="1986" name="Text Box 1533"/>
                        <wps:cNvSpPr txBox="1">
                          <a:spLocks noChangeArrowheads="1"/>
                        </wps:cNvSpPr>
                        <wps:spPr bwMode="auto">
                          <a:xfrm>
                            <a:off x="5841924" y="2463989"/>
                            <a:ext cx="837199" cy="372179"/>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Other surgery</w:t>
                              </w:r>
                              <w:r w:rsidRPr="00CB5216">
                                <w:rPr>
                                  <w:rFonts w:ascii="Arial" w:hAnsi="Arial" w:cs="Arial"/>
                                  <w:sz w:val="18"/>
                                  <w:szCs w:val="18"/>
                                  <w:vertAlign w:val="superscript"/>
                                </w:rPr>
                                <w:t>b</w:t>
                              </w:r>
                            </w:p>
                          </w:txbxContent>
                        </wps:txbx>
                        <wps:bodyPr rot="0" vert="horz" wrap="square" lIns="78840" tIns="39421" rIns="78840" bIns="39421" anchor="t" anchorCtr="0" upright="1">
                          <a:noAutofit/>
                        </wps:bodyPr>
                      </wps:wsp>
                      <wps:wsp>
                        <wps:cNvPr id="1987" name="Text Box 1507"/>
                        <wps:cNvSpPr txBox="1">
                          <a:spLocks noChangeArrowheads="1"/>
                        </wps:cNvSpPr>
                        <wps:spPr bwMode="auto">
                          <a:xfrm>
                            <a:off x="843719" y="449332"/>
                            <a:ext cx="3518845" cy="317303"/>
                          </a:xfrm>
                          <a:prstGeom prst="rect">
                            <a:avLst/>
                          </a:prstGeom>
                          <a:solidFill>
                            <a:srgbClr val="FFFFFF"/>
                          </a:solidFill>
                          <a:ln w="9525">
                            <a:solidFill>
                              <a:srgbClr val="000000"/>
                            </a:solidFill>
                            <a:miter lim="800000"/>
                            <a:headEnd/>
                            <a:tailEnd/>
                          </a:ln>
                        </wps:spPr>
                        <wps:txbx>
                          <w:txbxContent>
                            <w:p w:rsidR="0042762F" w:rsidRPr="00AA6410" w:rsidRDefault="0042762F" w:rsidP="00AA6410">
                              <w:pPr>
                                <w:ind w:left="0"/>
                                <w:jc w:val="center"/>
                                <w:rPr>
                                  <w:rFonts w:ascii="Arial" w:hAnsi="Arial" w:cs="Arial"/>
                                  <w:sz w:val="18"/>
                                  <w:szCs w:val="18"/>
                                </w:rPr>
                              </w:pPr>
                              <w:r w:rsidRPr="00AA6410">
                                <w:rPr>
                                  <w:rFonts w:ascii="Arial" w:hAnsi="Arial" w:cs="Arial"/>
                                  <w:sz w:val="18"/>
                                  <w:szCs w:val="18"/>
                                </w:rPr>
                                <w:t xml:space="preserve"> Patients with colorectal obstruction due to an unknown diagnosis</w:t>
                              </w:r>
                              <w:r w:rsidRPr="00CB5216">
                                <w:rPr>
                                  <w:rFonts w:ascii="Arial" w:hAnsi="Arial" w:cs="Arial"/>
                                  <w:sz w:val="18"/>
                                  <w:szCs w:val="18"/>
                                  <w:vertAlign w:val="superscript"/>
                                </w:rPr>
                                <w:t>a</w:t>
                              </w:r>
                              <w:r w:rsidRPr="00AA6410">
                                <w:rPr>
                                  <w:rFonts w:ascii="Arial" w:hAnsi="Arial" w:cs="Arial"/>
                                  <w:sz w:val="18"/>
                                  <w:szCs w:val="18"/>
                                </w:rPr>
                                <w:t xml:space="preserve"> </w:t>
                              </w:r>
                            </w:p>
                          </w:txbxContent>
                        </wps:txbx>
                        <wps:bodyPr rot="0" vert="horz" wrap="square" lIns="78840" tIns="39421" rIns="78840" bIns="39421" anchor="t" anchorCtr="0" upright="1">
                          <a:noAutofit/>
                        </wps:bodyPr>
                      </wps:wsp>
                      <wps:wsp>
                        <wps:cNvPr id="1988" name="Text Box 1492"/>
                        <wps:cNvSpPr txBox="1">
                          <a:spLocks noChangeArrowheads="1"/>
                        </wps:cNvSpPr>
                        <wps:spPr bwMode="auto">
                          <a:xfrm>
                            <a:off x="4819465" y="452592"/>
                            <a:ext cx="3496027" cy="314043"/>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ind w:left="0"/>
                                <w:jc w:val="center"/>
                                <w:rPr>
                                  <w:rFonts w:ascii="Arial" w:hAnsi="Arial" w:cs="Arial"/>
                                  <w:sz w:val="18"/>
                                  <w:szCs w:val="18"/>
                                </w:rPr>
                              </w:pPr>
                              <w:r w:rsidRPr="003A2357">
                                <w:rPr>
                                  <w:rFonts w:ascii="Arial" w:hAnsi="Arial" w:cs="Arial"/>
                                  <w:sz w:val="18"/>
                                  <w:szCs w:val="18"/>
                                </w:rPr>
                                <w:t xml:space="preserve">Patients with colorectal obstruction due to pre-diagnosed cancer </w:t>
                              </w:r>
                            </w:p>
                          </w:txbxContent>
                        </wps:txbx>
                        <wps:bodyPr rot="0" vert="horz" wrap="square" lIns="78840" tIns="39421" rIns="78840" bIns="39421" anchor="t" anchorCtr="0" upright="1">
                          <a:noAutofit/>
                        </wps:bodyPr>
                      </wps:wsp>
                      <wps:wsp>
                        <wps:cNvPr id="1989" name="Text Box 1494"/>
                        <wps:cNvSpPr txBox="1">
                          <a:spLocks noChangeArrowheads="1"/>
                        </wps:cNvSpPr>
                        <wps:spPr bwMode="auto">
                          <a:xfrm>
                            <a:off x="6971409" y="1095891"/>
                            <a:ext cx="1582041" cy="237977"/>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ind w:left="0"/>
                                <w:rPr>
                                  <w:rFonts w:ascii="Arial" w:hAnsi="Arial" w:cs="Arial"/>
                                  <w:sz w:val="18"/>
                                  <w:szCs w:val="18"/>
                                </w:rPr>
                              </w:pPr>
                              <w:r w:rsidRPr="003A2357">
                                <w:rPr>
                                  <w:rFonts w:ascii="Arial" w:hAnsi="Arial" w:cs="Arial"/>
                                  <w:sz w:val="18"/>
                                  <w:szCs w:val="18"/>
                                </w:rPr>
                                <w:t>Medically unfit for surgery</w:t>
                              </w:r>
                            </w:p>
                          </w:txbxContent>
                        </wps:txbx>
                        <wps:bodyPr rot="0" vert="horz" wrap="square" lIns="78840" tIns="39421" rIns="78840" bIns="39421" anchor="t" anchorCtr="0" upright="1">
                          <a:noAutofit/>
                        </wps:bodyPr>
                      </wps:wsp>
                      <wps:wsp>
                        <wps:cNvPr id="1990" name="Text Box 1503"/>
                        <wps:cNvSpPr txBox="1">
                          <a:spLocks noChangeArrowheads="1"/>
                        </wps:cNvSpPr>
                        <wps:spPr bwMode="auto">
                          <a:xfrm>
                            <a:off x="4908020" y="1092088"/>
                            <a:ext cx="1443503" cy="241781"/>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ind w:left="0"/>
                                <w:rPr>
                                  <w:rFonts w:ascii="Arial" w:hAnsi="Arial" w:cs="Arial"/>
                                  <w:sz w:val="18"/>
                                  <w:szCs w:val="18"/>
                                </w:rPr>
                              </w:pPr>
                              <w:r w:rsidRPr="003A2357">
                                <w:rPr>
                                  <w:rFonts w:ascii="Arial" w:hAnsi="Arial" w:cs="Arial"/>
                                  <w:sz w:val="18"/>
                                  <w:szCs w:val="18"/>
                                </w:rPr>
                                <w:t>Medically fit for surgery</w:t>
                              </w:r>
                            </w:p>
                          </w:txbxContent>
                        </wps:txbx>
                        <wps:bodyPr rot="0" vert="horz" wrap="square" lIns="78840" tIns="39421" rIns="78840" bIns="39421" anchor="t" anchorCtr="0" upright="1">
                          <a:noAutofit/>
                        </wps:bodyPr>
                      </wps:wsp>
                      <wps:wsp>
                        <wps:cNvPr id="1991" name="Text Box 1514"/>
                        <wps:cNvSpPr txBox="1">
                          <a:spLocks noChangeArrowheads="1"/>
                        </wps:cNvSpPr>
                        <wps:spPr bwMode="auto">
                          <a:xfrm>
                            <a:off x="2705007" y="1107301"/>
                            <a:ext cx="1548900" cy="270577"/>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ind w:left="0"/>
                                <w:jc w:val="center"/>
                                <w:rPr>
                                  <w:rFonts w:ascii="Arial" w:hAnsi="Arial" w:cs="Arial"/>
                                  <w:sz w:val="18"/>
                                  <w:szCs w:val="18"/>
                                </w:rPr>
                              </w:pPr>
                              <w:r w:rsidRPr="003A2357">
                                <w:rPr>
                                  <w:rFonts w:ascii="Arial" w:hAnsi="Arial" w:cs="Arial"/>
                                  <w:sz w:val="18"/>
                                  <w:szCs w:val="18"/>
                                </w:rPr>
                                <w:t>Medically unfit for surgery</w:t>
                              </w:r>
                            </w:p>
                          </w:txbxContent>
                        </wps:txbx>
                        <wps:bodyPr rot="0" vert="horz" wrap="square" lIns="78840" tIns="39421" rIns="78840" bIns="39421" anchor="t" anchorCtr="0" upright="1">
                          <a:noAutofit/>
                        </wps:bodyPr>
                      </wps:wsp>
                      <wps:wsp>
                        <wps:cNvPr id="1992" name="Text Box 1513"/>
                        <wps:cNvSpPr txBox="1">
                          <a:spLocks noChangeArrowheads="1"/>
                        </wps:cNvSpPr>
                        <wps:spPr bwMode="auto">
                          <a:xfrm>
                            <a:off x="582400" y="1129577"/>
                            <a:ext cx="1507611" cy="248301"/>
                          </a:xfrm>
                          <a:prstGeom prst="rect">
                            <a:avLst/>
                          </a:prstGeom>
                          <a:solidFill>
                            <a:srgbClr val="FFFFFF"/>
                          </a:solidFill>
                          <a:ln w="9525">
                            <a:solidFill>
                              <a:srgbClr val="000000"/>
                            </a:solidFill>
                            <a:miter lim="800000"/>
                            <a:headEnd/>
                            <a:tailEnd/>
                          </a:ln>
                        </wps:spPr>
                        <wps:txbx>
                          <w:txbxContent>
                            <w:p w:rsidR="0042762F" w:rsidRPr="003A2357" w:rsidRDefault="0042762F" w:rsidP="008F0835">
                              <w:pPr>
                                <w:ind w:left="0"/>
                                <w:rPr>
                                  <w:rFonts w:ascii="Arial" w:hAnsi="Arial" w:cs="Arial"/>
                                  <w:sz w:val="18"/>
                                  <w:szCs w:val="18"/>
                                </w:rPr>
                              </w:pPr>
                              <w:r w:rsidRPr="003A2357">
                                <w:rPr>
                                  <w:rFonts w:ascii="Arial" w:hAnsi="Arial" w:cs="Arial"/>
                                  <w:sz w:val="18"/>
                                  <w:szCs w:val="18"/>
                                </w:rPr>
                                <w:t>Medically fit for surgery</w:t>
                              </w:r>
                            </w:p>
                          </w:txbxContent>
                        </wps:txbx>
                        <wps:bodyPr rot="0" vert="horz" wrap="square" lIns="78840" tIns="39421" rIns="78840" bIns="39421" anchor="t" anchorCtr="0" upright="1">
                          <a:noAutofit/>
                        </wps:bodyPr>
                      </wps:wsp>
                    </wpc:wpc>
                  </a:graphicData>
                </a:graphic>
              </wp:inline>
            </w:drawing>
          </mc:Choice>
          <mc:Fallback>
            <w:pict>
              <v:group id="Canvas 1490" o:spid="_x0000_s1026" editas="canvas" alt="Title: Figure 1 Current clinical management algorithm of intestinal obstruction caused by colorectal cancer" style="width:673.5pt;height:421.1pt;mso-position-horizontal-relative:char;mso-position-vertical-relative:line" coordsize="85534,5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534;height:53479;visibility:visible;mso-wrap-style:square">
                  <v:fill o:detectmouseclick="t"/>
                  <v:path o:connecttype="none"/>
                </v:shape>
                <v:line id="Line 1493" o:spid="_x0000_s1028" style="position:absolute;flip:x;visibility:visible;mso-wrap-style:square" from="45212,2021" to="45217,3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MacQAAADdAAAADwAAAGRycy9kb3ducmV2LnhtbERPTWsCMRC9F/ofwhS8lJpVRHQ1ihQE&#10;D16qZaW36WbcLLuZbJOo23/fFARv83ifs1z3thVX8qF2rGA0zEAQl07XXCn4PG7fZiBCRNbYOiYF&#10;vxRgvXp+WmKu3Y0/6HqIlUghHHJUYGLscilDachiGLqOOHFn5y3GBH0ltcdbCretHGfZVFqsOTUY&#10;7OjdUNkcLlaBnO1ff/zme9IUzek0N0VZdF97pQYv/WYBIlIfH+K7e6fT/Pl0A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kxpxAAAAN0AAAAPAAAAAAAAAAAA&#10;AAAAAKECAABkcnMvZG93bnJldi54bWxQSwUGAAAAAAQABAD5AAAAkgMAAAAA&#10;"/>
                <v:line id="Line 1495" o:spid="_x0000_s1029" style="position:absolute;visibility:visible;mso-wrap-style:square" from="42539,23460" to="42539,2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MGcMAAADdAAAADwAAAGRycy9kb3ducmV2LnhtbERP32vCMBB+H+x/CDfwbaYO1LUaZawI&#10;e9CBOvZ8a86mrLmUJtbsvzfCwLf7+H7ech1tKwbqfeNYwWScgSCunG64VvB13Dy/gvABWWPrmBT8&#10;kYf16vFhiYV2F97TcAi1SCHsC1RgQugKKX1lyKIfu444cSfXWwwJ9rXUPV5SuG3lS5bNpMWGU4PB&#10;jt4NVb+Hs1UwN+VezmW5PX6WQzPJ4y5+/+RKjZ7i2wJEoBju4n/3h07z89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1DBnDAAAA3Q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496" o:spid="_x0000_s1030" type="#_x0000_t202" style="position:absolute;left:32971;top:32;width:24828;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atsQA&#10;AADdAAAADwAAAGRycy9kb3ducmV2LnhtbERPzWrCQBC+F/oOyxS8lGZTD6GJbkQqhQqCqH2AYXdM&#10;otnZNLuN0afvFgre5uP7nflitK0YqPeNYwWvSQqCWDvTcKXg6/Dx8gbCB2SDrWNScCUPi/LxYY6F&#10;cRfe0bAPlYgh7AtUUIfQFVJ6XZNFn7iOOHJH11sMEfaVND1eYrht5TRNM2mx4dhQY0fvNenz/scq&#10;4FTnp5X73h42+va8HHbDehW2Sk2exuUMRKAx3MX/7k8T5+dZBn/fxBN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GrbEAAAA3QAAAA8AAAAAAAAAAAAAAAAAmAIAAGRycy9k&#10;b3ducmV2LnhtbFBLBQYAAAAABAAEAPUAAACJAwAAAAA=&#10;">
                  <v:textbox inset="2.19mm,1.095mm,2.19mm,1.095mm">
                    <w:txbxContent>
                      <w:p w:rsidR="0042762F" w:rsidRPr="00AA6410" w:rsidRDefault="0042762F" w:rsidP="00AA6410">
                        <w:pPr>
                          <w:ind w:left="0"/>
                          <w:jc w:val="center"/>
                          <w:rPr>
                            <w:rFonts w:ascii="Arial" w:hAnsi="Arial" w:cs="Arial"/>
                            <w:sz w:val="18"/>
                            <w:szCs w:val="18"/>
                          </w:rPr>
                        </w:pPr>
                        <w:r w:rsidRPr="00AA6410">
                          <w:rPr>
                            <w:rFonts w:ascii="Arial" w:hAnsi="Arial" w:cs="Arial"/>
                            <w:sz w:val="18"/>
                            <w:szCs w:val="18"/>
                          </w:rPr>
                          <w:t>Large bowel obstruction, stricture or stenosis</w:t>
                        </w:r>
                      </w:p>
                    </w:txbxContent>
                  </v:textbox>
                </v:shape>
                <v:line id="Line 1497" o:spid="_x0000_s1031" style="position:absolute;visibility:visible;mso-wrap-style:square" from="23871,3216" to="68763,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ei4cUAAADdAAAADwAAAGRycy9kb3ducmV2LnhtbERPTWvCQBC9C/6HZYTedNMWYpu6irQU&#10;1IOoLbTHMTtNotnZsLsm6b/vCkJv83ifM1v0phYtOV9ZVnA/SUAQ51ZXXCj4/HgfP4HwAVljbZkU&#10;/JKHxXw4mGGmbcd7ag+hEDGEfYYKyhCaTEqfl2TQT2xDHLkf6wyGCF0htcMuhptaPiRJKg1WHBtK&#10;bOi1pPx8uBgF28dd2i7Xm1X/tU6P+dv++H3qnFJ3o375AiJQH/7FN/dKx/nP6R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ei4cUAAADdAAAADwAAAAAAAAAA&#10;AAAAAAChAgAAZHJzL2Rvd25yZXYueG1sUEsFBgAAAAAEAAQA+QAAAJMDAAAAAA==&#10;"/>
                <v:line id="Line 1498" o:spid="_x0000_s1032" style="position:absolute;flip:x;visibility:visible;mso-wrap-style:square" from="68747,3249" to="68752,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NGbMgAAADdAAAADwAAAGRycy9kb3ducmV2LnhtbESPQUsDMRCF70L/QxjBi7RZRUq7Ni1F&#10;EDz0Yi1behs342bZzWSbxHb9985B8DbDe/PeN6vN6Ht1oZjawAYeZgUo4jrYlhsDh4/X6QJUysgW&#10;+8Bk4IcSbNaTmxWWNlz5nS773CgJ4VSiAZfzUGqdakce0ywMxKJ9hegxyxobbSNeJdz3+rEo5tpj&#10;y9LgcKAXR3W3//YG9GJ3f47bz6eu6o7HpavqajjtjLm7HbfPoDKN+d/8d/1mBX85F1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BNGbMgAAADdAAAADwAAAAAA&#10;AAAAAAAAAAChAgAAZHJzL2Rvd25yZXYueG1sUEsFBgAAAAAEAAQA+QAAAJYDAAAAAA==&#10;"/>
                <v:line id="Line 1499" o:spid="_x0000_s1033" style="position:absolute;flip:x y;visibility:visible;mso-wrap-style:square" from="68741,6672" to="68763,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xjkcIAAADdAAAADwAAAGRycy9kb3ducmV2LnhtbERPS4vCMBC+C/sfwix4kTX1gWg1iggu&#10;nhTritehGdtiMylNtN399RtB8DYf33MWq9aU4kG1KywrGPQjEMSp1QVnCn5O268pCOeRNZaWScEv&#10;OVgtPzoLjLVt+EiPxGcihLCLUUHufRVL6dKcDLq+rYgDd7W1QR9gnUldYxPCTSmHUTSRBgsODTlW&#10;tMkpvSV3owB5/zeaNgMay2+6uOH+0Fufr0p1P9v1HISn1r/FL/dOh/mzyQye34QT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VxjkcIAAADdAAAADwAAAAAAAAAAAAAA&#10;AAChAgAAZHJzL2Rvd25yZXYueG1sUEsFBgAAAAAEAAQA+QAAAJADAAAAAA==&#10;"/>
                <v:line id="Line 1500" o:spid="_x0000_s1034" style="position:absolute;visibility:visible;mso-wrap-style:square" from="57789,8943" to="8255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sSMgAAADdAAAADwAAAGRycy9kb3ducmV2LnhtbESPQUvDQBCF70L/wzKCN7vRQtTYbSlK&#10;ofUgtgrtcZodk9TsbNhdk/jvnYPgbYb35r1v5svRtaqnEBvPBm6mGSji0tuGKwMf7+vre1AxIVts&#10;PZOBH4qwXEwu5lhYP/CO+n2qlIRwLNBAnVJXaB3LmhzGqe+IRfv0wWGSNVTaBhwk3LX6Nsty7bBh&#10;aaixo6eayq/9tzPwOnvL+9X2ZTMetvmpfN6djuchGHN1Oa4eQSUa07/573pjBf/hT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1esSMgAAADdAAAADwAAAAAA&#10;AAAAAAAAAAChAgAAZHJzL2Rvd25yZXYueG1sUEsFBgAAAAAEAAQA+QAAAJYDAAAAAA==&#10;"/>
                <v:line id="Line 1501" o:spid="_x0000_s1035" style="position:absolute;flip:x;visibility:visible;mso-wrap-style:square" from="82144,12876" to="82155,24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kEdsYAAADdAAAADwAAAGRycy9kb3ducmV2LnhtbESPT2vCQBDF70K/wzIFL6FurGBrdJX+&#10;EwrioWkPHofsmASzsyE7avz2bkHwNsN7vzdvFqveNepEXag9GxiPUlDEhbc1lwb+ftdPr6CCIFts&#10;PJOBCwVYLR8GC8ysP/MPnXIpVQzhkKGBSqTNtA5FRQ7DyLfEUdv7zqHEtSu17fAcw12jn9N0qh3W&#10;HC9U2NJHRcUhP7pYY73lz8kkeXc6SWb0tZNNqsWY4WP/Ngcl1MvdfKO/beRmL2P4/yaO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5BHbGAAAA3QAAAA8AAAAAAAAA&#10;AAAAAAAAoQIAAGRycy9kb3ducmV2LnhtbFBLBQYAAAAABAAEAPkAAACUAwAAAAA=&#10;">
                  <v:stroke endarrow="block"/>
                </v:line>
                <v:line id="Line 1502" o:spid="_x0000_s1036" style="position:absolute;flip:x;visibility:visible;mso-wrap-style:square" from="82530,8964" to="82551,1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LnW8UAAADdAAAADwAAAGRycy9kb3ducmV2LnhtbERPTWsCMRC9F/ofwhR6kZqtiNXVKFIo&#10;ePBSLSu9jZvpZtnNZJtEXf99Iwi9zeN9zmLV21acyYfasYLXYQaCuHS65krB1/7jZQoiRGSNrWNS&#10;cKUAq+XjwwJz7S78SeddrEQK4ZCjAhNjl0sZSkMWw9B1xIn7cd5iTNBXUnu8pHDbylGWTaTFmlOD&#10;wY7eDZXN7mQVyOl28OvXx3FTNIfDzBRl0X1vlXp+6tdzEJH6+C++uzc6zZ+9j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LnW8UAAADdAAAADwAAAAAAAAAA&#10;AAAAAAChAgAAZHJzL2Rvd25yZXYueG1sUEsFBgAAAAAEAAQA+QAAAJMDAAAAAA==&#10;"/>
                <v:line id="Line 1504" o:spid="_x0000_s1037" style="position:absolute;visibility:visible;mso-wrap-style:square" from="57772,8937" to="57799,11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UyP8YAAADdAAAADwAAAGRycy9kb3ducmV2LnhtbERPTWvCQBC9F/oflil4q5tWSGt0FbEI&#10;2kNRK+hxzI5JanY27G6T9N93CwVv83ifM533phYtOV9ZVvA0TEAQ51ZXXCg4fK4eX0H4gKyxtkwK&#10;fsjDfHZ/N8VM24531O5DIWII+wwVlCE0mZQ+L8mgH9qGOHIX6wyGCF0htcMuhptaPidJKg1WHBtK&#10;bGhZUn7dfxsFH6Nt2i427+v+uEnP+dvufPrqnFKDh34xARGoDzfxv3ut4/zxyw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FMj/GAAAA3QAAAA8AAAAAAAAA&#10;AAAAAAAAoQIAAGRycy9kb3ducmV2LnhtbFBLBQYAAAAABAAEAPkAAACUAwAAAAA=&#10;"/>
                <v:line id="Line 1505" o:spid="_x0000_s1038" style="position:absolute;flip:x;visibility:visible;mso-wrap-style:square" from="57789,13023" to="57799,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atMUAAADdAAAADwAAAGRycy9kb3ducmV2LnhtbERPTWsCMRC9F/ofwhS8SM22SKurUUQo&#10;ePBSLSu9jZvpZtnNZE2irv++KQi9zeN9znzZ21ZcyIfasYKXUQaCuHS65krB1/7jeQIiRGSNrWNS&#10;cKMAy8Xjwxxz7a78SZddrEQK4ZCjAhNjl0sZSkMWw8h1xIn7cd5iTNBXUnu8pnDbytcse5MWa04N&#10;BjtaGyqb3dkqkJPt8ORXx3FTNIfD1BRl0X1vlRo89asZiEh9/Bff3Rud5k/f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fatMUAAADdAAAADwAAAAAAAAAA&#10;AAAAAAChAgAAZHJzL2Rvd25yZXYueG1sUEsFBgAAAAAEAAQA+QAAAJMDAAAAAA==&#10;"/>
                <v:line id="Line 1506" o:spid="_x0000_s1039" style="position:absolute;visibility:visible;mso-wrap-style:square" from="84339,33208" to="84442,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axMQAAADdAAAADwAAAGRycy9kb3ducmV2LnhtbERP32vCMBB+H+x/CDfY20wdaNdqlLEi&#10;7EEH6tjz2dyasuZSmqzG/94Ig73dx/fzlutoOzHS4FvHCqaTDARx7XTLjYLP4+bpBYQPyBo7x6Tg&#10;Qh7Wq/u7JZbanXlP4yE0IoWwL1GBCaEvpfS1IYt+4nrixH27wWJIcGikHvCcwm0nn7NsLi22nBoM&#10;9vRmqP45/FoFuan2MpfV9vhRje20iLv4dSqUenyIrwsQgWL4F/+533WaX+Qz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JrExAAAAN0AAAAPAAAAAAAAAAAA&#10;AAAAAKECAABkcnMvZG93bnJldi54bWxQSwUGAAAAAAQABAD5AAAAkgMAAAAA&#10;">
                  <v:stroke endarrow="block"/>
                </v:line>
                <v:line id="Line 1508" o:spid="_x0000_s1040" style="position:absolute;visibility:visible;mso-wrap-style:square" from="23844,3232" to="23871,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Rp8UAAADdAAAADwAAAGRycy9kb3ducmV2LnhtbERPTWvCQBC9C/6HZYTedNMWYpu6irQU&#10;1IOoLbTHMTtNotnZsLsm6b/vCkJv83ifM1v0phYtOV9ZVnA/SUAQ51ZXXCj4/HgfP4HwAVljbZkU&#10;/JKHxXw4mGGmbcd7ag+hEDGEfYYKyhCaTEqfl2TQT2xDHLkf6wyGCF0htcMuhptaPiRJKg1WHBtK&#10;bOi1pPx8uBgF28dd2i7Xm1X/tU6P+dv++H3qnFJ3o375AiJQH/7FN/dKx/nP0x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Rp8UAAADdAAAADwAAAAAAAAAA&#10;AAAAAAChAgAAZHJzL2Rvd25yZXYueG1sUEsFBgAAAAAEAAQA+QAAAJMDAAAAAA==&#10;"/>
                <v:line id="Line 1509" o:spid="_x0000_s1041" style="position:absolute;flip:x y;visibility:visible;mso-wrap-style:square" from="23839,6797" to="23871,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bEpcQAAADdAAAADwAAAGRycy9kb3ducmV2LnhtbERPS2vCQBC+F/oflin0UnSTKGqjq4RC&#10;pSfFF70O2TEJZmdDdpuk/fVdodDbfHzPWW0GU4uOWldZVhCPIxDEudUVFwrOp/fRAoTzyBpry6Tg&#10;mxxs1o8PK0y17flA3dEXIoSwS1FB6X2TSunykgy6sW2IA3e1rUEfYFtI3WIfwk0tkyiaSYMVh4YS&#10;G3orKb8dv4wC5N3PZNHHNJVb+nTJbv+SXa5KPT8N2RKEp8H/i//cHzrMf53P4f5NOEG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VsSlxAAAAN0AAAAPAAAAAAAAAAAA&#10;AAAAAKECAABkcnMvZG93bnJldi54bWxQSwUGAAAAAAQABAD5AAAAkgMAAAAA&#10;"/>
                <v:line id="Line 1510" o:spid="_x0000_s1042" style="position:absolute;visibility:visible;mso-wrap-style:square" from="13533,8910" to="34726,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GgTsgAAADdAAAADwAAAGRycy9kb3ducmV2LnhtbESPQUvDQBCF70L/wzKCN7vRQtTYbSlK&#10;ofUgtgrtcZodk9TsbNhdk/jvnYPgbYb35r1v5svRtaqnEBvPBm6mGSji0tuGKwMf7+vre1AxIVts&#10;PZOBH4qwXEwu5lhYP/CO+n2qlIRwLNBAnVJXaB3LmhzGqe+IRfv0wWGSNVTaBhwk3LX6Nsty7bBh&#10;aaixo6eayq/9tzPwOnvL+9X2ZTMetvmpfN6djuchGHN1Oa4eQSUa07/573pjBf/hT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SGgTsgAAADdAAAADwAAAAAA&#10;AAAAAAAAAAChAgAAZHJzL2Rvd25yZXYueG1sUEsFBgAAAAAEAAQA+QAAAJYDAAAAAA==&#10;"/>
                <v:line id="Line 1511" o:spid="_x0000_s1043" style="position:absolute;visibility:visible;mso-wrap-style:square" from="13527,8905" to="13538,11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0F1cYAAADdAAAADwAAAGRycy9kb3ducmV2LnhtbERPTWvCQBC9C/6HZYTedFMLaU1dRSwF&#10;9VDUFtrjmJ0m0exs2F2T9N93CwVv83ifM1/2phYtOV9ZVnA/SUAQ51ZXXCj4eH8dP4HwAVljbZkU&#10;/JCH5WI4mGOmbccHao+hEDGEfYYKyhCaTEqfl2TQT2xDHLlv6wyGCF0htcMuhptaTpMklQYrjg0l&#10;NrQuKb8cr0bB28M+bVfb3ab/3Kan/OVw+jp3Tqm7Ub96BhGoDzfxv3uj4/zZ4wz+vokn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tBdXGAAAA3QAAAA8AAAAAAAAA&#10;AAAAAAAAoQIAAGRycy9kb3ducmV2LnhtbFBLBQYAAAAABAAEAPkAAACUAwAAAAA=&#10;"/>
                <v:line id="Line 1512" o:spid="_x0000_s1044" style="position:absolute;visibility:visible;mso-wrap-style:square" from="34715,8943" to="34759,1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cb8gAAADdAAAADwAAAGRycy9kb3ducmV2LnhtbESPT0vDQBDF70K/wzIFb3ajQqix21IU&#10;ofUg9g+0x2l2TKLZ2bC7JvHbOwfB2wzvzXu/WaxG16qeQmw8G7idZaCIS28brgwcDy83c1AxIVts&#10;PZOBH4qwWk6uFlhYP/CO+n2qlIRwLNBAnVJXaB3LmhzGme+IRfvwwWGSNVTaBhwk3LX6Lsty7bBh&#10;aaixo6eayq/9tzPwdv+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oLcb8gAAADdAAAADwAAAAAA&#10;AAAAAAAAAAChAgAAZHJzL2Rvd25yZXYueG1sUEsFBgAAAAAEAAQA+QAAAJYDAAAAAA==&#10;"/>
                <v:line id="Line 1515" o:spid="_x0000_s1045" style="position:absolute;flip:x;visibility:visible;mso-wrap-style:square" from="34715,13072" to="34726,1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JC8UAAADdAAAADwAAAGRycy9kb3ducmV2LnhtbERPTWsCMRC9F/ofwhR6KTVrKbKuRpFC&#10;wYMXtaz0Nm6mm2U3k20Sdf33jSD0No/3OfPlYDtxJh8axwrGowwEceV0w7WCr/3naw4iRGSNnWNS&#10;cKUAy8XjwxwL7S68pfMu1iKFcChQgYmxL6QMlSGLYeR64sT9OG8xJuhrqT1eUrjt5FuWTaTFhlOD&#10;wZ4+DFXt7mQVyHzz8utXx/e2bA+HqSmrsv/eKPX8NKxmICIN8V98d691mj/Nx3D7Jp0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UJC8UAAADdAAAADwAAAAAAAAAA&#10;AAAAAAChAgAAZHJzL2Rvd25yZXYueG1sUEsFBgAAAAAEAAQA+QAAAJMDAAAAAA==&#10;"/>
                <v:line id="Line 1516" o:spid="_x0000_s1046" style="position:absolute;visibility:visible;mso-wrap-style:square" from="13506,13338" to="13527,1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ng8UAAADdAAAADwAAAGRycy9kb3ducmV2LnhtbERPTWvCQBC9F/wPywi91Y0WgqauIkpB&#10;eyhVC+1xzI5JNDsbdrdJ+u+7BcHbPN7nzJe9qUVLzleWFYxHCQji3OqKCwWfx9enKQgfkDXWlknB&#10;L3lYLgYPc8y07XhP7SEUIoawz1BBGUKTSenzkgz6kW2II3e2zmCI0BVSO+xiuKnlJElSabDi2FBi&#10;Q+uS8uvhxyh4f/5I29Xubdt/7dJTvtmfvi+dU+px2K9eQATqw118c291nD+bTuD/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zng8UAAADdAAAADwAAAAAAAAAA&#10;AAAAAAChAgAAZHJzL2Rvd25yZXYueG1sUEsFBgAAAAAEAAQA+QAAAJMDAAAAAA==&#10;"/>
                <v:line id="Line 1517" o:spid="_x0000_s1047" style="position:absolute;flip:x;visibility:visible;mso-wrap-style:square" from="34704,14550" to="34715,2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JPvcYAAADdAAAADwAAAGRycy9kb3ducmV2LnhtbESPT2vCQBDF7wW/wzJCL0E3baBodBWt&#10;FQrFg38OHofsmASzsyE7avrtu4VCbzO893vzZr7sXaPu1IXas4GXcQqKuPC25tLA6bgdTUAFQbbY&#10;eCYD3xRguRg8zTG3/sF7uh+kVDGEQ44GKpE21zoUFTkMY98SR+3iO4cS167UtsNHDHeNfk3TN+2w&#10;5nihwpbeKyquh5uLNbY73mRZsnY6Sab0cZavVIsxz8N+NQMl1Mu/+Y/+tJGbTjL4/SaOo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yT73GAAAA3QAAAA8AAAAAAAAA&#10;AAAAAAAAoQIAAGRycy9kb3ducmV2LnhtbFBLBQYAAAAABAAEAPkAAACUAwAAAAA=&#10;">
                  <v:stroke endarrow="block"/>
                </v:line>
                <v:shape id="Text Box 1518" o:spid="_x0000_s1048" type="#_x0000_t202" style="position:absolute;left:30331;top:38201;width:8888;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ly8MA&#10;AADdAAAADwAAAGRycy9kb3ducmV2LnhtbERP24rCMBB9F/Yfwgi+aeqlsts1yiIIwoJ4WcHHoRnb&#10;ajMpTbbWvzeC4NscznVmi9aUoqHaFZYVDAcRCOLU6oIzBX+HVf8ThPPIGkvLpOBODhbzj84ME21v&#10;vKNm7zMRQtglqCD3vkqkdGlOBt3AVsSBO9vaoA+wzqSu8RbCTSlHUTSVBgsODTlWtMwpve7/jQI+&#10;N5s4Nna1vPzydnz8OrX39USpXrf9+QbhqfVv8cu91mF+PJ7C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ely8MAAADdAAAADwAAAAAAAAAAAAAAAACYAgAAZHJzL2Rv&#10;d25yZXYueG1sUEsFBgAAAAAEAAQA9QAAAIgDAAAAAA==&#10;" strokeweight=".5pt">
                  <v:textbox inset="2.19mm,1.095mm,2.19mm,1.095mm">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v:textbox>
                </v:shape>
                <v:line id="Line 1519" o:spid="_x0000_s1049" style="position:absolute;flip:x;visibility:visible;mso-wrap-style:square" from="36834,33094" to="36840,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d1c8YAAADdAAAADwAAAGRycy9kb3ducmV2LnhtbESPQWvCQBCF7wX/wzJCL0E3NbTa1FWq&#10;VhBKD1UPHofsmASzsyE71fTfdwuF3mZ473vzZr7sXaOu1IXas4GHcQqKuPC25tLA8bAdzUAFQbbY&#10;eCYD3xRguRjczTG3/safdN1LqWIIhxwNVCJtrnUoKnIYxr4ljtrZdw4lrl2pbYe3GO4aPUnTJ+2w&#10;5nihwpbWFRWX/ZeLNbYfvMmyZOV0kjzT20neUy3G3A/71xdQQr38m//onY3cYzaF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ndXPGAAAA3QAAAA8AAAAAAAAA&#10;AAAAAAAAoQIAAGRycy9kb3ducmV2LnhtbFBLBQYAAAAABAAEAPkAAACUAwAAAAA=&#10;">
                  <v:stroke endarrow="block"/>
                </v:line>
                <v:line id="Line 1520" o:spid="_x0000_s1050" style="position:absolute;flip:y;visibility:visible;mso-wrap-style:square" from="5824,14936" to="20177,14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cW8gAAADdAAAADwAAAGRycy9kb3ducmV2LnhtbESPT0/DMAzF70j7DpEncUEsHf80yrJp&#10;QkLisAsDdeJmGtNUbZwuCVv59viAtJut9/zez8v16Ht1pJjawAbmswIUcR1sy42Bj/eX6wWolJEt&#10;9oHJwC8lWK8mF0ssbTjxGx13uVESwqlEAy7nodQ61Y48plkYiEX7DtFjljU22kY8Sbjv9U1RPGiP&#10;LUuDw4GeHdXd7scb0Ivt1SFuvu66qtvvH11VV8Pn1pjL6bh5ApVpzGfz//WrFfz7W8GVb2QEvf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jGcW8gAAADdAAAADwAAAAAA&#10;AAAAAAAAAAChAgAAZHJzL2Rvd25yZXYueG1sUEsFBgAAAAAEAAQA+QAAAJYDAAAAAA==&#10;"/>
                <v:shape id="Text Box 1521" o:spid="_x0000_s1051" type="#_x0000_t202" style="position:absolute;left:16026;top:24639;width:8470;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U88UA&#10;AADdAAAADwAAAGRycy9kb3ducmV2LnhtbERP22rCQBB9F/oPyxT6IrqxpaIxG5FKoYWCePmAYXdM&#10;otnZmN3GtF/vCoW+zeFcJ1v2thYdtb5yrGAyTkAQa2cqLhQc9u+jGQgfkA3WjknBD3lY5g+DDFPj&#10;rrylbhcKEUPYp6igDKFJpfS6JIt+7BriyB1dazFE2BbStHiN4baWz0kylRYrjg0lNvRWkj7vvq0C&#10;TvT8tHaXzf5L/w5X3bb7XIeNUk+P/WoBIlAf/sV/7g8T57++zOH+TTxB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lTzxQAAAN0AAAAPAAAAAAAAAAAAAAAAAJgCAABkcnMv&#10;ZG93bnJldi54bWxQSwUGAAAAAAQABAD1AAAAigMAAAAA&#10;">
                  <v:textbox inset="2.19mm,1.095mm,2.19mm,1.095mm">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Other surgery</w:t>
                        </w:r>
                        <w:r w:rsidRPr="00CB5216">
                          <w:rPr>
                            <w:rFonts w:ascii="Arial" w:hAnsi="Arial" w:cs="Arial"/>
                            <w:sz w:val="18"/>
                            <w:szCs w:val="18"/>
                            <w:vertAlign w:val="superscript"/>
                          </w:rPr>
                          <w:t>b</w:t>
                        </w:r>
                      </w:p>
                    </w:txbxContent>
                  </v:textbox>
                </v:shape>
                <v:line id="Line 1522" o:spid="_x0000_s1052" style="position:absolute;flip:x;visibility:visible;mso-wrap-style:square" from="5813,14979" to="5824,24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eesYAAADdAAAADwAAAGRycy9kb3ducmV2LnhtbESPQUvDQBCF74L/YRnBS2g3WhWN3Ra1&#10;LRSKB1MPHofsmASzsyE7tum/7xwEb/OY9715M1+OoTMHGlIb2cHNNAdDXEXfcu3gc7+ZPIJJguyx&#10;i0wOTpRgubi8mGPh45E/6FBKbTSEU4EOGpG+sDZVDQVM09gT6+47DgFF5VBbP+BRw0Nnb/P8wQZs&#10;WS802NNbQ9VP+Ru0xuadV7NZ9hpslj3R+kt2uRXnrq/Gl2cwQqP8m//orVfu/k776zc6gl2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InnrGAAAA3QAAAA8AAAAAAAAA&#10;AAAAAAAAoQIAAGRycy9kb3ducmV2LnhtbFBLBQYAAAAABAAEAPkAAACUAwAAAAA=&#10;">
                  <v:stroke endarrow="block"/>
                </v:line>
                <v:shape id="Text Box 1523" o:spid="_x0000_s1053" type="#_x0000_t202" style="position:absolute;left:825;top:38201;width:9062;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hOwsMA&#10;AADdAAAADwAAAGRycy9kb3ducmV2LnhtbERP24rCMBB9F/Yfwiz4pqmrFa1GWQRBEGS9gY9DM7bd&#10;bSalibX+vVkQfJvDuc582ZpSNFS7wrKCQT8CQZxaXXCm4HRc9yYgnEfWWFomBQ9ysFx8dOaYaHvn&#10;PTUHn4kQwi5BBbn3VSKlS3My6Pq2Ig7c1dYGfYB1JnWN9xBuSvkVRWNpsODQkGNFq5zSv8PNKOBr&#10;s4tjY9er3y3/DM/TS/vYjJTqfrbfMxCeWv8Wv9wbHebHowH8fxN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hOwsMAAADdAAAADwAAAAAAAAAAAAAAAACYAgAAZHJzL2Rv&#10;d25yZXYueG1sUEsFBgAAAAAEAAQA9QAAAIgDAAAAAA==&#10;" strokeweight=".5pt">
                  <v:textbox inset="2.19mm,1.095mm,2.19mm,1.095mm">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v:textbox>
                </v:shape>
                <v:shape id="Text Box 1524" o:spid="_x0000_s1054" type="#_x0000_t202" style="position:absolute;left:12712;top:38201;width:14990;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1/8UA&#10;AADdAAAADwAAAGRycy9kb3ducmV2LnhtbERP22rCQBB9F/oPyxT6Irqp2FKjmyCVQoWCePmAYXdM&#10;YrOzaXYbo1/fLQi+zeFcZ5H3thYdtb5yrOB5nIAg1s5UXCg47D9GbyB8QDZYOyYFF/KQZw+DBabG&#10;nXlL3S4UIoawT1FBGUKTSul1SRb92DXEkTu61mKIsC2kafEcw20tJ0nyKi1WHBtKbOi9JP29+7UK&#10;ONGz08r9bPZf+jpcdttuvQobpZ4e++UcRKA+3MU396eJ81+mE/j/Jp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LX/xQAAAN0AAAAPAAAAAAAAAAAAAAAAAJgCAABkcnMv&#10;ZG93bnJldi54bWxQSwUGAAAAAAQABAD1AAAAigMAAAAA&#10;">
                  <v:textbox inset="2.19mm,1.095mm,2.19mm,1.095mm">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Subsequent surgical management as indicated</w:t>
                        </w:r>
                      </w:p>
                    </w:txbxContent>
                  </v:textbox>
                </v:shape>
                <v:line id="Line 1525" o:spid="_x0000_s1055" style="position:absolute;visibility:visible;mso-wrap-style:square" from="20182,28361" to="20188,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vMQAAADdAAAADwAAAGRycy9kb3ducmV2LnhtbERPTWsCMRC9C/6HMEJvmtXWWrdGKV0E&#10;D21BLT1PN9PN4maybOKa/ntTEHqbx/uc1SbaRvTU+dqxgukkA0FcOl1zpeDzuB0/gfABWWPjmBT8&#10;kofNejhYYa7dhffUH0IlUgj7HBWYENpcSl8asugnriVO3I/rLIYEu0rqDi8p3DZylmWP0mLNqcFg&#10;S6+GytPhbBUsTLGXC1m8HT+Kvp4u43v8+l4qdTeKL88gAsXwL765dzrNnz/cw9836QS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9Ji8xAAAAN0AAAAPAAAAAAAAAAAA&#10;AAAAAKECAABkcnMvZG93bnJldi54bWxQSwUGAAAAAAQABAD5AAAAkgMAAAAA&#10;">
                  <v:stroke endarrow="block"/>
                </v:line>
                <v:line id="Line 1526" o:spid="_x0000_s1056" style="position:absolute;visibility:visible;mso-wrap-style:square" from="5780,27443" to="5785,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0AyMQAAADdAAAADwAAAGRycy9kb3ducmV2LnhtbERPS2sCMRC+F/wPYQRvNato1a1RxKXQ&#10;Q1vwQc/TzXSzuJksm7jGf98UCr3Nx/ec9TbaRvTU+dqxgsk4A0FcOl1zpeB8enlcgvABWWPjmBTc&#10;ycN2M3hYY67djQ/UH0MlUgj7HBWYENpcSl8asujHriVO3LfrLIYEu0rqDm8p3DZymmVP0mLNqcFg&#10;S3tD5eV4tQoWpjjIhSzeTh9FX09W8T1+fq2UGg3j7hlEoBj+xX/uV53mz2cz+P0mnS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QDIxAAAAN0AAAAPAAAAAAAAAAAA&#10;AAAAAKECAABkcnMvZG93bnJldi54bWxQSwUGAAAAAAQABAD5AAAAkgMAAAAA&#10;">
                  <v:stroke endarrow="block"/>
                </v:line>
                <v:line id="Line 1527" o:spid="_x0000_s1057" style="position:absolute;flip:y;visibility:visible;mso-wrap-style:square" from="9887,14995" to="17167,2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5UbMQAAADdAAAADwAAAGRycy9kb3ducmV2LnhtbESPQYvCMBCF78L+hzALe9NUWWWpRpGF&#10;BQ+i2HrY49CMbbWZlCbV+O+NIHib4b3vzZvFKphGXKlztWUF41ECgriwuuZSwTH/G/6AcB5ZY2OZ&#10;FNzJwWr5MVhgqu2ND3TNfCliCLsUFVTet6mUrqjIoBvZljhqJ9sZ9HHtSqk7vMVw08hJksykwZrj&#10;hQpb+q2ouGS9iTWmfZOHcb+d4H8oD3aXnfbnu1Jfn2E9B+Ep+Lf5RW/0k/uewvObOIJ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RsxAAAAN0AAAAPAAAAAAAAAAAA&#10;AAAAAKECAABkcnMvZG93bnJldi54bWxQSwUGAAAAAAQABAD5AAAAkgMAAAAA&#10;">
                  <v:stroke dashstyle="dash" endarrow="block"/>
                </v:line>
                <v:shape id="Text Box 1528" o:spid="_x0000_s1058" type="#_x0000_t202" style="position:absolute;left:6763;top:16549;width:11089;height:6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QLsQA&#10;AADdAAAADwAAAGRycy9kb3ducmV2LnhtbERPS2sCMRC+F/wPYQQvRbMVK7JuVqRQ20NBfBz0NmzG&#10;zWIyWTapbv99Uyh4m4/vOcWqd1bcqAuNZwUvkwwEceV1w7WC4+F9vAARIrJG65kU/FCAVTl4KjDX&#10;/s47uu1jLVIIhxwVmBjbXMpQGXIYJr4lTtzFdw5jgl0tdYf3FO6snGbZXDpsODUYbOnNUHXdfzsF&#10;H2djp3ze7jb+uQ56Fhb2tP1SajTs10sQkfr4EP+7P3Wa/zqbw9836QR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EC7EAAAA3QAAAA8AAAAAAAAAAAAAAAAAmAIAAGRycy9k&#10;b3ducmV2LnhtbFBLBQYAAAAABAAEAPUAAACJAwAAAAA=&#10;" strokecolor="white">
                  <v:textbox inset="2.19mm,1.095mm,2.19mm,1.095mm">
                    <w:txbxContent>
                      <w:p w:rsidR="0042762F" w:rsidRPr="003A2357" w:rsidRDefault="0042762F" w:rsidP="008F0835">
                        <w:pPr>
                          <w:ind w:left="0"/>
                          <w:jc w:val="center"/>
                          <w:rPr>
                            <w:rFonts w:ascii="Arial" w:hAnsi="Arial" w:cs="Arial"/>
                            <w:sz w:val="18"/>
                            <w:szCs w:val="18"/>
                          </w:rPr>
                        </w:pPr>
                        <w:r w:rsidRPr="003A2357">
                          <w:rPr>
                            <w:rFonts w:ascii="Arial" w:hAnsi="Arial" w:cs="Arial"/>
                            <w:sz w:val="18"/>
                            <w:szCs w:val="18"/>
                          </w:rPr>
                          <w:t>During procedure</w:t>
                        </w:r>
                        <w:r w:rsidRPr="003A2357">
                          <w:rPr>
                            <w:rFonts w:ascii="Arial" w:hAnsi="Arial" w:cs="Arial"/>
                            <w:sz w:val="18"/>
                            <w:szCs w:val="18"/>
                          </w:rPr>
                          <w:br/>
                          <w:t>cure not possible or multi stage surgery required</w:t>
                        </w:r>
                      </w:p>
                    </w:txbxContent>
                  </v:textbox>
                </v:shape>
                <v:line id="Line 1529" o:spid="_x0000_s1059" style="position:absolute;visibility:visible;mso-wrap-style:square" from="20182,14941" to="20259,2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v8QAAADdAAAADwAAAGRycy9kb3ducmV2LnhtbERP32vCMBB+H+x/CDfwbaaOuWo1ylgZ&#10;7MEJ6tjz2dyasuZSmljjf28GA9/u4/t5y3W0rRio941jBZNxBoK4crrhWsHX4f1xBsIHZI2tY1Jw&#10;IQ/r1f3dEgvtzryjYR9qkULYF6jAhNAVUvrKkEU/dh1x4n5cbzEk2NdS93hO4baVT1n2Ii02nBoM&#10;dvRmqPrdn6yC3JQ7mctyc9iWQzOZx8/4fZwrNXqIrwsQgWK4if/dHzrNnz7n8PdNOkG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z56/xAAAAN0AAAAPAAAAAAAAAAAA&#10;AAAAAKECAABkcnMvZG93bnJldi54bWxQSwUGAAAAAAQABAD5AAAAkgMAAAAA&#10;">
                  <v:stroke endarrow="block"/>
                </v:line>
                <v:line id="Line 1531" o:spid="_x0000_s1060" style="position:absolute;flip:y;visibility:visible;mso-wrap-style:square" from="49080,14718" to="63433,1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vJsgAAADdAAAADwAAAGRycy9kb3ducmV2LnhtbESPQUsDMRCF70L/Q5iCF7FZpZa6Ni1F&#10;EDz0Ylu2eBs342bZzWRNYrv+e+cgeJvhvXnvm9Vm9L06U0xtYAN3swIUcR1sy42B4+HldgkqZWSL&#10;fWAy8EMJNuvJ1QpLGy78Rud9bpSEcCrRgMt5KLVOtSOPaRYGYtE+Q/SYZY2NthEvEu57fV8UC+2x&#10;ZWlwONCzo7rbf3sDerm7+Yrbj3lXdafTo6vqanjfGXM9HbdPoDKN+d/8d/1qBf9h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jfvJsgAAADdAAAADwAAAAAA&#10;AAAAAAAAAAChAgAAZHJzL2Rvd25yZXYueG1sUEsFBgAAAAAEAAQA+QAAAJYDAAAAAA==&#10;"/>
                <v:line id="Line 1534" o:spid="_x0000_s1061" style="position:absolute;flip:x;visibility:visible;mso-wrap-style:square" from="49031,14762" to="49080,2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358YAAADdAAAADwAAAGRycy9kb3ducmV2LnhtbESPQWvCQBCF70L/wzIFL0E3rVZq6iqt&#10;VhCkB7WHHofsNAnNzobsqOm/dwXB2wzvfW/ezBadq9WJ2lB5NvA0TEER595WXBj4PqwHr6CCIFus&#10;PZOBfwqwmD/0ZphZf+YdnfZSqBjCIUMDpUiTaR3ykhyGoW+Io/brW4cS17bQtsVzDHe1fk7TiXZY&#10;cbxQYkPLkvK//dHFGusvXo1GyYfTSTKlzx/ZplqM6T9272+ghDq5m2/0xkbuZTyF6zdxBD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yN+fGAAAA3QAAAA8AAAAAAAAA&#10;AAAAAAAAoQIAAGRycy9kb3ducmV2LnhtbFBLBQYAAAAABAAEAPkAAACUAwAAAAA=&#10;">
                  <v:stroke endarrow="block"/>
                </v:line>
                <v:shape id="Text Box 1535" o:spid="_x0000_s1062" type="#_x0000_t202" style="position:absolute;left:44679;top:38201;width:8546;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19hMYA&#10;AADdAAAADwAAAGRycy9kb3ducmV2LnhtbESPQWvCQBCF7wX/wzJCb7qxNWJTVymCIBSKphV6HLJj&#10;kpqdDdltjP/eORR6m+G9ee+b1WZwjeqpC7VnA7NpAoq48Lbm0sDX526yBBUissXGMxm4UYDNevSw&#10;wsz6Kx+pz2OpJIRDhgaqGNtM61BU5DBMfUss2tl3DqOsXalth1cJd41+SpKFdlizNFTY0rai4pL/&#10;OgN87j/S1Pnd9uedD8+nl+/htp8b8zge3l5BRRriv/nvem8FP02FX76REf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19hMYAAADdAAAADwAAAAAAAAAAAAAAAACYAgAAZHJz&#10;L2Rvd25yZXYueG1sUEsFBgAAAAAEAAQA9QAAAIsDAAAAAA==&#10;" strokeweight=".5pt">
                  <v:textbox inset="2.19mm,1.095mm,2.19mm,1.095mm">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v:textbox>
                </v:shape>
                <v:shape id="Text Box 1536" o:spid="_x0000_s1063" type="#_x0000_t202" style="position:absolute;left:58419;top:38201;width:14989;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cQA&#10;AADdAAAADwAAAGRycy9kb3ducmV2LnhtbERP22rCQBB9L/gPywh9KbqxoNSYjUil0IIgXj5g2B2T&#10;aHY2Zrcx7dd3BaFvczjXyZa9rUVHra8cK5iMExDE2pmKCwXHw8foDYQPyAZrx6Tghzws88FThqlx&#10;N95Rtw+FiCHsU1RQhtCkUnpdkkU/dg1x5E6utRgibAtpWrzFcFvL1ySZSYsVx4YSG3ovSV/231YB&#10;J3p+Xrvr9rDRvy+rbtd9rcNWqedhv1qACNSHf/HD/Wni/Ol0Avdv4gk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vVXEAAAA3QAAAA8AAAAAAAAAAAAAAAAAmAIAAGRycy9k&#10;b3ducmV2LnhtbFBLBQYAAAAABAAEAPUAAACJAwAAAAA=&#10;">
                  <v:textbox inset="2.19mm,1.095mm,2.19mm,1.095mm">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Subsequent surgical management as indicated</w:t>
                        </w:r>
                      </w:p>
                    </w:txbxContent>
                  </v:textbox>
                </v:shape>
                <v:line id="Line 1537" o:spid="_x0000_s1064" style="position:absolute;visibility:visible;mso-wrap-style:square" from="63433,27443" to="63439,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Gr+sMAAADdAAAADwAAAGRycy9kb3ducmV2LnhtbERPTWsCMRC9F/wPYQRvNatgrVujiIvg&#10;wRbU0vN0M24WN5NlE9f475tCobd5vM9ZrqNtRE+drx0rmIwzEMSl0zVXCj7Pu+dXED4ga2wck4IH&#10;eVivBk9LzLW785H6U6hECmGfowITQptL6UtDFv3YtcSJu7jOYkiwq6Tu8J7CbSOnWfYiLdacGgy2&#10;tDVUXk83q2BuiqOcy+Jw/ij6erKI7/Hre6HUaBg3byACxfAv/nPvdZo/m03h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hq/rDAAAA3QAAAA8AAAAAAAAAAAAA&#10;AAAAoQIAAGRycy9kb3ducmV2LnhtbFBLBQYAAAAABAAEAPkAAACRAwAAAAA=&#10;">
                  <v:stroke endarrow="block"/>
                </v:line>
                <v:line id="Line 1538" o:spid="_x0000_s1065" style="position:absolute;visibility:visible;mso-wrap-style:square" from="49031,27443" to="49080,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SWFcQAAADdAAAADwAAAGRycy9kb3ducmV2LnhtbERPS2sCMRC+F/wPYQRvNato1a1RxKXQ&#10;gy34oOfpZrpZ3EyWTbqm/94UCr3Nx/ec9TbaRvTU+dqxgsk4A0FcOl1zpeByfnlcgvABWWPjmBT8&#10;kIftZvCwxly7Gx+pP4VKpBD2OSowIbS5lL40ZNGPXUucuC/XWQwJdpXUHd5SuG3kNMuepMWaU4PB&#10;lvaGyuvp2ypYmOIoF7I4nN+Lvp6s4lv8+FwpNRrG3TOIQDH8i//crzrNn89n8PtNOkF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xJYVxAAAAN0AAAAPAAAAAAAAAAAA&#10;AAAAAKECAABkcnMvZG93bnJldi54bWxQSwUGAAAAAAQABAD5AAAAkgMAAAAA&#10;">
                  <v:stroke endarrow="block"/>
                </v:line>
                <v:line id="Line 1539" o:spid="_x0000_s1066" style="position:absolute;flip:y;visibility:visible;mso-wrap-style:square" from="53225,14816" to="61320,2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CscQAAADdAAAADwAAAGRycy9kb3ducmV2LnhtbESPQYvCMBCF78L+hzALe7OpQmWpRpGF&#10;BQ+yYvXgcWjGttpMSpNq/PdGEPY2w3vfmzeLVTCtuFHvGssKJkkKgri0uuFKwfHwO/4G4TyyxtYy&#10;KXiQg9XyY7TAXNs77+lW+ErEEHY5Kqi973IpXVmTQZfYjjhqZ9sb9HHtK6l7vMdw08ppms6kwYbj&#10;hRo7+qmpvBaDiTWyoT2EybCd4ilUe/tXnHeXh1Jfn2E9B+Ep+H/zm97oF5dl8Pomji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F8KxxAAAAN0AAAAPAAAAAAAAAAAA&#10;AAAAAKECAABkcnMvZG93bnJldi54bWxQSwUGAAAAAAQABAD5AAAAkgMAAAAA&#10;">
                  <v:stroke dashstyle="dash" endarrow="block"/>
                </v:line>
                <v:shape id="Text Box 1540" o:spid="_x0000_s1067" type="#_x0000_t202" style="position:absolute;left:50389;top:17386;width:10719;height:6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G88QA&#10;AADdAAAADwAAAGRycy9kb3ducmV2LnhtbERPTWsCMRC9C/0PYQq9SM0qush2s1KEth4E0fZQb8Nm&#10;ulmaTJZNqtt/bwTB2zze55SrwVlxoj60nhVMJxkI4trrlhsFX59vz0sQISJrtJ5JwT8FWFUPoxIL&#10;7c+8p9MhNiKFcChQgYmxK6QMtSGHYeI74sT9+N5hTLBvpO7xnMKdlbMsy6XDllODwY7Whurfw59T&#10;8HE0dsbH3f7dj5ug52Fpv3dbpZ4eh9cXEJGGeBff3Bud5i8WOVy/SSfI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hvPEAAAA3QAAAA8AAAAAAAAAAAAAAAAAmAIAAGRycy9k&#10;b3ducmV2LnhtbFBLBQYAAAAABAAEAPUAAACJAwAAAAA=&#10;" strokecolor="white">
                  <v:textbox inset="2.19mm,1.095mm,2.19mm,1.095mm">
                    <w:txbxContent>
                      <w:p w:rsidR="0042762F" w:rsidRPr="00132286" w:rsidRDefault="0042762F" w:rsidP="008F0835">
                        <w:pPr>
                          <w:ind w:left="0"/>
                          <w:jc w:val="center"/>
                          <w:rPr>
                            <w:rFonts w:ascii="Arial" w:hAnsi="Arial" w:cs="Arial"/>
                            <w:sz w:val="18"/>
                            <w:szCs w:val="18"/>
                          </w:rPr>
                        </w:pPr>
                        <w:r w:rsidRPr="00132286">
                          <w:rPr>
                            <w:rFonts w:ascii="Arial" w:hAnsi="Arial" w:cs="Arial"/>
                            <w:sz w:val="18"/>
                            <w:szCs w:val="18"/>
                          </w:rPr>
                          <w:t>During procedure</w:t>
                        </w:r>
                        <w:r w:rsidRPr="00132286">
                          <w:rPr>
                            <w:rFonts w:ascii="Arial" w:hAnsi="Arial" w:cs="Arial"/>
                            <w:sz w:val="18"/>
                            <w:szCs w:val="18"/>
                          </w:rPr>
                          <w:br/>
                          <w:t>cure not possible or multi stage surgery required</w:t>
                        </w:r>
                      </w:p>
                    </w:txbxContent>
                  </v:textbox>
                </v:shape>
                <v:line id="Line 1541" o:spid="_x0000_s1068" style="position:absolute;visibility:visible;mso-wrap-style:square" from="63439,14724" to="63515,2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YIYsMAAADdAAAADwAAAGRycy9kb3ducmV2LnhtbERP32vCMBB+H+x/CDfwbaYKrrMaZVgE&#10;H+ZAHXu+NWdT1lxKE2v23y/CwLf7+H7ech1tKwbqfeNYwWScgSCunG64VvB52j6/gvABWWPrmBT8&#10;kof16vFhiYV2Vz7QcAy1SCHsC1RgQugKKX1lyKIfu444cWfXWwwJ9rXUPV5TuG3lNMtepMWGU4PB&#10;jjaGqp/jxSrITXmQuSzfTx/l0EzmcR+/vudKjZ7i2wJEoBju4n/3Tqf5s1kO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WCGLDAAAA3QAAAA8AAAAAAAAAAAAA&#10;AAAAoQIAAGRycy9kb3ducmV2LnhtbFBLBQYAAAAABAAEAPkAAACRAwAAAAA=&#10;">
                  <v:stroke endarrow="block"/>
                </v:line>
                <v:line id="Line 1542" o:spid="_x0000_s1069" style="position:absolute;flip:y;visibility:visible;mso-wrap-style:square" from="25909,33088" to="36840,3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5+8gAAADdAAAADwAAAGRycy9kb3ducmV2LnhtbESPQUsDMRCF70L/Q5iCF7FZxZa6Ni1F&#10;EDz0Ylu2eBs342bZzWRNYrv+e+cgeJvhvXnvm9Vm9L06U0xtYAN3swIUcR1sy42B4+HldgkqZWSL&#10;fWAy8EMJNuvJ1QpLGy78Rud9bpSEcCrRgMt5KLVOtSOPaRYGYtE+Q/SYZY2NthEvEu57fV8UC+2x&#10;ZWlwONCzo7rbf3sDerm7+Yrbj4eu6k6nR1fV1fC+M+Z6Om6fQGUa87/57/rVCv58Lrj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55+8gAAADdAAAADwAAAAAA&#10;AAAAAAAAAAChAgAAZHJzL2Rvd25yZXYueG1sUEsFBgAAAAAEAAQA+QAAAJYDAAAAAA==&#10;"/>
                <v:line id="Line 1543" o:spid="_x0000_s1070" style="position:absolute;visibility:visible;mso-wrap-style:square" from="34694,27443" to="34704,33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msn8YAAADdAAAADwAAAGRycy9kb3ducmV2LnhtbERPTWvCQBC9F/oflil4q5u2GGp0FWkp&#10;aA9FraDHMTsmabOzYXdN0n/vCgVv83ifM533phYtOV9ZVvA0TEAQ51ZXXCjYfX88voLwAVljbZkU&#10;/JGH+ez+boqZth1vqN2GQsQQ9hkqKENoMil9XpJBP7QNceRO1hkMEbpCaoddDDe1fE6SVBqsODaU&#10;2NBbSfnv9mwUfL2s03ax+lz2+1V6zN83x8NP55QaPPSLCYhAfbiJ/91LHeeP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JrJ/GAAAA3QAAAA8AAAAAAAAA&#10;AAAAAAAAoQIAAGRycy9kb3ducmV2LnhtbFBLBQYAAAAABAAEAPkAAACUAwAAAAA=&#10;"/>
                <v:line id="Line 1544" o:spid="_x0000_s1071" style="position:absolute;flip:x;visibility:visible;mso-wrap-style:square" from="25903,33088" to="25909,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3CGsYAAADdAAAADwAAAGRycy9kb3ducmV2LnhtbESPQU/CQBCF7yb+h82YcGlgK0QilYUI&#10;SmJiPAgcPE66Q9vQnW26I9R/7xxMvM3LvO/Nm+V6CK25UJ+ayA7uJzkY4jL6hisHx8Nu/AgmCbLH&#10;NjI5+KEE69XtzRILH6/8SZe9VEZDOBXooBbpCmtTWVPANIkdse5OsQ8oKvvK+h6vGh5aO83zuQ3Y&#10;sF6osaNtTeV5/x20xu6DX2azbBNsli3o9UvecyvOje6G5ycwQoP8m//oN6/cw1z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9whrGAAAA3QAAAA8AAAAAAAAA&#10;AAAAAAAAoQIAAGRycy9kb3ducmV2LnhtbFBLBQYAAAAABAAEAPkAAACUAwAAAAA=&#10;">
                  <v:stroke endarrow="block"/>
                </v:line>
                <v:shape id="Text Box 1545" o:spid="_x0000_s1072" type="#_x0000_t202" style="position:absolute;left:29505;top:24639;width:9714;height: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36MQA&#10;AADdAAAADwAAAGRycy9kb3ducmV2LnhtbERP22rCQBB9L/gPywh9KbqxUKkxGxGl0EJBvHzAsDsm&#10;0exszK4x7dd3BaFvczjXyRa9rUVHra8cK5iMExDE2pmKCwWH/cfoHYQPyAZrx6Tghzws8sFThqlx&#10;N95StwuFiCHsU1RQhtCkUnpdkkU/dg1x5I6utRgibAtpWrzFcFvL1ySZSosVx4YSG1qVpM+7q1XA&#10;iZ6d1u6y2X/r35dlt+2+1mGj1POwX85BBOrDv/jh/jRx/tt0Avdv4gk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d+jEAAAA3QAAAA8AAAAAAAAAAAAAAAAAmAIAAGRycy9k&#10;b3ducmV2LnhtbFBLBQYAAAAABAAEAPUAAACJAwAAAAA=&#10;">
                  <v:textbox inset="2.19mm,1.095mm,2.19mm,1.095mm">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Best supportive</w:t>
                        </w:r>
                      </w:p>
                      <w:p w:rsidR="0042762F" w:rsidRPr="003A2357" w:rsidRDefault="0042762F" w:rsidP="008F0835">
                        <w:pPr>
                          <w:spacing w:after="0"/>
                          <w:ind w:left="0"/>
                          <w:jc w:val="center"/>
                          <w:rPr>
                            <w:rFonts w:ascii="Arial" w:hAnsi="Arial" w:cs="Arial"/>
                            <w:sz w:val="18"/>
                            <w:szCs w:val="18"/>
                          </w:rPr>
                        </w:pPr>
                        <w:proofErr w:type="gramStart"/>
                        <w:r w:rsidRPr="003A2357">
                          <w:rPr>
                            <w:rFonts w:ascii="Arial" w:hAnsi="Arial" w:cs="Arial"/>
                            <w:sz w:val="18"/>
                            <w:szCs w:val="18"/>
                          </w:rPr>
                          <w:t>care</w:t>
                        </w:r>
                        <w:r w:rsidRPr="00CB5216">
                          <w:rPr>
                            <w:rFonts w:ascii="Arial" w:hAnsi="Arial" w:cs="Arial"/>
                            <w:sz w:val="18"/>
                            <w:szCs w:val="18"/>
                            <w:vertAlign w:val="superscript"/>
                          </w:rPr>
                          <w:t>b</w:t>
                        </w:r>
                        <w:proofErr w:type="gramEnd"/>
                        <w:r w:rsidRPr="003A2357">
                          <w:rPr>
                            <w:rFonts w:ascii="Arial" w:hAnsi="Arial" w:cs="Arial"/>
                            <w:sz w:val="18"/>
                            <w:szCs w:val="18"/>
                          </w:rPr>
                          <w:t xml:space="preserve"> </w:t>
                        </w:r>
                      </w:p>
                      <w:p w:rsidR="0042762F" w:rsidRPr="00C36F23" w:rsidRDefault="0042762F" w:rsidP="008F0835">
                        <w:pPr>
                          <w:ind w:left="0"/>
                          <w:jc w:val="center"/>
                          <w:rPr>
                            <w:sz w:val="14"/>
                            <w:szCs w:val="16"/>
                          </w:rPr>
                        </w:pPr>
                      </w:p>
                    </w:txbxContent>
                  </v:textbox>
                </v:shape>
                <v:line id="Line 1546" o:spid="_x0000_s1073" style="position:absolute;visibility:visible;mso-wrap-style:square" from="82122,27443" to="82128,3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H0U8UAAADdAAAADwAAAGRycy9kb3ducmV2LnhtbERPTWvCQBC9F/wPywje6qZKQ4muIpaC&#10;eijVFvQ4ZsckNTsbdtck/ffdgtDbPN7nzJe9qUVLzleWFTyNExDEudUVFwq+Pt8eX0D4gKyxtkwK&#10;fsjDcjF4mGOmbcd7ag+hEDGEfYYKyhCaTEqfl2TQj21DHLmLdQZDhK6Q2mEXw00tJ0mSSoMVx4YS&#10;G1qXlF8PN6PgffqRtqvtbtMft+k5f92fT9+dU2o07FczEIH68C++uzc6zn9O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H0U8UAAADdAAAADwAAAAAAAAAA&#10;AAAAAAChAgAAZHJzL2Rvd25yZXYueG1sUEsFBgAAAAAEAAQA+QAAAJMDAAAAAA==&#10;"/>
                <v:line id="Line 1547" o:spid="_x0000_s1074" style="position:absolute;flip:y;visibility:visible;mso-wrap-style:square" from="69811,33208" to="84361,3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YhN8UAAADdAAAADwAAAGRycy9kb3ducmV2LnhtbERPTWsCMRC9C/0PYQq9SM22WrFbo0hB&#10;8OCltqx4GzfTzbKbyTaJuv33TUHwNo/3OfNlb1txJh9qxwqeRhkI4tLpmisFX5/rxxmIEJE1to5J&#10;wS8FWC7uBnPMtbvwB513sRIphEOOCkyMXS5lKA1ZDCPXESfu23mLMUFfSe3xksJtK5+zbCot1pwa&#10;DHb0bqhsdierQM62wx+/Ok6aotnvX01RFt1hq9TDfb96AxGpjzfx1b3Raf7LdAz/36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YhN8UAAADdAAAADwAAAAAAAAAA&#10;AAAAAAChAgAAZHJzL2Rvd25yZXYueG1sUEsFBgAAAAAEAAQA+QAAAJMDAAAAAA==&#10;"/>
                <v:line id="Line 1548" o:spid="_x0000_s1075" style="position:absolute;visibility:visible;mso-wrap-style:square" from="69714,33208" to="69811,3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cqMQAAADdAAAADwAAAGRycy9kb3ducmV2LnhtbERPS2sCMRC+C/6HMIXeNGtpfWyNIl0K&#10;Pajgg56nm+lm6WaybNI1/feNIHibj+85y3W0jeip87VjBZNxBoK4dLrmSsH59D6ag/ABWWPjmBT8&#10;kYf1ajhYYq7dhQ/UH0MlUgj7HBWYENpcSl8asujHriVO3LfrLIYEu0rqDi8p3DbyKcum0mLNqcFg&#10;S2+Gyp/jr1UwM8VBzmSxPe2Lvp4s4i5+fi2UenyIm1cQgWK4i2/uD53mv0yf4f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FyoxAAAAN0AAAAPAAAAAAAAAAAA&#10;AAAAAKECAABkcnMvZG93bnJldi54bWxQSwUGAAAAAAQABAD5AAAAkgMAAAAA&#10;">
                  <v:stroke endarrow="block"/>
                </v:line>
                <v:shape id="Text Box 1549" o:spid="_x0000_s1076" type="#_x0000_t202" style="position:absolute;top:24661;width:13506;height:3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x68QA&#10;AADdAAAADwAAAGRycy9kb3ducmV2LnhtbERP3WrCMBS+F3yHcAbeiKYTlK02FZkIDgai7gEOyVnb&#10;rTmpTax1T78Iwu7Ox/d7slVva9FR6yvHCp6nCQhi7UzFhYLP03byAsIHZIO1Y1JwIw+rfDjIMDXu&#10;ygfqjqEQMYR9igrKEJpUSq9LsuinriGO3JdrLYYI20KaFq8x3NZyliQLabHi2FBiQ28l6Z/jxSrg&#10;RL9+b9x5f/rQv+N1d+jeN2Gv1OipXy9BBOrDv/jh3pk4f76Yw/2beI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ocevEAAAA3QAAAA8AAAAAAAAAAAAAAAAAmAIAAGRycy9k&#10;b3ducmV2LnhtbFBLBQYAAAAABAAEAPUAAACJAwAAAAA=&#10;">
                  <v:textbox inset="2.19mm,1.095mm,2.19mm,1.095mm">
                    <w:txbxContent>
                      <w:p w:rsidR="0042762F" w:rsidRPr="006C5DEB" w:rsidRDefault="0042762F" w:rsidP="006C5DEB">
                        <w:pPr>
                          <w:spacing w:after="0"/>
                          <w:ind w:left="0"/>
                          <w:jc w:val="center"/>
                          <w:rPr>
                            <w:rFonts w:ascii="Arial" w:hAnsi="Arial" w:cs="Arial"/>
                            <w:sz w:val="18"/>
                            <w:szCs w:val="18"/>
                          </w:rPr>
                        </w:pPr>
                        <w:r w:rsidRPr="003A2357">
                          <w:rPr>
                            <w:rFonts w:ascii="Arial" w:hAnsi="Arial" w:cs="Arial"/>
                            <w:sz w:val="18"/>
                            <w:szCs w:val="18"/>
                          </w:rPr>
                          <w:t xml:space="preserve">Intended </w:t>
                        </w:r>
                        <w:r>
                          <w:rPr>
                            <w:rFonts w:ascii="Arial" w:hAnsi="Arial" w:cs="Arial"/>
                            <w:sz w:val="18"/>
                            <w:szCs w:val="18"/>
                          </w:rPr>
                          <w:t>single-stage</w:t>
                        </w:r>
                        <w:r w:rsidRPr="003A2357">
                          <w:rPr>
                            <w:rFonts w:ascii="Arial" w:hAnsi="Arial" w:cs="Arial"/>
                            <w:sz w:val="18"/>
                            <w:szCs w:val="18"/>
                          </w:rPr>
                          <w:t xml:space="preserve"> curative surgery</w:t>
                        </w:r>
                        <w:r w:rsidRPr="00CB5216">
                          <w:rPr>
                            <w:rFonts w:ascii="Arial" w:hAnsi="Arial" w:cs="Arial"/>
                            <w:sz w:val="18"/>
                            <w:szCs w:val="18"/>
                            <w:vertAlign w:val="superscript"/>
                          </w:rPr>
                          <w:t>b</w:t>
                        </w:r>
                      </w:p>
                    </w:txbxContent>
                  </v:textbox>
                </v:shape>
                <v:shape id="Text Box 1550" o:spid="_x0000_s1077" type="#_x0000_t202" style="position:absolute;left:74674;top:24509;width:1086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vnMQA&#10;AADdAAAADwAAAGRycy9kb3ducmV2LnhtbERP22rCQBB9F/yHZYS+iG5aaNDUTRCl0EJBvHzAsDtN&#10;0mZnY3Yb0359VxB8m8O5zqoYbCN66nztWMHjPAFBrJ2puVRwOr7OFiB8QDbYOCYFv+ShyMejFWbG&#10;XXhP/SGUIoawz1BBFUKbSel1RRb93LXEkft0ncUQYVdK0+ElhttGPiVJKi3WHBsqbGlTkf4+/FgF&#10;nOjl19add8cP/Tdd9/v+fRt2Sj1MhvULiEBDuItv7jcT5z+nKVy/iS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675zEAAAA3QAAAA8AAAAAAAAAAAAAAAAAmAIAAGRycy9k&#10;b3ducmV2LnhtbFBLBQYAAAAABAAEAPUAAACJAwAAAAA=&#10;">
                  <v:textbox inset="2.19mm,1.095mm,2.19mm,1.095mm">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Best supportive</w:t>
                        </w:r>
                      </w:p>
                      <w:p w:rsidR="0042762F" w:rsidRPr="003A2357" w:rsidRDefault="0042762F" w:rsidP="008F0835">
                        <w:pPr>
                          <w:spacing w:after="0"/>
                          <w:ind w:left="0"/>
                          <w:jc w:val="center"/>
                          <w:rPr>
                            <w:rFonts w:ascii="Arial" w:hAnsi="Arial" w:cs="Arial"/>
                            <w:sz w:val="18"/>
                            <w:szCs w:val="18"/>
                          </w:rPr>
                        </w:pPr>
                        <w:proofErr w:type="gramStart"/>
                        <w:r w:rsidRPr="003A2357">
                          <w:rPr>
                            <w:rFonts w:ascii="Arial" w:hAnsi="Arial" w:cs="Arial"/>
                            <w:sz w:val="18"/>
                            <w:szCs w:val="18"/>
                          </w:rPr>
                          <w:t>care</w:t>
                        </w:r>
                        <w:r w:rsidRPr="00CB5216">
                          <w:rPr>
                            <w:rFonts w:ascii="Arial" w:hAnsi="Arial" w:cs="Arial"/>
                            <w:sz w:val="18"/>
                            <w:szCs w:val="18"/>
                            <w:vertAlign w:val="superscript"/>
                          </w:rPr>
                          <w:t>b</w:t>
                        </w:r>
                        <w:proofErr w:type="gramEnd"/>
                        <w:r w:rsidRPr="003A2357">
                          <w:rPr>
                            <w:rFonts w:ascii="Arial" w:hAnsi="Arial" w:cs="Arial"/>
                            <w:sz w:val="18"/>
                            <w:szCs w:val="18"/>
                          </w:rPr>
                          <w:t xml:space="preserve"> </w:t>
                        </w:r>
                      </w:p>
                      <w:p w:rsidR="0042762F" w:rsidRPr="00C36F23" w:rsidRDefault="0042762F" w:rsidP="008F0835">
                        <w:pPr>
                          <w:ind w:left="0"/>
                          <w:jc w:val="center"/>
                          <w:rPr>
                            <w:sz w:val="14"/>
                            <w:szCs w:val="16"/>
                          </w:rPr>
                        </w:pPr>
                      </w:p>
                    </w:txbxContent>
                  </v:textbox>
                </v:shape>
                <v:shape id="Text Box 1551" o:spid="_x0000_s1078" type="#_x0000_t202" style="position:absolute;left:76771;top:38201;width:8763;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vTcQA&#10;AADdAAAADwAAAGRycy9kb3ducmV2LnhtbERPTWvCQBC9C/0PyxS86aa2UZu6ShEEoVA0KngcsmOS&#10;mp0N2TXGf+8KBW/zeJ8zW3SmEi01rrSs4G0YgSDOrC45V7DfrQZTEM4ja6wsk4IbOVjMX3ozTLS9&#10;8pba1OcihLBLUEHhfZ1I6bKCDLqhrYkDd7KNQR9gk0vd4DWEm0qOomgsDZYcGgqsaVlQdk4vRgGf&#10;2t84Nna1/Pvhzfvh89jd1h9K9V+77y8Qnjr/FP+71zrMj8cTeHwTT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4L03EAAAA3QAAAA8AAAAAAAAAAAAAAAAAmAIAAGRycy9k&#10;b3ducmV2LnhtbFBLBQYAAAAABAAEAPUAAACJAwAAAAA=&#10;" strokeweight=".5pt">
                  <v:textbox inset="2.19mm,1.095mm,2.19mm,1.095mm">
                    <w:txbxContent>
                      <w:p w:rsidR="0042762F" w:rsidRPr="003A2357" w:rsidRDefault="0042762F" w:rsidP="003A2357">
                        <w:pPr>
                          <w:spacing w:after="0"/>
                          <w:ind w:left="0"/>
                          <w:jc w:val="center"/>
                          <w:rPr>
                            <w:rFonts w:ascii="Arial" w:hAnsi="Arial" w:cs="Arial"/>
                            <w:sz w:val="18"/>
                            <w:szCs w:val="18"/>
                          </w:rPr>
                        </w:pPr>
                        <w:r w:rsidRPr="003A2357">
                          <w:rPr>
                            <w:rFonts w:ascii="Arial" w:hAnsi="Arial" w:cs="Arial"/>
                            <w:sz w:val="18"/>
                            <w:szCs w:val="18"/>
                          </w:rPr>
                          <w:t>No further surgical management</w:t>
                        </w:r>
                      </w:p>
                    </w:txbxContent>
                  </v:textbox>
                </v:shape>
                <v:shape id="Text Box 1652" o:spid="_x0000_s1079" type="#_x0000_t202" style="position:absolute;top:44965;width:84849;height:8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kcsMA&#10;AADdAAAADwAAAGRycy9kb3ducmV2LnhtbERPTWsCMRC9F/wPYYReimYVKetqFBFaexBE60Fvw2bc&#10;LCaTZZPq+u8bodDbPN7nzJeds+JGbag9KxgNMxDEpdc1VwqO3x+DHESIyBqtZ1LwoADLRe9ljoX2&#10;d97T7RArkUI4FKjAxNgUUobSkMMw9A1x4i6+dRgTbCupW7yncGflOMvepcOaU4PBhtaGyuvhxynY&#10;nI0d83m3//RvVdCTkNvTbqvUa79bzUBE6uK/+M/9pdP8aT6B5zfp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5kcsMAAADdAAAADwAAAAAAAAAAAAAAAACYAgAAZHJzL2Rv&#10;d25yZXYueG1sUEsFBgAAAAAEAAQA9QAAAIgDAAAAAA==&#10;" strokecolor="white">
                  <v:textbox inset="2.19mm,1.095mm,2.19mm,1.095mm">
                    <w:txbxContent>
                      <w:p w:rsidR="0042762F" w:rsidRPr="00BD6470" w:rsidRDefault="0042762F" w:rsidP="003A2357">
                        <w:pPr>
                          <w:pStyle w:val="TableNotes"/>
                          <w:ind w:left="0"/>
                        </w:pPr>
                        <w:r w:rsidRPr="00BD6470">
                          <w:t>Other surgery: Two</w:t>
                        </w:r>
                        <w:r>
                          <w:t>-</w:t>
                        </w:r>
                        <w:r w:rsidRPr="00BD6470">
                          <w:t xml:space="preserve"> and three</w:t>
                        </w:r>
                        <w:r>
                          <w:t>-</w:t>
                        </w:r>
                        <w:r w:rsidRPr="00BD6470">
                          <w:t>staged resection techniques used in managing colorectal obstructions, strictures or stenosis. Hartmann’s procedure and primary anastomosis could be performed by itself or together with staged surgical resections. Current MBS</w:t>
                        </w:r>
                        <w:r>
                          <w:t>-</w:t>
                        </w:r>
                        <w:r w:rsidRPr="00BD6470">
                          <w:t>listed surgical resection techniques are listed in Table 2.</w:t>
                        </w:r>
                      </w:p>
                      <w:p w:rsidR="0042762F" w:rsidRPr="00BD6470" w:rsidRDefault="0042762F" w:rsidP="003A2357">
                        <w:pPr>
                          <w:pStyle w:val="TableNotes"/>
                          <w:ind w:left="0"/>
                        </w:pPr>
                        <w:r w:rsidRPr="00BD6470">
                          <w:t>Subsequent surgical management: Any surgical intervention including single</w:t>
                        </w:r>
                        <w:r>
                          <w:t>-</w:t>
                        </w:r>
                        <w:r w:rsidRPr="00BD6470">
                          <w:t>stage surgery and ‘other surgery</w:t>
                        </w:r>
                        <w:r>
                          <w:t>’</w:t>
                        </w:r>
                        <w:r w:rsidRPr="00BD6470">
                          <w:t xml:space="preserve">. </w:t>
                        </w:r>
                      </w:p>
                      <w:p w:rsidR="0042762F" w:rsidRPr="00BD6470" w:rsidRDefault="0042762F" w:rsidP="003A2357">
                        <w:pPr>
                          <w:pStyle w:val="TableNotes"/>
                          <w:ind w:left="0"/>
                        </w:pPr>
                        <w:r w:rsidRPr="00BD6470">
                          <w:t>Best supportive care: Conservative/clinical management of symptoms without surgical interventions.</w:t>
                        </w:r>
                        <w:r>
                          <w:br/>
                        </w:r>
                        <w:r>
                          <w:rPr>
                            <w:lang w:val="en-AU"/>
                          </w:rPr>
                          <w:t>a</w:t>
                        </w:r>
                        <w:r w:rsidRPr="00BD6470">
                          <w:t xml:space="preserve"> </w:t>
                        </w:r>
                        <w:r>
                          <w:rPr>
                            <w:lang w:val="en-AU"/>
                          </w:rPr>
                          <w:t xml:space="preserve"> </w:t>
                        </w:r>
                        <w:r w:rsidRPr="00BD6470">
                          <w:t>This group may include less than 25% of patients with colonic obstructions of non-malignant aetiologies such as diverticulitis and Crohn’s disease</w:t>
                        </w:r>
                        <w:r>
                          <w:br/>
                        </w:r>
                        <w:r>
                          <w:rPr>
                            <w:lang w:val="en-AU"/>
                          </w:rPr>
                          <w:t xml:space="preserve">b  </w:t>
                        </w:r>
                        <w:r w:rsidRPr="00BD6470">
                          <w:t xml:space="preserve">Patients would receive chemotherapy, radiotherapy and/or palliation in addition to ongoing medical management. </w:t>
                        </w:r>
                        <w:r w:rsidRPr="00BD6470">
                          <w:t xml:space="preserve">The type and combination of medical management received is individually based. </w:t>
                        </w:r>
                      </w:p>
                      <w:p w:rsidR="0042762F" w:rsidRPr="00C36F23" w:rsidRDefault="0042762F" w:rsidP="008F0835">
                        <w:pPr>
                          <w:shd w:val="clear" w:color="auto" w:fill="FFFFFF"/>
                          <w:rPr>
                            <w:sz w:val="14"/>
                            <w:szCs w:val="16"/>
                          </w:rPr>
                        </w:pPr>
                      </w:p>
                    </w:txbxContent>
                  </v:textbox>
                </v:shape>
                <v:shape id="Text Box 1532" o:spid="_x0000_s1080" type="#_x0000_t202" style="position:absolute;left:42115;top:24639;width:12963;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O8MA&#10;AADdAAAADwAAAGRycy9kb3ducmV2LnhtbERP3WrCMBS+F3yHcARvZKYOFK1GEWXgQBB1D3BIjm23&#10;5qQ2sXY+vREGuzsf3+9ZrFpbioZqXzhWMBomIIi1MwVnCr7OH29TED4gGywdk4Jf8rBadjsLTI27&#10;85GaU8hEDGGfooI8hCqV0uucLPqhq4gjd3G1xRBhnUlT4z2G21K+J8lEWiw4NuRY0SYn/XO6WQWc&#10;6Nn31l0P571+DNbNsfnchoNS/V67noMI1IZ/8Z97Z+L82XQMr2/iC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iO8MAAADdAAAADwAAAAAAAAAAAAAAAACYAgAAZHJzL2Rv&#10;d25yZXYueG1sUEsFBgAAAAAEAAQA9QAAAIgDAAAAAA==&#10;">
                  <v:textbox inset="2.19mm,1.095mm,2.19mm,1.095mm">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 xml:space="preserve">Intended </w:t>
                        </w:r>
                        <w:r>
                          <w:rPr>
                            <w:rFonts w:ascii="Arial" w:hAnsi="Arial" w:cs="Arial"/>
                            <w:sz w:val="18"/>
                            <w:szCs w:val="18"/>
                          </w:rPr>
                          <w:t>single-stage</w:t>
                        </w:r>
                        <w:r w:rsidRPr="003A2357">
                          <w:rPr>
                            <w:rFonts w:ascii="Arial" w:hAnsi="Arial" w:cs="Arial"/>
                            <w:sz w:val="18"/>
                            <w:szCs w:val="18"/>
                          </w:rPr>
                          <w:t xml:space="preserve"> curative surgery</w:t>
                        </w:r>
                        <w:r w:rsidRPr="00CB5216">
                          <w:rPr>
                            <w:rFonts w:ascii="Arial" w:hAnsi="Arial" w:cs="Arial"/>
                            <w:sz w:val="18"/>
                            <w:szCs w:val="18"/>
                            <w:vertAlign w:val="superscript"/>
                          </w:rPr>
                          <w:t>b</w:t>
                        </w:r>
                      </w:p>
                    </w:txbxContent>
                  </v:textbox>
                </v:shape>
                <v:shape id="Text Box 1533" o:spid="_x0000_s1081" type="#_x0000_t202" style="position:absolute;left:58419;top:24639;width:8372;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8TMQA&#10;AADdAAAADwAAAGRycy9kb3ducmV2LnhtbERPzWrCQBC+C77DMkIvopv2EDS6SjAUWiiIsQ8w7I5J&#10;NDubZrcx7dN3C4Xe5uP7ne1+tK0YqPeNYwWPywQEsXam4UrB+/l5sQLhA7LB1jEp+CIP+910ssXM&#10;uDufaChDJWII+wwV1CF0mZRe12TRL11HHLmL6y2GCPtKmh7vMdy28ilJUmmx4dhQY0eHmvSt/LQK&#10;ONHra+E+juc3/T3Ph9PwWoSjUg+zMd+ACDSGf/Gf+8XE+etVCr/fxB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EzEAAAA3QAAAA8AAAAAAAAAAAAAAAAAmAIAAGRycy9k&#10;b3ducmV2LnhtbFBLBQYAAAAABAAEAPUAAACJAwAAAAA=&#10;">
                  <v:textbox inset="2.19mm,1.095mm,2.19mm,1.095mm">
                    <w:txbxContent>
                      <w:p w:rsidR="0042762F" w:rsidRPr="003A2357" w:rsidRDefault="0042762F" w:rsidP="008F0835">
                        <w:pPr>
                          <w:spacing w:after="0"/>
                          <w:ind w:left="0"/>
                          <w:jc w:val="center"/>
                          <w:rPr>
                            <w:rFonts w:ascii="Arial" w:hAnsi="Arial" w:cs="Arial"/>
                            <w:sz w:val="18"/>
                            <w:szCs w:val="18"/>
                          </w:rPr>
                        </w:pPr>
                        <w:r w:rsidRPr="003A2357">
                          <w:rPr>
                            <w:rFonts w:ascii="Arial" w:hAnsi="Arial" w:cs="Arial"/>
                            <w:sz w:val="18"/>
                            <w:szCs w:val="18"/>
                          </w:rPr>
                          <w:t>Other surgery</w:t>
                        </w:r>
                        <w:r w:rsidRPr="00CB5216">
                          <w:rPr>
                            <w:rFonts w:ascii="Arial" w:hAnsi="Arial" w:cs="Arial"/>
                            <w:sz w:val="18"/>
                            <w:szCs w:val="18"/>
                            <w:vertAlign w:val="superscript"/>
                          </w:rPr>
                          <w:t>b</w:t>
                        </w:r>
                      </w:p>
                    </w:txbxContent>
                  </v:textbox>
                </v:shape>
                <v:shape id="Text Box 1507" o:spid="_x0000_s1082" type="#_x0000_t202" style="position:absolute;left:8437;top:4493;width:35188;height:3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Z18QA&#10;AADdAAAADwAAAGRycy9kb3ducmV2LnhtbERP24rCMBB9F/yHMIIvsqbug5dqFFEWXBBE3Q8YkrHt&#10;bjOpTaxdv94IC/s2h3Odxaq1pWio9oVjBaNhAoJYO1NwpuDr/PE2BeEDssHSMSn4JQ+rZbezwNS4&#10;Ox+pOYVMxBD2KSrIQ6hSKb3OyaIfuoo4chdXWwwR1pk0Nd5juC3le5KMpcWCY0OOFW1y0j+nm1XA&#10;iZ59b931cN7rx2DdHJvPbTgo1e+16zmIQG34F/+5dybOn00n8Pomni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rWdfEAAAA3QAAAA8AAAAAAAAAAAAAAAAAmAIAAGRycy9k&#10;b3ducmV2LnhtbFBLBQYAAAAABAAEAPUAAACJAwAAAAA=&#10;">
                  <v:textbox inset="2.19mm,1.095mm,2.19mm,1.095mm">
                    <w:txbxContent>
                      <w:p w:rsidR="0042762F" w:rsidRPr="00AA6410" w:rsidRDefault="0042762F" w:rsidP="00AA6410">
                        <w:pPr>
                          <w:ind w:left="0"/>
                          <w:jc w:val="center"/>
                          <w:rPr>
                            <w:rFonts w:ascii="Arial" w:hAnsi="Arial" w:cs="Arial"/>
                            <w:sz w:val="18"/>
                            <w:szCs w:val="18"/>
                          </w:rPr>
                        </w:pPr>
                        <w:r w:rsidRPr="00AA6410">
                          <w:rPr>
                            <w:rFonts w:ascii="Arial" w:hAnsi="Arial" w:cs="Arial"/>
                            <w:sz w:val="18"/>
                            <w:szCs w:val="18"/>
                          </w:rPr>
                          <w:t xml:space="preserve"> Patients with colorectal obstruction due to an unknown diagnosis</w:t>
                        </w:r>
                        <w:r w:rsidRPr="00CB5216">
                          <w:rPr>
                            <w:rFonts w:ascii="Arial" w:hAnsi="Arial" w:cs="Arial"/>
                            <w:sz w:val="18"/>
                            <w:szCs w:val="18"/>
                            <w:vertAlign w:val="superscript"/>
                          </w:rPr>
                          <w:t>a</w:t>
                        </w:r>
                        <w:r w:rsidRPr="00AA6410">
                          <w:rPr>
                            <w:rFonts w:ascii="Arial" w:hAnsi="Arial" w:cs="Arial"/>
                            <w:sz w:val="18"/>
                            <w:szCs w:val="18"/>
                          </w:rPr>
                          <w:t xml:space="preserve"> </w:t>
                        </w:r>
                      </w:p>
                    </w:txbxContent>
                  </v:textbox>
                </v:shape>
                <v:shape id="Text Box 1492" o:spid="_x0000_s1083" type="#_x0000_t202" style="position:absolute;left:48194;top:4525;width:34960;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NpccA&#10;AADdAAAADwAAAGRycy9kb3ducmV2LnhtbESPQWvCQBCF7wX/wzJCL0U37aFo6iqiFCoUxOgPGHan&#10;SdrsbMxuY+yv7xwEbzO8N+99s1gNvlE9dbEObOB5moEitsHVXBo4Hd8nM1AxITtsApOBK0VYLUcP&#10;C8xduPCB+iKVSkI45migSqnNtY62Io9xGlpi0b5C5zHJ2pXadXiRcN/olyx71R5rloYKW9pUZH+K&#10;X2+AMzv/3obz/vhp/57W/aHfbdPemMfxsH4DlWhId/Pt+sMJ/nwmuPKNj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0zaXHAAAA3QAAAA8AAAAAAAAAAAAAAAAAmAIAAGRy&#10;cy9kb3ducmV2LnhtbFBLBQYAAAAABAAEAPUAAACMAwAAAAA=&#10;">
                  <v:textbox inset="2.19mm,1.095mm,2.19mm,1.095mm">
                    <w:txbxContent>
                      <w:p w:rsidR="0042762F" w:rsidRPr="003A2357" w:rsidRDefault="0042762F" w:rsidP="008F0835">
                        <w:pPr>
                          <w:ind w:left="0"/>
                          <w:jc w:val="center"/>
                          <w:rPr>
                            <w:rFonts w:ascii="Arial" w:hAnsi="Arial" w:cs="Arial"/>
                            <w:sz w:val="18"/>
                            <w:szCs w:val="18"/>
                          </w:rPr>
                        </w:pPr>
                        <w:r w:rsidRPr="003A2357">
                          <w:rPr>
                            <w:rFonts w:ascii="Arial" w:hAnsi="Arial" w:cs="Arial"/>
                            <w:sz w:val="18"/>
                            <w:szCs w:val="18"/>
                          </w:rPr>
                          <w:t xml:space="preserve">Patients with colorectal obstruction due to pre-diagnosed cancer </w:t>
                        </w:r>
                      </w:p>
                    </w:txbxContent>
                  </v:textbox>
                </v:shape>
                <v:shape id="Text Box 1494" o:spid="_x0000_s1084" type="#_x0000_t202" style="position:absolute;left:69714;top:10958;width:15820;height: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oPsMA&#10;AADdAAAADwAAAGRycy9kb3ducmV2LnhtbERP24rCMBB9F/yHMIIvoun6ILZrFFEWFBbEywcMyWzb&#10;3WZSm1jrfr1ZWPBtDuc6i1VnK9FS40vHCt4mCQhi7UzJuYLL+WM8B+EDssHKMSl4kIfVst9bYGbc&#10;nY/UnkIuYgj7DBUUIdSZlF4XZNFPXE0cuS/XWAwRNrk0Dd5juK3kNElm0mLJsaHAmjYF6Z/TzSrg&#10;RKffW3c9nD/172jdHtv9NhyUGg669TuIQF14if/dOxPnp/MU/r6JJ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oPsMAAADdAAAADwAAAAAAAAAAAAAAAACYAgAAZHJzL2Rv&#10;d25yZXYueG1sUEsFBgAAAAAEAAQA9QAAAIgDAAAAAA==&#10;">
                  <v:textbox inset="2.19mm,1.095mm,2.19mm,1.095mm">
                    <w:txbxContent>
                      <w:p w:rsidR="0042762F" w:rsidRPr="003A2357" w:rsidRDefault="0042762F" w:rsidP="008F0835">
                        <w:pPr>
                          <w:ind w:left="0"/>
                          <w:rPr>
                            <w:rFonts w:ascii="Arial" w:hAnsi="Arial" w:cs="Arial"/>
                            <w:sz w:val="18"/>
                            <w:szCs w:val="18"/>
                          </w:rPr>
                        </w:pPr>
                        <w:r w:rsidRPr="003A2357">
                          <w:rPr>
                            <w:rFonts w:ascii="Arial" w:hAnsi="Arial" w:cs="Arial"/>
                            <w:sz w:val="18"/>
                            <w:szCs w:val="18"/>
                          </w:rPr>
                          <w:t>Medically unfit for surgery</w:t>
                        </w:r>
                      </w:p>
                    </w:txbxContent>
                  </v:textbox>
                </v:shape>
                <v:shape id="Text Box 1503" o:spid="_x0000_s1085" type="#_x0000_t202" style="position:absolute;left:49080;top:10920;width:14435;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XfscA&#10;AADdAAAADwAAAGRycy9kb3ducmV2LnhtbESP3WrCQBCF7wt9h2UKvSl1oxfFpK4iFcFCQfx5gGF3&#10;TGKzszG7xrRP37koeDfDOXPON7PF4BvVUxfrwAbGowwUsQ2u5tLA8bB+nYKKCdlhE5gM/FCExfzx&#10;YYaFCzfeUb9PpZIQjgUaqFJqC62jrchjHIWWWLRT6DwmWbtSuw5vEu4bPcmyN+2xZmmosKWPiuz3&#10;/uoNcGbz8ypctocv+/uy7Hf95yptjXl+GpbvoBIN6W7+v944wc9z4ZdvZAQ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bV37HAAAA3QAAAA8AAAAAAAAAAAAAAAAAmAIAAGRy&#10;cy9kb3ducmV2LnhtbFBLBQYAAAAABAAEAPUAAACMAwAAAAA=&#10;">
                  <v:textbox inset="2.19mm,1.095mm,2.19mm,1.095mm">
                    <w:txbxContent>
                      <w:p w:rsidR="0042762F" w:rsidRPr="003A2357" w:rsidRDefault="0042762F" w:rsidP="008F0835">
                        <w:pPr>
                          <w:ind w:left="0"/>
                          <w:rPr>
                            <w:rFonts w:ascii="Arial" w:hAnsi="Arial" w:cs="Arial"/>
                            <w:sz w:val="18"/>
                            <w:szCs w:val="18"/>
                          </w:rPr>
                        </w:pPr>
                        <w:r w:rsidRPr="003A2357">
                          <w:rPr>
                            <w:rFonts w:ascii="Arial" w:hAnsi="Arial" w:cs="Arial"/>
                            <w:sz w:val="18"/>
                            <w:szCs w:val="18"/>
                          </w:rPr>
                          <w:t>Medically fit for surgery</w:t>
                        </w:r>
                      </w:p>
                    </w:txbxContent>
                  </v:textbox>
                </v:shape>
                <v:shape id="Text Box 1514" o:spid="_x0000_s1086" type="#_x0000_t202" style="position:absolute;left:27050;top:11073;width:1548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y5cMA&#10;AADdAAAADwAAAGRycy9kb3ducmV2LnhtbERP24rCMBB9X/Afwgj7smiqD2K7RhFlwQVBvHzAkMy2&#10;3W0mtcnW6tcbQfBtDuc6s0VnK9FS40vHCkbDBASxdqbkXMHp+DWYgvAB2WDlmBRcycNi3nubYWbc&#10;hffUHkIuYgj7DBUUIdSZlF4XZNEPXU0cuR/XWAwRNrk0DV5iuK3kOEkm0mLJsaHAmlYF6b/Dv1XA&#10;iU5/1+68O2717WPZ7tvvddgp9d7vlp8gAnXhJX66NybOT9MRPL6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fy5cMAAADdAAAADwAAAAAAAAAAAAAAAACYAgAAZHJzL2Rv&#10;d25yZXYueG1sUEsFBgAAAAAEAAQA9QAAAIgDAAAAAA==&#10;">
                  <v:textbox inset="2.19mm,1.095mm,2.19mm,1.095mm">
                    <w:txbxContent>
                      <w:p w:rsidR="0042762F" w:rsidRPr="003A2357" w:rsidRDefault="0042762F" w:rsidP="008F0835">
                        <w:pPr>
                          <w:ind w:left="0"/>
                          <w:jc w:val="center"/>
                          <w:rPr>
                            <w:rFonts w:ascii="Arial" w:hAnsi="Arial" w:cs="Arial"/>
                            <w:sz w:val="18"/>
                            <w:szCs w:val="18"/>
                          </w:rPr>
                        </w:pPr>
                        <w:r w:rsidRPr="003A2357">
                          <w:rPr>
                            <w:rFonts w:ascii="Arial" w:hAnsi="Arial" w:cs="Arial"/>
                            <w:sz w:val="18"/>
                            <w:szCs w:val="18"/>
                          </w:rPr>
                          <w:t>Medically unfit for surgery</w:t>
                        </w:r>
                      </w:p>
                    </w:txbxContent>
                  </v:textbox>
                </v:shape>
                <v:shape id="Text Box 1513" o:spid="_x0000_s1087" type="#_x0000_t202" style="position:absolute;left:5824;top:11295;width:15076;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sksMA&#10;AADdAAAADwAAAGRycy9kb3ducmV2LnhtbERPzYrCMBC+L+w7hFnwsqypHsRWo8iKoCCIug8wJGNb&#10;bSbdJtbuPr0RBG/z8f3OdN7ZSrTU+NKxgkE/AUGsnSk5V/BzXH2NQfiAbLByTAr+yMN89v42xcy4&#10;G++pPYRcxBD2GSooQqgzKb0uyKLvu5o4cifXWAwRNrk0Dd5iuK3kMElG0mLJsaHAmr4L0pfD1Srg&#10;RKfnpfvdHbf6/3PR7tvNMuyU6n10iwmIQF14iZ/utYnz03QIj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VsksMAAADdAAAADwAAAAAAAAAAAAAAAACYAgAAZHJzL2Rv&#10;d25yZXYueG1sUEsFBgAAAAAEAAQA9QAAAIgDAAAAAA==&#10;">
                  <v:textbox inset="2.19mm,1.095mm,2.19mm,1.095mm">
                    <w:txbxContent>
                      <w:p w:rsidR="0042762F" w:rsidRPr="003A2357" w:rsidRDefault="0042762F" w:rsidP="008F0835">
                        <w:pPr>
                          <w:ind w:left="0"/>
                          <w:rPr>
                            <w:rFonts w:ascii="Arial" w:hAnsi="Arial" w:cs="Arial"/>
                            <w:sz w:val="18"/>
                            <w:szCs w:val="18"/>
                          </w:rPr>
                        </w:pPr>
                        <w:r w:rsidRPr="003A2357">
                          <w:rPr>
                            <w:rFonts w:ascii="Arial" w:hAnsi="Arial" w:cs="Arial"/>
                            <w:sz w:val="18"/>
                            <w:szCs w:val="18"/>
                          </w:rPr>
                          <w:t>Medically fit for surgery</w:t>
                        </w:r>
                      </w:p>
                    </w:txbxContent>
                  </v:textbox>
                </v:shape>
                <w10:anchorlock/>
              </v:group>
            </w:pict>
          </mc:Fallback>
        </mc:AlternateContent>
      </w:r>
    </w:p>
    <w:p w:rsidR="00A75144" w:rsidRDefault="00516B5D" w:rsidP="00C70054">
      <w:pPr>
        <w:pStyle w:val="Caption"/>
      </w:pPr>
      <w:bookmarkStart w:id="18" w:name="_Ref324930438"/>
      <w:bookmarkStart w:id="19" w:name="_Toc327522125"/>
      <w:r>
        <w:rPr>
          <w:noProof/>
        </w:rPr>
        <w:lastRenderedPageBreak/>
        <mc:AlternateContent>
          <mc:Choice Requires="wpc">
            <w:drawing>
              <wp:inline distT="0" distB="0" distL="0" distR="0" wp14:anchorId="0C0AD71F" wp14:editId="16EB86B2">
                <wp:extent cx="8481695" cy="4590415"/>
                <wp:effectExtent l="0" t="0" r="14605" b="635"/>
                <wp:docPr id="1553" name="Canvas 1553" title="Figure 2 Proposed clinical management algorithm (once SEMS insertion introduce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98" name="Line 1592"/>
                        <wps:cNvCnPr/>
                        <wps:spPr bwMode="auto">
                          <a:xfrm flipV="1">
                            <a:off x="792208" y="1503103"/>
                            <a:ext cx="391036" cy="124004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99" name="Text Box 1555"/>
                        <wps:cNvSpPr txBox="1">
                          <a:spLocks noChangeArrowheads="1"/>
                        </wps:cNvSpPr>
                        <wps:spPr bwMode="auto">
                          <a:xfrm>
                            <a:off x="4562265" y="495699"/>
                            <a:ext cx="3651626" cy="323351"/>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 xml:space="preserve">Patients with colorectal obstruction due to pre-diagnosed cancer </w:t>
                              </w:r>
                            </w:p>
                          </w:txbxContent>
                        </wps:txbx>
                        <wps:bodyPr rot="0" vert="horz" wrap="square" lIns="79704" tIns="39851" rIns="79704" bIns="39851" anchor="t" anchorCtr="0" upright="1">
                          <a:noAutofit/>
                        </wps:bodyPr>
                      </wps:wsp>
                      <wps:wsp>
                        <wps:cNvPr id="1900" name="Line 1556"/>
                        <wps:cNvCnPr/>
                        <wps:spPr bwMode="auto">
                          <a:xfrm>
                            <a:off x="4440100" y="250250"/>
                            <a:ext cx="1067" cy="120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 name="Line 1557"/>
                        <wps:cNvCnPr/>
                        <wps:spPr bwMode="auto">
                          <a:xfrm>
                            <a:off x="4177097" y="235576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2" name="Line 1558"/>
                        <wps:cNvCnPr/>
                        <wps:spPr bwMode="auto">
                          <a:xfrm>
                            <a:off x="2344083" y="370840"/>
                            <a:ext cx="4408091" cy="2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 name="Line 1559"/>
                        <wps:cNvCnPr/>
                        <wps:spPr bwMode="auto">
                          <a:xfrm>
                            <a:off x="6751107" y="367639"/>
                            <a:ext cx="1067" cy="1275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4" name="Line 1560"/>
                        <wps:cNvCnPr/>
                        <wps:spPr bwMode="auto">
                          <a:xfrm flipH="1" flipV="1">
                            <a:off x="6750040" y="819584"/>
                            <a:ext cx="1067" cy="110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5" name="Line 1561"/>
                        <wps:cNvCnPr/>
                        <wps:spPr bwMode="auto">
                          <a:xfrm>
                            <a:off x="5464369" y="927901"/>
                            <a:ext cx="2641761" cy="3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Line 1562"/>
                        <wps:cNvCnPr/>
                        <wps:spPr bwMode="auto">
                          <a:xfrm flipH="1">
                            <a:off x="8103996" y="928968"/>
                            <a:ext cx="2134" cy="200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7" name="Text Box 1563"/>
                        <wps:cNvSpPr txBox="1">
                          <a:spLocks noChangeArrowheads="1"/>
                        </wps:cNvSpPr>
                        <wps:spPr bwMode="auto">
                          <a:xfrm>
                            <a:off x="4807663" y="1066633"/>
                            <a:ext cx="1353956" cy="245448"/>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Medically fit for surgery</w:t>
                              </w:r>
                            </w:p>
                          </w:txbxContent>
                        </wps:txbx>
                        <wps:bodyPr rot="0" vert="horz" wrap="square" lIns="79704" tIns="39851" rIns="79704" bIns="39851" anchor="t" anchorCtr="0" upright="1">
                          <a:noAutofit/>
                        </wps:bodyPr>
                      </wps:wsp>
                      <wps:wsp>
                        <wps:cNvPr id="1908" name="Line 1564"/>
                        <wps:cNvCnPr/>
                        <wps:spPr bwMode="auto">
                          <a:xfrm>
                            <a:off x="5464369" y="927901"/>
                            <a:ext cx="533" cy="1387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9" name="Line 1565"/>
                        <wps:cNvCnPr/>
                        <wps:spPr bwMode="auto">
                          <a:xfrm flipH="1">
                            <a:off x="5465436" y="1346764"/>
                            <a:ext cx="2667" cy="173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0" name="Text Box 1566"/>
                        <wps:cNvSpPr txBox="1">
                          <a:spLocks noChangeArrowheads="1"/>
                        </wps:cNvSpPr>
                        <wps:spPr bwMode="auto">
                          <a:xfrm>
                            <a:off x="769269" y="497299"/>
                            <a:ext cx="3601480" cy="322284"/>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Patients with colorectal obstruction due to an unknown diagnosis</w:t>
                              </w:r>
                              <w:r w:rsidRPr="00CB5216">
                                <w:rPr>
                                  <w:rFonts w:ascii="Arial" w:hAnsi="Arial" w:cs="Arial"/>
                                  <w:sz w:val="18"/>
                                  <w:szCs w:val="18"/>
                                  <w:vertAlign w:val="superscript"/>
                                </w:rPr>
                                <w:t>a</w:t>
                              </w:r>
                            </w:p>
                          </w:txbxContent>
                        </wps:txbx>
                        <wps:bodyPr rot="0" vert="horz" wrap="square" lIns="79704" tIns="39851" rIns="79704" bIns="39851" anchor="t" anchorCtr="0" upright="1">
                          <a:noAutofit/>
                        </wps:bodyPr>
                      </wps:wsp>
                      <wps:wsp>
                        <wps:cNvPr id="1911" name="Line 1567"/>
                        <wps:cNvCnPr/>
                        <wps:spPr bwMode="auto">
                          <a:xfrm>
                            <a:off x="2343016" y="370840"/>
                            <a:ext cx="1067" cy="1264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2" name="Line 1568"/>
                        <wps:cNvCnPr/>
                        <wps:spPr bwMode="auto">
                          <a:xfrm flipH="1" flipV="1">
                            <a:off x="2337681" y="817449"/>
                            <a:ext cx="2134" cy="113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3" name="Line 1569"/>
                        <wps:cNvCnPr/>
                        <wps:spPr bwMode="auto">
                          <a:xfrm flipV="1">
                            <a:off x="894102" y="927901"/>
                            <a:ext cx="2515861" cy="160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Line 1570"/>
                        <wps:cNvCnPr/>
                        <wps:spPr bwMode="auto">
                          <a:xfrm>
                            <a:off x="893035" y="945509"/>
                            <a:ext cx="2667" cy="21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Line 1571"/>
                        <wps:cNvCnPr/>
                        <wps:spPr bwMode="auto">
                          <a:xfrm>
                            <a:off x="3408896" y="930035"/>
                            <a:ext cx="1067" cy="2000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6" name="Text Box 1572"/>
                        <wps:cNvSpPr txBox="1">
                          <a:spLocks noChangeArrowheads="1"/>
                        </wps:cNvSpPr>
                        <wps:spPr bwMode="auto">
                          <a:xfrm>
                            <a:off x="352093" y="1044222"/>
                            <a:ext cx="1558276" cy="302542"/>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Medically fit for surgery</w:t>
                              </w:r>
                            </w:p>
                          </w:txbxContent>
                        </wps:txbx>
                        <wps:bodyPr rot="0" vert="horz" wrap="square" lIns="79704" tIns="39851" rIns="79704" bIns="39851" anchor="t" anchorCtr="0" upright="1">
                          <a:noAutofit/>
                        </wps:bodyPr>
                      </wps:wsp>
                      <wps:wsp>
                        <wps:cNvPr id="1917" name="Line 1573"/>
                        <wps:cNvCnPr/>
                        <wps:spPr bwMode="auto">
                          <a:xfrm>
                            <a:off x="898369" y="1345696"/>
                            <a:ext cx="533" cy="154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8" name="Line 1576"/>
                        <wps:cNvCnPr/>
                        <wps:spPr bwMode="auto">
                          <a:xfrm flipV="1">
                            <a:off x="1297408" y="1667981"/>
                            <a:ext cx="912773"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9" name="Line 1577"/>
                        <wps:cNvCnPr/>
                        <wps:spPr bwMode="auto">
                          <a:xfrm>
                            <a:off x="1192847" y="2794908"/>
                            <a:ext cx="533" cy="44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 name="Line 1578"/>
                        <wps:cNvCnPr/>
                        <wps:spPr bwMode="auto">
                          <a:xfrm flipH="1">
                            <a:off x="692982" y="3250588"/>
                            <a:ext cx="4801" cy="719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3" name="Line 1579"/>
                        <wps:cNvCnPr/>
                        <wps:spPr bwMode="auto">
                          <a:xfrm flipH="1">
                            <a:off x="1547607" y="3251655"/>
                            <a:ext cx="8536" cy="730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 name="Line 1580"/>
                        <wps:cNvCnPr/>
                        <wps:spPr bwMode="auto">
                          <a:xfrm flipV="1">
                            <a:off x="697250" y="3246853"/>
                            <a:ext cx="854625" cy="4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5" name="Line 1581"/>
                        <wps:cNvCnPr/>
                        <wps:spPr bwMode="auto">
                          <a:xfrm>
                            <a:off x="1297408" y="1668514"/>
                            <a:ext cx="3734" cy="8009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 name="Line 1582"/>
                        <wps:cNvCnPr/>
                        <wps:spPr bwMode="auto">
                          <a:xfrm flipH="1" flipV="1">
                            <a:off x="1840484" y="1500436"/>
                            <a:ext cx="2134" cy="1664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1583"/>
                        <wps:cNvCnPr/>
                        <wps:spPr bwMode="auto">
                          <a:xfrm flipV="1">
                            <a:off x="1416372" y="1768828"/>
                            <a:ext cx="787940" cy="90815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59" name="Text Box 1584"/>
                        <wps:cNvSpPr txBox="1">
                          <a:spLocks noChangeArrowheads="1"/>
                        </wps:cNvSpPr>
                        <wps:spPr bwMode="auto">
                          <a:xfrm>
                            <a:off x="951717" y="2471557"/>
                            <a:ext cx="595890" cy="391116"/>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p>
                          </w:txbxContent>
                        </wps:txbx>
                        <wps:bodyPr rot="0" vert="horz" wrap="square" lIns="79704" tIns="39851" rIns="79704" bIns="39851" anchor="t" anchorCtr="0" upright="1">
                          <a:noAutofit/>
                        </wps:bodyPr>
                      </wps:wsp>
                      <wps:wsp>
                        <wps:cNvPr id="1160" name="Line 1585"/>
                        <wps:cNvCnPr/>
                        <wps:spPr bwMode="auto">
                          <a:xfrm flipV="1">
                            <a:off x="203253" y="1501503"/>
                            <a:ext cx="1634563"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1" name="Line 1587"/>
                        <wps:cNvCnPr/>
                        <wps:spPr bwMode="auto">
                          <a:xfrm flipH="1">
                            <a:off x="200053" y="1502570"/>
                            <a:ext cx="5868" cy="965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2" name="Text Box 1586"/>
                        <wps:cNvSpPr txBox="1">
                          <a:spLocks noChangeArrowheads="1"/>
                        </wps:cNvSpPr>
                        <wps:spPr bwMode="auto">
                          <a:xfrm>
                            <a:off x="1921038" y="2484363"/>
                            <a:ext cx="611361" cy="378310"/>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Other surgery</w:t>
                              </w:r>
                              <w:r w:rsidRPr="00CB5216">
                                <w:rPr>
                                  <w:rFonts w:ascii="Arial" w:hAnsi="Arial" w:cs="Arial"/>
                                  <w:sz w:val="18"/>
                                  <w:szCs w:val="18"/>
                                  <w:vertAlign w:val="superscript"/>
                                </w:rPr>
                                <w:t>b</w:t>
                              </w:r>
                            </w:p>
                          </w:txbxContent>
                        </wps:txbx>
                        <wps:bodyPr rot="0" vert="horz" wrap="square" lIns="79704" tIns="39851" rIns="79704" bIns="39851" anchor="t" anchorCtr="0" upright="1">
                          <a:noAutofit/>
                        </wps:bodyPr>
                      </wps:wsp>
                      <wps:wsp>
                        <wps:cNvPr id="1163" name="Text Box 1588"/>
                        <wps:cNvSpPr txBox="1">
                          <a:spLocks noChangeArrowheads="1"/>
                        </wps:cNvSpPr>
                        <wps:spPr bwMode="auto">
                          <a:xfrm>
                            <a:off x="86423" y="3984265"/>
                            <a:ext cx="865294" cy="525046"/>
                          </a:xfrm>
                          <a:prstGeom prst="rect">
                            <a:avLst/>
                          </a:prstGeom>
                          <a:solidFill>
                            <a:srgbClr val="FFFFFF"/>
                          </a:solidFill>
                          <a:ln w="6350">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wps:txbx>
                        <wps:bodyPr rot="0" vert="horz" wrap="square" lIns="79704" tIns="39851" rIns="79704" bIns="39851" anchor="t" anchorCtr="0" upright="1">
                          <a:noAutofit/>
                        </wps:bodyPr>
                      </wps:wsp>
                      <wps:wsp>
                        <wps:cNvPr id="1164" name="Text Box 1589"/>
                        <wps:cNvSpPr txBox="1">
                          <a:spLocks noChangeArrowheads="1"/>
                        </wps:cNvSpPr>
                        <wps:spPr bwMode="auto">
                          <a:xfrm>
                            <a:off x="1199782" y="3984265"/>
                            <a:ext cx="1102156" cy="595479"/>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wps:txbx>
                        <wps:bodyPr rot="0" vert="horz" wrap="square" lIns="79704" tIns="39851" rIns="79704" bIns="39851" anchor="t" anchorCtr="0" upright="1">
                          <a:noAutofit/>
                        </wps:bodyPr>
                      </wps:wsp>
                      <wps:wsp>
                        <wps:cNvPr id="1165" name="Line 1590"/>
                        <wps:cNvCnPr/>
                        <wps:spPr bwMode="auto">
                          <a:xfrm>
                            <a:off x="2222451" y="2860539"/>
                            <a:ext cx="3734" cy="1114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6" name="Line 1591"/>
                        <wps:cNvCnPr/>
                        <wps:spPr bwMode="auto">
                          <a:xfrm>
                            <a:off x="203253" y="2862673"/>
                            <a:ext cx="10136" cy="11087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7" name="Line 1594"/>
                        <wps:cNvCnPr/>
                        <wps:spPr bwMode="auto">
                          <a:xfrm>
                            <a:off x="2211248" y="1665846"/>
                            <a:ext cx="7469" cy="799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8" name="Text Box 1595"/>
                        <wps:cNvSpPr txBox="1">
                          <a:spLocks noChangeArrowheads="1"/>
                        </wps:cNvSpPr>
                        <wps:spPr bwMode="auto">
                          <a:xfrm>
                            <a:off x="1351288" y="1941709"/>
                            <a:ext cx="773003" cy="477023"/>
                          </a:xfrm>
                          <a:prstGeom prst="rect">
                            <a:avLst/>
                          </a:prstGeom>
                          <a:solidFill>
                            <a:srgbClr val="FFFFFF"/>
                          </a:solidFill>
                          <a:ln w="9525">
                            <a:solidFill>
                              <a:srgbClr val="FFFFFF"/>
                            </a:solidFill>
                            <a:miter lim="800000"/>
                            <a:headEnd/>
                            <a:tailEnd/>
                          </a:ln>
                        </wps:spPr>
                        <wps:txbx>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wps:txbx>
                        <wps:bodyPr rot="0" vert="horz" wrap="square" lIns="79704" tIns="39851" rIns="79704" bIns="39851" anchor="t" anchorCtr="0" upright="1">
                          <a:noAutofit/>
                        </wps:bodyPr>
                      </wps:wsp>
                      <wps:wsp>
                        <wps:cNvPr id="1169" name="Line 1597"/>
                        <wps:cNvCnPr/>
                        <wps:spPr bwMode="auto">
                          <a:xfrm flipV="1">
                            <a:off x="5567863" y="1681320"/>
                            <a:ext cx="1013600"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0" name="Line 1598"/>
                        <wps:cNvCnPr/>
                        <wps:spPr bwMode="auto">
                          <a:xfrm>
                            <a:off x="5563595" y="2808248"/>
                            <a:ext cx="533" cy="44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599"/>
                        <wps:cNvCnPr/>
                        <wps:spPr bwMode="auto">
                          <a:xfrm flipH="1">
                            <a:off x="5063730" y="3263928"/>
                            <a:ext cx="4801" cy="715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2" name="Line 1600"/>
                        <wps:cNvCnPr/>
                        <wps:spPr bwMode="auto">
                          <a:xfrm flipH="1">
                            <a:off x="5918355" y="3264995"/>
                            <a:ext cx="8536" cy="718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3" name="Line 1601"/>
                        <wps:cNvCnPr/>
                        <wps:spPr bwMode="auto">
                          <a:xfrm flipV="1">
                            <a:off x="5067998" y="3260192"/>
                            <a:ext cx="854625" cy="48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602"/>
                        <wps:cNvCnPr/>
                        <wps:spPr bwMode="auto">
                          <a:xfrm>
                            <a:off x="5566262" y="1681854"/>
                            <a:ext cx="3734" cy="78490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1175" name="Line 1603"/>
                        <wps:cNvCnPr/>
                        <wps:spPr bwMode="auto">
                          <a:xfrm flipH="1" flipV="1">
                            <a:off x="6211232" y="1513775"/>
                            <a:ext cx="2134" cy="1664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6" name="Line 1604"/>
                        <wps:cNvCnPr/>
                        <wps:spPr bwMode="auto">
                          <a:xfrm flipV="1">
                            <a:off x="5795123" y="1777899"/>
                            <a:ext cx="776204" cy="87614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77" name="Text Box 1605"/>
                        <wps:cNvSpPr txBox="1">
                          <a:spLocks noChangeArrowheads="1"/>
                        </wps:cNvSpPr>
                        <wps:spPr bwMode="auto">
                          <a:xfrm>
                            <a:off x="5318197" y="2471557"/>
                            <a:ext cx="600158" cy="391116"/>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r w:rsidRPr="00196972">
                                <w:rPr>
                                  <w:rFonts w:ascii="Arial" w:hAnsi="Arial" w:cs="Arial"/>
                                  <w:sz w:val="18"/>
                                  <w:szCs w:val="18"/>
                                </w:rPr>
                                <w:t xml:space="preserve"> </w:t>
                              </w:r>
                            </w:p>
                          </w:txbxContent>
                        </wps:txbx>
                        <wps:bodyPr rot="0" vert="horz" wrap="square" lIns="79704" tIns="39851" rIns="79704" bIns="39851" anchor="t" anchorCtr="0" upright="1">
                          <a:noAutofit/>
                        </wps:bodyPr>
                      </wps:wsp>
                      <wps:wsp>
                        <wps:cNvPr id="1178" name="Line 1606"/>
                        <wps:cNvCnPr/>
                        <wps:spPr bwMode="auto">
                          <a:xfrm>
                            <a:off x="4513186" y="1513242"/>
                            <a:ext cx="1695912" cy="1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9" name="Text Box 1607"/>
                        <wps:cNvSpPr txBox="1">
                          <a:spLocks noChangeArrowheads="1"/>
                        </wps:cNvSpPr>
                        <wps:spPr bwMode="auto">
                          <a:xfrm>
                            <a:off x="6275782" y="2471557"/>
                            <a:ext cx="623631" cy="378310"/>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Other surgery</w:t>
                              </w:r>
                              <w:r w:rsidRPr="00CB5216">
                                <w:rPr>
                                  <w:rFonts w:ascii="Arial" w:hAnsi="Arial" w:cs="Arial"/>
                                  <w:sz w:val="18"/>
                                  <w:szCs w:val="18"/>
                                  <w:vertAlign w:val="superscript"/>
                                </w:rPr>
                                <w:t>b</w:t>
                              </w:r>
                            </w:p>
                          </w:txbxContent>
                        </wps:txbx>
                        <wps:bodyPr rot="0" vert="horz" wrap="square" lIns="79704" tIns="39851" rIns="79704" bIns="39851" anchor="t" anchorCtr="0" upright="1">
                          <a:noAutofit/>
                        </wps:bodyPr>
                      </wps:wsp>
                      <wps:wsp>
                        <wps:cNvPr id="1180" name="Line 1608"/>
                        <wps:cNvCnPr/>
                        <wps:spPr bwMode="auto">
                          <a:xfrm>
                            <a:off x="4510518" y="1522846"/>
                            <a:ext cx="2667" cy="961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1" name="Text Box 1609"/>
                        <wps:cNvSpPr txBox="1">
                          <a:spLocks noChangeArrowheads="1"/>
                        </wps:cNvSpPr>
                        <wps:spPr bwMode="auto">
                          <a:xfrm>
                            <a:off x="4457171" y="3984265"/>
                            <a:ext cx="861026" cy="525046"/>
                          </a:xfrm>
                          <a:prstGeom prst="rect">
                            <a:avLst/>
                          </a:prstGeom>
                          <a:solidFill>
                            <a:srgbClr val="FFFFFF"/>
                          </a:solidFill>
                          <a:ln w="6350">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wps:txbx>
                        <wps:bodyPr rot="0" vert="horz" wrap="square" lIns="79704" tIns="39851" rIns="79704" bIns="39851" anchor="t" anchorCtr="0" upright="1">
                          <a:noAutofit/>
                        </wps:bodyPr>
                      </wps:wsp>
                      <wps:wsp>
                        <wps:cNvPr id="1182" name="Text Box 1610"/>
                        <wps:cNvSpPr txBox="1">
                          <a:spLocks noChangeArrowheads="1"/>
                        </wps:cNvSpPr>
                        <wps:spPr bwMode="auto">
                          <a:xfrm>
                            <a:off x="5645750" y="3984265"/>
                            <a:ext cx="951717" cy="595479"/>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wps:txbx>
                        <wps:bodyPr rot="0" vert="horz" wrap="square" lIns="79704" tIns="39851" rIns="79704" bIns="39851" anchor="t" anchorCtr="0" upright="1">
                          <a:noAutofit/>
                        </wps:bodyPr>
                      </wps:wsp>
                      <wps:wsp>
                        <wps:cNvPr id="1183" name="Line 1611"/>
                        <wps:cNvCnPr/>
                        <wps:spPr bwMode="auto">
                          <a:xfrm>
                            <a:off x="6593199" y="2841330"/>
                            <a:ext cx="3734" cy="1139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0" name="Line 1612"/>
                        <wps:cNvCnPr/>
                        <wps:spPr bwMode="auto">
                          <a:xfrm>
                            <a:off x="4513186" y="2840796"/>
                            <a:ext cx="5868" cy="11301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 name="Line 1613"/>
                        <wps:cNvCnPr/>
                        <wps:spPr bwMode="auto">
                          <a:xfrm flipV="1">
                            <a:off x="5154954" y="1520178"/>
                            <a:ext cx="399038" cy="109651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22" name="Text Box 1614"/>
                        <wps:cNvSpPr txBox="1">
                          <a:spLocks noChangeArrowheads="1"/>
                        </wps:cNvSpPr>
                        <wps:spPr bwMode="auto">
                          <a:xfrm>
                            <a:off x="4562265" y="1661044"/>
                            <a:ext cx="991194" cy="757688"/>
                          </a:xfrm>
                          <a:prstGeom prst="rect">
                            <a:avLst/>
                          </a:prstGeom>
                          <a:solidFill>
                            <a:srgbClr val="FFFFFF"/>
                          </a:solidFill>
                          <a:ln w="9525">
                            <a:solidFill>
                              <a:srgbClr val="FFFFFF"/>
                            </a:solidFill>
                            <a:miter lim="800000"/>
                            <a:headEnd/>
                            <a:tailEnd/>
                          </a:ln>
                        </wps:spPr>
                        <wps:txbx>
                          <w:txbxContent>
                            <w:p w:rsidR="0042762F" w:rsidRPr="0007443E" w:rsidRDefault="0042762F" w:rsidP="007A764D">
                              <w:pPr>
                                <w:spacing w:after="0"/>
                                <w:ind w:left="0"/>
                                <w:jc w:val="center"/>
                                <w:rPr>
                                  <w:rFonts w:ascii="Arial" w:hAnsi="Arial" w:cs="Arial"/>
                                  <w:sz w:val="17"/>
                                  <w:szCs w:val="17"/>
                                </w:rPr>
                              </w:pPr>
                              <w:r w:rsidRPr="0007443E">
                                <w:rPr>
                                  <w:rFonts w:ascii="Arial" w:hAnsi="Arial" w:cs="Arial"/>
                                  <w:sz w:val="17"/>
                                  <w:szCs w:val="17"/>
                                </w:rPr>
                                <w:t>During procedure: cure not possible or multi stage surgery required</w:t>
                              </w:r>
                            </w:p>
                          </w:txbxContent>
                        </wps:txbx>
                        <wps:bodyPr rot="0" vert="horz" wrap="square" lIns="79704" tIns="39851" rIns="79704" bIns="39851" anchor="t" anchorCtr="0" upright="1">
                          <a:noAutofit/>
                        </wps:bodyPr>
                      </wps:wsp>
                      <wps:wsp>
                        <wps:cNvPr id="1923" name="Line 1615"/>
                        <wps:cNvCnPr/>
                        <wps:spPr bwMode="auto">
                          <a:xfrm>
                            <a:off x="6581996" y="1679186"/>
                            <a:ext cx="7469" cy="791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4" name="Text Box 1616"/>
                        <wps:cNvSpPr txBox="1">
                          <a:spLocks noChangeArrowheads="1"/>
                        </wps:cNvSpPr>
                        <wps:spPr bwMode="auto">
                          <a:xfrm>
                            <a:off x="5645750" y="1900623"/>
                            <a:ext cx="815147" cy="518109"/>
                          </a:xfrm>
                          <a:prstGeom prst="rect">
                            <a:avLst/>
                          </a:prstGeom>
                          <a:solidFill>
                            <a:srgbClr val="FFFFFF"/>
                          </a:solidFill>
                          <a:ln w="9525">
                            <a:solidFill>
                              <a:srgbClr val="FFFFFF"/>
                            </a:solidFill>
                            <a:miter lim="800000"/>
                            <a:headEnd/>
                            <a:tailEnd/>
                          </a:ln>
                        </wps:spPr>
                        <wps:txbx>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wps:txbx>
                        <wps:bodyPr rot="0" vert="horz" wrap="square" lIns="79704" tIns="39851" rIns="79704" bIns="39851" anchor="t" anchorCtr="0" upright="1">
                          <a:noAutofit/>
                        </wps:bodyPr>
                      </wps:wsp>
                      <wps:wsp>
                        <wps:cNvPr id="1925" name="Line 1618"/>
                        <wps:cNvCnPr/>
                        <wps:spPr bwMode="auto">
                          <a:xfrm>
                            <a:off x="8100261" y="1312081"/>
                            <a:ext cx="2667" cy="11658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6" name="Line 1619"/>
                        <wps:cNvCnPr/>
                        <wps:spPr bwMode="auto">
                          <a:xfrm>
                            <a:off x="8264038" y="3019546"/>
                            <a:ext cx="6935" cy="9647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7" name="Line 1620"/>
                        <wps:cNvCnPr/>
                        <wps:spPr bwMode="auto">
                          <a:xfrm>
                            <a:off x="7172018" y="1312081"/>
                            <a:ext cx="1067" cy="1139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8" name="Line 1621"/>
                        <wps:cNvCnPr/>
                        <wps:spPr bwMode="auto">
                          <a:xfrm>
                            <a:off x="7793514" y="3283137"/>
                            <a:ext cx="7469" cy="687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9" name="Text Box 1622"/>
                        <wps:cNvSpPr txBox="1">
                          <a:spLocks noChangeArrowheads="1"/>
                        </wps:cNvSpPr>
                        <wps:spPr bwMode="auto">
                          <a:xfrm>
                            <a:off x="7612133" y="2471557"/>
                            <a:ext cx="799677" cy="460482"/>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Best supportive</w:t>
                              </w:r>
                              <w:r w:rsidRPr="00196972">
                                <w:rPr>
                                  <w:rFonts w:ascii="Arial" w:hAnsi="Arial" w:cs="Arial"/>
                                  <w:sz w:val="18"/>
                                  <w:szCs w:val="18"/>
                                </w:rPr>
                                <w:br/>
                                <w:t>care</w:t>
                              </w:r>
                              <w:r w:rsidRPr="00CB5216">
                                <w:rPr>
                                  <w:rFonts w:ascii="Arial" w:hAnsi="Arial" w:cs="Arial"/>
                                  <w:sz w:val="18"/>
                                  <w:szCs w:val="18"/>
                                  <w:vertAlign w:val="superscript"/>
                                </w:rPr>
                                <w:t>b</w:t>
                              </w:r>
                            </w:p>
                          </w:txbxContent>
                        </wps:txbx>
                        <wps:bodyPr rot="0" vert="horz" wrap="square" lIns="79704" tIns="0" rIns="79704" bIns="0" anchor="t" anchorCtr="0" upright="1">
                          <a:noAutofit/>
                        </wps:bodyPr>
                      </wps:wsp>
                      <wps:wsp>
                        <wps:cNvPr id="1930" name="Text Box 1623"/>
                        <wps:cNvSpPr txBox="1">
                          <a:spLocks noChangeArrowheads="1"/>
                        </wps:cNvSpPr>
                        <wps:spPr bwMode="auto">
                          <a:xfrm>
                            <a:off x="7612133" y="3984265"/>
                            <a:ext cx="869562" cy="525046"/>
                          </a:xfrm>
                          <a:prstGeom prst="rect">
                            <a:avLst/>
                          </a:prstGeom>
                          <a:solidFill>
                            <a:srgbClr val="FFFFFF"/>
                          </a:solidFill>
                          <a:ln w="6350">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wps:txbx>
                        <wps:bodyPr rot="0" vert="horz" wrap="square" lIns="79704" tIns="39851" rIns="79704" bIns="39851" anchor="t" anchorCtr="0" upright="1">
                          <a:noAutofit/>
                        </wps:bodyPr>
                      </wps:wsp>
                      <wps:wsp>
                        <wps:cNvPr id="1931" name="Text Box 1624"/>
                        <wps:cNvSpPr txBox="1">
                          <a:spLocks noChangeArrowheads="1"/>
                        </wps:cNvSpPr>
                        <wps:spPr bwMode="auto">
                          <a:xfrm>
                            <a:off x="6672153" y="3984265"/>
                            <a:ext cx="859426" cy="595479"/>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wps:txbx>
                        <wps:bodyPr rot="0" vert="horz" wrap="square" lIns="79704" tIns="39851" rIns="79704" bIns="39851" anchor="t" anchorCtr="0" upright="1">
                          <a:noAutofit/>
                        </wps:bodyPr>
                      </wps:wsp>
                      <wps:wsp>
                        <wps:cNvPr id="1932" name="Line 1625"/>
                        <wps:cNvCnPr/>
                        <wps:spPr bwMode="auto">
                          <a:xfrm>
                            <a:off x="7173085" y="2841330"/>
                            <a:ext cx="4801" cy="4247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3" name="Line 1626"/>
                        <wps:cNvCnPr/>
                        <wps:spPr bwMode="auto">
                          <a:xfrm>
                            <a:off x="7033314" y="3283137"/>
                            <a:ext cx="533" cy="69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4" name="Line 1627"/>
                        <wps:cNvCnPr/>
                        <wps:spPr bwMode="auto">
                          <a:xfrm flipV="1">
                            <a:off x="7033314" y="3276200"/>
                            <a:ext cx="760200"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5" name="Line 1628"/>
                        <wps:cNvCnPr/>
                        <wps:spPr bwMode="auto">
                          <a:xfrm flipV="1">
                            <a:off x="7503838" y="1460950"/>
                            <a:ext cx="586821" cy="107943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36" name="Text Box 1629"/>
                        <wps:cNvSpPr txBox="1">
                          <a:spLocks noChangeArrowheads="1"/>
                        </wps:cNvSpPr>
                        <wps:spPr bwMode="auto">
                          <a:xfrm>
                            <a:off x="7275511" y="1679719"/>
                            <a:ext cx="768202" cy="477557"/>
                          </a:xfrm>
                          <a:prstGeom prst="rect">
                            <a:avLst/>
                          </a:prstGeom>
                          <a:solidFill>
                            <a:srgbClr val="FFFFFF"/>
                          </a:solidFill>
                          <a:ln w="9525">
                            <a:solidFill>
                              <a:srgbClr val="FFFFFF"/>
                            </a:solidFill>
                            <a:miter lim="800000"/>
                            <a:headEnd/>
                            <a:tailEnd/>
                          </a:ln>
                        </wps:spPr>
                        <wps:txbx>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wps:txbx>
                        <wps:bodyPr rot="0" vert="horz" wrap="square" lIns="79704" tIns="39851" rIns="79704" bIns="39851" anchor="t" anchorCtr="0" upright="1">
                          <a:noAutofit/>
                        </wps:bodyPr>
                      </wps:wsp>
                      <wps:wsp>
                        <wps:cNvPr id="1937" name="Text Box 1630"/>
                        <wps:cNvSpPr txBox="1">
                          <a:spLocks noChangeArrowheads="1"/>
                        </wps:cNvSpPr>
                        <wps:spPr bwMode="auto">
                          <a:xfrm>
                            <a:off x="2532399" y="1066633"/>
                            <a:ext cx="1503328" cy="263056"/>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Medically unfit for surgery</w:t>
                              </w:r>
                            </w:p>
                          </w:txbxContent>
                        </wps:txbx>
                        <wps:bodyPr rot="0" vert="horz" wrap="square" lIns="79704" tIns="39851" rIns="79704" bIns="39851" anchor="t" anchorCtr="0" upright="1">
                          <a:noAutofit/>
                        </wps:bodyPr>
                      </wps:wsp>
                      <wps:wsp>
                        <wps:cNvPr id="1938" name="Line 1631"/>
                        <wps:cNvCnPr/>
                        <wps:spPr bwMode="auto">
                          <a:xfrm>
                            <a:off x="4035193" y="3019013"/>
                            <a:ext cx="533" cy="9556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9" name="Text Box 1632"/>
                        <wps:cNvSpPr txBox="1">
                          <a:spLocks noChangeArrowheads="1"/>
                        </wps:cNvSpPr>
                        <wps:spPr bwMode="auto">
                          <a:xfrm>
                            <a:off x="2760725" y="2471557"/>
                            <a:ext cx="514268" cy="390049"/>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r w:rsidRPr="00196972">
                                <w:rPr>
                                  <w:rFonts w:ascii="Arial" w:hAnsi="Arial" w:cs="Arial"/>
                                  <w:sz w:val="18"/>
                                  <w:szCs w:val="18"/>
                                </w:rPr>
                                <w:t xml:space="preserve"> </w:t>
                              </w:r>
                            </w:p>
                          </w:txbxContent>
                        </wps:txbx>
                        <wps:bodyPr rot="0" vert="horz" wrap="square" lIns="79704" tIns="39851" rIns="79704" bIns="39851" anchor="t" anchorCtr="0" upright="1">
                          <a:noAutofit/>
                        </wps:bodyPr>
                      </wps:wsp>
                      <wps:wsp>
                        <wps:cNvPr id="1940" name="Line 1633"/>
                        <wps:cNvCnPr/>
                        <wps:spPr bwMode="auto">
                          <a:xfrm flipH="1">
                            <a:off x="3030663" y="1339293"/>
                            <a:ext cx="2667" cy="11311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1" name="Line 1634"/>
                        <wps:cNvCnPr/>
                        <wps:spPr bwMode="auto">
                          <a:xfrm>
                            <a:off x="3551333" y="3293275"/>
                            <a:ext cx="7469" cy="687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2" name="Text Box 1635"/>
                        <wps:cNvSpPr txBox="1">
                          <a:spLocks noChangeArrowheads="1"/>
                        </wps:cNvSpPr>
                        <wps:spPr bwMode="auto">
                          <a:xfrm>
                            <a:off x="3369952" y="2471557"/>
                            <a:ext cx="860493" cy="460482"/>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Best supportive care</w:t>
                              </w:r>
                              <w:r w:rsidRPr="00CB5216">
                                <w:rPr>
                                  <w:rFonts w:ascii="Arial" w:hAnsi="Arial" w:cs="Arial"/>
                                  <w:sz w:val="18"/>
                                  <w:szCs w:val="18"/>
                                  <w:vertAlign w:val="superscript"/>
                                </w:rPr>
                                <w:t>b</w:t>
                              </w:r>
                              <w:r w:rsidRPr="00196972">
                                <w:rPr>
                                  <w:rFonts w:ascii="Arial" w:hAnsi="Arial" w:cs="Arial"/>
                                  <w:sz w:val="18"/>
                                  <w:szCs w:val="18"/>
                                </w:rPr>
                                <w:t xml:space="preserve"> </w:t>
                              </w:r>
                            </w:p>
                          </w:txbxContent>
                        </wps:txbx>
                        <wps:bodyPr rot="0" vert="horz" wrap="square" lIns="79704" tIns="0" rIns="79704" bIns="0" anchor="t" anchorCtr="0" upright="1">
                          <a:noAutofit/>
                        </wps:bodyPr>
                      </wps:wsp>
                      <wps:wsp>
                        <wps:cNvPr id="1943" name="Text Box 1636"/>
                        <wps:cNvSpPr txBox="1">
                          <a:spLocks noChangeArrowheads="1"/>
                        </wps:cNvSpPr>
                        <wps:spPr bwMode="auto">
                          <a:xfrm>
                            <a:off x="3470245" y="3974660"/>
                            <a:ext cx="850357" cy="534650"/>
                          </a:xfrm>
                          <a:prstGeom prst="rect">
                            <a:avLst/>
                          </a:prstGeom>
                          <a:solidFill>
                            <a:srgbClr val="FFFFFF"/>
                          </a:solidFill>
                          <a:ln w="6350">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wps:txbx>
                        <wps:bodyPr rot="0" vert="horz" wrap="square" lIns="79704" tIns="39851" rIns="79704" bIns="39851" anchor="t" anchorCtr="0" upright="1">
                          <a:noAutofit/>
                        </wps:bodyPr>
                      </wps:wsp>
                      <wps:wsp>
                        <wps:cNvPr id="1944" name="Text Box 1637"/>
                        <wps:cNvSpPr txBox="1">
                          <a:spLocks noChangeArrowheads="1"/>
                        </wps:cNvSpPr>
                        <wps:spPr bwMode="auto">
                          <a:xfrm>
                            <a:off x="2509993" y="3984265"/>
                            <a:ext cx="859959" cy="595479"/>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wps:txbx>
                        <wps:bodyPr rot="0" vert="horz" wrap="square" lIns="79704" tIns="39851" rIns="79704" bIns="39851" anchor="t" anchorCtr="0" upright="1">
                          <a:noAutofit/>
                        </wps:bodyPr>
                      </wps:wsp>
                      <wps:wsp>
                        <wps:cNvPr id="1945" name="Line 1638"/>
                        <wps:cNvCnPr/>
                        <wps:spPr bwMode="auto">
                          <a:xfrm>
                            <a:off x="3033330" y="2860539"/>
                            <a:ext cx="1067" cy="425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6" name="Line 1639"/>
                        <wps:cNvCnPr/>
                        <wps:spPr bwMode="auto">
                          <a:xfrm>
                            <a:off x="2791133" y="3293275"/>
                            <a:ext cx="533" cy="69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7" name="Line 1640"/>
                        <wps:cNvCnPr/>
                        <wps:spPr bwMode="auto">
                          <a:xfrm flipV="1">
                            <a:off x="2791133" y="3286338"/>
                            <a:ext cx="760200"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8" name="Line 1641"/>
                        <wps:cNvCnPr/>
                        <wps:spPr bwMode="auto">
                          <a:xfrm flipV="1">
                            <a:off x="3272326" y="1482827"/>
                            <a:ext cx="580419" cy="116481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49" name="Text Box 1642"/>
                        <wps:cNvSpPr txBox="1">
                          <a:spLocks noChangeArrowheads="1"/>
                        </wps:cNvSpPr>
                        <wps:spPr bwMode="auto">
                          <a:xfrm>
                            <a:off x="3083477" y="1665846"/>
                            <a:ext cx="842355" cy="464217"/>
                          </a:xfrm>
                          <a:prstGeom prst="rect">
                            <a:avLst/>
                          </a:prstGeom>
                          <a:solidFill>
                            <a:srgbClr val="FFFFFF"/>
                          </a:solidFill>
                          <a:ln w="9525">
                            <a:solidFill>
                              <a:srgbClr val="FFFFFF"/>
                            </a:solidFill>
                            <a:miter lim="800000"/>
                            <a:headEnd/>
                            <a:tailEnd/>
                          </a:ln>
                        </wps:spPr>
                        <wps:txbx>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wps:txbx>
                        <wps:bodyPr rot="0" vert="horz" wrap="square" lIns="79704" tIns="39851" rIns="79704" bIns="39851" anchor="t" anchorCtr="0" upright="1">
                          <a:noAutofit/>
                        </wps:bodyPr>
                      </wps:wsp>
                      <wps:wsp>
                        <wps:cNvPr id="1950" name="Line 1643"/>
                        <wps:cNvCnPr/>
                        <wps:spPr bwMode="auto">
                          <a:xfrm flipV="1">
                            <a:off x="3275527" y="3019546"/>
                            <a:ext cx="760200"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1" name="Line 1644"/>
                        <wps:cNvCnPr/>
                        <wps:spPr bwMode="auto">
                          <a:xfrm flipH="1">
                            <a:off x="3860748" y="2932039"/>
                            <a:ext cx="533" cy="86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 name="Line 1645"/>
                        <wps:cNvCnPr/>
                        <wps:spPr bwMode="auto">
                          <a:xfrm>
                            <a:off x="3274460" y="3015811"/>
                            <a:ext cx="533" cy="95564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53" name="Line 1646"/>
                        <wps:cNvCnPr/>
                        <wps:spPr bwMode="auto">
                          <a:xfrm flipH="1">
                            <a:off x="8090659" y="2932039"/>
                            <a:ext cx="533" cy="86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4" name="Line 1647"/>
                        <wps:cNvCnPr/>
                        <wps:spPr bwMode="auto">
                          <a:xfrm flipV="1">
                            <a:off x="7503838" y="3020080"/>
                            <a:ext cx="760200" cy="5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5" name="Line 1648"/>
                        <wps:cNvCnPr/>
                        <wps:spPr bwMode="auto">
                          <a:xfrm>
                            <a:off x="7503305" y="3028617"/>
                            <a:ext cx="533" cy="95564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56" name="Text Box 1649"/>
                        <wps:cNvSpPr txBox="1">
                          <a:spLocks noChangeArrowheads="1"/>
                        </wps:cNvSpPr>
                        <wps:spPr bwMode="auto">
                          <a:xfrm>
                            <a:off x="7015710" y="2471557"/>
                            <a:ext cx="514268" cy="390049"/>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r w:rsidRPr="00196972">
                                <w:rPr>
                                  <w:rFonts w:ascii="Arial" w:hAnsi="Arial" w:cs="Arial"/>
                                  <w:sz w:val="18"/>
                                  <w:szCs w:val="18"/>
                                </w:rPr>
                                <w:t xml:space="preserve"> </w:t>
                              </w:r>
                            </w:p>
                          </w:txbxContent>
                        </wps:txbx>
                        <wps:bodyPr rot="0" vert="horz" wrap="square" lIns="79704" tIns="39851" rIns="79704" bIns="39851" anchor="t" anchorCtr="0" upright="1">
                          <a:noAutofit/>
                        </wps:bodyPr>
                      </wps:wsp>
                      <wps:wsp>
                        <wps:cNvPr id="1957" name="Line 1650"/>
                        <wps:cNvCnPr/>
                        <wps:spPr bwMode="auto">
                          <a:xfrm>
                            <a:off x="3853812" y="1330223"/>
                            <a:ext cx="6935" cy="1142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8" name="Text Box 1651"/>
                        <wps:cNvSpPr txBox="1">
                          <a:spLocks noChangeArrowheads="1"/>
                        </wps:cNvSpPr>
                        <wps:spPr bwMode="auto">
                          <a:xfrm>
                            <a:off x="3161364" y="54959"/>
                            <a:ext cx="2633759" cy="247049"/>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Large bowel obstruction, stricture or stenosis</w:t>
                              </w:r>
                            </w:p>
                          </w:txbxContent>
                        </wps:txbx>
                        <wps:bodyPr rot="0" vert="horz" wrap="square" lIns="79704" tIns="39851" rIns="79704" bIns="39851" anchor="t" anchorCtr="0" upright="1">
                          <a:noAutofit/>
                        </wps:bodyPr>
                      </wps:wsp>
                      <wps:wsp>
                        <wps:cNvPr id="1959" name="Text Box 1617"/>
                        <wps:cNvSpPr txBox="1">
                          <a:spLocks noChangeArrowheads="1"/>
                        </wps:cNvSpPr>
                        <wps:spPr bwMode="auto">
                          <a:xfrm>
                            <a:off x="6752174" y="1127995"/>
                            <a:ext cx="1603088" cy="273195"/>
                          </a:xfrm>
                          <a:prstGeom prst="rect">
                            <a:avLst/>
                          </a:prstGeom>
                          <a:solidFill>
                            <a:srgbClr val="FFFFFF"/>
                          </a:solidFill>
                          <a:ln w="9525">
                            <a:solidFill>
                              <a:srgbClr val="000000"/>
                            </a:solidFill>
                            <a:miter lim="800000"/>
                            <a:headEnd/>
                            <a:tailEnd/>
                          </a:ln>
                        </wps:spPr>
                        <wps:txbx>
                          <w:txbxContent>
                            <w:p w:rsidR="0042762F" w:rsidRPr="0044517E" w:rsidRDefault="0042762F" w:rsidP="007A764D">
                              <w:pPr>
                                <w:pStyle w:val="TableText0"/>
                                <w:rPr>
                                  <w:rFonts w:ascii="Arial" w:hAnsi="Arial" w:cs="Arial"/>
                                  <w:szCs w:val="18"/>
                                  <w:lang w:eastAsia="en-AU"/>
                                </w:rPr>
                              </w:pPr>
                              <w:r w:rsidRPr="0044517E">
                                <w:rPr>
                                  <w:rFonts w:ascii="Arial" w:hAnsi="Arial" w:cs="Arial"/>
                                  <w:szCs w:val="18"/>
                                  <w:lang w:eastAsia="en-AU"/>
                                </w:rPr>
                                <w:t>Medically unfit for surgery</w:t>
                              </w:r>
                            </w:p>
                          </w:txbxContent>
                        </wps:txbx>
                        <wps:bodyPr rot="0" vert="horz" wrap="square" lIns="79704" tIns="39851" rIns="79704" bIns="39851" anchor="t" anchorCtr="0" upright="1">
                          <a:noAutofit/>
                        </wps:bodyPr>
                      </wps:wsp>
                      <wps:wsp>
                        <wps:cNvPr id="1960" name="Text Box 1575"/>
                        <wps:cNvSpPr txBox="1">
                          <a:spLocks noChangeArrowheads="1"/>
                        </wps:cNvSpPr>
                        <wps:spPr bwMode="auto">
                          <a:xfrm>
                            <a:off x="0" y="2471557"/>
                            <a:ext cx="791675" cy="628561"/>
                          </a:xfrm>
                          <a:prstGeom prst="rect">
                            <a:avLst/>
                          </a:prstGeom>
                          <a:solidFill>
                            <a:srgbClr val="FFFFFF"/>
                          </a:solidFill>
                          <a:ln w="9525">
                            <a:solidFill>
                              <a:srgbClr val="000000"/>
                            </a:solidFill>
                            <a:miter lim="800000"/>
                            <a:headEnd/>
                            <a:tailEnd/>
                          </a:ln>
                        </wps:spPr>
                        <wps:txbx>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 xml:space="preserve">Intended </w:t>
                              </w:r>
                              <w:r>
                                <w:rPr>
                                  <w:rFonts w:ascii="Arial" w:hAnsi="Arial" w:cs="Arial"/>
                                  <w:sz w:val="18"/>
                                  <w:szCs w:val="18"/>
                                </w:rPr>
                                <w:t>single-stage</w:t>
                              </w:r>
                              <w:r w:rsidRPr="00196972">
                                <w:rPr>
                                  <w:rFonts w:ascii="Arial" w:hAnsi="Arial" w:cs="Arial"/>
                                  <w:sz w:val="18"/>
                                  <w:szCs w:val="18"/>
                                </w:rPr>
                                <w:t xml:space="preserve"> curative surgery</w:t>
                              </w:r>
                              <w:r w:rsidRPr="00CB5216">
                                <w:rPr>
                                  <w:rFonts w:ascii="Arial" w:hAnsi="Arial" w:cs="Arial"/>
                                  <w:sz w:val="18"/>
                                  <w:szCs w:val="18"/>
                                  <w:vertAlign w:val="superscript"/>
                                </w:rPr>
                                <w:t>b</w:t>
                              </w:r>
                            </w:p>
                            <w:p w:rsidR="0042762F" w:rsidRPr="00584E7B" w:rsidRDefault="0042762F" w:rsidP="007A764D">
                              <w:pPr>
                                <w:spacing w:after="0"/>
                                <w:jc w:val="center"/>
                                <w:rPr>
                                  <w:color w:val="000000"/>
                                  <w:sz w:val="13"/>
                                  <w:szCs w:val="16"/>
                                </w:rPr>
                              </w:pPr>
                            </w:p>
                          </w:txbxContent>
                        </wps:txbx>
                        <wps:bodyPr rot="0" vert="horz" wrap="square" lIns="79704" tIns="39851" rIns="79704" bIns="39851" anchor="t" anchorCtr="0" upright="1">
                          <a:noAutofit/>
                        </wps:bodyPr>
                      </wps:wsp>
                      <wps:wsp>
                        <wps:cNvPr id="1961" name="Text Box 1596"/>
                        <wps:cNvSpPr txBox="1">
                          <a:spLocks noChangeArrowheads="1"/>
                        </wps:cNvSpPr>
                        <wps:spPr bwMode="auto">
                          <a:xfrm>
                            <a:off x="4370748" y="2471557"/>
                            <a:ext cx="791675" cy="628561"/>
                          </a:xfrm>
                          <a:prstGeom prst="rect">
                            <a:avLst/>
                          </a:prstGeom>
                          <a:solidFill>
                            <a:srgbClr val="FFFFFF"/>
                          </a:solidFill>
                          <a:ln w="9525">
                            <a:solidFill>
                              <a:srgbClr val="000000"/>
                            </a:solidFill>
                            <a:miter lim="800000"/>
                            <a:headEnd/>
                            <a:tailEnd/>
                          </a:ln>
                        </wps:spPr>
                        <wps:txbx>
                          <w:txbxContent>
                            <w:p w:rsidR="0042762F" w:rsidRPr="0007443E" w:rsidRDefault="0042762F" w:rsidP="007A764D">
                              <w:pPr>
                                <w:spacing w:after="0"/>
                                <w:ind w:left="0"/>
                                <w:jc w:val="center"/>
                                <w:rPr>
                                  <w:rFonts w:ascii="Arial" w:hAnsi="Arial" w:cs="Arial"/>
                                  <w:sz w:val="17"/>
                                  <w:szCs w:val="17"/>
                                </w:rPr>
                              </w:pPr>
                              <w:r w:rsidRPr="0007443E">
                                <w:rPr>
                                  <w:rFonts w:ascii="Arial" w:hAnsi="Arial" w:cs="Arial"/>
                                  <w:sz w:val="17"/>
                                  <w:szCs w:val="17"/>
                                </w:rPr>
                                <w:t xml:space="preserve">Intended </w:t>
                              </w:r>
                              <w:r>
                                <w:rPr>
                                  <w:rFonts w:ascii="Arial" w:hAnsi="Arial" w:cs="Arial"/>
                                  <w:sz w:val="17"/>
                                  <w:szCs w:val="17"/>
                                </w:rPr>
                                <w:t>single-stage</w:t>
                              </w:r>
                              <w:r w:rsidRPr="0007443E">
                                <w:rPr>
                                  <w:rFonts w:ascii="Arial" w:hAnsi="Arial" w:cs="Arial"/>
                                  <w:sz w:val="17"/>
                                  <w:szCs w:val="17"/>
                                </w:rPr>
                                <w:t xml:space="preserve"> curative surgery</w:t>
                              </w:r>
                              <w:r w:rsidRPr="00CB5216">
                                <w:rPr>
                                  <w:rFonts w:ascii="Arial" w:hAnsi="Arial" w:cs="Arial"/>
                                  <w:sz w:val="18"/>
                                  <w:szCs w:val="18"/>
                                  <w:vertAlign w:val="superscript"/>
                                </w:rPr>
                                <w:t>b</w:t>
                              </w:r>
                            </w:p>
                          </w:txbxContent>
                        </wps:txbx>
                        <wps:bodyPr rot="0" vert="horz" wrap="square" lIns="79704" tIns="39851" rIns="79704" bIns="39851" anchor="t" anchorCtr="0" upright="1">
                          <a:noAutofit/>
                        </wps:bodyPr>
                      </wps:wsp>
                      <wps:wsp>
                        <wps:cNvPr id="1962" name="Text Box 1593"/>
                        <wps:cNvSpPr txBox="1">
                          <a:spLocks noChangeArrowheads="1"/>
                        </wps:cNvSpPr>
                        <wps:spPr bwMode="auto">
                          <a:xfrm>
                            <a:off x="213389" y="1616223"/>
                            <a:ext cx="985859" cy="73954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2762F" w:rsidRPr="0007443E" w:rsidRDefault="0042762F" w:rsidP="007A764D">
                              <w:pPr>
                                <w:spacing w:after="0"/>
                                <w:ind w:left="0"/>
                                <w:jc w:val="center"/>
                                <w:rPr>
                                  <w:rFonts w:ascii="Arial" w:hAnsi="Arial" w:cs="Arial"/>
                                  <w:sz w:val="17"/>
                                  <w:szCs w:val="17"/>
                                </w:rPr>
                              </w:pPr>
                              <w:r w:rsidRPr="0007443E">
                                <w:rPr>
                                  <w:rFonts w:ascii="Arial" w:hAnsi="Arial" w:cs="Arial"/>
                                  <w:sz w:val="17"/>
                                  <w:szCs w:val="17"/>
                                </w:rPr>
                                <w:t>During procedure: cure not possible or multi stage surgery required</w:t>
                              </w:r>
                            </w:p>
                          </w:txbxContent>
                        </wps:txbx>
                        <wps:bodyPr rot="0" vert="horz" wrap="square" lIns="79704" tIns="39851" rIns="79704" bIns="39851" anchor="t" anchorCtr="0" upright="1">
                          <a:noAutofit/>
                        </wps:bodyPr>
                      </wps:wsp>
                      <wps:wsp>
                        <wps:cNvPr id="1963" name="Line 1774"/>
                        <wps:cNvCnPr/>
                        <wps:spPr bwMode="auto">
                          <a:xfrm>
                            <a:off x="5569997" y="1679186"/>
                            <a:ext cx="8002" cy="7918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53" o:spid="_x0000_s1088" editas="canvas" alt="Title: Figure 2 Proposed clinical management algorithm (once SEMS insertion introduced)" style="width:667.85pt;height:361.45pt;mso-position-horizontal-relative:char;mso-position-vertical-relative:line" coordsize="84816,4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">
                <v:shape id="_x0000_s1089" type="#_x0000_t75" style="position:absolute;width:84816;height:45904;visibility:visible;mso-wrap-style:square">
                  <v:fill o:detectmouseclick="t"/>
                  <v:path o:connecttype="none"/>
                </v:shape>
                <v:line id="Line 1592" o:spid="_x0000_s1090" style="position:absolute;flip:y;visibility:visible;mso-wrap-style:square" from="7922,15031" to="11832,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tAsUAAADdAAAADwAAAGRycy9kb3ducmV2LnhtbESPQWvCQBCF70L/wzIFb7pRUGzqKlIo&#10;9FAUo4ceh+yYpGZnQ3aj6793DoXe5jHve/NmvU2uVTfqQ+PZwGyagSIuvW24MnA+fU5WoEJEtth6&#10;JgMPCrDdvIzWmFt/5yPdilgpCeGQo4E6xi7XOpQ1OQxT3xHL7uJ7h1FkX2nb413CXavnWbbUDhuW&#10;CzV29FFTeS0GJzUWQ3tKs+F7jj+pOvp9cTn8PowZv6bdO6hIKf6b/+gvK9zqTerKNzKC3j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tAsUAAADdAAAADwAAAAAAAAAA&#10;AAAAAAChAgAAZHJzL2Rvd25yZXYueG1sUEsFBgAAAAAEAAQA+QAAAJMDAAAAAA==&#10;">
                  <v:stroke dashstyle="dash" endarrow="block"/>
                </v:line>
                <v:shape id="Text Box 1555" o:spid="_x0000_s1091" type="#_x0000_t202" style="position:absolute;left:45622;top:4956;width:36516;height:3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ac8UA&#10;AADdAAAADwAAAGRycy9kb3ducmV2LnhtbERPTWsCMRC9F/ofwhS8lJqtBdGtUawoVA+CW4X2Nmym&#10;u4ubyZJEXf31RhC8zeN9zmjSmlocyfnKsoL3bgKCOLe64kLB9mfxNgDhA7LG2jIpOJOHyfj5aYSp&#10;tife0DELhYgh7FNUUIbQpFL6vCSDvmsb4sj9W2cwROgKqR2eYripZS9J+tJgxbGhxIZmJeX77GAU&#10;JLu/atl4Zz4Wcj1/XV1m/PuVKdV5aaefIAK14SG+u791nD8YDuH2TTxBj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pz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 xml:space="preserve">Patients with colorectal obstruction due to pre-diagnosed cancer </w:t>
                        </w:r>
                      </w:p>
                    </w:txbxContent>
                  </v:textbox>
                </v:shape>
                <v:line id="Line 1556" o:spid="_x0000_s1092" style="position:absolute;visibility:visible;mso-wrap-style:square" from="44401,2502" to="44411,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HfNc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f8hE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1HfNcgAAADdAAAADwAAAAAA&#10;AAAAAAAAAAChAgAAZHJzL2Rvd25yZXYueG1sUEsFBgAAAAAEAAQA+QAAAJYDAAAAAA==&#10;"/>
                <v:line id="Line 1557" o:spid="_x0000_s1093" style="position:absolute;visibility:visible;mso-wrap-style:square" from="41770,23557" to="41770,23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HvusMAAADdAAAADwAAAGRycy9kb3ducmV2LnhtbERPyWrDMBC9F/oPYgq9NbJ7aGInSig1&#10;gR7aQBZ6nloTy9QaGUtxlL+PCoHc5vHWWayi7cRIg28dK8gnGQji2umWGwWH/fplBsIHZI2dY1Jw&#10;IQ+r5ePDAkvtzrylcRcakULYl6jAhNCXUvrakEU/cT1x4o5usBgSHBqpBzyncNvJ1yx7kxZbTg0G&#10;e/owVP/tTlbB1FRbOZXV135TjW1exO/481so9fwU3+cgAsVwF9/cnzrNL7Ic/r9JJ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R77rDAAAA3QAAAA8AAAAAAAAAAAAA&#10;AAAAoQIAAGRycy9kb3ducmV2LnhtbFBLBQYAAAAABAAEAPkAAACRAwAAAAA=&#10;">
                  <v:stroke endarrow="block"/>
                </v:line>
                <v:line id="Line 1558" o:spid="_x0000_s1094" style="position:absolute;visibility:visible;mso-wrap-style:square" from="23440,3708" to="67521,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k2cUAAADdAAAADwAAAGRycy9kb3ducmV2LnhtbERPTWvCQBC9F/wPywje6qYKoY2uIpaC&#10;eijVFvQ4ZsckNTsbdtck/ffdgtDbPN7nzJe9qUVLzleWFTyNExDEudUVFwq+Pt8en0H4gKyxtkwK&#10;fsjDcjF4mGOmbcd7ag+hEDGEfYYKyhCaTEqfl2TQj21DHLmLdQZDhK6Q2mEXw00tJ0mSSoMVx4YS&#10;G1qXlF8PN6PgffqRtqvtbtMft+k5f92fT9+dU2o07FczEIH68C++uzc6zn9JJv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k2cUAAADdAAAADwAAAAAAAAAA&#10;AAAAAAChAgAAZHJzL2Rvd25yZXYueG1sUEsFBgAAAAAEAAQA+QAAAJMDAAAAAA==&#10;"/>
                <v:line id="Line 1559" o:spid="_x0000_s1095" style="position:absolute;visibility:visible;mso-wrap-style:square" from="67511,3676" to="67521,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NBQsUAAADdAAAADwAAAGRycy9kb3ducmV2LnhtbERPS2vCQBC+C/6HZYTedGOFUFNXEUtB&#10;eyj1Ae1xzE6TaHY27G6T9N93C4K3+fies1j1phYtOV9ZVjCdJCCIc6srLhScjq/jJxA+IGusLZOC&#10;X/KwWg4HC8y07XhP7SEUIoawz1BBGUKTSenzkgz6iW2II/dtncEQoSukdtjFcFPLxyRJpcGKY0OJ&#10;DW1Kyq+HH6PgffaRtuvd27b/3KXn/GV//rp0TqmHUb9+BhGoD3fxzb3Vcf48m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NBQsUAAADdAAAADwAAAAAAAAAA&#10;AAAAAAChAgAAZHJzL2Rvd25yZXYueG1sUEsFBgAAAAAEAAQA+QAAAJMDAAAAAA==&#10;"/>
                <v:line id="Line 1560" o:spid="_x0000_s1096" style="position:absolute;flip:x y;visibility:visible;mso-wrap-style:square" from="67500,8195" to="67511,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pr8EAAADdAAAADwAAAGRycy9kb3ducmV2LnhtbERPS4vCMBC+C/6HMMJeFk11RbQaRYSV&#10;PSm+8Do0Y1tsJqWJtvrrjbDgbT6+58wWjSnEnSqXW1bQ70UgiBOrc04VHA+/3TEI55E1FpZJwYMc&#10;LObt1gxjbWve0X3vUxFC2MWoIPO+jKV0SUYGXc+WxIG72MqgD7BKpa6wDuGmkIMoGkmDOYeGDEta&#10;ZZRc9zejAHnz/BnXfRrKNZ3dYLP9Xp4uSn11muUUhKfGf8T/7j8d5k+iIby/CS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gimvwQAAAN0AAAAPAAAAAAAAAAAAAAAA&#10;AKECAABkcnMvZG93bnJldi54bWxQSwUGAAAAAAQABAD5AAAAjwMAAAAA&#10;"/>
                <v:line id="Line 1561" o:spid="_x0000_s1097" style="position:absolute;visibility:visible;mso-wrap-style:square" from="54643,9279" to="81061,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8rcUAAADdAAAADwAAAGRycy9kb3ducmV2LnhtbERPTWvCQBC9C/6HZYTedNMWQ5u6irQU&#10;tAdRW2iPY3aaRLOzYXdN0n/vCkJv83ifM1v0phYtOV9ZVnA/SUAQ51ZXXCj4+nwfP4HwAVljbZkU&#10;/JGHxXw4mGGmbcc7avehEDGEfYYKyhCaTEqfl2TQT2xDHLlf6wyGCF0htcMuhptaPiRJKg1WHBtK&#10;bOi1pPy0PxsFm8dt2i7XH6v+e50e8rfd4efYOaXuRv3yBUSgPvyLb+6VjvOfk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Z8rcUAAADdAAAADwAAAAAAAAAA&#10;AAAAAAChAgAAZHJzL2Rvd25yZXYueG1sUEsFBgAAAAAEAAQA+QAAAJMDAAAAAA==&#10;"/>
                <v:line id="Line 1562" o:spid="_x0000_s1098" style="position:absolute;flip:x;visibility:visible;mso-wrap-style:square" from="81039,9289" to="81061,1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JcUAAADdAAAADwAAAGRycy9kb3ducmV2LnhtbERPTWsCMRC9F/ofwgi9lJqtFNHVKFIQ&#10;PHiplV16GzfjZtnNZJtE3f77plDwNo/3Ocv1YDtxJR8axwpexxkI4srphmsFx8/tywxEiMgaO8ek&#10;4IcCrFePD0vMtbvxB10PsRYphEOOCkyMfS5lqAxZDGPXEyfu7LzFmKCvpfZ4S+G2k5Msm0qLDacG&#10;gz29G6raw8UqkLP987ffnN7aoi3LuSmqov/aK/U0GjYLEJGGeBf/u3c6zZ9nU/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SJcUAAADdAAAADwAAAAAAAAAA&#10;AAAAAAChAgAAZHJzL2Rvd25yZXYueG1sUEsFBgAAAAAEAAQA+QAAAJMDAAAAAA==&#10;"/>
                <v:shape id="Text Box 1563" o:spid="_x0000_s1099" type="#_x0000_t202" style="position:absolute;left:48076;top:10666;width:13540;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xgMUA&#10;AADdAAAADwAAAGRycy9kb3ducmV2LnhtbERPTWsCMRC9C/6HMIKXookWWrs1iopC20Ohq4X2Nmym&#10;u4ubyZJE3fbXN4WCt3m8z5kvO9uIM/lQO9YwGSsQxIUzNZcaDvvdaAYiRGSDjWPS8E0Blot+b46Z&#10;cRd+o3MeS5FCOGSooYqxzaQMRUUWw9i1xIn7ct5iTNCX0ni8pHDbyKlSd9JizamhwpY2FRXH/GQ1&#10;qPfP+rkN3t7u5Ov25uVnwx/rXOvhoFs9gojUxav43/1k0vwHdQ9/36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GA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Medically fit for surgery</w:t>
                        </w:r>
                      </w:p>
                    </w:txbxContent>
                  </v:textbox>
                </v:shape>
                <v:line id="Line 1564" o:spid="_x0000_s1100" style="position:absolute;visibility:visible;mso-wrap-style:square" from="54643,9279" to="54649,1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TM8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f8hE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SfTM8gAAADdAAAADwAAAAAA&#10;AAAAAAAAAAChAgAAZHJzL2Rvd25yZXYueG1sUEsFBgAAAAAEAAQA+QAAAJYDAAAAAA==&#10;"/>
                <v:line id="Line 1565" o:spid="_x0000_s1101" style="position:absolute;flip:x;visibility:visible;mso-wrap-style:square" from="54654,13467" to="54681,1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GV8UAAADdAAAADwAAAGRycy9kb3ducmV2LnhtbERPTWsCMRC9F/wPYQQvRbOVUtzVKFIo&#10;9OCltqz0Nm7GzbKbyTZJdfvvG0HwNo/3OavNYDtxJh8axwqeZhkI4srphmsFX59v0wWIEJE1do5J&#10;wR8F2KxHDysstLvwB533sRYphEOBCkyMfSFlqAxZDDPXEyfu5LzFmKCvpfZ4SeG2k/Mse5EWG04N&#10;Bnt6NVS1+1+rQC52jz9+e3xuy/ZwyE1Zlf33TqnJeNguQUQa4l18c7/rND/Pcrh+k06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AGV8UAAADdAAAADwAAAAAAAAAA&#10;AAAAAAChAgAAZHJzL2Rvd25yZXYueG1sUEsFBgAAAAAEAAQA+QAAAJMDAAAAAA==&#10;"/>
                <v:shape id="Text Box 1566" o:spid="_x0000_s1102" type="#_x0000_t202" style="position:absolute;left:7692;top:4972;width:36015;height:3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KcgA&#10;AADdAAAADwAAAGRycy9kb3ducmV2LnhtbESPQWvCQBCF7wX/wzJCL6VubKHU6CoqFWoPQmML9TZk&#10;xySYnQ27W4399Z1DobcZ3pv3vpkteteqM4XYeDYwHmWgiEtvG64MfOw398+gYkK22HomA1eKsJgP&#10;bmaYW3/hdzoXqVISwjFHA3VKXa51LGtyGEe+Ixbt6IPDJGuotA14kXDX6ocse9IOG5aGGjta11Se&#10;im9nIPs8NNsuBve40buXu7efNX+tCmNuh/1yCipRn/7Nf9evVvAnY+GXb2QE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sX8pyAAAAN0AAAAPAAAAAAAAAAAAAAAAAJgCAABk&#10;cnMvZG93bnJldi54bWxQSwUGAAAAAAQABAD1AAAAjQ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Patients with colorectal obstruction due to an unknown diagnosis</w:t>
                        </w:r>
                        <w:r w:rsidRPr="00CB5216">
                          <w:rPr>
                            <w:rFonts w:ascii="Arial" w:hAnsi="Arial" w:cs="Arial"/>
                            <w:sz w:val="18"/>
                            <w:szCs w:val="18"/>
                            <w:vertAlign w:val="superscript"/>
                          </w:rPr>
                          <w:t>a</w:t>
                        </w:r>
                      </w:p>
                    </w:txbxContent>
                  </v:textbox>
                </v:shape>
                <v:line id="Line 1567" o:spid="_x0000_s1103" style="position:absolute;visibility:visible;mso-wrap-style:square" from="23430,3708" to="23440,4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sc8UAAADdAAAADwAAAGRycy9kb3ducmV2LnhtbERPTWvCQBC9F/wPywje6iYVQk1dRVoK&#10;2kOptqDHMTtNotnZsLtN0n/fLQje5vE+Z7EaTCM6cr62rCCdJiCIC6trLhV8fb7eP4LwAVljY5kU&#10;/JKH1XJ0t8Bc25531O1DKWII+xwVVCG0uZS+qMign9qWOHLf1hkMEbpSaod9DDeNfEiSTBqsOTZU&#10;2NJzRcVl/2MUvM8+sm69fdsMh212Kl52p+O5d0pNxsP6CUSgIdzEV/dGx/nzNI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Tsc8UAAADdAAAADwAAAAAAAAAA&#10;AAAAAAChAgAAZHJzL2Rvd25yZXYueG1sUEsFBgAAAAAEAAQA+QAAAJMDAAAAAA==&#10;"/>
                <v:line id="Line 1568" o:spid="_x0000_s1104" style="position:absolute;flip:x y;visibility:visible;mso-wrap-style:square" from="23376,8174" to="23398,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ncMAAADdAAAADwAAAGRycy9kb3ducmV2LnhtbERPS2vCQBC+C/0PyxS8SN0kSrFpVpFC&#10;pSfFtOJ1yE4eNDsbsluT+uu7BcHbfHzPyTajacWFetdYVhDPIxDEhdUNVwq+Pt+fViCcR9bYWiYF&#10;v+Rgs36YZJhqO/CRLrmvRAhhl6KC2vsuldIVNRl0c9sRB660vUEfYF9J3eMQwk0rkyh6lgYbDg01&#10;dvRWU/Gd/xgFyPvrYjXEtJQ7Ortkf5htT6VS08dx+wrC0+jv4pv7Q4f5L3EC/9+EE+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p3DAAAA3QAAAA8AAAAAAAAAAAAA&#10;AAAAoQIAAGRycy9kb3ducmV2LnhtbFBLBQYAAAAABAAEAPkAAACRAwAAAAA=&#10;"/>
                <v:line id="Line 1569" o:spid="_x0000_s1105" style="position:absolute;flip:y;visibility:visible;mso-wrap-style:square" from="8941,9279" to="34099,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nYMUAAADdAAAADwAAAGRycy9kb3ducmV2LnhtbERPTWsCMRC9C/0PYQq9lJq1LaKrUUQQ&#10;PHipykpv42a6WXYz2SZRt/++KRS8zeN9znzZ21ZcyYfasYLRMANBXDpdc6XgeNi8TECEiKyxdUwK&#10;fijAcvEwmGOu3Y0/6LqPlUghHHJUYGLscilDachiGLqOOHFfzluMCfpKao+3FG5b+ZplY2mx5tRg&#10;sKO1obLZX6wCOdk9f/vV+b0pmtNpaoqy6D53Sj099qsZiEh9vIv/3Vud5k9Hb/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GnYMUAAADdAAAADwAAAAAAAAAA&#10;AAAAAAChAgAAZHJzL2Rvd25yZXYueG1sUEsFBgAAAAAEAAQA+QAAAJMDAAAAAA==&#10;"/>
                <v:line id="Line 1570" o:spid="_x0000_s1106" style="position:absolute;visibility:visible;mso-wrap-style:square" from="8930,9455" to="8957,1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NP68YAAADdAAAADwAAAGRycy9kb3ducmV2LnhtbERPTWvCQBC9F/oflin0VjdaCW10FbEU&#10;tIeittAex+yYRLOzYXdN0n/vCgVv83ifM533phYtOV9ZVjAcJCCIc6srLhR8f70/vYDwAVljbZkU&#10;/JGH+ez+boqZth1vqd2FQsQQ9hkqKENoMil9XpJBP7ANceQO1hkMEbpCaoddDDe1HCVJKg1WHBtK&#10;bGhZUn7anY2Cz+dN2i7WH6v+Z53u87ft/vfYOaUeH/rFBESgPtzE/+6VjvNfh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zT+vGAAAA3QAAAA8AAAAAAAAA&#10;AAAAAAAAoQIAAGRycy9kb3ducmV2LnhtbFBLBQYAAAAABAAEAPkAAACUAwAAAAA=&#10;"/>
                <v:line id="Line 1571" o:spid="_x0000_s1107" style="position:absolute;visibility:visible;mso-wrap-style:square" from="34088,9300" to="34099,1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MYAAADdAAAADwAAAGRycy9kb3ducmV2LnhtbERPTWvCQBC9F/oflin0VjdaDG10FbEU&#10;tIeittAex+yYRLOzYXdN0n/vCgVv83ifM533phYtOV9ZVjAcJCCIc6srLhR8f70/vYDwAVljbZkU&#10;/JGH+ez+boqZth1vqd2FQsQQ9hkqKENoMil9XpJBP7ANceQO1hkMEbpCaoddDDe1HCVJKg1WHBtK&#10;bGhZUn7anY2Cz+dN2i7WH6v+Z53u87ft/vfYOaUeH/rFBESgPtzE/+6VjvNfh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6nDGAAAA3QAAAA8AAAAAAAAA&#10;AAAAAAAAoQIAAGRycy9kb3ducmV2LnhtbFBLBQYAAAAABAAEAPkAAACUAwAAAAA=&#10;"/>
                <v:shape id="Text Box 1572" o:spid="_x0000_s1108" type="#_x0000_t202" style="position:absolute;left:3520;top:10442;width:15583;height:3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CxsUA&#10;AADdAAAADwAAAGRycy9kb3ducmV2LnhtbERPTWvCQBC9C/0PyxR6EbNRQdrUVVQUrAehqYX2NmSn&#10;SWh2NuxuNfXXu4LgbR7vc6bzzjTiSM7XlhUMkxQEcWF1zaWCw8dm8AzCB2SNjWVS8E8e5rOH3hQz&#10;bU/8Tsc8lCKGsM9QQRVCm0npi4oM+sS2xJH7sc5giNCVUjs8xXDTyFGaTqTBmmNDhS2tKip+8z+j&#10;IP38rt9a78x4I/fr/u684q9lrtTTY7d4BRGoC3fxzb3Vcf7LcALXb+IJ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ELG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Medically fit for surgery</w:t>
                        </w:r>
                      </w:p>
                    </w:txbxContent>
                  </v:textbox>
                </v:shape>
                <v:line id="Line 1573" o:spid="_x0000_s1109" style="position:absolute;visibility:visible;mso-wrap-style:square" from="8983,13456" to="8989,1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RnMYAAADdAAAADwAAAGRycy9kb3ducmV2LnhtbERPTWvCQBC9C/0PyxR6040tpDW6irQU&#10;tIeiVtDjmB2TaHY27G6T9N93CwVv83ifM1v0phYtOV9ZVjAeJSCIc6srLhTsv96HLyB8QNZYWyYF&#10;P+RhMb8bzDDTtuMttbtQiBjCPkMFZQhNJqXPSzLoR7YhjtzZOoMhQldI7bCL4aaWj0mSSoMVx4YS&#10;G3otKb/uvo2Cz6dN2i7XH6v+sE5P+dv2dLx0TqmH+345BRGoDzfxv3ul4/zJ+Bn+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h0ZzGAAAA3QAAAA8AAAAAAAAA&#10;AAAAAAAAoQIAAGRycy9kb3ducmV2LnhtbFBLBQYAAAAABAAEAPkAAACUAwAAAAA=&#10;"/>
                <v:line id="Line 1576" o:spid="_x0000_s1110" style="position:absolute;flip:y;visibility:visible;mso-wrap-style:square" from="12974,16679" to="22101,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1EcgAAADdAAAADwAAAGRycy9kb3ducmV2LnhtbESPQUsDMRCF70L/QxjBi7TZiki7Ni1F&#10;EDz0Yi1behs342bZzWSbxHb9985B8DbDe/PeN6vN6Ht1oZjawAbmswIUcR1sy42Bw8frdAEqZWSL&#10;fWAy8EMJNuvJzQpLG678Tpd9bpSEcCrRgMt5KLVOtSOPaRYGYtG+QvSYZY2NthGvEu57/VAUT9pj&#10;y9LgcKAXR3W3//YG9GJ3f47bz8eu6o7HpavqajjtjLm7HbfPoDKN+d/8d/1mBX85F1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BU1EcgAAADdAAAADwAAAAAA&#10;AAAAAAAAAAChAgAAZHJzL2Rvd25yZXYueG1sUEsFBgAAAAAEAAQA+QAAAJYDAAAAAA==&#10;"/>
                <v:line id="Line 1577" o:spid="_x0000_s1111" style="position:absolute;visibility:visible;mso-wrap-style:square" from="11928,27949" to="11933,3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LgdcUAAADdAAAADwAAAGRycy9kb3ducmV2LnhtbERPS2vCQBC+F/wPywje6sYKoaauIi0F&#10;7UHqA9rjmJ0m0exs2N0m8d93C4K3+fieM1/2phYtOV9ZVjAZJyCIc6srLhQcD++PzyB8QNZYWyYF&#10;V/KwXAwe5php2/GO2n0oRAxhn6GCMoQmk9LnJRn0Y9sQR+7HOoMhQldI7bCL4aaWT0mSSoMVx4YS&#10;G3otKb/sf42C7fQzbVebj3X/tUlP+dvu9H3unFKjYb96ARGoD3fxzb3Wcf5sMoP/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LgdcUAAADdAAAADwAAAAAAAAAA&#10;AAAAAAChAgAAZHJzL2Rvd25yZXYueG1sUEsFBgAAAAAEAAQA+QAAAJMDAAAAAA==&#10;"/>
                <v:line id="Line 1578" o:spid="_x0000_s1112" style="position:absolute;flip:x;visibility:visible;mso-wrap-style:square" from="6929,32505" to="6977,3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CfUsYAAADdAAAADwAAAGRycy9kb3ducmV2LnhtbESPT2vCQBDF70K/wzKFXoJuVCoaXaXa&#10;CkLpwT8Hj0N2TEKzsyE71fTbd4WCtxne+715s1h1rlZXakPl2cBwkIIizr2tuDBwOm77U1BBkC3W&#10;nsnALwVYLZ96C8ysv/GergcpVAzhkKGBUqTJtA55SQ7DwDfEUbv41qHEtS20bfEWw12tR2k60Q4r&#10;jhdKbGhTUv59+HGxxvaL38fjZO10kszo4yyfqRZjXp67tzkooU4e5n96ZyM3fB3B/Zs4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An1LGAAAA3QAAAA8AAAAAAAAA&#10;AAAAAAAAoQIAAGRycy9kb3ducmV2LnhtbFBLBQYAAAAABAAEAPkAAACUAwAAAAA=&#10;">
                  <v:stroke endarrow="block"/>
                </v:line>
                <v:line id="Line 1579" o:spid="_x0000_s1113" style="position:absolute;flip:x;visibility:visible;mso-wrap-style:square" from="15476,32516" to="15561,3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w6ycYAAADdAAAADwAAAGRycy9kb3ducmV2LnhtbESPQWvCQBCF70L/wzIFL0E3Nlja6Cpt&#10;VShID9UePA7ZMQlmZ0N21PTfdwuCtxne+968mS9716gLdaH2bGAyTkERF97WXBr42W9GL6CCIFts&#10;PJOBXwqwXDwM5phbf+VvuuykVDGEQ44GKpE21zoUFTkMY98SR+3oO4cS167UtsNrDHeNfkrTZ+2w&#10;5nihwpY+KipOu7OLNTZfvMqy5N3pJHml9UG2qRZjho/92wyUUC93843+tJGbTDP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MOsnGAAAA3QAAAA8AAAAAAAAA&#10;AAAAAAAAoQIAAGRycy9kb3ducmV2LnhtbFBLBQYAAAAABAAEAPkAAACUAwAAAAA=&#10;">
                  <v:stroke endarrow="block"/>
                </v:line>
                <v:line id="Line 1580" o:spid="_x0000_s1114" style="position:absolute;flip:y;visibility:visible;mso-wrap-style:square" from="6972,32468" to="15518,32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f58UAAADdAAAADwAAAGRycy9kb3ducmV2LnhtbERPTWsCMRC9F/ofwhS8SM1abNGtUaRQ&#10;8OBFLSu9jZvpZtnNZJtEXf+9KQi9zeN9znzZ21acyYfasYLxKANBXDpdc6Xga//5PAURIrLG1jEp&#10;uFKA5eLxYY65dhfe0nkXK5FCOOSowMTY5VKG0pDFMHIdceJ+nLcYE/SV1B4vKdy28iXL3qTFmlOD&#10;wY4+DJXN7mQVyOlm+OtXx0lTNIfDzBRl0X1vlBo89at3EJH6+C++u9c6zR+/TuD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zf58UAAADdAAAADwAAAAAAAAAA&#10;AAAAAAChAgAAZHJzL2Rvd25yZXYueG1sUEsFBgAAAAAEAAQA+QAAAJMDAAAAAA==&#10;"/>
                <v:line id="Line 1581" o:spid="_x0000_s1115" style="position:absolute;visibility:visible;mso-wrap-style:square" from="12974,16685" to="13011,2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fl8MAAADdAAAADwAAAGRycy9kb3ducmV2LnhtbERP32vCMBB+F/Y/hBv4pmkHzlmNMlYE&#10;H+ZAHXu+NWdT1lxKE2v23y/CwLf7+H7eahNtKwbqfeNYQT7NQBBXTjdcK/g8bScvIHxA1tg6JgW/&#10;5GGzfhitsNDuygcajqEWKYR9gQpMCF0hpa8MWfRT1xEn7ux6iyHBvpa6x2sKt618yrJnabHh1GCw&#10;ozdD1c/xYhXMTXmQc1m+nz7KockXcR+/vhdKjR/j6xJEoBju4n/3Tqf5+WwG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Hn5fDAAAA3QAAAA8AAAAAAAAAAAAA&#10;AAAAoQIAAGRycy9kb3ducmV2LnhtbFBLBQYAAAAABAAEAPkAAACRAwAAAAA=&#10;">
                  <v:stroke endarrow="block"/>
                </v:line>
                <v:line id="Line 1582" o:spid="_x0000_s1116" style="position:absolute;flip:x y;visibility:visible;mso-wrap-style:square" from="18404,15004" to="18426,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kbcIAAADdAAAADwAAAGRycy9kb3ducmV2LnhtbERPS4vCMBC+C/6HMIIXWdP6QrpGEWHF&#10;k+Jj2evQjG2xmZQma6u/frMgeJuP7zmLVWtKcafaFZYVxMMIBHFqdcGZgsv562MOwnlkjaVlUvAg&#10;B6tlt7PARNuGj3Q/+UyEEHYJKsi9rxIpXZqTQTe0FXHgrrY26AOsM6lrbEK4KeUoimbSYMGhIceK&#10;Njmlt9OvUYC8f47nTUwTuaUfN9ofBuvvq1L9Xrv+BOGp9W/xy73TYX48ncH/N+EE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FkbcIAAADdAAAADwAAAAAAAAAAAAAA&#10;AAChAgAAZHJzL2Rvd25yZXYueG1sUEsFBgAAAAAEAAQA+QAAAJADAAAAAA==&#10;"/>
                <v:line id="Line 1583" o:spid="_x0000_s1117" style="position:absolute;flip:y;visibility:visible;mso-wrap-style:square" from="14163,17688" to="22043,26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ZVRMYAAADdAAAADwAAAGRycy9kb3ducmV2LnhtbESPQWvDMAyF74P+B6NCb6uTQraR1S2l&#10;MNihdCTdYUcRq0m2WA6x0zj/vh4MdpN473t62u6D6cSNBtdaVpCuExDEldUt1wo+L2+PLyCcR9bY&#10;WSYFMznY7xYPW8y1nbigW+lrEUPY5aig8b7PpXRVQwbd2vbEUbvawaCP61BLPeAUw00nN0nyJA22&#10;HC802NOxoeqnHE2skY3dJaTjaYNfoS7subx+fM9KrZbh8ArCU/D/5j/6XUcuzZ7h95s4gt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GVUTGAAAA3QAAAA8AAAAAAAAA&#10;AAAAAAAAoQIAAGRycy9kb3ducmV2LnhtbFBLBQYAAAAABAAEAPkAAACUAwAAAAA=&#10;">
                  <v:stroke dashstyle="dash" endarrow="block"/>
                </v:line>
                <v:shape id="Text Box 1584" o:spid="_x0000_s1118" type="#_x0000_t202" style="position:absolute;left:9517;top:24715;width:595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2R8UA&#10;AADdAAAADwAAAGRycy9kb3ducmV2LnhtbERPTWsCMRC9F/wPYYReimZtUdrVKCoVqgehawW9DZtx&#10;d3EzWZJUt/76Rij0No/3OZNZa2pxIecrywoG/QQEcW51xYWCr92q9wrCB2SNtWVS8EMeZtPOwwRT&#10;ba/8SZcsFCKGsE9RQRlCk0rp85IM+r5tiCN3ss5giNAVUju8xnBTy+ckGUmDFceGEhtalpSfs2+j&#10;INkfq3XjnXlZye370+a25MMiU+qx287HIAK14V/85/7Qcf5g+Ab3b+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ZH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p>
                    </w:txbxContent>
                  </v:textbox>
                </v:shape>
                <v:line id="Line 1585" o:spid="_x0000_s1119" style="position:absolute;flip:y;visibility:visible;mso-wrap-style:square" from="2032,15015" to="18378,1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sTWcgAAADdAAAADwAAAGRycy9kb3ducmV2LnhtbESPQUsDMRCF74L/IYzgRWy2IqVdm5Yi&#10;FDz0Yi1behs342bZzWRN0nb9985B8DbDe/PeN8v16Ht1oZjawAamkwIUcR1sy42Bw8f2cQ4qZWSL&#10;fWAy8EMJ1qvbmyWWNlz5nS773CgJ4VSiAZfzUGqdakce0yQMxKJ9hegxyxobbSNeJdz3+qkoZtpj&#10;y9LgcKBXR3W3P3sDer57+I6bz+eu6o7HhavqajjtjLm/GzcvoDKN+d/8d/1mBX86E3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HsTWcgAAADdAAAADwAAAAAA&#10;AAAAAAAAAAChAgAAZHJzL2Rvd25yZXYueG1sUEsFBgAAAAAEAAQA+QAAAJYDAAAAAA==&#10;"/>
                <v:line id="Line 1587" o:spid="_x0000_s1120" style="position:absolute;flip:x;visibility:visible;mso-wrap-style:square" from="2000,15025" to="2059,2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LmMUAAADdAAAADwAAAGRycy9kb3ducmV2LnhtbESPT2vCQBDF7wW/wzJCL0E3qSA1ukr/&#10;CULxUPXgcciOSTA7G7JTjd/eFQq9zfDe782bxap3jbpQF2rPBrJxCoq48Lbm0sBhvx69ggqCbLHx&#10;TAZuFGC1HDwtMLf+yj902UmpYgiHHA1UIm2udSgqchjGviWO2sl3DiWuXalth9cY7hr9kqZT7bDm&#10;eKHClj4qKs67XxdrrLf8OZkk704nyYy+jvKdajHmedi/zUEJ9fJv/qM3NnLZNIPHN3EEv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LmMUAAADdAAAADwAAAAAAAAAA&#10;AAAAAAChAgAAZHJzL2Rvd25yZXYueG1sUEsFBgAAAAAEAAQA+QAAAJMDAAAAAA==&#10;">
                  <v:stroke endarrow="block"/>
                </v:line>
                <v:shape id="Text Box 1586" o:spid="_x0000_s1121" type="#_x0000_t202" style="position:absolute;left:19210;top:24843;width:6113;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ui8UA&#10;AADdAAAADwAAAGRycy9kb3ducmV2LnhtbERPTWvCQBC9F/oflil4KbpRQUrqJrRSQT0IphXa25Cd&#10;JqHZ2bC7avTXu4LQ2zze58zz3rTiSM43lhWMRwkI4tLqhisFX5/L4QsIH5A1tpZJwZk85NnjwxxT&#10;bU+8o2MRKhFD2KeooA6hS6X0ZU0G/ch2xJH7tc5giNBVUjs8xXDTykmSzKTBhmNDjR0tair/ioNR&#10;kOx/mnXnnZku5fbjeXNZ8Pd7odTgqX97BRGoD//iu3ul4/zxbAK3b+IJ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26L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Other surgery</w:t>
                        </w:r>
                        <w:r w:rsidRPr="00CB5216">
                          <w:rPr>
                            <w:rFonts w:ascii="Arial" w:hAnsi="Arial" w:cs="Arial"/>
                            <w:sz w:val="18"/>
                            <w:szCs w:val="18"/>
                            <w:vertAlign w:val="superscript"/>
                          </w:rPr>
                          <w:t>b</w:t>
                        </w:r>
                      </w:p>
                    </w:txbxContent>
                  </v:textbox>
                </v:shape>
                <v:shape id="Text Box 1588" o:spid="_x0000_s1122" type="#_x0000_t202" style="position:absolute;left:864;top:39842;width:8653;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cRMMA&#10;AADdAAAADwAAAGRycy9kb3ducmV2LnhtbERPTWsCMRC9F/wPYQq91awWFlmNItVCLx60e/E2bMbN&#10;6maybqJGf70pFHqbx/uc2SLaVlyp941jBaNhBoK4crrhWkH58/U+AeEDssbWMSm4k4fFfPAyw0K7&#10;G2/pugu1SCHsC1RgQugKKX1lyKIfuo44cQfXWwwJ9rXUPd5SuG3lOMtyabHh1GCwo09D1Wl3sQoi&#10;HSermOWnc2nO98d6f9mUmpR6e43LKYhAMfyL/9zfOs0f5R/w+006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LcRMMAAADdAAAADwAAAAAAAAAAAAAAAACYAgAAZHJzL2Rv&#10;d25yZXYueG1sUEsFBgAAAAAEAAQA9QAAAIgDAAAAAA==&#10;" strokeweight=".5pt">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v:textbox>
                </v:shape>
                <v:shape id="Text Box 1589" o:spid="_x0000_s1123" type="#_x0000_t202" style="position:absolute;left:11997;top:39842;width:11022;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JTZMUA&#10;AADdAAAADwAAAGRycy9kb3ducmV2LnhtbERPTWsCMRC9F/wPYQQvRbO2RWQ1SisVag+Cq4Lehs24&#10;u7iZLEnUtb++KRS8zeN9znTemlpcyfnKsoLhIAFBnFtdcaFgt132xyB8QNZYWyYFd/Iwn3Wepphq&#10;e+MNXbNQiBjCPkUFZQhNKqXPSzLoB7YhjtzJOoMhQldI7fAWw00tX5JkJA1WHBtKbGhRUn7OLkZB&#10;sj9Wq8Y787qU68/n758FHz4ypXrd9n0CIlAbHuJ/95eO84ejN/j7Jp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lNk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v:textbox>
                </v:shape>
                <v:line id="Line 1590" o:spid="_x0000_s1124" style="position:absolute;visibility:visible;mso-wrap-style:square" from="22224,28605" to="22261,3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tVKsMAAADdAAAADwAAAGRycy9kb3ducmV2LnhtbERP32vCMBB+H+x/CDfwbaYdqLMaZawI&#10;e9CBOvZ8a86mrLmUJtbsvzfCwLf7+H7ech1tKwbqfeNYQT7OQBBXTjdcK/g6bp5fQfiArLF1TAr+&#10;yMN69fiwxEK7C+9pOIRapBD2BSowIXSFlL4yZNGPXUecuJPrLYYE+1rqHi8p3LbyJcum0mLDqcFg&#10;R++Gqt/D2SqYmXIvZ7LcHj/LocnncRe/f+ZKjZ7i2wJEoBju4n/3h07z8+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rVSrDAAAA3QAAAA8AAAAAAAAAAAAA&#10;AAAAoQIAAGRycy9kb3ducmV2LnhtbFBLBQYAAAAABAAEAPkAAACRAwAAAAA=&#10;">
                  <v:stroke endarrow="block"/>
                </v:line>
                <v:line id="Line 1591" o:spid="_x0000_s1125" style="position:absolute;visibility:visible;mso-wrap-style:square" from="2032,28626" to="2133,3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nLXcMAAADdAAAADwAAAGRycy9kb3ducmV2LnhtbERPTWvCQBC9F/oflin0VjfxEDV1ldIg&#10;9FAFtfQ8zY7ZYHY2ZLdx+++7guBtHu9zlutoOzHS4FvHCvJJBoK4drrlRsHXcfMyB+EDssbOMSn4&#10;Iw/r1ePDEkvtLryn8RAakULYl6jAhNCXUvrakEU/cT1x4k5usBgSHBqpB7ykcNvJaZYV0mLLqcFg&#10;T++G6vPh1yqYmWovZ7L6PO6qsc0XcRu/fxZKPT/Ft1cQgWK4i2/uD53m50UB12/SC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5y13DAAAA3QAAAA8AAAAAAAAAAAAA&#10;AAAAoQIAAGRycy9kb3ducmV2LnhtbFBLBQYAAAAABAAEAPkAAACRAwAAAAA=&#10;">
                  <v:stroke endarrow="block"/>
                </v:line>
                <v:line id="Line 1594" o:spid="_x0000_s1126" style="position:absolute;visibility:visible;mso-wrap-style:square" from="22112,16658" to="22187,2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uxsQAAADdAAAADwAAAGRycy9kb3ducmV2LnhtbERPyWrDMBC9F/oPYgq9NbJ7iBM3Sig1&#10;hR6aQBZynloTy8QaGUt11L+vAoHc5vHWWayi7cRIg28dK8gnGQji2umWGwWH/efLDIQPyBo7x6Tg&#10;jzyslo8PCyy1u/CWxl1oRAphX6ICE0JfSulrQxb9xPXEiTu5wWJIcGikHvCSwm0nX7NsKi22nBoM&#10;9vRhqD7vfq2CwlRbWcjqe7+pxjafx3U8/syVen6K728gAsVwF9/cXzrNz6cF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9W7GxAAAAN0AAAAPAAAAAAAAAAAA&#10;AAAAAKECAABkcnMvZG93bnJldi54bWxQSwUGAAAAAAQABAD5AAAAkgMAAAAA&#10;">
                  <v:stroke endarrow="block"/>
                </v:line>
                <v:shape id="Text Box 1595" o:spid="_x0000_s1127" type="#_x0000_t202" style="position:absolute;left:13512;top:19417;width:7730;height:4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8sUA&#10;AADdAAAADwAAAGRycy9kb3ducmV2LnhtbESPQYvCQAyF74L/YYiwF9FpPYh0HaUIguhhWfWyt9CJ&#10;bbGTqZ3Rdv/95rDgLeG9vPdlvR1co17UhdqzgXSegCIuvK25NHC97GcrUCEiW2w8k4FfCrDdjEdr&#10;zKzv+Zte51gqCeGQoYEqxjbTOhQVOQxz3xKLdvOdwyhrV2rbYS/hrtGLJFlqhzVLQ4Ut7Soq7uen&#10;M3B7lGhPX00/5NPk+JNOr3vK78Z8TIb8E1SkIb7N/9cHK/jpUnDlGxlB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8LyxQAAAN0AAAAPAAAAAAAAAAAAAAAAAJgCAABkcnMv&#10;ZG93bnJldi54bWxQSwUGAAAAAAQABAD1AAAAigMAAAAA&#10;" strokecolor="white">
                  <v:textbox inset="2.214mm,1.107mm,2.214mm,1.107mm">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v:textbox>
                </v:shape>
                <v:line id="Line 1597" o:spid="_x0000_s1128" style="position:absolute;flip:y;visibility:visible;mso-wrap-style:square" from="55678,16813" to="65814,1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xMQAAADdAAAADwAAAGRycy9kb3ducmV2LnhtbERPTWsCMRC9C/0PYQq9SM0qRXQ1ihQE&#10;D16qZaW36WbcLLuZbJOo23/fFARv83ifs1z3thVX8qF2rGA8ykAQl07XXCn4PG5fZyBCRNbYOiYF&#10;vxRgvXoaLDHX7sYfdD3ESqQQDjkqMDF2uZShNGQxjFxHnLiz8xZjgr6S2uMthdtWTrJsKi3WnBoM&#10;dvRuqGwOF6tAzvbDH7/5fmuK5nSam6Isuq+9Ui/P/WYBIlIfH+K7e6fT/PF0D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brExAAAAN0AAAAPAAAAAAAAAAAA&#10;AAAAAKECAABkcnMvZG93bnJldi54bWxQSwUGAAAAAAQABAD5AAAAkgMAAAAA&#10;"/>
                <v:line id="Line 1598" o:spid="_x0000_s1129" style="position:absolute;visibility:visible;mso-wrap-style:square" from="55635,28082" to="55641,3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1e8gAAADdAAAADwAAAGRycy9kb3ducmV2LnhtbESPT0vDQBDF70K/wzKCN7upQpTYbSmK&#10;0HoQ+wfa4zQ7JrHZ2bC7JvHbOwfB2wzvzXu/mS9H16qeQmw8G5hNM1DEpbcNVwYO+9fbR1AxIVts&#10;PZOBH4qwXEyu5lhYP/CW+l2qlIRwLNBAnVJXaB3LmhzGqe+IRfv0wWGSNVTaBhwk3LX6Lsty7bBh&#10;aaixo+eaysvu2xl4v//I+9XmbT0eN/m5fNmeT19DMObmelw9gUo0pn/z3/XaCv7s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Un1e8gAAADdAAAADwAAAAAA&#10;AAAAAAAAAAChAgAAZHJzL2Rvd25yZXYueG1sUEsFBgAAAAAEAAQA+QAAAJYDAAAAAA==&#10;"/>
                <v:line id="Line 1599" o:spid="_x0000_s1130" style="position:absolute;flip:x;visibility:visible;mso-wrap-style:square" from="50637,32639" to="50685,3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dRcYAAADdAAAADwAAAGRycy9kb3ducmV2LnhtbESPzWvCQBDF7wX/h2WEXoJuUqFqdJV+&#10;CQXx4MfB45Adk2B2NmSnmv733UKhtxne+715s1z3rlE36kLt2UA2TkERF97WXBo4HTejGaggyBYb&#10;z2TgmwKsV4OHJebW33lPt4OUKoZwyNFAJdLmWoeiIodh7FviqF1851Di2pXadniP4a7RT2n6rB3W&#10;HC9U2NJbRcX18OVijc2O3yeT5NXpJJnTx1m2qRZjHof9ywKUUC//5j/600Yum2bw+00cQa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nXUXGAAAA3QAAAA8AAAAAAAAA&#10;AAAAAAAAoQIAAGRycy9kb3ducmV2LnhtbFBLBQYAAAAABAAEAPkAAACUAwAAAAA=&#10;">
                  <v:stroke endarrow="block"/>
                </v:line>
                <v:line id="Line 1600" o:spid="_x0000_s1131" style="position:absolute;flip:x;visibility:visible;mso-wrap-style:square" from="59183,32649" to="59268,39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DMsYAAADdAAAADwAAAGRycy9kb3ducmV2LnhtbESPT2vCQBDF70K/wzKFXoJuVKgaXaXa&#10;CkLpwT8Hj0N2TEKzsyE71fTbd4WCtxne+715s1h1rlZXakPl2cBwkIIizr2tuDBwOm77U1BBkC3W&#10;nsnALwVYLZ96C8ysv/GergcpVAzhkKGBUqTJtA55SQ7DwDfEUbv41qHEtS20bfEWw12tR2n6qh1W&#10;HC+U2NCmpPz78ONije0Xv4/HydrpJJnRx1k+Uy3GvDx3b3NQQp08zP/0zkZuOBnB/Zs4g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1wzLGAAAA3QAAAA8AAAAAAAAA&#10;AAAAAAAAoQIAAGRycy9kb3ducmV2LnhtbFBLBQYAAAAABAAEAPkAAACUAwAAAAA=&#10;">
                  <v:stroke endarrow="block"/>
                </v:line>
                <v:line id="Line 1601" o:spid="_x0000_s1132" style="position:absolute;flip:y;visibility:visible;mso-wrap-style:square" from="50679,32601" to="59226,3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b88UAAADdAAAADwAAAGRycy9kb3ducmV2LnhtbERPTWsCMRC9F/ofwhR6Ec3aStWtUaQg&#10;9OClVla8jZvpZtnNZJtE3f77piD0No/3OYtVb1txIR9qxwrGowwEcel0zZWC/edmOAMRIrLG1jEp&#10;+KEAq+X93QJz7a78QZddrEQK4ZCjAhNjl0sZSkMWw8h1xIn7ct5iTNBXUnu8pnDbyqcse5EWa04N&#10;Bjt6M1Q2u7NVIGfbwbdfnyZN0RwOc1OURXfcKvX40K9fQUTq47/45n7Xaf54+gx/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Ab88UAAADdAAAADwAAAAAAAAAA&#10;AAAAAAChAgAAZHJzL2Rvd25yZXYueG1sUEsFBgAAAAAEAAQA+QAAAJMDAAAAAA==&#10;"/>
                <v:line id="Line 1602" o:spid="_x0000_s1133" style="position:absolute;visibility:visible;mso-wrap-style:square" from="55662,16818" to="55699,2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VcIMIAAADdAAAADwAAAGRycy9kb3ducmV2LnhtbERP24rCMBB9X/Afwiz4pql3t2sUERZU&#10;RPCCz0MztmWbSW2ytf69EYR9m8O5zmzRmELUVLncsoJeNwJBnFidc6rgfPrpTEE4j6yxsEwKHuRg&#10;MW99zDDW9s4Hqo8+FSGEXYwKMu/LWEqXZGTQdW1JHLirrQz6AKtU6grvIdwUsh9FY2kw59CQYUmr&#10;jJLf459RsLar7ddtM6XlaHSp9/46KHb1QKn2Z7P8BuGp8f/it3utw/zeZAivb8IJ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VcIMIAAADdAAAADwAAAAAAAAAAAAAA&#10;AAChAgAAZHJzL2Rvd25yZXYueG1sUEsFBgAAAAAEAAQA+QAAAJADAAAAAA==&#10;" stroked="f">
                  <v:stroke endarrow="block"/>
                </v:line>
                <v:line id="Line 1603" o:spid="_x0000_s1134" style="position:absolute;flip:x y;visibility:visible;mso-wrap-style:square" from="62112,15137" to="62133,16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amesMAAADdAAAADwAAAGRycy9kb3ducmV2LnhtbERPTWvCQBC9C/6HZQQvUjextUp0FREs&#10;nizVFq9DdkyC2dmQXU3017sFwds83ufMl60pxZVqV1hWEA8jEMSp1QVnCn4Pm7cpCOeRNZaWScGN&#10;HCwX3c4cE20b/qHr3mcihLBLUEHufZVI6dKcDLqhrYgDd7K1QR9gnUldYxPCTSlHUfQpDRYcGnKs&#10;aJ1Tet5fjALk3f192sT0Ib/o6Ea778Hq76RUv9euZiA8tf4lfrq3OsyPJ2P4/ya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WpnrDAAAA3QAAAA8AAAAAAAAAAAAA&#10;AAAAoQIAAGRycy9kb3ducmV2LnhtbFBLBQYAAAAABAAEAPkAAACRAwAAAAA=&#10;"/>
                <v:line id="Line 1604" o:spid="_x0000_s1135" style="position:absolute;flip:y;visibility:visible;mso-wrap-style:square" from="57951,17778" to="65713,26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sv8YAAADdAAAADwAAAGRycy9kb3ducmV2LnhtbESPQWvDMAyF74P+B6NCb4uTQrOR1S2l&#10;MNihdCTZYUcRq0m2WA6x07r/fh4MdpN473t62u6DGcSVJtdbVpAlKQjixuqeWwUf9evjMwjnkTUO&#10;lknBnRzsd4uHLRba3rika+VbEUPYFaig834spHRNRwZdYkfiqF3sZNDHdWqlnvAWw80g12maS4M9&#10;xwsdjnTsqPmuZhNrbOahDtl8WuNnaEt7ri7vX3elVstweAHhKfh/8x/9piOXPeXw+00c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rL/GAAAA3QAAAA8AAAAAAAAA&#10;AAAAAAAAoQIAAGRycy9kb3ducmV2LnhtbFBLBQYAAAAABAAEAPkAAACUAwAAAAA=&#10;">
                  <v:stroke dashstyle="dash" endarrow="block"/>
                </v:line>
                <v:shape id="Text Box 1605" o:spid="_x0000_s1136" type="#_x0000_t202" style="position:absolute;left:53181;top:24715;width:6002;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bzsUA&#10;AADdAAAADwAAAGRycy9kb3ducmV2LnhtbERPTWsCMRC9F/wPYQQvRbO2UGU1SisVag+Cq4Lehs24&#10;u7iZLEnUtb++KRS8zeN9znTemlpcyfnKsoLhIAFBnFtdcaFgt132xyB8QNZYWyYFd/Iwn3Wepphq&#10;e+MNXbNQiBjCPkUFZQhNKqXPSzLoB7YhjtzJOoMhQldI7fAWw00tX5LkTRqsODaU2NCipPycXYyC&#10;ZH+sVo135nUp15/P3z8LPnxkSvW67fsERKA2PMT/7i8d5w9HI/j7Jp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VvO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r w:rsidRPr="00196972">
                          <w:rPr>
                            <w:rFonts w:ascii="Arial" w:hAnsi="Arial" w:cs="Arial"/>
                            <w:sz w:val="18"/>
                            <w:szCs w:val="18"/>
                          </w:rPr>
                          <w:t xml:space="preserve"> </w:t>
                        </w:r>
                      </w:p>
                    </w:txbxContent>
                  </v:textbox>
                </v:shape>
                <v:line id="Line 1606" o:spid="_x0000_s1137" style="position:absolute;visibility:visible;mso-wrap-style:square" from="45131,15132" to="62090,15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5fcgAAADdAAAADwAAAGRycy9kb3ducmV2LnhtbESPT0vDQBDF70K/wzKCN7upQpTYbSmK&#10;0HoQ+wfa4zQ7JrHZ2bC7JvHbOwfB2wzvzXu/mS9H16qeQmw8G5hNM1DEpbcNVwYO+9fbR1AxIVts&#10;PZOBH4qwXEyu5lhYP/CW+l2qlIRwLNBAnVJXaB3LmhzGqe+IRfv0wWGSNVTaBhwk3LX6Lsty7bBh&#10;aaixo+eaysvu2xl4v//I+9XmbT0eN/m5fNmeT19DMObmelw9gUo0pn/z3/XaCv7s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z/5fcgAAADdAAAADwAAAAAA&#10;AAAAAAAAAAChAgAAZHJzL2Rvd25yZXYueG1sUEsFBgAAAAAEAAQA+QAAAJYDAAAAAA==&#10;"/>
                <v:shape id="Text Box 1607" o:spid="_x0000_s1138" type="#_x0000_t202" style="position:absolute;left:62757;top:24715;width:6237;height:3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qJ8UA&#10;AADdAAAADwAAAGRycy9kb3ducmV2LnhtbERPTWsCMRC9F/wPYYReimZtQdvVKCoVqgehawW9DZtx&#10;d3EzWZJUt/76Rij0No/3OZNZa2pxIecrywoG/QQEcW51xYWCr92q9wrCB2SNtWVS8EMeZtPOwwRT&#10;ba/8SZcsFCKGsE9RQRlCk0rp85IM+r5tiCN3ss5giNAVUju8xnBTy+ckGUqDFceGEhtalpSfs2+j&#10;INkfq3XjnXlZye370+a25MMiU+qx287HIAK14V/85/7Qcf5g9Ab3b+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mon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Other surgery</w:t>
                        </w:r>
                        <w:r w:rsidRPr="00CB5216">
                          <w:rPr>
                            <w:rFonts w:ascii="Arial" w:hAnsi="Arial" w:cs="Arial"/>
                            <w:sz w:val="18"/>
                            <w:szCs w:val="18"/>
                            <w:vertAlign w:val="superscript"/>
                          </w:rPr>
                          <w:t>b</w:t>
                        </w:r>
                      </w:p>
                    </w:txbxContent>
                  </v:textbox>
                </v:shape>
                <v:line id="Line 1608" o:spid="_x0000_s1139" style="position:absolute;visibility:visible;mso-wrap-style:square" from="45105,15228" to="45131,2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AQSMYAAADdAAAADwAAAGRycy9kb3ducmV2LnhtbESPS0/DMBCE70j8B2uRuFEnPfQR6lao&#10;EVIPgNSHOC/xEkfE6yg2qfn37AGJ265mdubbzS77Xk00xi6wgXJWgCJugu24NXA5Pz+sQMWEbLEP&#10;TAZ+KMJue3uzwcqGKx9pOqVWSQjHCg24lIZK69g48hhnYSAW7TOMHpOsY6vtiFcJ972eF8VCe+xY&#10;GhwOtHfUfJ2+vYGlq496qeuX81s9deU6v+b3j7Ux93f56RFUopz+zX/XByv45Ur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QEEjGAAAA3QAAAA8AAAAAAAAA&#10;AAAAAAAAoQIAAGRycy9kb3ducmV2LnhtbFBLBQYAAAAABAAEAPkAAACUAwAAAAA=&#10;">
                  <v:stroke endarrow="block"/>
                </v:line>
                <v:shape id="Text Box 1609" o:spid="_x0000_s1140" type="#_x0000_t202" style="position:absolute;left:44571;top:39842;width:8610;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UsMA&#10;AADdAAAADwAAAGRycy9kb3ducmV2LnhtbERPPW/CMBDdK/EfrEPqVpwwoCjFoKqAxMIAzdLtFF/j&#10;lPgcYgOmvx4jIXW7p/d582W0nbjQ4FvHCvJJBoK4drrlRkH1tXkrQPiArLFzTApu5GG5GL3MsdTu&#10;ynu6HEIjUgj7EhWYEPpSSl8bsugnridO3I8bLIYEh0bqAa8p3HZymmUzabHl1GCwp09D9fFwtgoi&#10;/RarmM2Op8qcbn/r7/Ou0qTU6zh+vIMIFMO/+One6jQ/L3J4fJNO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BUsMAAADdAAAADwAAAAAAAAAAAAAAAACYAgAAZHJzL2Rv&#10;d25yZXYueG1sUEsFBgAAAAAEAAQA9QAAAIgDAAAAAA==&#10;" strokeweight=".5pt">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v:textbox>
                </v:shape>
                <v:shape id="Text Box 1610" o:spid="_x0000_s1141" type="#_x0000_t202" style="position:absolute;left:56457;top:39842;width:9517;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IccUA&#10;AADdAAAADwAAAGRycy9kb3ducmV2LnhtbERPTWvCQBC9C/0PyxS8SN1EQSR1Da0oVA+CaQV7G7LT&#10;JDQ7G3a3mvbXu4LQ2zze5yzy3rTiTM43lhWk4wQEcWl1w5WCj/fN0xyED8gaW8uk4Jc85MuHwQIz&#10;bS98oHMRKhFD2GeooA6hy6T0ZU0G/dh2xJH7ss5giNBVUju8xHDTykmSzKTBhmNDjR2taiq/ix+j&#10;IDl+NtvOOzPdyP16tPtb8em1UGr42L88gwjUh3/x3f2m4/x0PoHbN/EE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4hx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v:textbox>
                </v:shape>
                <v:line id="Line 1611" o:spid="_x0000_s1142" style="position:absolute;visibility:visible;mso-wrap-style:square" from="65931,28413" to="65969,39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KOP8QAAADdAAAADwAAAGRycy9kb3ducmV2LnhtbERPS2sCMRC+F/wPYYTeanZb8LEapXQp&#10;9FALaul53Iybxc1k2aRr+u+NUPA2H99zVptoWzFQ7xvHCvJJBoK4crrhWsH34f1pDsIHZI2tY1Lw&#10;Rx4269HDCgvtLryjYR9qkULYF6jAhNAVUvrKkEU/cR1x4k6utxgS7Gupe7ykcNvK5yybSosNpwaD&#10;Hb0Zqs77X6tgZsqdnMny8/BVDk2+iNv4c1wo9TiOr0sQgWK4i//dHzrNz+cvcPsmn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o4/xAAAAN0AAAAPAAAAAAAAAAAA&#10;AAAAAKECAABkcnMvZG93bnJldi54bWxQSwUGAAAAAAQABAD5AAAAkgMAAAAA&#10;">
                  <v:stroke endarrow="block"/>
                </v:line>
                <v:line id="Line 1612" o:spid="_x0000_s1143" style="position:absolute;visibility:visible;mso-wrap-style:square" from="45131,28407" to="45190,3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WQcYAAADdAAAADwAAAGRycy9kb3ducmV2LnhtbESPT0/DMAzF70h8h8hI3Fi6HRgtyyZE&#10;hcQBJu2PdvYa01Q0TtWELnx7fJjEzdZ7fu/n1Sb7Xk00xi6wgfmsAEXcBNtxa+B4eHt4AhUTssU+&#10;MBn4pQib9e3NCisbLryjaZ9aJSEcKzTgUhoqrWPjyGOchYFYtK8wekyyjq22I14k3Pd6URSP2mPH&#10;0uBwoFdHzff+xxtYunqnl7r+OGzrqZuX+TOfzqUx93f55RlUopz+zdfrdyv45UL45RsZQ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oFkHGAAAA3QAAAA8AAAAAAAAA&#10;AAAAAAAAoQIAAGRycy9kb3ducmV2LnhtbFBLBQYAAAAABAAEAPkAAACUAwAAAAA=&#10;">
                  <v:stroke endarrow="block"/>
                </v:line>
                <v:line id="Line 1613" o:spid="_x0000_s1144" style="position:absolute;flip:y;visibility:visible;mso-wrap-style:square" from="51549,15201" to="55539,26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5cUAAADdAAAADwAAAGRycy9kb3ducmV2LnhtbESPQWvCQBCF7wX/wzKCt7pJwFKjq4gg&#10;9FAsRg8eh+yYRLOzIbvR9d+7hUJvM7z3vXmzXAfTijv1rrGsIJ0mIIhLqxuuFJyOu/dPEM4ja2wt&#10;k4InOVivRm9LzLV98IHuha9EDGGXo4La+y6X0pU1GXRT2xFH7WJ7gz6ufSV1j48YblqZJcmHNNhw&#10;vFBjR9uaylsxmFhjNrTHkA7fGZ5DdbD74vJzfSo1GYfNAoSn4P/Nf/SXjtw8S+H3mziCXL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C5cUAAADdAAAADwAAAAAAAAAA&#10;AAAAAAChAgAAZHJzL2Rvd25yZXYueG1sUEsFBgAAAAAEAAQA+QAAAJMDAAAAAA==&#10;">
                  <v:stroke dashstyle="dash" endarrow="block"/>
                </v:line>
                <v:shape id="Text Box 1614" o:spid="_x0000_s1145" type="#_x0000_t202" style="position:absolute;left:45622;top:16610;width:9912;height:7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V68QA&#10;AADdAAAADwAAAGRycy9kb3ducmV2LnhtbERPTWvCQBC9F/wPywi9iG6SQ6nRTQiCIPZQql68Ddkx&#10;CcnOxuxq0n/fLRR6m8f7nG0+mU48aXCNZQXxKgJBXFrdcKXgct4v30E4j6yxs0wKvslBns1etphq&#10;O/IXPU++EiGEXYoKau/7VEpX1mTQrWxPHLibHQz6AIdK6gHHEG46mUTRmzTYcGiosaddTWV7ehgF&#10;t3uF+uOzG6diER2v8eKyp6JV6nU+FRsQnib/L/5zH3SYv04S+P0mnC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DFevEAAAA3QAAAA8AAAAAAAAAAAAAAAAAmAIAAGRycy9k&#10;b3ducmV2LnhtbFBLBQYAAAAABAAEAPUAAACJAwAAAAA=&#10;" strokecolor="white">
                  <v:textbox inset="2.214mm,1.107mm,2.214mm,1.107mm">
                    <w:txbxContent>
                      <w:p w:rsidR="0042762F" w:rsidRPr="0007443E" w:rsidRDefault="0042762F" w:rsidP="007A764D">
                        <w:pPr>
                          <w:spacing w:after="0"/>
                          <w:ind w:left="0"/>
                          <w:jc w:val="center"/>
                          <w:rPr>
                            <w:rFonts w:ascii="Arial" w:hAnsi="Arial" w:cs="Arial"/>
                            <w:sz w:val="17"/>
                            <w:szCs w:val="17"/>
                          </w:rPr>
                        </w:pPr>
                        <w:r w:rsidRPr="0007443E">
                          <w:rPr>
                            <w:rFonts w:ascii="Arial" w:hAnsi="Arial" w:cs="Arial"/>
                            <w:sz w:val="17"/>
                            <w:szCs w:val="17"/>
                          </w:rPr>
                          <w:t>During procedure: cure not possible or multi stage surgery required</w:t>
                        </w:r>
                      </w:p>
                    </w:txbxContent>
                  </v:textbox>
                </v:shape>
                <v:line id="Line 1615" o:spid="_x0000_s1146" style="position:absolute;visibility:visible;mso-wrap-style:square" from="65819,16791" to="65894,2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qINsMAAADdAAAADwAAAGRycy9kb3ducmV2LnhtbERP32vCMBB+F/Y/hBvsTVMV5lqNMlaE&#10;PehAHXu+NWdT1lxKk9X43y/CwLf7+H7eahNtKwbqfeNYwXSSgSCunG64VvB52o5fQPiArLF1TAqu&#10;5GGzfhitsNDuwgcajqEWKYR9gQpMCF0hpa8MWfQT1xEn7ux6iyHBvpa6x0sKt62cZdmztNhwajDY&#10;0Zuh6uf4axUsTHmQC1nuTh/l0EzzuI9f37lST4/xdQkiUAx38b/7Xaf5+W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6iDbDAAAA3QAAAA8AAAAAAAAAAAAA&#10;AAAAoQIAAGRycy9kb3ducmV2LnhtbFBLBQYAAAAABAAEAPkAAACRAwAAAAA=&#10;">
                  <v:stroke endarrow="block"/>
                </v:line>
                <v:shape id="Text Box 1616" o:spid="_x0000_s1147" type="#_x0000_t202" style="position:absolute;left:56457;top:19006;width:8151;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oBMQA&#10;AADdAAAADwAAAGRycy9kb3ducmV2LnhtbERPTWvCQBC9F/wPywhepG4MpbTRTQiCIHooVS+9Ddkx&#10;CWZnY3ZN4r93C4Xe5vE+Z52NphE9da62rGC5iEAQF1bXXCo4n7avHyCcR9bYWCYFD3KQpZOXNSba&#10;DvxN/dGXIoSwS1BB5X2bSOmKigy6hW2JA3exnUEfYFdK3eEQwk0j4yh6lwZrDg0VtrSpqLge70bB&#10;5VaiPnw1w5jPo/3Pcn7eUn5VajYd8xUIT6P/F/+5dzrM/4zf4PebcIJ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KATEAAAA3QAAAA8AAAAAAAAAAAAAAAAAmAIAAGRycy9k&#10;b3ducmV2LnhtbFBLBQYAAAAABAAEAPUAAACJAwAAAAA=&#10;" strokecolor="white">
                  <v:textbox inset="2.214mm,1.107mm,2.214mm,1.107mm">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v:textbox>
                </v:shape>
                <v:line id="Line 1618" o:spid="_x0000_s1148" style="position:absolute;visibility:visible;mso-wrap-style:square" from="81002,13120" to="81029,24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12cMAAADdAAAADwAAAGRycy9kb3ducmV2LnhtbERP32vCMBB+F/Y/hBvsTVMF51qNMlaE&#10;PehAHXu+NWdT1lxKk9X43y/CwLf7+H7eahNtKwbqfeNYwXSSgSCunG64VvB52o5fQPiArLF1TAqu&#10;5GGzfhitsNDuwgcajqEWKYR9gQpMCF0hpa8MWfQT1xEn7ux6iyHBvpa6x0sKt62cZdmztNhwajDY&#10;0Zuh6uf4axUsTHmQC1nuTh/l0EzzuI9f37lST4/xdQkiUAx38b/7Xaf5+W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ftdnDAAAA3QAAAA8AAAAAAAAAAAAA&#10;AAAAoQIAAGRycy9kb3ducmV2LnhtbFBLBQYAAAAABAAEAPkAAACRAwAAAAA=&#10;">
                  <v:stroke endarrow="block"/>
                </v:line>
                <v:line id="Line 1619" o:spid="_x0000_s1149" style="position:absolute;visibility:visible;mso-wrap-style:square" from="82640,30195" to="82709,3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0rrsMAAADdAAAADwAAAGRycy9kb3ducmV2LnhtbERPS2sCMRC+F/ofwhS81awetLsapXQp&#10;eNCCDzyPm3GzdDNZNnFN/30jFHqbj+85y3W0rRio941jBZNxBoK4crrhWsHp+Pn6BsIHZI2tY1Lw&#10;Qx7Wq+enJRba3XlPwyHUIoWwL1CBCaErpPSVIYt+7DrixF1dbzEk2NdS93hP4baV0yybSYsNpwaD&#10;HX0Yqr4PN6tgbsq9nMtye/wqh2aSx108X3KlRi/xfQEiUAz/4j/3Rqf5+XQGj2/S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K67DAAAA3QAAAA8AAAAAAAAAAAAA&#10;AAAAoQIAAGRycy9kb3ducmV2LnhtbFBLBQYAAAAABAAEAPkAAACRAwAAAAA=&#10;">
                  <v:stroke endarrow="block"/>
                </v:line>
                <v:line id="Line 1620" o:spid="_x0000_s1150" style="position:absolute;visibility:visible;mso-wrap-style:square" from="71720,13120" to="71730,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ONcQAAADdAAAADwAAAGRycy9kb3ducmV2LnhtbERPyWrDMBC9F/oPYgq9NXJyqGM3Sig1&#10;hR6aQBZynloTy8QaGUt11L+vAoHc5vHWWayi7cRIg28dK5hOMhDEtdMtNwoO+8+XOQgfkDV2jknB&#10;H3lYLR8fFlhqd+EtjbvQiBTCvkQFJoS+lNLXhiz6ieuJE3dyg8WQ4NBIPeAlhdtOzrLsVVpsOTUY&#10;7OnDUH3e/VoFuam2MpfV935Tje20iOt4/CmUen6K728gAsVwF9/cXzrNL2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Y41xAAAAN0AAAAPAAAAAAAAAAAA&#10;AAAAAKECAABkcnMvZG93bnJldi54bWxQSwUGAAAAAAQABAD5AAAAkgMAAAAA&#10;">
                  <v:stroke endarrow="block"/>
                </v:line>
                <v:line id="Line 1621" o:spid="_x0000_s1151" style="position:absolute;visibility:visible;mso-wrap-style:square" from="77935,32831" to="78009,3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4aR8YAAADdAAAADwAAAGRycy9kb3ducmV2LnhtbESPT0/DMAzF70h8h8hI3Fi6HRgtyyZE&#10;hcQBJu2PdvYa01Q0TtWELnx7fJjEzdZ7fu/n1Sb7Xk00xi6wgfmsAEXcBNtxa+B4eHt4AhUTssU+&#10;MBn4pQib9e3NCisbLryjaZ9aJSEcKzTgUhoqrWPjyGOchYFYtK8wekyyjq22I14k3Pd6URSP2mPH&#10;0uBwoFdHzff+xxtYunqnl7r+OGzrqZuX+TOfzqUx93f55RlUopz+zdfrdyv45UJw5RsZQ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eGkfGAAAA3QAAAA8AAAAAAAAA&#10;AAAAAAAAoQIAAGRycy9kb3ducmV2LnhtbFBLBQYAAAAABAAEAPkAAACUAwAAAAA=&#10;">
                  <v:stroke endarrow="block"/>
                </v:line>
                <v:shape id="Text Box 1622" o:spid="_x0000_s1152" type="#_x0000_t202" style="position:absolute;left:76121;top:24715;width:7997;height: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Yf8UA&#10;AADdAAAADwAAAGRycy9kb3ducmV2LnhtbERPS2vCQBC+F/wPywi91Y1p8RFdpQ9qPQlGweuYHZNo&#10;djZktzHtr+8WBG/z8T1nvuxMJVpqXGlZwXAQgSDOrC45V7DffT5NQDiPrLGyTAp+yMFy0XuYY6Lt&#10;lbfUpj4XIYRdggoK7+tESpcVZNANbE0cuJNtDPoAm1zqBq8h3FQyjqKRNFhyaCiwpveCskv6bRSs&#10;jqvycN68DOtfmcZfz+O3SfuxVeqx373OQHjq/F18c691mD+Np/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th/xQAAAN0AAAAPAAAAAAAAAAAAAAAAAJgCAABkcnMv&#10;ZG93bnJldi54bWxQSwUGAAAAAAQABAD1AAAAigMAAAAA&#10;">
                  <v:textbox inset="2.214mm,0,2.214mm,0">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Best supportive</w:t>
                        </w:r>
                        <w:r w:rsidRPr="00196972">
                          <w:rPr>
                            <w:rFonts w:ascii="Arial" w:hAnsi="Arial" w:cs="Arial"/>
                            <w:sz w:val="18"/>
                            <w:szCs w:val="18"/>
                          </w:rPr>
                          <w:br/>
                          <w:t>care</w:t>
                        </w:r>
                        <w:r w:rsidRPr="00CB5216">
                          <w:rPr>
                            <w:rFonts w:ascii="Arial" w:hAnsi="Arial" w:cs="Arial"/>
                            <w:sz w:val="18"/>
                            <w:szCs w:val="18"/>
                            <w:vertAlign w:val="superscript"/>
                          </w:rPr>
                          <w:t>b</w:t>
                        </w:r>
                      </w:p>
                    </w:txbxContent>
                  </v:textbox>
                </v:shape>
                <v:shape id="Text Box 1623" o:spid="_x0000_s1153" type="#_x0000_t202" style="position:absolute;left:76121;top:39842;width:8695;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00HccA&#10;AADdAAAADwAAAGRycy9kb3ducmV2LnhtbESPT0/DMAzF70h8h8hI3FjKJk1bWTah/ZG4cGDrhZvV&#10;mKascbom2zI+PT4gcbP1nt/7ebHKvlMXGmIb2MDzqABFXAfbcmOgOuyeZqBiQrbYBSYDN4qwWt7f&#10;LbC04cofdNmnRkkIxxINuJT6UutYO/IYR6EnFu0rDB6TrEOj7YBXCfedHhfFVHtsWRoc9rR2VB/3&#10;Z28g0/dsk4vp8VS50+1n+3l+rywZ8/iQX19AJcrp3/x3/WYFfz4RfvlGR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NNB3HAAAA3QAAAA8AAAAAAAAAAAAAAAAAmAIAAGRy&#10;cy9kb3ducmV2LnhtbFBLBQYAAAAABAAEAPUAAACMAwAAAAA=&#10;" strokeweight=".5pt">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v:textbox>
                </v:shape>
                <v:shape id="Text Box 1624" o:spid="_x0000_s1154" type="#_x0000_t202" style="position:absolute;left:66721;top:39842;width:8594;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G0sUA&#10;AADdAAAADwAAAGRycy9kb3ducmV2LnhtbERPTWvCQBC9F/oflin0ImajgrSpq6goqAehqYX2NmSn&#10;SWh2NuxuNfrrXUHobR7vcyazzjTiSM7XlhUMkhQEcWF1zaWCw8e6/wLCB2SNjWVScCYPs+njwwQz&#10;bU/8Tsc8lCKGsM9QQRVCm0npi4oM+sS2xJH7sc5giNCVUjs8xXDTyGGajqXBmmNDhS0tKyp+8z+j&#10;IP38rretd2a0lvtVb3dZ8tciV+r5qZu/gQjUhX/x3b3Rcf7raAC3b+IJ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IbS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v:textbox>
                </v:shape>
                <v:line id="Line 1625" o:spid="_x0000_s1155" style="position:absolute;visibility:visible;mso-wrap-style:square" from="71730,28413" to="71778,3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MuZMUAAADdAAAADwAAAGRycy9kb3ducmV2LnhtbERPTWvCQBC9C/0PyxR6000VQk1dRVoK&#10;6kGqFtrjmB2T2Oxs2F2T+O+7BcHbPN7nzBa9qUVLzleWFTyPEhDEudUVFwq+Dh/DFxA+IGusLZOC&#10;K3lYzB8GM8y07XhH7T4UIoawz1BBGUKTSenzkgz6kW2II3eyzmCI0BVSO+xiuKnlOElSabDi2FBi&#10;Q28l5b/7i1GwnXym7XK9WfXf6/SYv++OP+fOKfX02C9fQQTqw118c690nD+dj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MuZMUAAADdAAAADwAAAAAAAAAA&#10;AAAAAAChAgAAZHJzL2Rvd25yZXYueG1sUEsFBgAAAAAEAAQA+QAAAJMDAAAAAA==&#10;"/>
                <v:line id="Line 1626" o:spid="_x0000_s1156" style="position:absolute;visibility:visible;mso-wrap-style:square" from="70333,32831" to="70338,3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e68MAAADdAAAADwAAAGRycy9kb3ducmV2LnhtbERP32vCMBB+F/Y/hBv4pqkT5lqNMlYE&#10;H+ZAHXu+NWdT1lxKE2v23y/CwLf7+H7eahNtKwbqfeNYwWyagSCunG64VvB52k5eQPiArLF1TAp+&#10;ycNm/TBaYaHdlQ80HEMtUgj7AhWYELpCSl8ZsuinriNO3Nn1FkOCfS11j9cUblv5lGXP0mLDqcFg&#10;R2+Gqp/jxSpYmPIgF7J8P32UQzPL4z5+fedKjR/j6xJEoBju4n/3Tqf5+X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jHuvDAAAA3QAAAA8AAAAAAAAAAAAA&#10;AAAAoQIAAGRycy9kb3ducmV2LnhtbFBLBQYAAAAABAAEAPkAAACRAwAAAAA=&#10;">
                  <v:stroke endarrow="block"/>
                </v:line>
                <v:line id="Line 1627" o:spid="_x0000_s1157" style="position:absolute;flip:y;visibility:visible;mso-wrap-style:square" from="70333,32762" to="77935,32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1jdMUAAADdAAAADwAAAGRycy9kb3ducmV2LnhtbERPTWsCMRC9C/0PYQpeSs1WpehqFCkI&#10;HrxUy0pv42a6WXYz2SZRt/++KRS8zeN9znLd21ZcyYfasYKXUQaCuHS65krBx3H7PAMRIrLG1jEp&#10;+KEA69XDYIm5djd+p+shViKFcMhRgYmxy6UMpSGLYeQ64sR9OW8xJugrqT3eUrht5TjLXqXFmlOD&#10;wY7eDJXN4WIVyNn+6dtvztOmaE6nuSnKovvcKzV87DcLEJH6eBf/u3c6zZ9Ppv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1jdMUAAADdAAAADwAAAAAAAAAA&#10;AAAAAAChAgAAZHJzL2Rvd25yZXYueG1sUEsFBgAAAAAEAAQA+QAAAJMDAAAAAA==&#10;"/>
                <v:line id="Line 1628" o:spid="_x0000_s1158" style="position:absolute;flip:y;visibility:visible;mso-wrap-style:square" from="75038,14609" to="80906,2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SO8YAAADdAAAADwAAAGRycy9kb3ducmV2LnhtbESPQWvDMAyF74P+B6NCb4vTlo4uq1tK&#10;YbDD2GjSQ48iVpNssRxiJ3H//TwY7Cbx3vf0tDsE04qRetdYVrBMUhDEpdUNVwouxevjFoTzyBpb&#10;y6TgTg4O+9nDDjNtJz7TmPtKxBB2GSqove8yKV1Zk0GX2I44ajfbG/Rx7Supe5xiuGnlKk2fpMGG&#10;44UaOzrVVH7ng4k1NkNbhOXwvsJrqM72I799ft2VWszD8QWEp+D/zX/0m47c83oDv9/EEe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Z0jvGAAAA3QAAAA8AAAAAAAAA&#10;AAAAAAAAoQIAAGRycy9kb3ducmV2LnhtbFBLBQYAAAAABAAEAPkAAACUAwAAAAA=&#10;">
                  <v:stroke dashstyle="dash" endarrow="block"/>
                </v:line>
                <v:shape id="Text Box 1629" o:spid="_x0000_s1159" type="#_x0000_t202" style="position:absolute;left:72755;top:16797;width:7682;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FNcMA&#10;AADdAAAADwAAAGRycy9kb3ducmV2LnhtbERPS4vCMBC+C/6HMMJeRFMVRGujlAVB1sPi4+JtaMa2&#10;tJnUJmvrvzcLC3ubj+85ya43tXhS60rLCmbTCARxZnXJuYLrZT9ZgXAeWWNtmRS8yMFuOxwkGGvb&#10;8YmeZ5+LEMIuRgWF900spcsKMuimtiEO3N22Bn2AbS51i10IN7WcR9FSGiw5NBTY0GdBWXX+MQru&#10;jxz18bvu+nQcfd1m4+ue0kqpj1GfbkB46v2/+M990GH+erGE32/CC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FNcMAAADdAAAADwAAAAAAAAAAAAAAAACYAgAAZHJzL2Rv&#10;d25yZXYueG1sUEsFBgAAAAAEAAQA9QAAAIgDAAAAAA==&#10;" strokecolor="white">
                  <v:textbox inset="2.214mm,1.107mm,2.214mm,1.107mm">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v:textbox>
                </v:shape>
                <v:shape id="Text Box 1630" o:spid="_x0000_s1160" type="#_x0000_t202" style="position:absolute;left:25323;top:10666;width:15034;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7PcUA&#10;AADdAAAADwAAAGRycy9kb3ducmV2LnhtbERPTWsCMRC9F/wPYQq9FM1aQdvVKFYqVA9C1wp6GzbT&#10;3cXNZElSXf31Rij0No/3OZNZa2pxIucrywr6vQQEcW51xYWC7+2y+wrCB2SNtWVScCEPs2nnYYKp&#10;tmf+olMWChFD2KeooAyhSaX0eUkGfc82xJH7sc5giNAVUjs8x3BTy5ckGUqDFceGEhtalJQfs1+j&#10;INkdqlXjnRks5ebjeX1d8P49U+rpsZ2PQQRqw7/4z/2p4/y3wQju38QT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bs9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Medically unfit for surgery</w:t>
                        </w:r>
                      </w:p>
                    </w:txbxContent>
                  </v:textbox>
                </v:shape>
                <v:line id="Line 1631" o:spid="_x0000_s1161" style="position:absolute;visibility:visible;mso-wrap-style:square" from="40351,30190" to="40357,3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eMmsYAAADdAAAADwAAAGRycy9kb3ducmV2LnhtbESPT0vDQBDF74LfYRnBm91UwTax21Ia&#10;BA8q9A89j9kxG8zOhuyart/eOQjeZnhv3vvNapN9ryYaYxfYwHxWgCJugu24NXA6Pt8tQcWEbLEP&#10;TAZ+KMJmfX21wsqGC+9pOqRWSQjHCg24lIZK69g48hhnYSAW7TOMHpOsY6vtiBcJ972+L4pH7bFj&#10;aXA40M5R83X49gYWrt7rha5fj+/11M3L/JbPH6Uxtzd5+wQqUU7/5r/rFyv45YP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HjJrGAAAA3QAAAA8AAAAAAAAA&#10;AAAAAAAAoQIAAGRycy9kb3ducmV2LnhtbFBLBQYAAAAABAAEAPkAAACUAwAAAAA=&#10;">
                  <v:stroke endarrow="block"/>
                </v:line>
                <v:shape id="Text Box 1632" o:spid="_x0000_s1162" type="#_x0000_t202" style="position:absolute;left:27607;top:24715;width:5142;height:3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6K1MUA&#10;AADdAAAADwAAAGRycy9kb3ducmV2LnhtbERPTWvCQBC9F/oflin0InXTCmJSV7FSQT0IpgrtbchO&#10;k2B2NuxuNfrrXUHobR7vc8bTzjTiSM7XlhW89hMQxIXVNZcKdl+LlxEIH5A1NpZJwZk8TCePD2PM&#10;tD3xlo55KEUMYZ+hgiqENpPSFxUZ9H3bEkfu1zqDIUJXSu3wFMNNI9+SZCgN1hwbKmxpXlFxyP+M&#10;gmT/U69a78xgITefvfVlzt8fuVLPT93sHUSgLvyL7+6ljvPTQQq3b+IJ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orU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r w:rsidRPr="00196972">
                          <w:rPr>
                            <w:rFonts w:ascii="Arial" w:hAnsi="Arial" w:cs="Arial"/>
                            <w:sz w:val="18"/>
                            <w:szCs w:val="18"/>
                          </w:rPr>
                          <w:t xml:space="preserve"> </w:t>
                        </w:r>
                      </w:p>
                    </w:txbxContent>
                  </v:textbox>
                </v:shape>
                <v:line id="Line 1633" o:spid="_x0000_s1163" style="position:absolute;flip:x;visibility:visible;mso-wrap-style:square" from="30306,13392" to="30333,2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lrUMYAAADdAAAADwAAAGRycy9kb3ducmV2LnhtbESPT0vDQBDF74LfYRnBS7AbbREbuwn+&#10;aaEgHmx78DhkxySYnQ3ZsU2/vXMQvM1j3u/Nm1U1hd4caUxdZAe3sxwMcR19x42Dw35z8wAmCbLH&#10;PjI5OFOCqry8WGHh44k/6LiTxmgIpwIdtCJDYW2qWwqYZnEg1t1XHAOKyrGxfsSThofe3uX5vQ3Y&#10;sV5ocaCXlurv3U/QGpt3fp3Ps+dgs2xJ6095y604d301PT2CEZrk3/xHb71yy4X21290BFv+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Za1DGAAAA3QAAAA8AAAAAAAAA&#10;AAAAAAAAoQIAAGRycy9kb3ducmV2LnhtbFBLBQYAAAAABAAEAPkAAACUAwAAAAA=&#10;">
                  <v:stroke endarrow="block"/>
                </v:line>
                <v:line id="Line 1634" o:spid="_x0000_s1164" style="position:absolute;visibility:visible;mso-wrap-style:square" from="35513,32932" to="35588,3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tWesMAAADdAAAADwAAAGRycy9kb3ducmV2LnhtbERP30vDMBB+F/wfwgl7c2mHONstG2IR&#10;9qCDdeLzrTmbYnMpTdbF/94IA9/u4/t56220vZho9J1jBfk8A0HcON1xq+Dj+Hr/BMIHZI29Y1Lw&#10;Qx62m9ubNZbaXfhAUx1akULYl6jAhDCUUvrGkEU/dwNx4r7caDEkOLZSj3hJ4baXiyx7lBY7Tg0G&#10;B3ox1HzXZ6tgaaqDXMrq7bivpi4v4nv8PBVKze7i8wpEoBj+xVf3Tqf5xUMOf9+kE+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7VnrDAAAA3QAAAA8AAAAAAAAAAAAA&#10;AAAAoQIAAGRycy9kb3ducmV2LnhtbFBLBQYAAAAABAAEAPkAAACRAwAAAAA=&#10;">
                  <v:stroke endarrow="block"/>
                </v:line>
                <v:shape id="Text Box 1635" o:spid="_x0000_s1165" type="#_x0000_t202" style="position:absolute;left:33699;top:24715;width:8605;height: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vrsUA&#10;AADdAAAADwAAAGRycy9kb3ducmV2LnhtbERPTWvCQBC9C/0PywjedGOUaqOr2EptTwXTQq9jdkxS&#10;s7Mhu8bor+8WCt7m8T5nue5MJVpqXGlZwXgUgSDOrC45V/D1+Tqcg3AeWWNlmRRcycF69dBbYqLt&#10;hffUpj4XIYRdggoK7+tESpcVZNCNbE0cuKNtDPoAm1zqBi8h3FQyjqJHabDk0FBgTS8FZaf0bBTs&#10;Drvy++djOq5vMo3fJrPnebvdKzXod5sFCE+dv4v/3e86zH+axvD3TTh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a+uxQAAAN0AAAAPAAAAAAAAAAAAAAAAAJgCAABkcnMv&#10;ZG93bnJldi54bWxQSwUGAAAAAAQABAD1AAAAigMAAAAA&#10;">
                  <v:textbox inset="2.214mm,0,2.214mm,0">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Best supportive care</w:t>
                        </w:r>
                        <w:r w:rsidRPr="00CB5216">
                          <w:rPr>
                            <w:rFonts w:ascii="Arial" w:hAnsi="Arial" w:cs="Arial"/>
                            <w:sz w:val="18"/>
                            <w:szCs w:val="18"/>
                            <w:vertAlign w:val="superscript"/>
                          </w:rPr>
                          <w:t>b</w:t>
                        </w:r>
                        <w:r w:rsidRPr="00196972">
                          <w:rPr>
                            <w:rFonts w:ascii="Arial" w:hAnsi="Arial" w:cs="Arial"/>
                            <w:sz w:val="18"/>
                            <w:szCs w:val="18"/>
                          </w:rPr>
                          <w:t xml:space="preserve"> </w:t>
                        </w:r>
                      </w:p>
                    </w:txbxContent>
                  </v:textbox>
                </v:shape>
                <v:shape id="Text Box 1636" o:spid="_x0000_s1166" type="#_x0000_t202" style="position:absolute;left:34702;top:39746;width:8504;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ZF8QA&#10;AADdAAAADwAAAGRycy9kb3ducmV2LnhtbERPO2/CMBDekfgP1iF1A6cPoTRgEKKt1IUBmqXbKT7i&#10;lPgcYgOmv75GQup2n77nzZfRtuJMvW8cK3icZCCIK6cbrhWUXx/jHIQPyBpbx6TgSh6Wi+FgjoV2&#10;F97SeRdqkULYF6jAhNAVUvrKkEU/cR1x4vautxgS7Gupe7ykcNvKpyybSosNpwaDHa0NVYfdySqI&#10;9JO/xWx6OJbmeP19/z5tSk1KPYziagYiUAz/4rv7U6f5ry/PcPsmnS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2RfEAAAA3QAAAA8AAAAAAAAAAAAAAAAAmAIAAGRycy9k&#10;b3ducmV2LnhtbFBLBQYAAAAABAAEAPUAAACJAwAAAAA=&#10;" strokeweight=".5pt">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No further surgical management</w:t>
                        </w:r>
                      </w:p>
                    </w:txbxContent>
                  </v:textbox>
                </v:shape>
                <v:shape id="Text Box 1637" o:spid="_x0000_s1167" type="#_x0000_t202" style="position:absolute;left:25099;top:39842;width:8600;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WN8UA&#10;AADdAAAADwAAAGRycy9kb3ducmV2LnhtbERPTWsCMRC9F/wPYQq9iGatUtrVKFYqqIdC1wp6GzbT&#10;3cXNZEmibvvrjSD0No/3OZNZa2pxJucrywoG/QQEcW51xYWC7+2y9wrCB2SNtWVS8EseZtPOwwRT&#10;bS/8RecsFCKGsE9RQRlCk0rp85IM+r5tiCP3Y53BEKErpHZ4ieGmls9J8iINVhwbSmxoUVJ+zE5G&#10;QbI7VOvGOzNcys+P7uZvwfv3TKmnx3Y+BhGoDf/iu3ul4/y30Q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VY3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Subsequent surgical management as indicated</w:t>
                        </w:r>
                      </w:p>
                    </w:txbxContent>
                  </v:textbox>
                </v:shape>
                <v:line id="Line 1638" o:spid="_x0000_s1168" style="position:absolute;visibility:visible;mso-wrap-style:square" from="30333,28605" to="30343,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bcYAAADdAAAADwAAAGRycy9kb3ducmV2LnhtbERPS0vDQBC+C/0Pywje7MZX0NhtKS2F&#10;xoOYKrTHaXZMUrOzYXdN4r/vCoK3+fieM1uMphU9Od9YVnAzTUAQl1Y3XCn4eN9cP4LwAVlja5kU&#10;/JCHxXxyMcNM24EL6nehEjGEfYYK6hC6TEpf1mTQT21HHLlP6wyGCF0ltcMhhptW3iZJKg02HBtq&#10;7GhVU/m1+zYKXu/e0n6Zv2zHfZ4ey3VxPJwGp9TV5bh8BhFoDP/iP/dWx/lP9w/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MxW3GAAAA3QAAAA8AAAAAAAAA&#10;AAAAAAAAoQIAAGRycy9kb3ducmV2LnhtbFBLBQYAAAAABAAEAPkAAACUAwAAAAA=&#10;"/>
                <v:line id="Line 1639" o:spid="_x0000_s1169" style="position:absolute;visibility:visible;mso-wrap-style:square" from="27911,32932" to="27916,3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LODsMAAADdAAAADwAAAGRycy9kb3ducmV2LnhtbERP32vCMBB+H+x/CDfwbaYO0bUaZawI&#10;e9CBOvZ8a86mrLmUJtbsvzfCwLf7+H7ech1tKwbqfeNYwWScgSCunG64VvB13Dy/gvABWWPrmBT8&#10;kYf16vFhiYV2F97TcAi1SCHsC1RgQugKKX1lyKIfu444cSfXWwwJ9rXUPV5SuG3lS5bNpMWGU4PB&#10;jt4NVb+Hs1UwN+VezmW5PX6WQzPJ4y5+/+RKjZ7i2wJEoBju4n/3h07z8+kM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zg7DAAAA3QAAAA8AAAAAAAAAAAAA&#10;AAAAoQIAAGRycy9kb3ducmV2LnhtbFBLBQYAAAAABAAEAPkAAACRAwAAAAA=&#10;">
                  <v:stroke endarrow="block"/>
                </v:line>
                <v:line id="Line 1640" o:spid="_x0000_s1170" style="position:absolute;flip:y;visibility:visible;mso-wrap-style:square" from="27911,32863" to="35513,32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OfsUAAADdAAAADwAAAGRycy9kb3ducmV2LnhtbERPTWsCMRC9F/ofwhS8SM22SKurUUQo&#10;ePBSLSu9jZvpZtnNZE2irv++KQi9zeN9znzZ21ZcyIfasYKXUQaCuHS65krB1/7jeQIiRGSNrWNS&#10;cKMAy8Xjwxxz7a78SZddrEQK4ZCjAhNjl0sZSkMWw8h1xIn7cd5iTNBXUnu8pnDbytcse5MWa04N&#10;BjtaGyqb3dkqkJPt8ORXx3FTNIfD1BRl0X1vlRo89asZiEh9/Bff3Rud5k/H7/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mOfsUAAADdAAAADwAAAAAAAAAA&#10;AAAAAAChAgAAZHJzL2Rvd25yZXYueG1sUEsFBgAAAAAEAAQA+QAAAJMDAAAAAA==&#10;"/>
                <v:line id="Line 1641" o:spid="_x0000_s1171" style="position:absolute;flip:y;visibility:visible;mso-wrap-style:square" from="32723,14828" to="38527,2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4O2MUAAADdAAAADwAAAGRycy9kb3ducmV2LnhtbESPQWvCQBCF70L/wzIFb7pRrNjUVUqh&#10;0EOpGHvocciOSTQ7G7IbXf995yB4m8e8782b9Ta5Vl2oD41nA7NpBoq49LbhysDv4XOyAhUissXW&#10;Mxm4UYDt5mm0xtz6K+/pUsRKSQiHHA3UMXa51qGsyWGY+o5YdkffO4wi+0rbHq8S7lo9z7Kldtiw&#10;XKixo4+aynMxOKnxMrSHNBu+5/iXqr3/KY67082Y8XN6fwMVKcWH+U5/WeFeF1JXvpER9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4O2MUAAADdAAAADwAAAAAAAAAA&#10;AAAAAAChAgAAZHJzL2Rvd25yZXYueG1sUEsFBgAAAAAEAAQA+QAAAJMDAAAAAA==&#10;">
                  <v:stroke dashstyle="dash" endarrow="block"/>
                </v:line>
                <v:shape id="Text Box 1642" o:spid="_x0000_s1172" type="#_x0000_t202" style="position:absolute;left:30834;top:16658;width:8424;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OsMA&#10;AADdAAAADwAAAGRycy9kb3ducmV2LnhtbERPS4vCMBC+L+x/CLPgRdZUkUW7jVIEQfSw+Lh4G5rp&#10;A5tJbaKt/94IC97m43tOsuxNLe7UusqygvEoAkGcWV1xoeB0XH/PQDiPrLG2TAoe5GC5+PxIMNa2&#10;4z3dD74QIYRdjApK75tYSpeVZNCNbEMcuNy2Bn2AbSF1i10IN7WcRNGPNFhxaCixoVVJ2eVwMwry&#10;a4F691d3fTqMtufx8LSm9KLU4KtPf0F46v1b/O/e6DB/Pp3D65twgl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iOsMAAADdAAAADwAAAAAAAAAAAAAAAACYAgAAZHJzL2Rv&#10;d25yZXYueG1sUEsFBgAAAAAEAAQA9QAAAIgDAAAAAA==&#10;" strokecolor="white">
                  <v:textbox inset="2.214mm,1.107mm,2.214mm,1.107mm">
                    <w:txbxContent>
                      <w:p w:rsidR="0042762F" w:rsidRPr="008642EA" w:rsidRDefault="0042762F" w:rsidP="007A764D">
                        <w:pPr>
                          <w:spacing w:after="0"/>
                          <w:ind w:left="0"/>
                          <w:jc w:val="center"/>
                          <w:rPr>
                            <w:rFonts w:ascii="Arial" w:hAnsi="Arial" w:cs="Arial"/>
                            <w:sz w:val="17"/>
                            <w:szCs w:val="17"/>
                          </w:rPr>
                        </w:pPr>
                        <w:r w:rsidRPr="008642EA">
                          <w:rPr>
                            <w:rFonts w:ascii="Arial" w:hAnsi="Arial" w:cs="Arial"/>
                            <w:sz w:val="17"/>
                            <w:szCs w:val="17"/>
                          </w:rPr>
                          <w:t>Stent failure during procedure</w:t>
                        </w:r>
                      </w:p>
                    </w:txbxContent>
                  </v:textbox>
                </v:shape>
                <v:line id="Line 1643" o:spid="_x0000_s1173" style="position:absolute;flip:y;visibility:visible;mso-wrap-style:square" from="32755,30195" to="40357,30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mA18gAAADdAAAADwAAAGRycy9kb3ducmV2LnhtbESPQUsDMRCF70L/QxjBi9hsRUu7Ni1F&#10;EDz0Ylu2eBs342bZzWRNYrv+e+cgeJvhvXnvm9Vm9L06U0xtYAOzaQGKuA625cbA8fBytwCVMrLF&#10;PjAZ+KEEm/XkaoWlDRd+o/M+N0pCOJVowOU8lFqn2pHHNA0DsWifIXrMssZG24gXCfe9vi+KufbY&#10;sjQ4HOjZUd3tv70BvdjdfsXtx0NXdafT0lV1NbzvjLm5HrdPoDKN+d/8d/1qBX/5KP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AmA18gAAADdAAAADwAAAAAA&#10;AAAAAAAAAAChAgAAZHJzL2Rvd25yZXYueG1sUEsFBgAAAAAEAAQA+QAAAJYDAAAAAA==&#10;"/>
                <v:line id="Line 1644" o:spid="_x0000_s1174" style="position:absolute;flip:x;visibility:visible;mso-wrap-style:square" from="38607,29320" to="38612,3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UlTMUAAADdAAAADwAAAGRycy9kb3ducmV2LnhtbERPTWsCMRC9C/0PYQq9lJq1tKKrUUQQ&#10;PHipykpv42a6WXYz2SZRt/++KRS8zeN9znzZ21ZcyYfasYLRMANBXDpdc6XgeNi8TECEiKyxdUwK&#10;fijAcvEwmGOu3Y0/6LqPlUghHHJUYGLscilDachiGLqOOHFfzluMCfpKao+3FG5b+ZplY2mx5tRg&#10;sKO1obLZX6wCOdk9f/vV+a0pmtNpaoqy6D53Sj099qsZiEh9vIv/3Vud5k/fR/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UlTMUAAADdAAAADwAAAAAAAAAA&#10;AAAAAAChAgAAZHJzL2Rvd25yZXYueG1sUEsFBgAAAAAEAAQA+QAAAJMDAAAAAA==&#10;"/>
                <v:line id="Line 1645" o:spid="_x0000_s1175" style="position:absolute;visibility:visible;mso-wrap-style:square" from="32744,30158" to="32749,3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d4SMQAAADdAAAADwAAAGRycy9kb3ducmV2LnhtbERPTWvCQBC9F/wPywi91Y0pVRNdgxYK&#10;KbaHqngestMkNDsbshtN++tdQehtHu9zVtlgGnGmztWWFUwnEQjiwuqaSwXHw9vTAoTzyBoby6Tg&#10;lxxk69HDClNtL/xF570vRQhhl6KCyvs2ldIVFRl0E9sSB+7bdgZ9gF0pdYeXEG4aGUfRTBqsOTRU&#10;2NJrRcXPvjcKdr3/mx9Pz/gx3ZbvxS7J8XOeK/U4HjZLEJ4G/y++u3Md5icvMdy+CS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3hIxAAAAN0AAAAPAAAAAAAAAAAA&#10;AAAAAKECAABkcnMvZG93bnJldi54bWxQSwUGAAAAAAQABAD5AAAAkgMAAAAA&#10;">
                  <v:stroke dashstyle="dash" endarrow="block"/>
                </v:line>
                <v:line id="Line 1646" o:spid="_x0000_s1176" style="position:absolute;flip:x;visibility:visible;mso-wrap-style:square" from="80906,29320" to="80911,3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seoMUAAADdAAAADwAAAGRycy9kb3ducmV2LnhtbERPS2sCMRC+F/ofwhR6KZrtS3RrFCkU&#10;evCilRVv42bcLLuZbJNU139vBKG3+fieM533thVH8qF2rOB5mIEgLp2uuVKw+fkajEGEiKyxdUwK&#10;zhRgPru/m2Ku3YlXdFzHSqQQDjkqMDF2uZShNGQxDF1HnLiD8xZjgr6S2uMphdtWvmTZSFqsOTUY&#10;7OjTUNms/6wCOV4+/frF/q0pmu12Yoqy6HZLpR4f+sUHiEh9/Bff3N86zZ+8v8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seoMUAAADdAAAADwAAAAAAAAAA&#10;AAAAAAChAgAAZHJzL2Rvd25yZXYueG1sUEsFBgAAAAAEAAQA+QAAAJMDAAAAAA==&#10;"/>
                <v:line id="Line 1647" o:spid="_x0000_s1177" style="position:absolute;flip:y;visibility:visible;mso-wrap-style:square" from="75038,30200" to="82640,3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G1MUAAADdAAAADwAAAGRycy9kb3ducmV2LnhtbERPTWsCMRC9F/ofwhS8SM222KKrUUQo&#10;ePBSLSu9jZvpZtnNZE2irv++KQi9zeN9znzZ21ZcyIfasYKXUQaCuHS65krB1/7jeQIiRGSNrWNS&#10;cKMAy8Xjwxxz7a78SZddrEQK4ZCjAhNjl0sZSkMWw8h1xIn7cd5iTNBXUnu8pnDbytcse5cWa04N&#10;BjtaGyqb3dkqkJPt8ORXx3FTNIfD1BRl0X1vlRo89asZiEh9/Bff3Rud5k/fx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KG1MUAAADdAAAADwAAAAAAAAAA&#10;AAAAAAChAgAAZHJzL2Rvd25yZXYueG1sUEsFBgAAAAAEAAQA+QAAAJMDAAAAAA==&#10;"/>
                <v:line id="Line 1648" o:spid="_x0000_s1178" style="position:absolute;visibility:visible;mso-wrap-style:square" from="75033,30286" to="75038,3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7gPMQAAADdAAAADwAAAGRycy9kb3ducmV2LnhtbERPTWvCQBC9F/wPywi91Y0Wq4muwRYK&#10;EdtDVTwP2WkSmp0N2U1M/fWuUOhtHu9z1ulgatFT6yrLCqaTCARxbnXFhYLT8f1pCcJ5ZI21ZVLw&#10;Sw7SzehhjYm2F/6i/uALEULYJaig9L5JpHR5SQbdxDbEgfu2rUEfYFtI3eIlhJtazqLoRRqsODSU&#10;2NBbSfnPoTMK9p2/Lk7nZ/yYvha7fB9n+LnIlHocD9sVCE+D/xf/uTMd5sfzOdy/CSfIz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uA8xAAAAN0AAAAPAAAAAAAAAAAA&#10;AAAAAKECAABkcnMvZG93bnJldi54bWxQSwUGAAAAAAQABAD5AAAAkgMAAAAA&#10;">
                  <v:stroke dashstyle="dash" endarrow="block"/>
                </v:line>
                <v:shape id="Text Box 1649" o:spid="_x0000_s1179" type="#_x0000_t202" style="position:absolute;left:70157;top:24715;width:5142;height:3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7BsUA&#10;AADdAAAADwAAAGRycy9kb3ducmV2LnhtbERPTWsCMRC9C/6HMIVeimatVNrVKFYqqIdC1wp6GzbT&#10;3cXNZEmibvvrjVDwNo/3OZNZa2pxJucrywoG/QQEcW51xYWC7+2y9wrCB2SNtWVS8EseZtNuZ4Kp&#10;thf+onMWChFD2KeooAyhSaX0eUkGfd82xJH7sc5giNAVUju8xHBTy+ckGUmDFceGEhtalJQfs5NR&#10;kOwO1brxzgyX8vPjafO34P17ptTjQzsfgwjUhrv4373Scf7byw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vsGxQAAAN0AAAAPAAAAAAAAAAAAAAAAAJgCAABkcnMv&#10;ZG93bnJldi54bWxQSwUGAAAAAAQABAD1AAAAig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Stent</w:t>
                        </w:r>
                        <w:r w:rsidRPr="00CB5216">
                          <w:rPr>
                            <w:rFonts w:ascii="Arial" w:hAnsi="Arial" w:cs="Arial"/>
                            <w:sz w:val="18"/>
                            <w:szCs w:val="18"/>
                            <w:vertAlign w:val="superscript"/>
                          </w:rPr>
                          <w:t>b</w:t>
                        </w:r>
                        <w:r w:rsidRPr="00196972">
                          <w:rPr>
                            <w:rFonts w:ascii="Arial" w:hAnsi="Arial" w:cs="Arial"/>
                            <w:sz w:val="18"/>
                            <w:szCs w:val="18"/>
                          </w:rPr>
                          <w:t xml:space="preserve"> </w:t>
                        </w:r>
                      </w:p>
                    </w:txbxContent>
                  </v:textbox>
                </v:shape>
                <v:line id="Line 1650" o:spid="_x0000_s1180" style="position:absolute;visibility:visible;mso-wrap-style:square" from="38538,13302" to="38607,24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f9SMQAAADdAAAADwAAAGRycy9kb3ducmV2LnhtbERP32vCMBB+H+x/CDfY20wdaNdqlLEi&#10;7EEH6tjz2dyasuZSmqzG/94Ig73dx/fzlutoOzHS4FvHCqaTDARx7XTLjYLP4+bpBYQPyBo7x6Tg&#10;Qh7Wq/u7JZbanXlP4yE0IoWwL1GBCaEvpfS1IYt+4nrixH27wWJIcGikHvCcwm0nn7NsLi22nBoM&#10;9vRmqP45/FoFuan2MpfV9vhRje20iLv4dSqUenyIrwsQgWL4F/+533WaX8xyuH2TT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1IxAAAAN0AAAAPAAAAAAAAAAAA&#10;AAAAAKECAABkcnMvZG93bnJldi54bWxQSwUGAAAAAAQABAD5AAAAkgMAAAAA&#10;">
                  <v:stroke endarrow="block"/>
                </v:line>
                <v:shape id="Text Box 1651" o:spid="_x0000_s1181" type="#_x0000_t202" style="position:absolute;left:31613;top:549;width:26338;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78kA&#10;AADdAAAADwAAAGRycy9kb3ducmV2LnhtbESPQUvDQBCF70L/wzIFL2I3rSgauy1tsaA9CEYL9TZk&#10;p0lodjbsrm3sr+8cBG8zvDfvfTOd965VRwqx8WxgPMpAEZfeNlwZ+Ppc3z6CignZYuuZDPxShPls&#10;cDXF3PoTf9CxSJWSEI45GqhT6nKtY1mTwzjyHbFoex8cJllDpW3Ak4S7Vk+y7EE7bFgaauxoVVN5&#10;KH6cgWz73bx1Mbi7tX5/udmcV7xbFsZcD/vFM6hEffo3/12/WsF/uhdc+UZG0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K3K78kAAADdAAAADwAAAAAAAAAAAAAAAACYAgAA&#10;ZHJzL2Rvd25yZXYueG1sUEsFBgAAAAAEAAQA9QAAAI4DA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Large bowel obstruction, stricture or stenosis</w:t>
                        </w:r>
                      </w:p>
                    </w:txbxContent>
                  </v:textbox>
                </v:shape>
                <v:shape id="Text Box 1617" o:spid="_x0000_s1182" type="#_x0000_t202" style="position:absolute;left:67521;top:11279;width:16031;height:2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dMUA&#10;AADdAAAADwAAAGRycy9kb3ducmV2LnhtbERPTWsCMRC9C/6HMEIvotlWlLo1SisK6kHo2kJ7GzbT&#10;3aWbyZJE3frrG0HwNo/3ObNFa2pxIucrywoehwkI4tzqigsFH4f14BmED8gaa8uk4I88LObdzgxT&#10;bc/8TqcsFCKGsE9RQRlCk0rp85IM+qFtiCP3Y53BEKErpHZ4juGmlk9JMpEGK44NJTa0LCn/zY5G&#10;QfL5XW0b78xoLfer/u6y5K+3TKmHXvv6AiJQG+7im3uj4/zpeArXb+IJ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W90xQAAAN0AAAAPAAAAAAAAAAAAAAAAAJgCAABkcnMv&#10;ZG93bnJldi54bWxQSwUGAAAAAAQABAD1AAAAigMAAAAA&#10;">
                  <v:textbox inset="2.214mm,1.107mm,2.214mm,1.107mm">
                    <w:txbxContent>
                      <w:p w:rsidR="0042762F" w:rsidRPr="0044517E" w:rsidRDefault="0042762F" w:rsidP="007A764D">
                        <w:pPr>
                          <w:pStyle w:val="TableText0"/>
                          <w:rPr>
                            <w:rFonts w:ascii="Arial" w:hAnsi="Arial" w:cs="Arial"/>
                            <w:szCs w:val="18"/>
                            <w:lang w:eastAsia="en-AU"/>
                          </w:rPr>
                        </w:pPr>
                        <w:r w:rsidRPr="0044517E">
                          <w:rPr>
                            <w:rFonts w:ascii="Arial" w:hAnsi="Arial" w:cs="Arial"/>
                            <w:szCs w:val="18"/>
                            <w:lang w:eastAsia="en-AU"/>
                          </w:rPr>
                          <w:t>Medically unfit for surgery</w:t>
                        </w:r>
                      </w:p>
                    </w:txbxContent>
                  </v:textbox>
                </v:shape>
                <v:shape id="Text Box 1575" o:spid="_x0000_s1183" type="#_x0000_t202" style="position:absolute;top:24715;width:7916;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MVMgA&#10;AADdAAAADwAAAGRycy9kb3ducmV2LnhtbESPQWvCQBCF7wX/wzKFXqRu2oK00VVUKlgPQtMW6m3I&#10;TpNgdjbsrpr21zsHobcZ3pv3vpnOe9eqE4XYeDbwMMpAEZfeNlwZ+PxY3z+DignZYuuZDPxShPls&#10;cDPF3Pozv9OpSJWSEI45GqhT6nKtY1mTwzjyHbFoPz44TLKGStuAZwl3rX7MsrF22LA01NjRqqby&#10;UBydgexr37x1Mbintd69Drd/K/5eFsbc3faLCahEffo3X683VvBfxsIv38gIe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twxUyAAAAN0AAAAPAAAAAAAAAAAAAAAAAJgCAABk&#10;cnMvZG93bnJldi54bWxQSwUGAAAAAAQABAD1AAAAjQMAAAAA&#10;">
                  <v:textbox inset="2.214mm,1.107mm,2.214mm,1.107mm">
                    <w:txbxContent>
                      <w:p w:rsidR="0042762F" w:rsidRPr="00196972" w:rsidRDefault="0042762F" w:rsidP="007A764D">
                        <w:pPr>
                          <w:spacing w:after="0"/>
                          <w:ind w:left="0"/>
                          <w:jc w:val="center"/>
                          <w:rPr>
                            <w:rFonts w:ascii="Arial" w:hAnsi="Arial" w:cs="Arial"/>
                            <w:sz w:val="18"/>
                            <w:szCs w:val="18"/>
                          </w:rPr>
                        </w:pPr>
                        <w:r w:rsidRPr="00196972">
                          <w:rPr>
                            <w:rFonts w:ascii="Arial" w:hAnsi="Arial" w:cs="Arial"/>
                            <w:sz w:val="18"/>
                            <w:szCs w:val="18"/>
                          </w:rPr>
                          <w:t xml:space="preserve">Intended </w:t>
                        </w:r>
                        <w:r>
                          <w:rPr>
                            <w:rFonts w:ascii="Arial" w:hAnsi="Arial" w:cs="Arial"/>
                            <w:sz w:val="18"/>
                            <w:szCs w:val="18"/>
                          </w:rPr>
                          <w:t>single-stage</w:t>
                        </w:r>
                        <w:r w:rsidRPr="00196972">
                          <w:rPr>
                            <w:rFonts w:ascii="Arial" w:hAnsi="Arial" w:cs="Arial"/>
                            <w:sz w:val="18"/>
                            <w:szCs w:val="18"/>
                          </w:rPr>
                          <w:t xml:space="preserve"> curative surgery</w:t>
                        </w:r>
                        <w:r w:rsidRPr="00CB5216">
                          <w:rPr>
                            <w:rFonts w:ascii="Arial" w:hAnsi="Arial" w:cs="Arial"/>
                            <w:sz w:val="18"/>
                            <w:szCs w:val="18"/>
                            <w:vertAlign w:val="superscript"/>
                          </w:rPr>
                          <w:t>b</w:t>
                        </w:r>
                      </w:p>
                      <w:p w:rsidR="0042762F" w:rsidRPr="00584E7B" w:rsidRDefault="0042762F" w:rsidP="007A764D">
                        <w:pPr>
                          <w:spacing w:after="0"/>
                          <w:jc w:val="center"/>
                          <w:rPr>
                            <w:color w:val="000000"/>
                            <w:sz w:val="13"/>
                            <w:szCs w:val="16"/>
                          </w:rPr>
                        </w:pPr>
                      </w:p>
                    </w:txbxContent>
                  </v:textbox>
                </v:shape>
                <v:shape id="Text Box 1596" o:spid="_x0000_s1184" type="#_x0000_t202" style="position:absolute;left:43707;top:24715;width:7917;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z8UA&#10;AADdAAAADwAAAGRycy9kb3ducmV2LnhtbERPTWvCQBC9C/0PyxR6EbNRQdrUVVQUrAehqYX2NmSn&#10;SWh2NuxuNfXXu4LgbR7vc6bzzjTiSM7XlhUMkxQEcWF1zaWCw8dm8AzCB2SNjWVS8E8e5rOH3hQz&#10;bU/8Tsc8lCKGsM9QQRVCm0npi4oM+sS2xJH7sc5giNCVUjs8xXDTyFGaTqTBmmNDhS2tKip+8z+j&#10;IP38rt9a78x4I/fr/u684q9lrtTTY7d4BRGoC3fxzb3Vcf7LZAjXb+IJ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nPxQAAAN0AAAAPAAAAAAAAAAAAAAAAAJgCAABkcnMv&#10;ZG93bnJldi54bWxQSwUGAAAAAAQABAD1AAAAigMAAAAA&#10;">
                  <v:textbox inset="2.214mm,1.107mm,2.214mm,1.107mm">
                    <w:txbxContent>
                      <w:p w:rsidR="0042762F" w:rsidRPr="0007443E" w:rsidRDefault="0042762F" w:rsidP="007A764D">
                        <w:pPr>
                          <w:spacing w:after="0"/>
                          <w:ind w:left="0"/>
                          <w:jc w:val="center"/>
                          <w:rPr>
                            <w:rFonts w:ascii="Arial" w:hAnsi="Arial" w:cs="Arial"/>
                            <w:sz w:val="17"/>
                            <w:szCs w:val="17"/>
                          </w:rPr>
                        </w:pPr>
                        <w:r w:rsidRPr="0007443E">
                          <w:rPr>
                            <w:rFonts w:ascii="Arial" w:hAnsi="Arial" w:cs="Arial"/>
                            <w:sz w:val="17"/>
                            <w:szCs w:val="17"/>
                          </w:rPr>
                          <w:t xml:space="preserve">Intended </w:t>
                        </w:r>
                        <w:r>
                          <w:rPr>
                            <w:rFonts w:ascii="Arial" w:hAnsi="Arial" w:cs="Arial"/>
                            <w:sz w:val="17"/>
                            <w:szCs w:val="17"/>
                          </w:rPr>
                          <w:t>single-stage</w:t>
                        </w:r>
                        <w:r w:rsidRPr="0007443E">
                          <w:rPr>
                            <w:rFonts w:ascii="Arial" w:hAnsi="Arial" w:cs="Arial"/>
                            <w:sz w:val="17"/>
                            <w:szCs w:val="17"/>
                          </w:rPr>
                          <w:t xml:space="preserve"> curative surgery</w:t>
                        </w:r>
                        <w:r w:rsidRPr="00CB5216">
                          <w:rPr>
                            <w:rFonts w:ascii="Arial" w:hAnsi="Arial" w:cs="Arial"/>
                            <w:sz w:val="18"/>
                            <w:szCs w:val="18"/>
                            <w:vertAlign w:val="superscript"/>
                          </w:rPr>
                          <w:t>b</w:t>
                        </w:r>
                      </w:p>
                    </w:txbxContent>
                  </v:textbox>
                </v:shape>
                <v:shape id="Text Box 1593" o:spid="_x0000_s1185" type="#_x0000_t202" style="position:absolute;left:2133;top:16162;width:9859;height:7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BGMMA&#10;AADdAAAADwAAAGRycy9kb3ducmV2LnhtbERPTWuDQBC9F/oflgn0VtfkINZmDSUglFxKTS69Td2J&#10;K7qz4m7U/PtuodDbPN7n7A+rHcRMk+8cK9gmKQjixumOWwWXc/Wcg/ABWePgmBTcycOhfHzYY6Hd&#10;wp8016EVMYR9gQpMCGMhpW8MWfSJG4kjd3WTxRDh1Eo94RLD7SB3aZpJix3HBoMjHQ01fX2zCj4a&#10;44bvSveX6vpV3Y6Undv8pNTTZn17BRFoDf/iP/e7jvNfsh38fhN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BBGMMAAADdAAAADwAAAAAAAAAAAAAAAACYAgAAZHJzL2Rv&#10;d25yZXYueG1sUEsFBgAAAAAEAAQA9QAAAIgDAAAAAA==&#10;" stroked="f" strokecolor="white">
                  <v:textbox inset="2.214mm,1.107mm,2.214mm,1.107mm">
                    <w:txbxContent>
                      <w:p w:rsidR="0042762F" w:rsidRPr="0007443E" w:rsidRDefault="0042762F" w:rsidP="007A764D">
                        <w:pPr>
                          <w:spacing w:after="0"/>
                          <w:ind w:left="0"/>
                          <w:jc w:val="center"/>
                          <w:rPr>
                            <w:rFonts w:ascii="Arial" w:hAnsi="Arial" w:cs="Arial"/>
                            <w:sz w:val="17"/>
                            <w:szCs w:val="17"/>
                          </w:rPr>
                        </w:pPr>
                        <w:r w:rsidRPr="0007443E">
                          <w:rPr>
                            <w:rFonts w:ascii="Arial" w:hAnsi="Arial" w:cs="Arial"/>
                            <w:sz w:val="17"/>
                            <w:szCs w:val="17"/>
                          </w:rPr>
                          <w:t>During procedure: cure not possible or multi stage surgery required</w:t>
                        </w:r>
                      </w:p>
                    </w:txbxContent>
                  </v:textbox>
                </v:shape>
                <v:line id="Line 1774" o:spid="_x0000_s1186" style="position:absolute;visibility:visible;mso-wrap-style:square" from="55699,16791" to="55779,2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x9sMAAADdAAAADwAAAGRycy9kb3ducmV2LnhtbERP32vCMBB+H+x/CDfwbaZO0LUaZawI&#10;e9CBOvZ8a86mrLmUJtbsvzfCwLf7+H7ech1tKwbqfeNYwWScgSCunG64VvB13Dy/gvABWWPrmBT8&#10;kYf16vFhiYV2F97TcAi1SCHsC1RgQugKKX1lyKIfu444cSfXWwwJ9rXUPV5SuG3lS5bNpMWGU4PB&#10;jt4NVb+Hs1UwN+VezmW5PX6WQzPJ4y5+/+RKjZ7i2wJEoBju4n/3h07z89kU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QMfbDAAAA3QAAAA8AAAAAAAAAAAAA&#10;AAAAoQIAAGRycy9kb3ducmV2LnhtbFBLBQYAAAAABAAEAPkAAACRAwAAAAA=&#10;">
                  <v:stroke endarrow="block"/>
                </v:line>
                <w10:anchorlock/>
              </v:group>
            </w:pict>
          </mc:Fallback>
        </mc:AlternateContent>
      </w:r>
    </w:p>
    <w:p w:rsidR="00584E7B" w:rsidRDefault="00C70054" w:rsidP="00C70054">
      <w:pPr>
        <w:pStyle w:val="Caption"/>
      </w:pPr>
      <w:r>
        <w:t xml:space="preserve">Figure </w:t>
      </w:r>
      <w:fldSimple w:instr=" SEQ Figure \* ARABIC ">
        <w:r w:rsidR="0071544A">
          <w:rPr>
            <w:noProof/>
          </w:rPr>
          <w:t>2</w:t>
        </w:r>
      </w:fldSimple>
      <w:bookmarkEnd w:id="18"/>
      <w:r>
        <w:tab/>
      </w:r>
      <w:r w:rsidR="00960A9E">
        <w:t>Proposed</w:t>
      </w:r>
      <w:r w:rsidR="007D5B7C">
        <w:t xml:space="preserve"> clinical management algorithm (once SEMS </w:t>
      </w:r>
      <w:r w:rsidR="00CD7B3F">
        <w:t xml:space="preserve">insertion </w:t>
      </w:r>
      <w:r w:rsidR="007D5B7C">
        <w:t>introduced)</w:t>
      </w:r>
      <w:bookmarkEnd w:id="19"/>
      <w:r w:rsidR="007D5B7C">
        <w:t xml:space="preserve"> </w:t>
      </w:r>
    </w:p>
    <w:p w:rsidR="00584E7B" w:rsidRDefault="00584E7B" w:rsidP="00584E7B">
      <w:pPr>
        <w:pStyle w:val="TableNotes"/>
      </w:pPr>
      <w:r>
        <w:t xml:space="preserve">Other surgery: </w:t>
      </w:r>
      <w:r w:rsidR="00D3398A">
        <w:t>T</w:t>
      </w:r>
      <w:r>
        <w:t>wo</w:t>
      </w:r>
      <w:r w:rsidR="00A62530">
        <w:t>-</w:t>
      </w:r>
      <w:r>
        <w:t xml:space="preserve"> and three</w:t>
      </w:r>
      <w:r w:rsidR="00A62530">
        <w:t>-</w:t>
      </w:r>
      <w:r>
        <w:t xml:space="preserve">staged resection techniques used in managing colorectal obstructions, strictures or stenosis. Hartmann’s procedure and primary anastomosis could be performed by itself or together with staged surgical resections. Current MBS-listed surgical resection techniques are listed in Table </w:t>
      </w:r>
      <w:r w:rsidR="00A62530">
        <w:t>4</w:t>
      </w:r>
      <w:r>
        <w:t>.</w:t>
      </w:r>
    </w:p>
    <w:p w:rsidR="00584E7B" w:rsidRDefault="00584E7B" w:rsidP="00584E7B">
      <w:pPr>
        <w:pStyle w:val="TableNotes"/>
      </w:pPr>
      <w:r>
        <w:t xml:space="preserve">Subsequent surgical management: </w:t>
      </w:r>
      <w:r w:rsidR="00D3398A">
        <w:t>A</w:t>
      </w:r>
      <w:r>
        <w:t xml:space="preserve">ny surgical intervention including </w:t>
      </w:r>
      <w:r w:rsidR="00511134">
        <w:t>single-stage</w:t>
      </w:r>
      <w:r>
        <w:t xml:space="preserve"> surgery and ‘other surgery</w:t>
      </w:r>
      <w:r w:rsidR="00A62530">
        <w:t>’</w:t>
      </w:r>
      <w:r>
        <w:t xml:space="preserve">. </w:t>
      </w:r>
    </w:p>
    <w:p w:rsidR="00584E7B" w:rsidRDefault="00584E7B" w:rsidP="00584E7B">
      <w:pPr>
        <w:pStyle w:val="TableNotes"/>
      </w:pPr>
      <w:r>
        <w:t xml:space="preserve">Best supportive care: </w:t>
      </w:r>
      <w:r w:rsidR="00D3398A">
        <w:t>C</w:t>
      </w:r>
      <w:r>
        <w:t xml:space="preserve">onservative/clinical management of symptoms without surgical interventions. </w:t>
      </w:r>
    </w:p>
    <w:p w:rsidR="00584E7B" w:rsidRDefault="00CB5216" w:rsidP="00584E7B">
      <w:pPr>
        <w:pStyle w:val="TableNotes"/>
      </w:pPr>
      <w:r>
        <w:rPr>
          <w:lang w:val="en-AU"/>
        </w:rPr>
        <w:t>a</w:t>
      </w:r>
      <w:r w:rsidR="00951C3D">
        <w:rPr>
          <w:lang w:val="en-AU"/>
        </w:rPr>
        <w:t xml:space="preserve"> </w:t>
      </w:r>
      <w:r>
        <w:rPr>
          <w:lang w:val="en-AU"/>
        </w:rPr>
        <w:t xml:space="preserve"> </w:t>
      </w:r>
      <w:r w:rsidR="00584E7B">
        <w:t>This group may include less than 25% of patients with colonic obstructions of non-malignant aetiologies such as diverticulitis and Crohn’s disease</w:t>
      </w:r>
      <w:r w:rsidR="00A62530">
        <w:br/>
      </w:r>
      <w:r>
        <w:rPr>
          <w:lang w:val="en-AU"/>
        </w:rPr>
        <w:t xml:space="preserve">b </w:t>
      </w:r>
      <w:r w:rsidR="00584E7B">
        <w:t xml:space="preserve"> Patients would receive chemotherapy, radiotherapy and/or palliation in addition to ongoing medical management. The type and combination of medical management received is individually based.</w:t>
      </w:r>
    </w:p>
    <w:p w:rsidR="008F42F9" w:rsidRPr="00584E7B" w:rsidRDefault="008F42F9" w:rsidP="00B634E0">
      <w:pPr>
        <w:ind w:left="0"/>
        <w:sectPr w:rsidR="008F42F9" w:rsidRPr="00584E7B" w:rsidSect="004F5C6F">
          <w:footerReference w:type="even" r:id="rId17"/>
          <w:footerReference w:type="default" r:id="rId18"/>
          <w:pgSz w:w="16838" w:h="11906" w:orient="landscape"/>
          <w:pgMar w:top="567" w:right="1440" w:bottom="1440" w:left="1440" w:header="720" w:footer="720" w:gutter="0"/>
          <w:paperSrc w:first="2" w:other="2"/>
          <w:cols w:space="720"/>
          <w:docGrid w:linePitch="326"/>
        </w:sectPr>
      </w:pPr>
    </w:p>
    <w:p w:rsidR="00941B19" w:rsidRPr="00027046" w:rsidRDefault="00941B19" w:rsidP="00FC35F9">
      <w:pPr>
        <w:pStyle w:val="Heading3"/>
      </w:pPr>
      <w:r w:rsidRPr="009E5C53">
        <w:lastRenderedPageBreak/>
        <w:t>Comparator to the proposed intervention</w:t>
      </w:r>
    </w:p>
    <w:p w:rsidR="00B63437" w:rsidRPr="008F42F9" w:rsidRDefault="00B63437" w:rsidP="00941B19">
      <w:r w:rsidRPr="00F13A5A">
        <w:t xml:space="preserve">Two comparators were </w:t>
      </w:r>
      <w:r w:rsidR="000F1EEA">
        <w:t xml:space="preserve">considered </w:t>
      </w:r>
      <w:r w:rsidRPr="00F13A5A">
        <w:t>relevant to the assessment of SEMS in this review, namely, surgical management and best</w:t>
      </w:r>
      <w:r w:rsidR="000F1EEA">
        <w:t xml:space="preserve"> </w:t>
      </w:r>
      <w:r w:rsidRPr="00F13A5A">
        <w:t>supportive care. Surgical management is indicated for patients who are medically fit for surge</w:t>
      </w:r>
      <w:r w:rsidRPr="00E767D0">
        <w:t>ry</w:t>
      </w:r>
      <w:r w:rsidR="00A94FC0" w:rsidRPr="00BE3EA8">
        <w:t xml:space="preserve"> and </w:t>
      </w:r>
      <w:r w:rsidR="000F1EEA">
        <w:t>are able</w:t>
      </w:r>
      <w:r w:rsidR="00A94FC0" w:rsidRPr="003C49DC">
        <w:t xml:space="preserve"> to</w:t>
      </w:r>
      <w:r w:rsidRPr="008F42F9">
        <w:t xml:space="preserve"> tolerate general anaesthesia.</w:t>
      </w:r>
      <w:r w:rsidR="00DA6D56" w:rsidRPr="008F42F9">
        <w:t xml:space="preserve"> Surgical management can be used as both a curative and </w:t>
      </w:r>
      <w:r w:rsidR="00EF3BFB" w:rsidRPr="008F42F9">
        <w:t>non-curative</w:t>
      </w:r>
      <w:r w:rsidR="00DA6D56" w:rsidRPr="008F42F9">
        <w:t xml:space="preserve"> measure. Best</w:t>
      </w:r>
      <w:r w:rsidR="000F1EEA">
        <w:t xml:space="preserve"> </w:t>
      </w:r>
      <w:r w:rsidR="00DA6D56" w:rsidRPr="008F42F9">
        <w:t>supportive care is the alternative intervention for patients who are</w:t>
      </w:r>
      <w:r w:rsidR="00A94FC0" w:rsidRPr="008F42F9">
        <w:t xml:space="preserve"> in terminal stages of the underlying cancer</w:t>
      </w:r>
      <w:r w:rsidR="000F1EEA">
        <w:t xml:space="preserve"> and</w:t>
      </w:r>
      <w:r w:rsidR="000F1EEA" w:rsidRPr="008F42F9">
        <w:t xml:space="preserve"> </w:t>
      </w:r>
      <w:r w:rsidR="00DA6D56" w:rsidRPr="008F42F9">
        <w:t xml:space="preserve">medically unfit for surgery, including those with </w:t>
      </w:r>
      <w:r w:rsidR="009E5EA6">
        <w:t>comorbidit</w:t>
      </w:r>
      <w:r w:rsidR="00DA6D56" w:rsidRPr="008F42F9">
        <w:t xml:space="preserve">ies which would prevent the use of general anaesthesia. </w:t>
      </w:r>
    </w:p>
    <w:p w:rsidR="00025187" w:rsidRPr="00325C69" w:rsidRDefault="00025187" w:rsidP="00FC35F9">
      <w:pPr>
        <w:pStyle w:val="Heading4"/>
      </w:pPr>
      <w:r w:rsidRPr="00325C69">
        <w:t>Surgical management</w:t>
      </w:r>
    </w:p>
    <w:p w:rsidR="000F1EEA" w:rsidRDefault="00933DE2" w:rsidP="00553293">
      <w:r w:rsidRPr="007D5B7C">
        <w:t>Currently, s</w:t>
      </w:r>
      <w:r w:rsidR="00025187" w:rsidRPr="007D5B7C">
        <w:t>urgical resection is the gold standard treatment in managing colorectal obstruction. It may be carried out as a one-stage, two-stage or three-stage procedure. For right</w:t>
      </w:r>
      <w:r w:rsidR="00CC4A6D">
        <w:t>-</w:t>
      </w:r>
      <w:r w:rsidR="00025187" w:rsidRPr="007D5B7C">
        <w:t xml:space="preserve"> and left</w:t>
      </w:r>
      <w:r w:rsidR="00CC4A6D">
        <w:t>-</w:t>
      </w:r>
      <w:r w:rsidR="00025187" w:rsidRPr="007D5B7C">
        <w:t>sided (curative) malignancies, a hemi-colectomy with primary anastomosis is preferably performed as a one-stage procedure</w:t>
      </w:r>
      <w:r w:rsidR="000F1EEA">
        <w:t>.</w:t>
      </w:r>
      <w:r w:rsidR="00025187" w:rsidRPr="007D5B7C">
        <w:t xml:space="preserve"> </w:t>
      </w:r>
      <w:r w:rsidR="000F1EEA" w:rsidRPr="003A67FE">
        <w:t xml:space="preserve">Single-stage resection, also known as resection </w:t>
      </w:r>
      <w:r w:rsidR="000F1EEA">
        <w:t>with</w:t>
      </w:r>
      <w:r w:rsidR="000F1EEA" w:rsidRPr="003A67FE">
        <w:t xml:space="preserve"> primary anastomosis</w:t>
      </w:r>
      <w:r w:rsidR="000F1EEA">
        <w:t>,</w:t>
      </w:r>
      <w:r w:rsidR="000F1EEA" w:rsidRPr="003A67FE">
        <w:t xml:space="preserve"> is performed under general anaesthesia using an open laparotomy technique</w:t>
      </w:r>
      <w:r w:rsidR="000F1EEA">
        <w:t>;</w:t>
      </w:r>
      <w:r w:rsidR="000F1EEA" w:rsidRPr="007D5B7C">
        <w:t xml:space="preserve"> </w:t>
      </w:r>
      <w:r w:rsidR="00025187" w:rsidRPr="007D5B7C">
        <w:t>the diseased section of bowel is excised and removed, and the free ends of the bowel are re-joined during the same procedure to restore bowel function</w:t>
      </w:r>
      <w:r w:rsidR="0089332B" w:rsidRPr="00960A9E">
        <w:t xml:space="preserve"> </w:t>
      </w:r>
      <w:r w:rsidR="00025187" w:rsidRPr="00960A9E">
        <w:t xml:space="preserve">(Breitenstein et al 2007). </w:t>
      </w:r>
      <w:r w:rsidR="00B63437" w:rsidRPr="00960A9E">
        <w:t xml:space="preserve">However, </w:t>
      </w:r>
      <w:r w:rsidR="00025187" w:rsidRPr="00EA2600">
        <w:t>not all patients are candidates for single</w:t>
      </w:r>
      <w:r w:rsidR="008628D5">
        <w:t>-</w:t>
      </w:r>
      <w:r w:rsidR="00025187" w:rsidRPr="00EA2600">
        <w:t>stage surgery</w:t>
      </w:r>
      <w:r w:rsidR="00B63437" w:rsidRPr="00EA2600">
        <w:t xml:space="preserve"> due to various factors including</w:t>
      </w:r>
      <w:r w:rsidR="00025187" w:rsidRPr="00EA2600">
        <w:t xml:space="preserve"> </w:t>
      </w:r>
      <w:r w:rsidR="00B63437" w:rsidRPr="00EC591E">
        <w:t xml:space="preserve">patient comorbidity, tumour stage or size, </w:t>
      </w:r>
      <w:r w:rsidR="000F1EEA">
        <w:t xml:space="preserve">and </w:t>
      </w:r>
      <w:r w:rsidR="00B63437" w:rsidRPr="00EC591E">
        <w:t>surgeon exper</w:t>
      </w:r>
      <w:r w:rsidR="00B63437" w:rsidRPr="00430AA8">
        <w:t xml:space="preserve">ience and expertise </w:t>
      </w:r>
      <w:r w:rsidR="00025187" w:rsidRPr="003A67FE">
        <w:t xml:space="preserve">(Dauphine et al 2002). </w:t>
      </w:r>
      <w:r w:rsidR="00EF3BFB" w:rsidRPr="00584C29">
        <w:t xml:space="preserve">Single-stage surgical resection of colorectal obstruction was not </w:t>
      </w:r>
      <w:r w:rsidR="00EF3BFB" w:rsidRPr="00DA0155">
        <w:t>considered as a</w:t>
      </w:r>
      <w:r w:rsidR="000F1EEA">
        <w:t xml:space="preserve"> valid</w:t>
      </w:r>
      <w:r w:rsidR="00EF3BFB" w:rsidRPr="00DA0155">
        <w:t xml:space="preserve"> comparator procedure for the purpose of this assessment. Expert clinical input indicated that pati</w:t>
      </w:r>
      <w:r w:rsidR="00172ADB" w:rsidRPr="00CF31D5">
        <w:t>e</w:t>
      </w:r>
      <w:r w:rsidR="00EF3BFB" w:rsidRPr="00CF31D5">
        <w:t xml:space="preserve">nts </w:t>
      </w:r>
      <w:r w:rsidR="008628D5">
        <w:t>who</w:t>
      </w:r>
      <w:r w:rsidR="008628D5" w:rsidRPr="00CF31D5">
        <w:t xml:space="preserve"> </w:t>
      </w:r>
      <w:r w:rsidR="000F1EEA">
        <w:t xml:space="preserve">are </w:t>
      </w:r>
      <w:r w:rsidR="00EF3BFB" w:rsidRPr="00CF31D5">
        <w:t>eligible to</w:t>
      </w:r>
      <w:r w:rsidR="000F1EEA">
        <w:t xml:space="preserve"> undergo a</w:t>
      </w:r>
      <w:r w:rsidR="00EF3BFB" w:rsidRPr="00CF31D5">
        <w:t xml:space="preserve"> </w:t>
      </w:r>
      <w:r w:rsidR="00511134">
        <w:t>single-stage</w:t>
      </w:r>
      <w:r w:rsidR="00EF3BFB" w:rsidRPr="00CF31D5">
        <w:t xml:space="preserve"> procedure should receive that surgery</w:t>
      </w:r>
      <w:r w:rsidR="000F1EEA">
        <w:t>,</w:t>
      </w:r>
      <w:r w:rsidR="00EF3BFB" w:rsidRPr="00CF31D5">
        <w:t xml:space="preserve"> and should not </w:t>
      </w:r>
      <w:r w:rsidR="000F1EEA">
        <w:t xml:space="preserve">be </w:t>
      </w:r>
      <w:r w:rsidR="00EF3BFB" w:rsidRPr="00CF31D5">
        <w:t xml:space="preserve">considered for stenting. </w:t>
      </w:r>
    </w:p>
    <w:p w:rsidR="00553293" w:rsidRPr="0072092E" w:rsidRDefault="00EF3BFB" w:rsidP="00553293">
      <w:proofErr w:type="gramStart"/>
      <w:r w:rsidRPr="00CF31D5">
        <w:t>Patients</w:t>
      </w:r>
      <w:proofErr w:type="gramEnd"/>
      <w:r w:rsidRPr="00CF31D5">
        <w:t xml:space="preserve"> </w:t>
      </w:r>
      <w:r w:rsidR="008628D5">
        <w:t>who</w:t>
      </w:r>
      <w:r w:rsidR="008628D5" w:rsidRPr="00CF31D5">
        <w:t xml:space="preserve"> </w:t>
      </w:r>
      <w:r w:rsidR="000F1EEA">
        <w:t>are medically fit for surgery, but</w:t>
      </w:r>
      <w:r w:rsidRPr="00CF31D5">
        <w:t xml:space="preserve"> not </w:t>
      </w:r>
      <w:r w:rsidR="000F1EEA">
        <w:t>suitable</w:t>
      </w:r>
      <w:r w:rsidR="000F1EEA" w:rsidRPr="00A550ED">
        <w:t xml:space="preserve"> </w:t>
      </w:r>
      <w:r w:rsidRPr="00A550ED">
        <w:t xml:space="preserve">to </w:t>
      </w:r>
      <w:r w:rsidR="000F1EEA">
        <w:t>undergo</w:t>
      </w:r>
      <w:r w:rsidRPr="00A550ED">
        <w:t xml:space="preserve"> a single</w:t>
      </w:r>
      <w:r w:rsidR="008628D5">
        <w:t>-</w:t>
      </w:r>
      <w:r w:rsidRPr="00A550ED">
        <w:t>stage re</w:t>
      </w:r>
      <w:r w:rsidR="006816C1" w:rsidRPr="0055406F">
        <w:t>s</w:t>
      </w:r>
      <w:r w:rsidRPr="0055406F">
        <w:t>e</w:t>
      </w:r>
      <w:r w:rsidR="006816C1" w:rsidRPr="0055406F">
        <w:t>c</w:t>
      </w:r>
      <w:r w:rsidRPr="0055406F">
        <w:t xml:space="preserve">tion, </w:t>
      </w:r>
      <w:r w:rsidR="000F1EEA">
        <w:t>would undergo a two- or three-</w:t>
      </w:r>
      <w:r w:rsidRPr="0055406F">
        <w:t>staged re</w:t>
      </w:r>
      <w:r w:rsidR="00172ADB" w:rsidRPr="0055406F">
        <w:t>se</w:t>
      </w:r>
      <w:r w:rsidRPr="0055406F">
        <w:t>ction</w:t>
      </w:r>
      <w:r w:rsidR="000F1EEA">
        <w:t xml:space="preserve">. For the purpose of the current assessment, these patients are also </w:t>
      </w:r>
      <w:r w:rsidR="006542D1">
        <w:t>considered suitable</w:t>
      </w:r>
      <w:r w:rsidRPr="0055406F">
        <w:t xml:space="preserve"> for SEM</w:t>
      </w:r>
      <w:r w:rsidR="006816C1" w:rsidRPr="0055406F">
        <w:t>S</w:t>
      </w:r>
      <w:r w:rsidRPr="001949E9">
        <w:t xml:space="preserve"> </w:t>
      </w:r>
      <w:r w:rsidR="006816C1" w:rsidRPr="00286445">
        <w:t>insertion</w:t>
      </w:r>
      <w:r w:rsidRPr="00CD21F6">
        <w:t xml:space="preserve"> and to receive reimbursement under the proposed MBS </w:t>
      </w:r>
      <w:r w:rsidR="006542D1">
        <w:t>item</w:t>
      </w:r>
      <w:r w:rsidRPr="0086082D">
        <w:t xml:space="preserve">. </w:t>
      </w:r>
    </w:p>
    <w:p w:rsidR="00025187" w:rsidRPr="00027046" w:rsidRDefault="006542D1" w:rsidP="00553293">
      <w:r>
        <w:t>C</w:t>
      </w:r>
      <w:r w:rsidRPr="0052787F">
        <w:t xml:space="preserve">olostomy </w:t>
      </w:r>
      <w:r w:rsidR="00025187" w:rsidRPr="0052787F">
        <w:t xml:space="preserve">and Hartmann's resection are </w:t>
      </w:r>
      <w:r>
        <w:t xml:space="preserve">the most commonly </w:t>
      </w:r>
      <w:r w:rsidR="00025187" w:rsidRPr="0052787F">
        <w:t xml:space="preserve">employed </w:t>
      </w:r>
      <w:r w:rsidR="00DF03CC">
        <w:t>multi-stage</w:t>
      </w:r>
      <w:r w:rsidRPr="0052787F">
        <w:t xml:space="preserve">d procedures </w:t>
      </w:r>
      <w:r>
        <w:t>for the</w:t>
      </w:r>
      <w:r w:rsidR="00025187" w:rsidRPr="0052787F">
        <w:t xml:space="preserve"> management of </w:t>
      </w:r>
      <w:r w:rsidR="005A4D60" w:rsidRPr="0052787F">
        <w:t>colorectal</w:t>
      </w:r>
      <w:r w:rsidR="00025187" w:rsidRPr="0052787F">
        <w:t xml:space="preserve"> obstructive lesions. </w:t>
      </w:r>
      <w:r w:rsidRPr="00027046">
        <w:t xml:space="preserve">Colostomy and Hartmann’s resection can </w:t>
      </w:r>
      <w:r>
        <w:t xml:space="preserve">both </w:t>
      </w:r>
      <w:r w:rsidRPr="00027046">
        <w:t xml:space="preserve">be performed using either an open laparotomy or laparoscopic technique. </w:t>
      </w:r>
      <w:r w:rsidR="00025187" w:rsidRPr="0052787F">
        <w:t xml:space="preserve">Colostomy is </w:t>
      </w:r>
      <w:r>
        <w:t xml:space="preserve">the procedure </w:t>
      </w:r>
      <w:r w:rsidR="00025187" w:rsidRPr="0052787F">
        <w:t>generally performed if the cancer is too advanced</w:t>
      </w:r>
      <w:r w:rsidR="00B63437" w:rsidRPr="00A84480">
        <w:t xml:space="preserve"> for single-stage resection</w:t>
      </w:r>
      <w:r>
        <w:t>,</w:t>
      </w:r>
      <w:r w:rsidRPr="00A84480">
        <w:t xml:space="preserve"> </w:t>
      </w:r>
      <w:r w:rsidR="00B63437" w:rsidRPr="00A84480">
        <w:t xml:space="preserve">the </w:t>
      </w:r>
      <w:r w:rsidR="00025187" w:rsidRPr="00525D7F">
        <w:t>obstruction is right sided</w:t>
      </w:r>
      <w:r>
        <w:t>,</w:t>
      </w:r>
      <w:r w:rsidR="00025187" w:rsidRPr="00525D7F">
        <w:t xml:space="preserve"> and/or</w:t>
      </w:r>
      <w:r w:rsidR="00B63437" w:rsidRPr="00525D7F">
        <w:t xml:space="preserve"> the</w:t>
      </w:r>
      <w:r w:rsidR="00025187" w:rsidRPr="00186148">
        <w:t xml:space="preserve"> patient is </w:t>
      </w:r>
      <w:r w:rsidR="00B63437" w:rsidRPr="00A32225">
        <w:t xml:space="preserve">medically </w:t>
      </w:r>
      <w:r w:rsidR="00025187" w:rsidRPr="005C214B">
        <w:t>unfit</w:t>
      </w:r>
      <w:r w:rsidR="00B63437" w:rsidRPr="005C214B">
        <w:t xml:space="preserve"> for </w:t>
      </w:r>
      <w:r w:rsidR="005A4D60" w:rsidRPr="00C27C1E">
        <w:t>single-stage resection</w:t>
      </w:r>
      <w:r w:rsidR="00025187" w:rsidRPr="00C27C1E">
        <w:t xml:space="preserve"> due to sever</w:t>
      </w:r>
      <w:r>
        <w:t>e</w:t>
      </w:r>
      <w:r w:rsidR="00025187" w:rsidRPr="00C27C1E">
        <w:t xml:space="preserve"> c</w:t>
      </w:r>
      <w:r w:rsidR="00025187" w:rsidRPr="00027046">
        <w:t xml:space="preserve">omorbidities. Hartmann’s resection is commonly </w:t>
      </w:r>
      <w:r w:rsidR="00B63437" w:rsidRPr="00027046">
        <w:t>indicated for</w:t>
      </w:r>
      <w:r w:rsidR="00025187" w:rsidRPr="00027046">
        <w:t xml:space="preserve"> distal</w:t>
      </w:r>
      <w:r>
        <w:t xml:space="preserve"> </w:t>
      </w:r>
      <w:r w:rsidRPr="00027046">
        <w:t>(left</w:t>
      </w:r>
      <w:r w:rsidR="008628D5">
        <w:t>-</w:t>
      </w:r>
      <w:r w:rsidRPr="00027046">
        <w:t>sided)</w:t>
      </w:r>
      <w:r w:rsidR="00025187" w:rsidRPr="00027046">
        <w:t xml:space="preserve"> obstruction, less advanced cancer</w:t>
      </w:r>
      <w:r>
        <w:t>,</w:t>
      </w:r>
      <w:r w:rsidR="00025187" w:rsidRPr="00027046">
        <w:t xml:space="preserve"> and/or when the patient is comparatively fitter</w:t>
      </w:r>
      <w:r w:rsidR="005A4D60" w:rsidRPr="00027046">
        <w:t xml:space="preserve"> than the patients </w:t>
      </w:r>
      <w:r w:rsidR="008628D5">
        <w:t>who</w:t>
      </w:r>
      <w:r w:rsidR="008628D5" w:rsidRPr="00027046">
        <w:t xml:space="preserve"> </w:t>
      </w:r>
      <w:r w:rsidR="005A4D60" w:rsidRPr="00027046">
        <w:t>would be indicated for colostomy</w:t>
      </w:r>
      <w:r w:rsidR="00025187" w:rsidRPr="00027046">
        <w:t>. In general, a two-stage procedure involves resection of the bowel and the formation of a stoma, followed by a second operation to restore bowel continuity. Alternatively, the stoma may be closed during a third procedure (De Salvo et al 2002).</w:t>
      </w:r>
      <w:r>
        <w:t xml:space="preserve"> </w:t>
      </w:r>
      <w:r w:rsidR="004F7AA9" w:rsidRPr="00027046">
        <w:t xml:space="preserve">Stoma creation </w:t>
      </w:r>
      <w:r>
        <w:t>can</w:t>
      </w:r>
      <w:r w:rsidRPr="00027046">
        <w:t xml:space="preserve"> </w:t>
      </w:r>
      <w:r w:rsidR="004F7AA9" w:rsidRPr="00027046">
        <w:t>be performed under the influence of general or regional anaesthesia.</w:t>
      </w:r>
    </w:p>
    <w:p w:rsidR="00025187" w:rsidRDefault="004F7AA9" w:rsidP="00025187">
      <w:r w:rsidRPr="00027046">
        <w:t xml:space="preserve">The disadvantages of surgical management </w:t>
      </w:r>
      <w:r w:rsidR="00553293" w:rsidRPr="00027046">
        <w:t xml:space="preserve">over stenting </w:t>
      </w:r>
      <w:r w:rsidRPr="00027046">
        <w:t xml:space="preserve">include the need for general anaesthesia, the potential requirement </w:t>
      </w:r>
      <w:r w:rsidR="00C1076C">
        <w:t>for</w:t>
      </w:r>
      <w:r w:rsidR="00C1076C" w:rsidRPr="00027046">
        <w:t xml:space="preserve"> </w:t>
      </w:r>
      <w:r w:rsidRPr="00027046">
        <w:t xml:space="preserve">stoma creation and </w:t>
      </w:r>
      <w:r w:rsidR="00C1076C">
        <w:t xml:space="preserve">subsequent </w:t>
      </w:r>
      <w:r w:rsidR="006816C1" w:rsidRPr="00027046">
        <w:t>re-intervention</w:t>
      </w:r>
      <w:r w:rsidR="00C1076C">
        <w:t>, and a</w:t>
      </w:r>
      <w:r w:rsidR="006816C1" w:rsidRPr="00027046">
        <w:t xml:space="preserve"> potentially prolong</w:t>
      </w:r>
      <w:r w:rsidR="00C1076C">
        <w:t>ed</w:t>
      </w:r>
      <w:r w:rsidR="006816C1" w:rsidRPr="00027046">
        <w:t xml:space="preserve"> hospital and </w:t>
      </w:r>
      <w:r w:rsidR="00F977BB">
        <w:t>intensive care unit (</w:t>
      </w:r>
      <w:r w:rsidR="006816C1" w:rsidRPr="00027046">
        <w:t>ICU</w:t>
      </w:r>
      <w:r w:rsidR="00F977BB">
        <w:t>)</w:t>
      </w:r>
      <w:r w:rsidR="006816C1" w:rsidRPr="00027046">
        <w:t xml:space="preserve"> stay</w:t>
      </w:r>
      <w:r w:rsidRPr="00027046">
        <w:t xml:space="preserve">. </w:t>
      </w:r>
      <w:r w:rsidR="00C1076C">
        <w:t>T</w:t>
      </w:r>
      <w:r w:rsidR="00C1076C" w:rsidRPr="00027046">
        <w:t xml:space="preserve">he </w:t>
      </w:r>
      <w:r w:rsidRPr="00027046">
        <w:t xml:space="preserve">majority of patients who undergo a staged resection </w:t>
      </w:r>
      <w:r w:rsidR="00C1076C">
        <w:t>while</w:t>
      </w:r>
      <w:r w:rsidR="00025187" w:rsidRPr="00027046">
        <w:t xml:space="preserve"> in the terminal stage of their underl</w:t>
      </w:r>
      <w:r w:rsidR="000165D8">
        <w:t>y</w:t>
      </w:r>
      <w:r w:rsidR="00025187" w:rsidRPr="00027046">
        <w:t xml:space="preserve">ing malignancy never undergo reversal of the colostomy </w:t>
      </w:r>
      <w:r w:rsidRPr="00027046">
        <w:t>(</w:t>
      </w:r>
      <w:r w:rsidR="00025187" w:rsidRPr="00027046">
        <w:t xml:space="preserve">stoma) (Mauro et al 2000). Stoma </w:t>
      </w:r>
      <w:r w:rsidR="00025187" w:rsidRPr="00027046">
        <w:lastRenderedPageBreak/>
        <w:t xml:space="preserve">creation </w:t>
      </w:r>
      <w:r w:rsidRPr="00027046">
        <w:t>ha</w:t>
      </w:r>
      <w:r w:rsidR="004D55F8" w:rsidRPr="00027046">
        <w:t>s</w:t>
      </w:r>
      <w:r w:rsidR="00025187" w:rsidRPr="00027046">
        <w:t xml:space="preserve"> a poor impact on </w:t>
      </w:r>
      <w:r w:rsidR="007245B4">
        <w:t>the</w:t>
      </w:r>
      <w:r w:rsidR="00025187" w:rsidRPr="00027046">
        <w:t xml:space="preserve"> psychological wellbeing </w:t>
      </w:r>
      <w:r w:rsidR="007245B4">
        <w:t xml:space="preserve">of </w:t>
      </w:r>
      <w:r w:rsidR="007245B4" w:rsidRPr="007245B4">
        <w:t>patients</w:t>
      </w:r>
      <w:r w:rsidR="007245B4">
        <w:t xml:space="preserve"> </w:t>
      </w:r>
      <w:r w:rsidR="00025187" w:rsidRPr="00027046">
        <w:t>and c</w:t>
      </w:r>
      <w:r w:rsidRPr="00027046">
        <w:t>an</w:t>
      </w:r>
      <w:r w:rsidR="00025187" w:rsidRPr="00027046">
        <w:t xml:space="preserve"> be a burden to carers during the final months of the</w:t>
      </w:r>
      <w:r w:rsidRPr="00027046">
        <w:t xml:space="preserve"> patient’s</w:t>
      </w:r>
      <w:r w:rsidR="00025187" w:rsidRPr="00027046">
        <w:t xml:space="preserve"> life (Karadag et al 2003). </w:t>
      </w:r>
      <w:r w:rsidR="00A17A39" w:rsidRPr="00027046">
        <w:t>Common adverse events following surgical management include b</w:t>
      </w:r>
      <w:r w:rsidR="00025187" w:rsidRPr="00027046">
        <w:t xml:space="preserve">leeding, </w:t>
      </w:r>
      <w:r w:rsidR="000702DF" w:rsidRPr="00027046">
        <w:t>anastomotic</w:t>
      </w:r>
      <w:r w:rsidR="00553293" w:rsidRPr="00027046">
        <w:t xml:space="preserve"> </w:t>
      </w:r>
      <w:r w:rsidR="00025187" w:rsidRPr="00027046">
        <w:t>leakage</w:t>
      </w:r>
      <w:r w:rsidR="00553293" w:rsidRPr="00027046">
        <w:t xml:space="preserve"> of bowel content</w:t>
      </w:r>
      <w:r w:rsidR="00025187" w:rsidRPr="00027046">
        <w:t xml:space="preserve">, wound dehiscence, infection, </w:t>
      </w:r>
      <w:r w:rsidR="00553293" w:rsidRPr="00027046">
        <w:t xml:space="preserve">intra-abdominal </w:t>
      </w:r>
      <w:r w:rsidR="00025187" w:rsidRPr="00027046">
        <w:t>abscesses, peritonitis, parastomal hernia, paralytic ileus, fistuli</w:t>
      </w:r>
      <w:r w:rsidR="007245B4">
        <w:t>s</w:t>
      </w:r>
      <w:r w:rsidR="00025187" w:rsidRPr="00027046">
        <w:t>ation, prolapse, necrosis, retraction of stoma, skin irritation around stoma</w:t>
      </w:r>
      <w:r w:rsidR="00A17A39" w:rsidRPr="00027046">
        <w:t xml:space="preserve"> and</w:t>
      </w:r>
      <w:r w:rsidR="00025187" w:rsidRPr="00027046">
        <w:t xml:space="preserve"> damage to </w:t>
      </w:r>
      <w:r w:rsidR="00A17A39" w:rsidRPr="00027046">
        <w:t>neighbouring</w:t>
      </w:r>
      <w:r w:rsidR="00025187" w:rsidRPr="00027046">
        <w:t xml:space="preserve"> organs (</w:t>
      </w:r>
      <w:r w:rsidR="00CE0D06">
        <w:t>eg</w:t>
      </w:r>
      <w:r w:rsidR="00025187" w:rsidRPr="00027046">
        <w:t xml:space="preserve"> urethral injury). Stoma creation has a mortality risk of </w:t>
      </w:r>
      <w:r w:rsidR="00C723FE" w:rsidRPr="00027046">
        <w:t>up to 24</w:t>
      </w:r>
      <w:r w:rsidR="00FB55DE" w:rsidRPr="00027046">
        <w:t xml:space="preserve"> per cent </w:t>
      </w:r>
      <w:r w:rsidR="00C723FE" w:rsidRPr="00027046">
        <w:t>(Martinez-Santos</w:t>
      </w:r>
      <w:r w:rsidR="007245B4">
        <w:t xml:space="preserve"> </w:t>
      </w:r>
      <w:r w:rsidR="00C723FE" w:rsidRPr="00027046">
        <w:t xml:space="preserve">et al 2002; </w:t>
      </w:r>
      <w:r w:rsidR="002B5454" w:rsidRPr="00027046">
        <w:t>Deans et al 1994</w:t>
      </w:r>
      <w:r w:rsidR="00983160" w:rsidRPr="00027046">
        <w:t>)</w:t>
      </w:r>
      <w:r w:rsidR="00025187" w:rsidRPr="00027046">
        <w:t xml:space="preserve">. </w:t>
      </w:r>
    </w:p>
    <w:p w:rsidR="00132286" w:rsidRDefault="00463671" w:rsidP="004B0E71">
      <w:r>
        <w:fldChar w:fldCharType="begin"/>
      </w:r>
      <w:r>
        <w:instrText xml:space="preserve"> REF _Ref324930870 \h </w:instrText>
      </w:r>
      <w:r w:rsidR="004B0E71">
        <w:instrText xml:space="preserve"> \* MERGEFORMAT </w:instrText>
      </w:r>
      <w:r>
        <w:fldChar w:fldCharType="separate"/>
      </w:r>
      <w:r w:rsidR="0071544A">
        <w:t>Table 4</w:t>
      </w:r>
      <w:r>
        <w:fldChar w:fldCharType="end"/>
      </w:r>
      <w:r>
        <w:t xml:space="preserve"> </w:t>
      </w:r>
      <w:r w:rsidR="00132286" w:rsidRPr="009E5C53">
        <w:t>shows current MBS item numbers related to resection and management of colorectal obstruction.</w:t>
      </w:r>
      <w:r w:rsidR="00132286" w:rsidRPr="00E2422F">
        <w:t xml:space="preserve"> </w:t>
      </w:r>
      <w:r w:rsidR="001913A6">
        <w:t xml:space="preserve">Clinical expert opinion states that some of these items may be applicable for both single-stage and </w:t>
      </w:r>
      <w:r w:rsidR="00DF03CC">
        <w:t>multi-stage</w:t>
      </w:r>
      <w:r w:rsidR="001913A6">
        <w:t xml:space="preserve"> resection procedures.</w:t>
      </w:r>
    </w:p>
    <w:p w:rsidR="004717D7" w:rsidRPr="002551BC" w:rsidRDefault="004717D7" w:rsidP="004717D7">
      <w:pPr>
        <w:pStyle w:val="Caption"/>
      </w:pPr>
      <w:bookmarkStart w:id="20" w:name="_Ref324930870"/>
      <w:bookmarkStart w:id="21" w:name="_Toc327522048"/>
      <w:r>
        <w:t xml:space="preserve">Table </w:t>
      </w:r>
      <w:fldSimple w:instr=" SEQ Table \* ARABIC ">
        <w:r w:rsidR="0071544A">
          <w:rPr>
            <w:noProof/>
          </w:rPr>
          <w:t>4</w:t>
        </w:r>
      </w:fldSimple>
      <w:bookmarkEnd w:id="20"/>
      <w:r w:rsidRPr="002551BC">
        <w:rPr>
          <w:rFonts w:eastAsia="SimSun" w:cs="Arial"/>
          <w:b w:val="0"/>
          <w:sz w:val="18"/>
          <w:szCs w:val="18"/>
          <w:lang w:eastAsia="zh-CN"/>
        </w:rPr>
        <w:tab/>
      </w:r>
      <w:r w:rsidRPr="002551BC">
        <w:rPr>
          <w:rFonts w:eastAsia="SimSun"/>
        </w:rPr>
        <w:t>Types of resection procedures listed on the MBS for managing colorectal obstructions</w:t>
      </w:r>
      <w:bookmarkEnd w:id="21"/>
    </w:p>
    <w:tbl>
      <w:tblPr>
        <w:tblW w:w="0" w:type="auto"/>
        <w:tblInd w:w="720" w:type="dxa"/>
        <w:tblBorders>
          <w:top w:val="single" w:sz="12" w:space="0" w:color="auto"/>
          <w:bottom w:val="single" w:sz="12" w:space="0" w:color="auto"/>
        </w:tblBorders>
        <w:tblLook w:val="0000" w:firstRow="0" w:lastRow="0" w:firstColumn="0" w:lastColumn="0" w:noHBand="0" w:noVBand="0"/>
      </w:tblPr>
      <w:tblGrid>
        <w:gridCol w:w="1013"/>
        <w:gridCol w:w="7731"/>
      </w:tblGrid>
      <w:tr w:rsidR="00FD6ED8" w:rsidRPr="002551BC" w:rsidTr="00FD6ED8">
        <w:trPr>
          <w:trHeight w:val="195"/>
        </w:trPr>
        <w:tc>
          <w:tcPr>
            <w:tcW w:w="1013" w:type="dxa"/>
            <w:tcBorders>
              <w:top w:val="single" w:sz="12" w:space="0" w:color="auto"/>
              <w:bottom w:val="single" w:sz="4" w:space="0" w:color="auto"/>
            </w:tcBorders>
          </w:tcPr>
          <w:p w:rsidR="00FD6ED8" w:rsidRPr="00007456" w:rsidRDefault="00FD6ED8" w:rsidP="00007456">
            <w:pPr>
              <w:pStyle w:val="TableHeading"/>
            </w:pPr>
            <w:r w:rsidRPr="00007456">
              <w:t xml:space="preserve">MBS </w:t>
            </w:r>
            <w:r w:rsidR="007245B4">
              <w:br/>
            </w:r>
            <w:r w:rsidRPr="00007456">
              <w:t>item no</w:t>
            </w:r>
          </w:p>
        </w:tc>
        <w:tc>
          <w:tcPr>
            <w:tcW w:w="7731" w:type="dxa"/>
            <w:tcBorders>
              <w:top w:val="single" w:sz="12" w:space="0" w:color="auto"/>
              <w:bottom w:val="single" w:sz="4" w:space="0" w:color="auto"/>
            </w:tcBorders>
          </w:tcPr>
          <w:p w:rsidR="00FD6ED8" w:rsidRPr="00007456" w:rsidRDefault="00DC433D" w:rsidP="00007456">
            <w:pPr>
              <w:pStyle w:val="TableHeading"/>
            </w:pPr>
            <w:r>
              <w:t>Type of resection procedure</w:t>
            </w:r>
          </w:p>
        </w:tc>
      </w:tr>
      <w:tr w:rsidR="00FD6ED8" w:rsidRPr="002551BC" w:rsidTr="00FD6ED8">
        <w:trPr>
          <w:trHeight w:val="317"/>
        </w:trPr>
        <w:tc>
          <w:tcPr>
            <w:tcW w:w="1013" w:type="dxa"/>
            <w:tcBorders>
              <w:top w:val="single" w:sz="4" w:space="0" w:color="auto"/>
            </w:tcBorders>
          </w:tcPr>
          <w:p w:rsidR="00FD6ED8" w:rsidRPr="000F3C8B" w:rsidRDefault="00FD6ED8" w:rsidP="00674945">
            <w:pPr>
              <w:pStyle w:val="TableText0"/>
              <w:rPr>
                <w:rFonts w:eastAsia="SimSun"/>
                <w:lang w:val="en-AU"/>
              </w:rPr>
            </w:pPr>
            <w:r w:rsidRPr="000F3C8B">
              <w:rPr>
                <w:rFonts w:eastAsia="SimSun"/>
                <w:lang w:val="en-AU"/>
              </w:rPr>
              <w:t>30375</w:t>
            </w:r>
          </w:p>
        </w:tc>
        <w:tc>
          <w:tcPr>
            <w:tcW w:w="7731" w:type="dxa"/>
            <w:tcBorders>
              <w:top w:val="single" w:sz="4" w:space="0" w:color="auto"/>
            </w:tcBorders>
          </w:tcPr>
          <w:p w:rsidR="00FD6ED8" w:rsidRPr="000F3C8B" w:rsidRDefault="00FD6ED8" w:rsidP="00674945">
            <w:pPr>
              <w:pStyle w:val="TableText0"/>
              <w:rPr>
                <w:rFonts w:eastAsia="Calibri"/>
                <w:lang w:val="en-AU"/>
              </w:rPr>
            </w:pPr>
            <w:r w:rsidRPr="000F3C8B">
              <w:rPr>
                <w:rFonts w:eastAsia="Calibri"/>
                <w:lang w:val="en-AU"/>
              </w:rPr>
              <w:t>Caecostomy, Enterostomy, Colostomy, Enterotomy, Colotomy, Cholecystostomy, Gastrostomy, Gastrotomy, Reduction of intussusception, Removal of Meckel's diverticulum, Suture of perforated peptic ulcer, Simple repair of ruptured viscus, Reduction of volvulus, Pyloroplasty (adult) or Drainage of pancreas</w:t>
            </w:r>
          </w:p>
          <w:p w:rsidR="00FD6ED8" w:rsidRPr="000F3C8B" w:rsidRDefault="00FD6ED8" w:rsidP="00674945">
            <w:pPr>
              <w:pStyle w:val="TableText0"/>
              <w:rPr>
                <w:rFonts w:eastAsia="SimSun"/>
                <w:lang w:val="en-AU"/>
              </w:rPr>
            </w:pPr>
            <w:r w:rsidRPr="000F3C8B">
              <w:rPr>
                <w:rFonts w:eastAsia="Calibri"/>
                <w:lang w:val="en-AU"/>
              </w:rPr>
              <w:t xml:space="preserve">Fee: </w:t>
            </w:r>
            <w:r w:rsidRPr="000F3C8B">
              <w:rPr>
                <w:rFonts w:eastAsia="SimSun"/>
                <w:lang w:val="en-AU"/>
              </w:rPr>
              <w:t>$501.50 Benefit: 75% = $376.15</w:t>
            </w:r>
          </w:p>
        </w:tc>
      </w:tr>
      <w:tr w:rsidR="00FD6ED8" w:rsidRPr="002551BC" w:rsidTr="006F29EC">
        <w:trPr>
          <w:trHeight w:val="259"/>
        </w:trPr>
        <w:tc>
          <w:tcPr>
            <w:tcW w:w="1013" w:type="dxa"/>
          </w:tcPr>
          <w:p w:rsidR="00FD6ED8" w:rsidRPr="000F3C8B" w:rsidRDefault="00FD6ED8" w:rsidP="006F29EC">
            <w:pPr>
              <w:pStyle w:val="TableText0"/>
              <w:rPr>
                <w:rFonts w:eastAsia="SimSun"/>
                <w:lang w:val="en-AU"/>
              </w:rPr>
            </w:pPr>
            <w:r w:rsidRPr="000F3C8B">
              <w:rPr>
                <w:rFonts w:eastAsia="SimSun"/>
                <w:lang w:val="en-AU"/>
              </w:rPr>
              <w:t>32009</w:t>
            </w:r>
          </w:p>
        </w:tc>
        <w:tc>
          <w:tcPr>
            <w:tcW w:w="7731" w:type="dxa"/>
          </w:tcPr>
          <w:p w:rsidR="00FD6ED8" w:rsidRPr="000F3C8B" w:rsidRDefault="00FD6ED8" w:rsidP="006F29EC">
            <w:pPr>
              <w:pStyle w:val="TableText0"/>
              <w:rPr>
                <w:rFonts w:eastAsia="SimSun"/>
                <w:lang w:val="en-AU"/>
              </w:rPr>
            </w:pPr>
            <w:r w:rsidRPr="000F3C8B">
              <w:rPr>
                <w:rFonts w:eastAsia="SimSun"/>
                <w:lang w:val="en-AU"/>
              </w:rPr>
              <w:t>TOTAL COLECTOMY AND ILEOSTOMY</w:t>
            </w:r>
          </w:p>
          <w:p w:rsidR="00FD6ED8" w:rsidRPr="000F3C8B" w:rsidRDefault="00FD6ED8" w:rsidP="006F29EC">
            <w:pPr>
              <w:pStyle w:val="TableText0"/>
              <w:rPr>
                <w:rFonts w:eastAsia="SimSun"/>
                <w:lang w:val="en-AU"/>
              </w:rPr>
            </w:pPr>
            <w:r w:rsidRPr="000F3C8B">
              <w:rPr>
                <w:rFonts w:eastAsia="Calibri"/>
                <w:lang w:val="en-AU"/>
              </w:rPr>
              <w:t xml:space="preserve">Fee: </w:t>
            </w:r>
            <w:r w:rsidRPr="000F3C8B">
              <w:rPr>
                <w:rFonts w:eastAsia="SimSun"/>
                <w:lang w:val="en-AU"/>
              </w:rPr>
              <w:t>$1,312.90 Benefit: 75% = $984.70</w:t>
            </w:r>
          </w:p>
        </w:tc>
      </w:tr>
      <w:tr w:rsidR="00FD6ED8" w:rsidRPr="002551BC" w:rsidTr="00FD6ED8">
        <w:trPr>
          <w:trHeight w:val="258"/>
        </w:trPr>
        <w:tc>
          <w:tcPr>
            <w:tcW w:w="1013" w:type="dxa"/>
          </w:tcPr>
          <w:p w:rsidR="00FD6ED8" w:rsidRPr="000F3C8B" w:rsidRDefault="00FD6ED8" w:rsidP="00674945">
            <w:pPr>
              <w:pStyle w:val="TableText0"/>
              <w:rPr>
                <w:rFonts w:eastAsia="SimSun"/>
                <w:lang w:val="en-AU"/>
              </w:rPr>
            </w:pPr>
            <w:r w:rsidRPr="000F3C8B">
              <w:rPr>
                <w:rFonts w:eastAsia="SimSun"/>
                <w:lang w:val="en-AU"/>
              </w:rPr>
              <w:t>32024</w:t>
            </w:r>
          </w:p>
        </w:tc>
        <w:tc>
          <w:tcPr>
            <w:tcW w:w="7731" w:type="dxa"/>
          </w:tcPr>
          <w:p w:rsidR="00FD6ED8" w:rsidRPr="000F3C8B" w:rsidRDefault="00FD6ED8" w:rsidP="00674945">
            <w:pPr>
              <w:pStyle w:val="TableText0"/>
              <w:rPr>
                <w:rFonts w:eastAsia="SimSun"/>
                <w:lang w:val="en-AU"/>
              </w:rPr>
            </w:pPr>
            <w:r w:rsidRPr="000F3C8B">
              <w:rPr>
                <w:rFonts w:eastAsia="SimSun"/>
                <w:lang w:val="en-AU"/>
              </w:rPr>
              <w:t>RECTUM, HIGH RESTORATIVE ANTERIOR RESECTION WITH INTRAPERITONEAL ANASTOMOSIS (of the rectum) greater than 10 centimetres from the anal verge  excluding resection of sigmoid colon alone not being a service associated with a service to which item 32103, 32104 or 32106 applies</w:t>
            </w:r>
          </w:p>
          <w:p w:rsidR="00FD6ED8" w:rsidRPr="000F3C8B" w:rsidRDefault="00FD6ED8" w:rsidP="00FD6ED8">
            <w:pPr>
              <w:pStyle w:val="TableText0"/>
              <w:rPr>
                <w:rFonts w:eastAsia="SimSun"/>
                <w:lang w:val="en-AU"/>
              </w:rPr>
            </w:pPr>
            <w:r w:rsidRPr="000F3C8B">
              <w:rPr>
                <w:rFonts w:eastAsia="Calibri"/>
                <w:lang w:val="en-AU"/>
              </w:rPr>
              <w:t xml:space="preserve">Fee: </w:t>
            </w:r>
            <w:r w:rsidRPr="000F3C8B">
              <w:rPr>
                <w:rFonts w:eastAsia="SimSun"/>
                <w:lang w:val="en-AU"/>
              </w:rPr>
              <w:t>$1,312.90 Benefit: 75% = $984.70</w:t>
            </w:r>
          </w:p>
        </w:tc>
      </w:tr>
      <w:tr w:rsidR="00FD6ED8" w:rsidRPr="002551BC" w:rsidTr="006F29EC">
        <w:trPr>
          <w:trHeight w:val="268"/>
        </w:trPr>
        <w:tc>
          <w:tcPr>
            <w:tcW w:w="1013" w:type="dxa"/>
          </w:tcPr>
          <w:p w:rsidR="00FD6ED8" w:rsidRPr="000F3C8B" w:rsidRDefault="00FD6ED8" w:rsidP="006F29EC">
            <w:pPr>
              <w:pStyle w:val="TableText0"/>
              <w:rPr>
                <w:rFonts w:eastAsia="SimSun"/>
                <w:lang w:val="en-AU"/>
              </w:rPr>
            </w:pPr>
            <w:r w:rsidRPr="000F3C8B">
              <w:rPr>
                <w:rFonts w:eastAsia="SimSun"/>
                <w:lang w:val="en-AU"/>
              </w:rPr>
              <w:t>32025</w:t>
            </w:r>
          </w:p>
        </w:tc>
        <w:tc>
          <w:tcPr>
            <w:tcW w:w="7731" w:type="dxa"/>
          </w:tcPr>
          <w:p w:rsidR="00FD6ED8" w:rsidRPr="000F3C8B" w:rsidRDefault="00FD6ED8" w:rsidP="006F29EC">
            <w:pPr>
              <w:pStyle w:val="TableText0"/>
              <w:rPr>
                <w:rFonts w:eastAsia="SimSun" w:cs="Tahoma"/>
                <w:lang w:val="en-AU"/>
              </w:rPr>
            </w:pPr>
            <w:r w:rsidRPr="000F3C8B">
              <w:rPr>
                <w:rFonts w:eastAsia="SimSun" w:cs="Tahoma"/>
                <w:lang w:val="en-AU"/>
              </w:rPr>
              <w:t>RECTUM, LOW RESTORATIVE ANTERIOR RESECTION WITH EXTRAPERITONEAL ANASTOMOSIS (of the rectum) less than 10 centimetres from the anal verge, with or without covering stoma not being a service associated with a service to which item 32103, 32104 or 32106 applies</w:t>
            </w:r>
          </w:p>
          <w:p w:rsidR="00FD6ED8" w:rsidRPr="000F3C8B" w:rsidRDefault="00FD6ED8" w:rsidP="006F29EC">
            <w:pPr>
              <w:pStyle w:val="TableText0"/>
              <w:rPr>
                <w:rFonts w:eastAsia="SimSun"/>
                <w:lang w:val="en-AU"/>
              </w:rPr>
            </w:pPr>
            <w:r w:rsidRPr="000F3C8B">
              <w:rPr>
                <w:rFonts w:eastAsia="Calibri"/>
                <w:lang w:val="en-AU"/>
              </w:rPr>
              <w:t xml:space="preserve">Fee: </w:t>
            </w:r>
            <w:r w:rsidRPr="000F3C8B">
              <w:rPr>
                <w:rFonts w:eastAsia="SimSun"/>
                <w:lang w:val="en-AU"/>
              </w:rPr>
              <w:t>$1,756.15 Benefit: 75% = $1,317.15</w:t>
            </w:r>
          </w:p>
        </w:tc>
      </w:tr>
      <w:tr w:rsidR="00FD6ED8" w:rsidRPr="002551BC" w:rsidTr="006F29EC">
        <w:trPr>
          <w:trHeight w:val="279"/>
        </w:trPr>
        <w:tc>
          <w:tcPr>
            <w:tcW w:w="1013" w:type="dxa"/>
          </w:tcPr>
          <w:p w:rsidR="00FD6ED8" w:rsidRPr="000F3C8B" w:rsidRDefault="00FD6ED8" w:rsidP="006F29EC">
            <w:pPr>
              <w:pStyle w:val="TableText0"/>
              <w:rPr>
                <w:rFonts w:eastAsia="SimSun"/>
                <w:lang w:val="en-AU"/>
              </w:rPr>
            </w:pPr>
            <w:r w:rsidRPr="000F3C8B">
              <w:rPr>
                <w:rFonts w:eastAsia="SimSun"/>
                <w:lang w:val="en-AU"/>
              </w:rPr>
              <w:t>32026</w:t>
            </w:r>
          </w:p>
        </w:tc>
        <w:tc>
          <w:tcPr>
            <w:tcW w:w="7731" w:type="dxa"/>
          </w:tcPr>
          <w:p w:rsidR="00FD6ED8" w:rsidRPr="000F3C8B" w:rsidRDefault="00FD6ED8" w:rsidP="006F29EC">
            <w:pPr>
              <w:pStyle w:val="TableText0"/>
              <w:rPr>
                <w:lang w:val="en-AU"/>
              </w:rPr>
            </w:pPr>
            <w:r w:rsidRPr="000F3C8B">
              <w:rPr>
                <w:lang w:val="en-AU"/>
              </w:rPr>
              <w:t>RECTUM, ULTRA LOW RESTORATIVE RESECTION, with or without covering stoma, where the anastomosis is sited in the anorectal region and is 6</w:t>
            </w:r>
            <w:r w:rsidR="007245B4" w:rsidRPr="000F3C8B">
              <w:rPr>
                <w:lang w:val="en-AU"/>
              </w:rPr>
              <w:t xml:space="preserve"> </w:t>
            </w:r>
            <w:r w:rsidRPr="000F3C8B">
              <w:rPr>
                <w:lang w:val="en-AU"/>
              </w:rPr>
              <w:t>cm or less from the anal verge</w:t>
            </w:r>
          </w:p>
          <w:p w:rsidR="00FD6ED8" w:rsidRPr="000F3C8B" w:rsidRDefault="00FD6ED8" w:rsidP="006F29EC">
            <w:pPr>
              <w:pStyle w:val="TableText0"/>
              <w:rPr>
                <w:rFonts w:eastAsia="SimSun"/>
                <w:lang w:val="en-AU"/>
              </w:rPr>
            </w:pPr>
            <w:r w:rsidRPr="000F3C8B">
              <w:rPr>
                <w:rFonts w:eastAsia="Calibri"/>
                <w:lang w:val="en-AU"/>
              </w:rPr>
              <w:t xml:space="preserve">Fee: </w:t>
            </w:r>
            <w:r w:rsidRPr="000F3C8B">
              <w:rPr>
                <w:rFonts w:eastAsia="SimSun"/>
                <w:lang w:val="en-AU"/>
              </w:rPr>
              <w:t>$1,891.20 Benefit: 75% = $1,418.40</w:t>
            </w:r>
          </w:p>
        </w:tc>
      </w:tr>
      <w:tr w:rsidR="00FD6ED8" w:rsidRPr="002551BC" w:rsidTr="00FD6ED8">
        <w:trPr>
          <w:trHeight w:val="288"/>
        </w:trPr>
        <w:tc>
          <w:tcPr>
            <w:tcW w:w="1013" w:type="dxa"/>
          </w:tcPr>
          <w:p w:rsidR="00FD6ED8" w:rsidRPr="000F3C8B" w:rsidRDefault="00FD6ED8" w:rsidP="00674945">
            <w:pPr>
              <w:pStyle w:val="TableText0"/>
              <w:rPr>
                <w:rFonts w:eastAsia="SimSun"/>
                <w:lang w:val="en-AU"/>
              </w:rPr>
            </w:pPr>
            <w:r w:rsidRPr="000F3C8B">
              <w:rPr>
                <w:rFonts w:eastAsia="SimSun"/>
                <w:lang w:val="en-AU"/>
              </w:rPr>
              <w:t>32033</w:t>
            </w:r>
          </w:p>
        </w:tc>
        <w:tc>
          <w:tcPr>
            <w:tcW w:w="7731" w:type="dxa"/>
          </w:tcPr>
          <w:p w:rsidR="00FD6ED8" w:rsidRPr="000F3C8B" w:rsidRDefault="00FD6ED8" w:rsidP="00674945">
            <w:pPr>
              <w:pStyle w:val="TableText0"/>
              <w:rPr>
                <w:rFonts w:eastAsia="SimSun"/>
                <w:lang w:val="en-AU"/>
              </w:rPr>
            </w:pPr>
            <w:r w:rsidRPr="000F3C8B">
              <w:rPr>
                <w:rFonts w:eastAsia="SimSun"/>
                <w:lang w:val="en-AU"/>
              </w:rPr>
              <w:t>RESTORATION OF BOWEL following Hartmann's or similar operation, including dismantling of the stoma</w:t>
            </w:r>
          </w:p>
          <w:p w:rsidR="00FD6ED8" w:rsidRPr="000F3C8B" w:rsidRDefault="00FD6ED8" w:rsidP="00674945">
            <w:pPr>
              <w:pStyle w:val="TableText0"/>
              <w:rPr>
                <w:rFonts w:eastAsia="SimSun"/>
                <w:lang w:val="en-AU"/>
              </w:rPr>
            </w:pPr>
            <w:r w:rsidRPr="000F3C8B">
              <w:rPr>
                <w:rFonts w:eastAsia="Calibri"/>
                <w:lang w:val="en-AU"/>
              </w:rPr>
              <w:t xml:space="preserve">Fee: </w:t>
            </w:r>
            <w:r w:rsidRPr="000F3C8B">
              <w:rPr>
                <w:rFonts w:eastAsia="SimSun"/>
                <w:lang w:val="en-AU"/>
              </w:rPr>
              <w:t>$1,450.30 Benefit: 75% = $1,087.75</w:t>
            </w:r>
          </w:p>
        </w:tc>
      </w:tr>
    </w:tbl>
    <w:p w:rsidR="00DC433D" w:rsidRPr="00FD6ED8" w:rsidRDefault="00DC433D" w:rsidP="00DC433D">
      <w:pPr>
        <w:pStyle w:val="TableNotes"/>
        <w:rPr>
          <w:rFonts w:eastAsia="SimSun"/>
          <w:lang w:eastAsia="zh-CN"/>
        </w:rPr>
      </w:pPr>
      <w:r>
        <w:rPr>
          <w:rFonts w:eastAsia="SimSun"/>
          <w:lang w:eastAsia="zh-CN"/>
        </w:rPr>
        <w:t>MBS: Medicare Benefits Schedule.</w:t>
      </w:r>
    </w:p>
    <w:p w:rsidR="00DC433D" w:rsidRDefault="00DC433D" w:rsidP="00DC433D">
      <w:pPr>
        <w:pStyle w:val="TableNotes"/>
        <w:rPr>
          <w:rFonts w:eastAsia="SimSun"/>
          <w:lang w:eastAsia="zh-CN"/>
        </w:rPr>
      </w:pPr>
      <w:r>
        <w:rPr>
          <w:rFonts w:eastAsia="SimSun"/>
          <w:lang w:val="en-AU" w:eastAsia="zh-CN"/>
        </w:rPr>
        <w:t xml:space="preserve">Note: </w:t>
      </w:r>
      <w:r w:rsidRPr="00FD6ED8">
        <w:rPr>
          <w:rFonts w:eastAsia="SimSun"/>
          <w:lang w:eastAsia="zh-CN"/>
        </w:rPr>
        <w:t>All fees</w:t>
      </w:r>
      <w:r>
        <w:rPr>
          <w:rFonts w:eastAsia="SimSun"/>
          <w:lang w:eastAsia="zh-CN"/>
        </w:rPr>
        <w:t xml:space="preserve"> </w:t>
      </w:r>
      <w:r w:rsidRPr="00FD6ED8">
        <w:rPr>
          <w:rFonts w:eastAsia="SimSun"/>
          <w:lang w:eastAsia="zh-CN"/>
        </w:rPr>
        <w:t>as of April 2011.</w:t>
      </w:r>
    </w:p>
    <w:p w:rsidR="00463671" w:rsidRPr="00A30BA9" w:rsidRDefault="00463671" w:rsidP="00FC35F9">
      <w:pPr>
        <w:pStyle w:val="Heading4"/>
      </w:pPr>
      <w:r w:rsidRPr="00A30BA9">
        <w:t xml:space="preserve">Best supportive care  </w:t>
      </w:r>
    </w:p>
    <w:p w:rsidR="00463671" w:rsidRPr="008F42F9" w:rsidRDefault="00463671" w:rsidP="00463671">
      <w:r w:rsidRPr="00A87C52">
        <w:t>Currently, patients medically unfit for surgical management receive best supportive care</w:t>
      </w:r>
      <w:r w:rsidR="00FD6ED8">
        <w:t>.</w:t>
      </w:r>
      <w:r w:rsidRPr="00A87C52">
        <w:t xml:space="preserve"> </w:t>
      </w:r>
      <w:r w:rsidR="00FD6ED8">
        <w:t>P</w:t>
      </w:r>
      <w:r w:rsidR="00FD6ED8" w:rsidRPr="00A87C52">
        <w:t xml:space="preserve">lacement </w:t>
      </w:r>
      <w:r w:rsidRPr="00A87C52">
        <w:t>of a SEMS serves as a minimally invasive intervention for these patients</w:t>
      </w:r>
      <w:r w:rsidRPr="00F13A5A">
        <w:t xml:space="preserve">. The </w:t>
      </w:r>
      <w:r w:rsidR="00FD6ED8">
        <w:t xml:space="preserve">best </w:t>
      </w:r>
      <w:r w:rsidRPr="00F13A5A">
        <w:t xml:space="preserve">supportive care for cancer patients is </w:t>
      </w:r>
      <w:r w:rsidRPr="00E767D0">
        <w:t>the multidisciplinary attention to the patient’s overall physical, social, psychosocial, spiritual and cultural needs, regardless of the current intention of any anti-cancer treatment</w:t>
      </w:r>
      <w:r w:rsidRPr="00BE3EA8">
        <w:t xml:space="preserve"> (NICE 2004</w:t>
      </w:r>
      <w:r w:rsidR="00422933">
        <w:t>a; NICE 2004b</w:t>
      </w:r>
      <w:r w:rsidRPr="00BE3EA8">
        <w:t>). The objective of best</w:t>
      </w:r>
      <w:r w:rsidR="00FD6ED8">
        <w:t xml:space="preserve"> </w:t>
      </w:r>
      <w:r w:rsidRPr="00BE3EA8">
        <w:t>s</w:t>
      </w:r>
      <w:r w:rsidRPr="00154934">
        <w:t xml:space="preserve">upportive care is to </w:t>
      </w:r>
      <w:r w:rsidRPr="008F42F9">
        <w:t xml:space="preserve">improve the quality of life for patients and prolong survival, through </w:t>
      </w:r>
      <w:r w:rsidR="008F0638">
        <w:t xml:space="preserve">a </w:t>
      </w:r>
      <w:r w:rsidRPr="008F42F9">
        <w:t xml:space="preserve">combination of chemotherapy, radiotherapy, palliation and ongoing medical management which is tailored to each patient’s needs (Ahmed et al </w:t>
      </w:r>
      <w:r>
        <w:t>2004</w:t>
      </w:r>
      <w:r w:rsidR="008F0638">
        <w:t>;</w:t>
      </w:r>
      <w:r>
        <w:t xml:space="preserve"> Ahmedzai et al 2001</w:t>
      </w:r>
      <w:r w:rsidR="008F0638">
        <w:t>;</w:t>
      </w:r>
      <w:r>
        <w:t xml:space="preserve"> NICE </w:t>
      </w:r>
      <w:r w:rsidRPr="008F42F9">
        <w:t>2004</w:t>
      </w:r>
      <w:r w:rsidR="00422933">
        <w:t>b</w:t>
      </w:r>
      <w:r w:rsidRPr="008F42F9">
        <w:t>)</w:t>
      </w:r>
      <w:r w:rsidR="0044517E">
        <w:t>.</w:t>
      </w:r>
      <w:r w:rsidRPr="008F42F9">
        <w:t xml:space="preserve">  </w:t>
      </w:r>
    </w:p>
    <w:p w:rsidR="00463671" w:rsidRPr="009E5C53" w:rsidRDefault="00463671" w:rsidP="00FC35F9">
      <w:pPr>
        <w:pStyle w:val="Heading3"/>
      </w:pPr>
      <w:r w:rsidRPr="009E5C53">
        <w:lastRenderedPageBreak/>
        <w:t>Scientific basis of comparison</w:t>
      </w:r>
    </w:p>
    <w:p w:rsidR="00132286" w:rsidRDefault="00463671" w:rsidP="00463671">
      <w:r w:rsidRPr="009E5C53">
        <w:t>The evidence base of the current assessment consisted of 40 primary studies</w:t>
      </w:r>
      <w:r w:rsidR="00C64FA4">
        <w:t xml:space="preserve"> that examined the use of SEMS for management of </w:t>
      </w:r>
      <w:r w:rsidR="00C64FA4" w:rsidRPr="00960A9E">
        <w:t>malignant colorectal obstruction</w:t>
      </w:r>
      <w:r w:rsidR="00C64FA4" w:rsidRPr="00EA2600">
        <w:t xml:space="preserve">. </w:t>
      </w:r>
      <w:r w:rsidR="00C64FA4">
        <w:t>This</w:t>
      </w:r>
      <w:r w:rsidR="00C34ECB">
        <w:t xml:space="preserve"> </w:t>
      </w:r>
      <w:r w:rsidRPr="009E5C53">
        <w:t>includ</w:t>
      </w:r>
      <w:r w:rsidR="00C34ECB">
        <w:t>ed</w:t>
      </w:r>
      <w:r w:rsidRPr="009E5C53">
        <w:t xml:space="preserve"> </w:t>
      </w:r>
      <w:r w:rsidRPr="00E2422F">
        <w:t>two</w:t>
      </w:r>
      <w:r w:rsidRPr="00892811">
        <w:t xml:space="preserve"> </w:t>
      </w:r>
      <w:r w:rsidR="00C34ECB">
        <w:t>randomised controlled trials (</w:t>
      </w:r>
      <w:r w:rsidRPr="00892811">
        <w:t>RCTs</w:t>
      </w:r>
      <w:r w:rsidR="00C34ECB">
        <w:t>)</w:t>
      </w:r>
      <w:r w:rsidRPr="00892811">
        <w:t xml:space="preserve"> and five non-</w:t>
      </w:r>
      <w:r w:rsidR="00C34ECB" w:rsidRPr="00892811">
        <w:t>randomi</w:t>
      </w:r>
      <w:r w:rsidR="00C34ECB">
        <w:t>s</w:t>
      </w:r>
      <w:r w:rsidR="00C34ECB" w:rsidRPr="00892811">
        <w:t xml:space="preserve">ed </w:t>
      </w:r>
      <w:r w:rsidRPr="00892811">
        <w:t>comparative studies</w:t>
      </w:r>
      <w:r w:rsidR="00C64FA4">
        <w:t xml:space="preserve"> that compared SEMS placement to </w:t>
      </w:r>
      <w:r w:rsidR="00DF03CC">
        <w:t>multi-stage</w:t>
      </w:r>
      <w:r w:rsidR="00C64FA4">
        <w:t xml:space="preserve"> surgical resection</w:t>
      </w:r>
      <w:r w:rsidRPr="00892811">
        <w:t>.</w:t>
      </w:r>
      <w:r w:rsidRPr="008978EE">
        <w:t xml:space="preserve"> The comparative study data were used in </w:t>
      </w:r>
      <w:r w:rsidR="00C34ECB">
        <w:t xml:space="preserve">the evaluation of </w:t>
      </w:r>
      <w:r w:rsidRPr="008978EE">
        <w:t xml:space="preserve">both </w:t>
      </w:r>
      <w:r w:rsidR="00C34ECB">
        <w:t xml:space="preserve">relative </w:t>
      </w:r>
      <w:r w:rsidRPr="008978EE">
        <w:t>safety and effectiveness</w:t>
      </w:r>
      <w:r w:rsidR="00C34ECB">
        <w:t xml:space="preserve"> as appropriate</w:t>
      </w:r>
      <w:r w:rsidRPr="008978EE">
        <w:t xml:space="preserve">. </w:t>
      </w:r>
      <w:r w:rsidR="00C34ECB">
        <w:t>The m</w:t>
      </w:r>
      <w:r w:rsidR="00C34ECB" w:rsidRPr="008978EE">
        <w:t xml:space="preserve">ajority </w:t>
      </w:r>
      <w:r w:rsidRPr="008978EE">
        <w:t xml:space="preserve">of </w:t>
      </w:r>
      <w:r w:rsidRPr="00A30BA9">
        <w:t>retrieved studies were case series</w:t>
      </w:r>
      <w:r w:rsidRPr="00A87C52">
        <w:t xml:space="preserve">, and their pooled data </w:t>
      </w:r>
      <w:r w:rsidR="00C64FA4" w:rsidRPr="007F4512">
        <w:t>supplement</w:t>
      </w:r>
      <w:r w:rsidR="00C64FA4">
        <w:t xml:space="preserve">ed and substantiated the </w:t>
      </w:r>
      <w:r w:rsidR="00C64FA4" w:rsidRPr="007F4512">
        <w:t>available</w:t>
      </w:r>
      <w:r w:rsidR="00C64FA4">
        <w:t xml:space="preserve"> comparative evidence regarding</w:t>
      </w:r>
      <w:r w:rsidR="00C34ECB" w:rsidRPr="00A87C52">
        <w:t xml:space="preserve"> </w:t>
      </w:r>
      <w:r w:rsidRPr="00A87C52">
        <w:t xml:space="preserve">the safety of </w:t>
      </w:r>
      <w:r w:rsidR="00C64FA4">
        <w:t>SEMS</w:t>
      </w:r>
      <w:r w:rsidRPr="00A87C52">
        <w:t>.</w:t>
      </w:r>
      <w:r w:rsidRPr="00F13A5A">
        <w:t xml:space="preserve"> No systematic reviews or health technology</w:t>
      </w:r>
      <w:r w:rsidRPr="00E767D0">
        <w:t xml:space="preserve"> asses</w:t>
      </w:r>
      <w:r w:rsidRPr="00BE3EA8">
        <w:t>sments (HTAs) were identif</w:t>
      </w:r>
      <w:r w:rsidRPr="008F42F9">
        <w:t xml:space="preserve">ied </w:t>
      </w:r>
      <w:r w:rsidR="00C34ECB">
        <w:t>that examined</w:t>
      </w:r>
      <w:r w:rsidRPr="008F42F9">
        <w:t xml:space="preserve"> the safety and effectiveness of colorectal SEMS </w:t>
      </w:r>
      <w:r w:rsidR="00C34ECB">
        <w:t>in patients specifically indicated for</w:t>
      </w:r>
      <w:r w:rsidR="00C34ECB" w:rsidRPr="008F42F9">
        <w:t xml:space="preserve"> </w:t>
      </w:r>
      <w:r w:rsidR="00DF03CC">
        <w:t>multi-stage</w:t>
      </w:r>
      <w:r w:rsidRPr="008F42F9">
        <w:t xml:space="preserve"> surgical resection. </w:t>
      </w:r>
    </w:p>
    <w:p w:rsidR="00027075" w:rsidRDefault="00027075" w:rsidP="00027075">
      <w:pPr>
        <w:rPr>
          <w:rFonts w:eastAsia="Calibri"/>
          <w:lang w:eastAsia="en-US"/>
        </w:rPr>
      </w:pPr>
      <w:bookmarkStart w:id="22" w:name="_Ref324931279"/>
      <w:r w:rsidRPr="009E5C53">
        <w:rPr>
          <w:rFonts w:eastAsia="Calibri"/>
          <w:lang w:eastAsia="en-US"/>
        </w:rPr>
        <w:t xml:space="preserve">In general, the studies </w:t>
      </w:r>
      <w:r w:rsidR="00013DF6" w:rsidRPr="009E5C53">
        <w:rPr>
          <w:rFonts w:eastAsia="Calibri"/>
          <w:lang w:eastAsia="en-US"/>
        </w:rPr>
        <w:t xml:space="preserve">included </w:t>
      </w:r>
      <w:r w:rsidR="00013DF6">
        <w:rPr>
          <w:rFonts w:eastAsia="Calibri"/>
          <w:lang w:eastAsia="en-US"/>
        </w:rPr>
        <w:t xml:space="preserve">in this review </w:t>
      </w:r>
      <w:r w:rsidRPr="009E5C53">
        <w:rPr>
          <w:rFonts w:eastAsia="Calibri"/>
          <w:lang w:eastAsia="en-US"/>
        </w:rPr>
        <w:t xml:space="preserve">were </w:t>
      </w:r>
      <w:r>
        <w:rPr>
          <w:rFonts w:eastAsia="Calibri"/>
          <w:lang w:eastAsia="en-US"/>
        </w:rPr>
        <w:t>of relatively poor quality. Patients and procedures were heterogenous, procedural details were inconsistently or poorly</w:t>
      </w:r>
      <w:r w:rsidRPr="00027075">
        <w:rPr>
          <w:rFonts w:eastAsia="Calibri"/>
          <w:lang w:eastAsia="en-US"/>
        </w:rPr>
        <w:t xml:space="preserve"> </w:t>
      </w:r>
      <w:r>
        <w:rPr>
          <w:rFonts w:eastAsia="Calibri"/>
          <w:lang w:eastAsia="en-US"/>
        </w:rPr>
        <w:t xml:space="preserve">reported, the majority of studies lacked </w:t>
      </w:r>
      <w:r w:rsidRPr="009E5C53">
        <w:rPr>
          <w:rFonts w:eastAsia="Calibri"/>
          <w:lang w:eastAsia="en-US"/>
        </w:rPr>
        <w:t>methodological rigo</w:t>
      </w:r>
      <w:r w:rsidR="00B75C01">
        <w:rPr>
          <w:rFonts w:eastAsia="Calibri"/>
          <w:lang w:eastAsia="en-US"/>
        </w:rPr>
        <w:t>u</w:t>
      </w:r>
      <w:r w:rsidRPr="009E5C53">
        <w:rPr>
          <w:rFonts w:eastAsia="Calibri"/>
          <w:lang w:eastAsia="en-US"/>
        </w:rPr>
        <w:t>r</w:t>
      </w:r>
      <w:r>
        <w:rPr>
          <w:rFonts w:eastAsia="Calibri"/>
          <w:lang w:eastAsia="en-US"/>
        </w:rPr>
        <w:t>, and</w:t>
      </w:r>
      <w:r w:rsidRPr="009E5C53">
        <w:rPr>
          <w:rFonts w:eastAsia="Calibri"/>
          <w:lang w:eastAsia="en-US"/>
        </w:rPr>
        <w:t xml:space="preserve"> possible confound</w:t>
      </w:r>
      <w:r>
        <w:rPr>
          <w:rFonts w:eastAsia="Calibri"/>
          <w:lang w:eastAsia="en-US"/>
        </w:rPr>
        <w:t>ers that may have affected study</w:t>
      </w:r>
      <w:r w:rsidRPr="009E5C53">
        <w:rPr>
          <w:rFonts w:eastAsia="Calibri"/>
          <w:lang w:eastAsia="en-US"/>
        </w:rPr>
        <w:t xml:space="preserve"> outcome</w:t>
      </w:r>
      <w:r>
        <w:rPr>
          <w:rFonts w:eastAsia="Calibri"/>
          <w:lang w:eastAsia="en-US"/>
        </w:rPr>
        <w:t>s were not addressed</w:t>
      </w:r>
      <w:r w:rsidRPr="009E5C53">
        <w:rPr>
          <w:rFonts w:eastAsia="Calibri"/>
          <w:lang w:eastAsia="en-US"/>
        </w:rPr>
        <w:t>.</w:t>
      </w:r>
    </w:p>
    <w:p w:rsidR="0013322A" w:rsidRPr="009E5C53" w:rsidRDefault="0013322A" w:rsidP="00FC35F9">
      <w:pPr>
        <w:pStyle w:val="Heading3"/>
      </w:pPr>
      <w:r w:rsidRPr="009E5C53">
        <w:t>Comparative safety</w:t>
      </w:r>
    </w:p>
    <w:bookmarkEnd w:id="22"/>
    <w:p w:rsidR="004030F1" w:rsidRDefault="004030F1" w:rsidP="004030F1">
      <w:r>
        <w:t xml:space="preserve">All primary studies included in this assessment were reviewed for data related to adverse events occurring after treatment </w:t>
      </w:r>
      <w:r w:rsidRPr="00F0622D">
        <w:t xml:space="preserve">with </w:t>
      </w:r>
      <w:r>
        <w:t>SEMS</w:t>
      </w:r>
      <w:r w:rsidRPr="00F0622D">
        <w:t>.</w:t>
      </w:r>
      <w:r>
        <w:t xml:space="preserve"> No studies that compared stents to best supportive care were retrieved; as such, no assessment or comparison of the relative safety for these two treatments</w:t>
      </w:r>
      <w:r w:rsidRPr="00811464">
        <w:t xml:space="preserve"> </w:t>
      </w:r>
      <w:r>
        <w:t>could be made.</w:t>
      </w:r>
    </w:p>
    <w:p w:rsidR="004030F1" w:rsidRDefault="004030F1" w:rsidP="004030F1">
      <w:r w:rsidRPr="002126E1">
        <w:t xml:space="preserve">Six studies comparing SEMS placement to </w:t>
      </w:r>
      <w:r w:rsidR="00DF03CC">
        <w:t>multi-stage</w:t>
      </w:r>
      <w:r>
        <w:t xml:space="preserve"> </w:t>
      </w:r>
      <w:r w:rsidRPr="002126E1">
        <w:t>surgical treatment, including one RCT, reported on procedure-related mortalities occurring within their patient cohort</w:t>
      </w:r>
      <w:r>
        <w:t>. While very few procedure-related deaths</w:t>
      </w:r>
      <w:r w:rsidRPr="00A43A74">
        <w:t xml:space="preserve"> were</w:t>
      </w:r>
      <w:r>
        <w:t xml:space="preserve"> reported in these studies and</w:t>
      </w:r>
      <w:r w:rsidRPr="007F3FBF">
        <w:t xml:space="preserve"> </w:t>
      </w:r>
      <w:r>
        <w:t>there was little apparent difference between treatments, the small patient populations preclud</w:t>
      </w:r>
      <w:r w:rsidR="00A34A56">
        <w:t>ed</w:t>
      </w:r>
      <w:r>
        <w:t xml:space="preserve"> the ability to accurately determine mortality rates and conduct statistical comparisons between treatments. A procedure-related mortality rate of 1.6 per cent after SEMS placement was found within lower-level evidence. However, t</w:t>
      </w:r>
      <w:r w:rsidRPr="00AF190C">
        <w:t xml:space="preserve">his </w:t>
      </w:r>
      <w:r>
        <w:t>figure is likely to be</w:t>
      </w:r>
      <w:r w:rsidRPr="00AF190C">
        <w:t xml:space="preserve"> a</w:t>
      </w:r>
      <w:r>
        <w:t xml:space="preserve">n </w:t>
      </w:r>
      <w:r w:rsidRPr="00AF190C">
        <w:t>over-inflation</w:t>
      </w:r>
      <w:r>
        <w:t>,</w:t>
      </w:r>
      <w:r w:rsidRPr="00AF190C">
        <w:t xml:space="preserve"> as it does not include data from the majority of studies retrieved, for which no explicit statement regarding patient mortalities was made but it was implied that no patient mortality occurred.</w:t>
      </w:r>
      <w:r>
        <w:t xml:space="preserve"> It also includes mortality statistics from studies that stated it was unclear whether </w:t>
      </w:r>
      <w:r w:rsidRPr="00F77457">
        <w:t xml:space="preserve">patients died due to </w:t>
      </w:r>
      <w:r>
        <w:t>SEMS placement or their underlying disease.</w:t>
      </w:r>
    </w:p>
    <w:p w:rsidR="004030F1" w:rsidRDefault="004030F1" w:rsidP="004030F1">
      <w:r>
        <w:rPr>
          <w:rFonts w:eastAsia="Calibri"/>
          <w:lang w:eastAsia="en-US"/>
        </w:rPr>
        <w:t>Adverse events arising as an outcome of SEMS placement and as a result of surgical resection vary considerabl</w:t>
      </w:r>
      <w:r w:rsidR="0044517E">
        <w:rPr>
          <w:rFonts w:eastAsia="Calibri"/>
          <w:lang w:eastAsia="en-US"/>
        </w:rPr>
        <w:t>y</w:t>
      </w:r>
      <w:r>
        <w:rPr>
          <w:rFonts w:eastAsia="Calibri"/>
          <w:lang w:eastAsia="en-US"/>
        </w:rPr>
        <w:t xml:space="preserve"> in nature and severity, complicating the direct comparison of the relative safety of </w:t>
      </w:r>
      <w:r w:rsidRPr="009E5C53">
        <w:rPr>
          <w:rFonts w:eastAsia="Calibri"/>
          <w:lang w:eastAsia="en-US"/>
        </w:rPr>
        <w:t xml:space="preserve">SEMS </w:t>
      </w:r>
      <w:r>
        <w:rPr>
          <w:rFonts w:eastAsia="Calibri"/>
          <w:lang w:eastAsia="en-US"/>
        </w:rPr>
        <w:t>and</w:t>
      </w:r>
      <w:r w:rsidRPr="009E5C53">
        <w:rPr>
          <w:rFonts w:eastAsia="Calibri"/>
          <w:lang w:eastAsia="en-US"/>
        </w:rPr>
        <w:t xml:space="preserve"> </w:t>
      </w:r>
      <w:r w:rsidR="00DF03CC">
        <w:rPr>
          <w:rFonts w:eastAsia="Calibri"/>
          <w:lang w:eastAsia="en-US"/>
        </w:rPr>
        <w:t>multi-stage</w:t>
      </w:r>
      <w:r w:rsidRPr="009E5C53">
        <w:rPr>
          <w:rFonts w:eastAsia="Calibri"/>
          <w:lang w:eastAsia="en-US"/>
        </w:rPr>
        <w:t xml:space="preserve"> resection</w:t>
      </w:r>
      <w:r>
        <w:rPr>
          <w:rFonts w:eastAsia="Calibri"/>
          <w:lang w:eastAsia="en-US"/>
        </w:rPr>
        <w:t xml:space="preserve">. </w:t>
      </w:r>
      <w:r w:rsidRPr="009E5C53">
        <w:t xml:space="preserve">Potential adverse events following the SEMS procedure </w:t>
      </w:r>
      <w:r>
        <w:t xml:space="preserve">were commonly </w:t>
      </w:r>
      <w:r w:rsidRPr="009E5C53">
        <w:t>stent</w:t>
      </w:r>
      <w:r>
        <w:t>-related or tumour-related</w:t>
      </w:r>
      <w:r w:rsidRPr="009E5C53">
        <w:t xml:space="preserve">. </w:t>
      </w:r>
      <w:r w:rsidRPr="009E5C53">
        <w:rPr>
          <w:rFonts w:eastAsia="Calibri"/>
          <w:lang w:eastAsia="en-US"/>
        </w:rPr>
        <w:t>Adverse events following surgery were general</w:t>
      </w:r>
      <w:r>
        <w:rPr>
          <w:rFonts w:eastAsia="Calibri"/>
          <w:lang w:eastAsia="en-US"/>
        </w:rPr>
        <w:t>ly</w:t>
      </w:r>
      <w:r w:rsidRPr="009E5C53">
        <w:rPr>
          <w:rFonts w:eastAsia="Calibri"/>
          <w:lang w:eastAsia="en-US"/>
        </w:rPr>
        <w:t xml:space="preserve"> stoma</w:t>
      </w:r>
      <w:r>
        <w:rPr>
          <w:rFonts w:eastAsia="Calibri"/>
          <w:lang w:eastAsia="en-US"/>
        </w:rPr>
        <w:t>-related</w:t>
      </w:r>
      <w:r w:rsidRPr="009E5C53">
        <w:rPr>
          <w:rFonts w:eastAsia="Calibri"/>
          <w:lang w:eastAsia="en-US"/>
        </w:rPr>
        <w:t xml:space="preserve"> or infection</w:t>
      </w:r>
      <w:r>
        <w:rPr>
          <w:rFonts w:eastAsia="Calibri"/>
          <w:lang w:eastAsia="en-US"/>
        </w:rPr>
        <w:t>-</w:t>
      </w:r>
      <w:r w:rsidRPr="009E5C53">
        <w:rPr>
          <w:rFonts w:eastAsia="Calibri"/>
          <w:lang w:eastAsia="en-US"/>
        </w:rPr>
        <w:t>related.</w:t>
      </w:r>
      <w:r>
        <w:rPr>
          <w:rFonts w:eastAsia="Calibri"/>
          <w:lang w:eastAsia="en-US"/>
        </w:rPr>
        <w:t xml:space="preserve"> </w:t>
      </w:r>
      <w:r w:rsidRPr="00395B36">
        <w:t>In terms of severity</w:t>
      </w:r>
      <w:r>
        <w:t>,</w:t>
      </w:r>
      <w:r w:rsidRPr="00395B36">
        <w:t xml:space="preserve"> bowel perforation </w:t>
      </w:r>
      <w:r>
        <w:t xml:space="preserve">is likely </w:t>
      </w:r>
      <w:r w:rsidR="00A34A56">
        <w:t xml:space="preserve">to be </w:t>
      </w:r>
      <w:r>
        <w:t xml:space="preserve">the most severe stent-related event. Due to the potential for serious pelvic infection and peritonitis to develop, this outcome can be considered a life-threatening medical emergency, requiring immediate hospital admission as well as </w:t>
      </w:r>
      <w:r w:rsidR="00DF03CC">
        <w:t>multi-stage</w:t>
      </w:r>
      <w:r>
        <w:t xml:space="preserve"> surgical resection of the bowel. Any other i</w:t>
      </w:r>
      <w:r w:rsidRPr="00C77ECB">
        <w:t>nfectious event</w:t>
      </w:r>
      <w:r>
        <w:t>, be it following SEMS placement or surgical resection, also</w:t>
      </w:r>
      <w:r w:rsidRPr="00C77ECB">
        <w:t xml:space="preserve"> need</w:t>
      </w:r>
      <w:r>
        <w:t>s</w:t>
      </w:r>
      <w:r w:rsidRPr="00C77ECB">
        <w:t xml:space="preserve"> to be considered </w:t>
      </w:r>
      <w:r>
        <w:t xml:space="preserve">and managed </w:t>
      </w:r>
      <w:r w:rsidRPr="00C77ECB">
        <w:t xml:space="preserve">as </w:t>
      </w:r>
      <w:r>
        <w:t xml:space="preserve">a </w:t>
      </w:r>
      <w:r w:rsidRPr="00C77ECB">
        <w:t>medical emergenc</w:t>
      </w:r>
      <w:r>
        <w:t>y</w:t>
      </w:r>
      <w:r w:rsidRPr="00C77ECB">
        <w:t>.</w:t>
      </w:r>
    </w:p>
    <w:p w:rsidR="004030F1" w:rsidRDefault="004030F1" w:rsidP="004030F1">
      <w:r>
        <w:lastRenderedPageBreak/>
        <w:t xml:space="preserve">With regards to comparative evidence, </w:t>
      </w:r>
      <w:r w:rsidR="006442DA">
        <w:t>s</w:t>
      </w:r>
      <w:r w:rsidR="006442DA" w:rsidRPr="002126E1">
        <w:t xml:space="preserve">ix </w:t>
      </w:r>
      <w:r w:rsidR="00E21AB0">
        <w:t xml:space="preserve">non-randomised </w:t>
      </w:r>
      <w:r w:rsidR="006442DA" w:rsidRPr="002126E1">
        <w:t xml:space="preserve">studies comparing SEMS placement to </w:t>
      </w:r>
      <w:r w:rsidR="00DF03CC">
        <w:t>multi-stage</w:t>
      </w:r>
      <w:r w:rsidR="006442DA">
        <w:t xml:space="preserve"> </w:t>
      </w:r>
      <w:r w:rsidR="006442DA" w:rsidRPr="002126E1">
        <w:t>surgical treatment</w:t>
      </w:r>
      <w:r w:rsidR="00E21AB0">
        <w:t xml:space="preserve">, including two RCTs, </w:t>
      </w:r>
      <w:r w:rsidR="006442DA" w:rsidRPr="002126E1">
        <w:t xml:space="preserve">reported on procedure-related </w:t>
      </w:r>
      <w:r w:rsidR="006442DA">
        <w:t>adverse events</w:t>
      </w:r>
      <w:r w:rsidR="006442DA" w:rsidRPr="002126E1">
        <w:t xml:space="preserve"> occurring within their patient cohort</w:t>
      </w:r>
      <w:r w:rsidR="006442DA">
        <w:t>. T</w:t>
      </w:r>
      <w:r>
        <w:t xml:space="preserve">he only </w:t>
      </w:r>
      <w:r w:rsidR="006442DA">
        <w:t xml:space="preserve">statistically </w:t>
      </w:r>
      <w:r>
        <w:t xml:space="preserve">significant difference found with respect to adverse event occurrence was a higher rate of patient readmission for complications after </w:t>
      </w:r>
      <w:r w:rsidR="00DF03CC">
        <w:t>multi-stage</w:t>
      </w:r>
      <w:r>
        <w:t xml:space="preserve"> surgical treatment, reported in one comparative study.</w:t>
      </w:r>
    </w:p>
    <w:p w:rsidR="004030F1" w:rsidRPr="00C77ECB" w:rsidRDefault="004030F1" w:rsidP="004030F1">
      <w:r>
        <w:t>The majority of information on safety outcomes after SEMS placement was obtained from level IV evidence.</w:t>
      </w:r>
      <w:r w:rsidRPr="00040122">
        <w:t xml:space="preserve"> </w:t>
      </w:r>
      <w:r>
        <w:t xml:space="preserve">The relatively severe event of bowel perforation was reported in over four per cent of SEMS patients. Data suggested that </w:t>
      </w:r>
      <w:r w:rsidRPr="00C77ECB">
        <w:t>occurrence</w:t>
      </w:r>
      <w:r>
        <w:t xml:space="preserve"> </w:t>
      </w:r>
      <w:r w:rsidRPr="00C77ECB">
        <w:t xml:space="preserve">of perforation </w:t>
      </w:r>
      <w:r>
        <w:t>may be higher when dilators a</w:t>
      </w:r>
      <w:r w:rsidRPr="00C77ECB">
        <w:t>re used</w:t>
      </w:r>
      <w:r>
        <w:t>.</w:t>
      </w:r>
      <w:r w:rsidRPr="00C77ECB">
        <w:t xml:space="preserve"> </w:t>
      </w:r>
      <w:r>
        <w:t>Adverse events related to tumour growth were the most common, reported in seven to nine per cent of patients.</w:t>
      </w:r>
      <w:r w:rsidRPr="00395B36">
        <w:t xml:space="preserve"> </w:t>
      </w:r>
      <w:r w:rsidRPr="00C77ECB">
        <w:t xml:space="preserve">Tumour ingrowth </w:t>
      </w:r>
      <w:r>
        <w:t>or</w:t>
      </w:r>
      <w:r w:rsidRPr="00C77ECB">
        <w:t xml:space="preserve"> overgrowth is </w:t>
      </w:r>
      <w:r>
        <w:t>not an immediate</w:t>
      </w:r>
      <w:r w:rsidRPr="00C77ECB">
        <w:t xml:space="preserve"> adverse event</w:t>
      </w:r>
      <w:r>
        <w:t xml:space="preserve">, and therefore is unlikely to </w:t>
      </w:r>
      <w:r w:rsidRPr="00C77ECB">
        <w:t xml:space="preserve">interfere with the </w:t>
      </w:r>
      <w:r>
        <w:t>direct</w:t>
      </w:r>
      <w:r w:rsidRPr="00C77ECB">
        <w:t xml:space="preserve"> relief that a stent </w:t>
      </w:r>
      <w:r>
        <w:t>may</w:t>
      </w:r>
      <w:r w:rsidRPr="00C77ECB">
        <w:t xml:space="preserve"> provide.</w:t>
      </w:r>
      <w:r>
        <w:t xml:space="preserve"> However, it does increase the likelihood that treatment for re-obstruction will be required in the future. Re-obstruction and stent migration were reported in six to seven per cent of patients. It is possible that rates of stent migration may have been inflated by studies that used stents not specifically designed for the colon (</w:t>
      </w:r>
      <w:r w:rsidR="00CE0D06">
        <w:t>eg</w:t>
      </w:r>
      <w:r>
        <w:t xml:space="preserve"> oesophageal stents); although every</w:t>
      </w:r>
      <w:r w:rsidRPr="004C0441">
        <w:t xml:space="preserve"> effort was </w:t>
      </w:r>
      <w:r>
        <w:t>made</w:t>
      </w:r>
      <w:r w:rsidRPr="004C0441">
        <w:t xml:space="preserve"> to exclude </w:t>
      </w:r>
      <w:r>
        <w:t xml:space="preserve">such </w:t>
      </w:r>
      <w:r w:rsidRPr="004C0441">
        <w:t>studies</w:t>
      </w:r>
      <w:r>
        <w:t>, some authors did not explicitly state the type of stent used. Other minor adverse events were reported in less than five per cent of patients.</w:t>
      </w:r>
    </w:p>
    <w:p w:rsidR="0082286F" w:rsidRPr="009E5C53" w:rsidRDefault="004030F1" w:rsidP="0082286F">
      <w:pPr>
        <w:rPr>
          <w:rFonts w:eastAsia="Calibri"/>
          <w:lang w:eastAsia="en-US"/>
        </w:rPr>
      </w:pPr>
      <w:r>
        <w:t>From the evidence</w:t>
      </w:r>
      <w:r w:rsidRPr="00CB211D">
        <w:t xml:space="preserve"> </w:t>
      </w:r>
      <w:r>
        <w:t xml:space="preserve">available, it </w:t>
      </w:r>
      <w:r w:rsidR="002C64B5">
        <w:t>wa</w:t>
      </w:r>
      <w:r>
        <w:t xml:space="preserve">s difficult to make a definitive determination of the relative safety of SEMS placement compared to </w:t>
      </w:r>
      <w:r w:rsidR="00DF03CC">
        <w:t>multi-stage</w:t>
      </w:r>
      <w:r>
        <w:t xml:space="preserve"> surgery. Based on this evidence, which </w:t>
      </w:r>
      <w:r w:rsidR="00C613BB">
        <w:t>wa</w:t>
      </w:r>
      <w:r>
        <w:t>s largely low-level and of questionable methodological quality, SEMS placement appear</w:t>
      </w:r>
      <w:r w:rsidR="00C613BB">
        <w:t>ed</w:t>
      </w:r>
      <w:r>
        <w:t xml:space="preserve"> to be approximately equivalent to </w:t>
      </w:r>
      <w:r w:rsidR="00DF03CC">
        <w:t>multi-stage</w:t>
      </w:r>
      <w:r>
        <w:t xml:space="preserve"> surgical resection in terms of safety, albeit with the prospect of severe medical consequences arising from issues such as bowel perforation and tumour growth-related events.</w:t>
      </w:r>
    </w:p>
    <w:p w:rsidR="00941B19" w:rsidRPr="009E5C53" w:rsidRDefault="00941B19" w:rsidP="00FC35F9">
      <w:pPr>
        <w:pStyle w:val="Heading3"/>
      </w:pPr>
      <w:r w:rsidRPr="009E5C53">
        <w:t>Comparative effectiveness</w:t>
      </w:r>
    </w:p>
    <w:p w:rsidR="00154934" w:rsidRDefault="00BE3EA8" w:rsidP="00154934">
      <w:r>
        <w:rPr>
          <w:rFonts w:eastAsia="Calibri"/>
          <w:lang w:eastAsia="en-US"/>
        </w:rPr>
        <w:t>For the purpose of the current assessment, relative e</w:t>
      </w:r>
      <w:r w:rsidRPr="00E2422F">
        <w:rPr>
          <w:rFonts w:eastAsia="Calibri"/>
          <w:lang w:eastAsia="en-US"/>
        </w:rPr>
        <w:t xml:space="preserve">ffectiveness of </w:t>
      </w:r>
      <w:r>
        <w:rPr>
          <w:rFonts w:eastAsia="Calibri"/>
          <w:lang w:eastAsia="en-US"/>
        </w:rPr>
        <w:t>SEMS placement can only be determined through evidence directly comparing the procedure of interest to a relevant comparator procedure</w:t>
      </w:r>
      <w:r w:rsidR="00651229">
        <w:rPr>
          <w:rFonts w:eastAsia="Calibri"/>
          <w:lang w:eastAsia="en-US"/>
        </w:rPr>
        <w:t>.</w:t>
      </w:r>
      <w:r w:rsidR="00651229" w:rsidRPr="00651229">
        <w:t xml:space="preserve"> </w:t>
      </w:r>
      <w:r w:rsidR="00651229">
        <w:t>No studies that compared stents to best supportive care were retrieved; as such, no assessment or comparison of the relative effectiveness for these two treatments</w:t>
      </w:r>
      <w:r w:rsidR="00651229" w:rsidRPr="00811464">
        <w:t xml:space="preserve"> </w:t>
      </w:r>
      <w:r w:rsidR="00651229">
        <w:t>could be made.</w:t>
      </w:r>
      <w:r w:rsidR="00A01120">
        <w:t xml:space="preserve"> </w:t>
      </w:r>
      <w:r>
        <w:rPr>
          <w:rFonts w:eastAsia="Calibri"/>
          <w:lang w:eastAsia="en-US"/>
        </w:rPr>
        <w:t>Seven comparative studies</w:t>
      </w:r>
      <w:r w:rsidR="00F2707B">
        <w:rPr>
          <w:rFonts w:eastAsia="Calibri"/>
          <w:lang w:eastAsia="en-US"/>
        </w:rPr>
        <w:t xml:space="preserve"> that </w:t>
      </w:r>
      <w:r>
        <w:rPr>
          <w:rFonts w:eastAsia="Calibri"/>
          <w:lang w:eastAsia="en-US"/>
        </w:rPr>
        <w:t>met the necessary criteria</w:t>
      </w:r>
      <w:r w:rsidR="00F2707B">
        <w:rPr>
          <w:rFonts w:eastAsia="Calibri"/>
          <w:lang w:eastAsia="en-US"/>
        </w:rPr>
        <w:t xml:space="preserve">, including two RCTs, </w:t>
      </w:r>
      <w:r>
        <w:rPr>
          <w:rFonts w:eastAsia="Calibri"/>
          <w:lang w:eastAsia="en-US"/>
        </w:rPr>
        <w:t>were</w:t>
      </w:r>
      <w:r w:rsidR="00E21AB0">
        <w:rPr>
          <w:rFonts w:eastAsia="Calibri"/>
          <w:lang w:eastAsia="en-US"/>
        </w:rPr>
        <w:t xml:space="preserve"> </w:t>
      </w:r>
      <w:r w:rsidR="00651229">
        <w:rPr>
          <w:rFonts w:eastAsia="Calibri"/>
          <w:lang w:eastAsia="en-US"/>
        </w:rPr>
        <w:t xml:space="preserve">used to determine the relative effectiveness of SEMS compared to </w:t>
      </w:r>
      <w:r w:rsidR="00DF03CC">
        <w:rPr>
          <w:rFonts w:eastAsia="Calibri"/>
          <w:lang w:eastAsia="en-US"/>
        </w:rPr>
        <w:t>multi-stage</w:t>
      </w:r>
      <w:r w:rsidR="00651229">
        <w:rPr>
          <w:rFonts w:eastAsia="Calibri"/>
          <w:lang w:eastAsia="en-US"/>
        </w:rPr>
        <w:t xml:space="preserve"> surgical resection</w:t>
      </w:r>
      <w:r w:rsidR="00F2707B">
        <w:rPr>
          <w:rFonts w:eastAsia="Calibri"/>
          <w:lang w:eastAsia="en-US"/>
        </w:rPr>
        <w:t>.</w:t>
      </w:r>
      <w:r>
        <w:rPr>
          <w:rFonts w:eastAsia="Calibri"/>
          <w:lang w:eastAsia="en-US"/>
        </w:rPr>
        <w:t xml:space="preserve"> </w:t>
      </w:r>
      <w:r w:rsidR="00F2707B">
        <w:rPr>
          <w:rFonts w:eastAsia="Calibri"/>
          <w:lang w:eastAsia="en-US"/>
        </w:rPr>
        <w:t>H</w:t>
      </w:r>
      <w:r>
        <w:rPr>
          <w:rFonts w:eastAsia="Calibri"/>
          <w:lang w:eastAsia="en-US"/>
        </w:rPr>
        <w:t>owever, these studies were subject to significant confounders and sources of bias</w:t>
      </w:r>
      <w:r w:rsidR="00F2707B">
        <w:rPr>
          <w:rFonts w:eastAsia="Calibri"/>
          <w:lang w:eastAsia="en-US"/>
        </w:rPr>
        <w:t xml:space="preserve"> in their methodology</w:t>
      </w:r>
      <w:r>
        <w:rPr>
          <w:rFonts w:eastAsia="Calibri"/>
          <w:lang w:eastAsia="en-US"/>
        </w:rPr>
        <w:t xml:space="preserve">, such as inconsistency in reporting of clinical outcomes, heterogeneous patient populations, </w:t>
      </w:r>
      <w:r w:rsidR="00E21AB0">
        <w:rPr>
          <w:rFonts w:eastAsia="Calibri"/>
          <w:lang w:eastAsia="en-US"/>
        </w:rPr>
        <w:t xml:space="preserve">lack of statistical comparisons </w:t>
      </w:r>
      <w:r>
        <w:rPr>
          <w:rFonts w:eastAsia="Calibri"/>
          <w:lang w:eastAsia="en-US"/>
        </w:rPr>
        <w:t>and small sample size.</w:t>
      </w:r>
    </w:p>
    <w:p w:rsidR="009C6791" w:rsidRDefault="00BE3EA8" w:rsidP="00651229">
      <w:pPr>
        <w:rPr>
          <w:rFonts w:eastAsia="Calibri"/>
          <w:lang w:eastAsia="en-US"/>
        </w:rPr>
      </w:pPr>
      <w:r w:rsidRPr="00B32F8B">
        <w:t xml:space="preserve">With regards to </w:t>
      </w:r>
      <w:r w:rsidR="00F2707B">
        <w:t xml:space="preserve">specific </w:t>
      </w:r>
      <w:r w:rsidRPr="00B32F8B">
        <w:t>effectiveness outcomes</w:t>
      </w:r>
      <w:r w:rsidR="00A3741F">
        <w:t>,</w:t>
      </w:r>
      <w:r w:rsidRPr="00B32F8B">
        <w:t xml:space="preserve"> the available evidence showed </w:t>
      </w:r>
      <w:r w:rsidR="00651229">
        <w:t>few significant differences between</w:t>
      </w:r>
      <w:r w:rsidRPr="00B32F8B">
        <w:t xml:space="preserve"> SEMS placement </w:t>
      </w:r>
      <w:r w:rsidR="00651229">
        <w:t>and</w:t>
      </w:r>
      <w:r w:rsidRPr="00B32F8B">
        <w:t xml:space="preserve"> </w:t>
      </w:r>
      <w:r w:rsidR="00A3741F" w:rsidRPr="00B32F8B">
        <w:t>multi</w:t>
      </w:r>
      <w:r w:rsidR="00CF1FED">
        <w:t>-</w:t>
      </w:r>
      <w:r w:rsidR="00A3741F" w:rsidRPr="00B32F8B">
        <w:t xml:space="preserve">stage </w:t>
      </w:r>
      <w:r w:rsidRPr="00B32F8B">
        <w:t>surgery, with the potential exception of post-procedural hospital</w:t>
      </w:r>
      <w:r w:rsidR="00A3741F">
        <w:t xml:space="preserve"> and ICU</w:t>
      </w:r>
      <w:r w:rsidRPr="00B32F8B">
        <w:t xml:space="preserve"> stay</w:t>
      </w:r>
      <w:r w:rsidR="00651229">
        <w:t>,</w:t>
      </w:r>
      <w:r w:rsidR="00651229" w:rsidRPr="00651229">
        <w:t xml:space="preserve"> </w:t>
      </w:r>
      <w:r w:rsidR="00651229" w:rsidRPr="00BB3C05">
        <w:t>where patients who received SEMS commonly experienced significantly better outcomes than those who underwent surgical resection</w:t>
      </w:r>
      <w:r w:rsidRPr="00B32F8B">
        <w:t>.</w:t>
      </w:r>
      <w:r w:rsidR="009C6791" w:rsidRPr="009C6791">
        <w:t xml:space="preserve"> </w:t>
      </w:r>
      <w:r w:rsidR="009C6791" w:rsidRPr="00BB3C05">
        <w:t>However, it is important to remember that readmission is often necessary in an instance of an adverse event such as stent migration.</w:t>
      </w:r>
      <w:r w:rsidR="00F2707B" w:rsidRPr="00F2707B">
        <w:rPr>
          <w:rFonts w:eastAsia="Calibri"/>
          <w:lang w:eastAsia="en-US"/>
        </w:rPr>
        <w:t xml:space="preserve"> </w:t>
      </w:r>
      <w:r w:rsidR="00F2707B">
        <w:rPr>
          <w:rFonts w:eastAsia="Calibri"/>
          <w:lang w:eastAsia="en-US"/>
        </w:rPr>
        <w:t>P</w:t>
      </w:r>
      <w:r w:rsidR="00F2707B" w:rsidRPr="00E2422F">
        <w:rPr>
          <w:rFonts w:eastAsia="Calibri"/>
          <w:lang w:eastAsia="en-US"/>
        </w:rPr>
        <w:t xml:space="preserve">atients who received SEMS </w:t>
      </w:r>
      <w:r w:rsidR="00154934">
        <w:rPr>
          <w:rFonts w:eastAsia="Calibri"/>
          <w:lang w:eastAsia="en-US"/>
        </w:rPr>
        <w:t xml:space="preserve">as a bridge to surgery </w:t>
      </w:r>
      <w:r w:rsidR="00F2707B">
        <w:rPr>
          <w:rFonts w:eastAsia="Calibri"/>
          <w:lang w:eastAsia="en-US"/>
        </w:rPr>
        <w:t xml:space="preserve">may be able </w:t>
      </w:r>
      <w:r w:rsidR="00F2707B" w:rsidRPr="00E2422F">
        <w:rPr>
          <w:rFonts w:eastAsia="Calibri"/>
          <w:lang w:eastAsia="en-US"/>
        </w:rPr>
        <w:t>to undergo planned surgery significantly sooner</w:t>
      </w:r>
      <w:r w:rsidR="00F2707B">
        <w:rPr>
          <w:rFonts w:eastAsia="Calibri"/>
          <w:lang w:eastAsia="en-US"/>
        </w:rPr>
        <w:t xml:space="preserve"> and require </w:t>
      </w:r>
      <w:r w:rsidR="00F2707B" w:rsidRPr="00E2422F">
        <w:rPr>
          <w:rFonts w:eastAsia="Calibri"/>
          <w:lang w:eastAsia="en-US"/>
        </w:rPr>
        <w:t xml:space="preserve">a </w:t>
      </w:r>
      <w:r w:rsidR="00F2707B" w:rsidRPr="00E2422F">
        <w:rPr>
          <w:rFonts w:eastAsia="Calibri"/>
          <w:lang w:eastAsia="en-US"/>
        </w:rPr>
        <w:lastRenderedPageBreak/>
        <w:t>shorter hospital stay after planned surgery</w:t>
      </w:r>
      <w:r w:rsidR="00F2707B">
        <w:rPr>
          <w:rFonts w:eastAsia="Calibri"/>
          <w:lang w:eastAsia="en-US"/>
        </w:rPr>
        <w:t xml:space="preserve"> </w:t>
      </w:r>
      <w:r w:rsidR="00F2707B" w:rsidRPr="00E2422F">
        <w:rPr>
          <w:rFonts w:eastAsia="Calibri"/>
          <w:lang w:eastAsia="en-US"/>
        </w:rPr>
        <w:t>than those who initially under</w:t>
      </w:r>
      <w:r w:rsidR="00154934">
        <w:rPr>
          <w:rFonts w:eastAsia="Calibri"/>
          <w:lang w:eastAsia="en-US"/>
        </w:rPr>
        <w:t>went</w:t>
      </w:r>
      <w:r w:rsidR="00F2707B" w:rsidRPr="00E2422F">
        <w:rPr>
          <w:rFonts w:eastAsia="Calibri"/>
          <w:lang w:eastAsia="en-US"/>
        </w:rPr>
        <w:t xml:space="preserve"> surgery with temporary stoma</w:t>
      </w:r>
      <w:r w:rsidR="00F2707B">
        <w:rPr>
          <w:rFonts w:eastAsia="Calibri"/>
          <w:lang w:eastAsia="en-US"/>
        </w:rPr>
        <w:t xml:space="preserve">; however, this </w:t>
      </w:r>
      <w:r w:rsidR="00806105">
        <w:rPr>
          <w:rFonts w:eastAsia="Calibri"/>
          <w:lang w:eastAsia="en-US"/>
        </w:rPr>
        <w:t xml:space="preserve">finding </w:t>
      </w:r>
      <w:r w:rsidR="00F2707B">
        <w:rPr>
          <w:rFonts w:eastAsia="Calibri"/>
          <w:lang w:eastAsia="en-US"/>
        </w:rPr>
        <w:t xml:space="preserve">was based on results from a single </w:t>
      </w:r>
      <w:r w:rsidR="00651229">
        <w:rPr>
          <w:rFonts w:eastAsia="Calibri"/>
          <w:lang w:eastAsia="en-US"/>
        </w:rPr>
        <w:t xml:space="preserve">small </w:t>
      </w:r>
      <w:r w:rsidR="00F2707B">
        <w:rPr>
          <w:rFonts w:eastAsia="Calibri"/>
          <w:lang w:eastAsia="en-US"/>
        </w:rPr>
        <w:t>study</w:t>
      </w:r>
      <w:r w:rsidR="00F2707B" w:rsidRPr="00E2422F">
        <w:rPr>
          <w:rFonts w:eastAsia="Calibri"/>
          <w:lang w:eastAsia="en-US"/>
        </w:rPr>
        <w:t>.</w:t>
      </w:r>
    </w:p>
    <w:p w:rsidR="00F2707B" w:rsidRDefault="009C6791" w:rsidP="00651229">
      <w:pPr>
        <w:rPr>
          <w:rFonts w:eastAsia="Calibri"/>
          <w:lang w:eastAsia="en-US"/>
        </w:rPr>
      </w:pPr>
      <w:r>
        <w:rPr>
          <w:rFonts w:eastAsia="Calibri"/>
          <w:lang w:eastAsia="en-US"/>
        </w:rPr>
        <w:t>Relative quality of life following</w:t>
      </w:r>
      <w:r w:rsidRPr="00E2422F">
        <w:rPr>
          <w:rFonts w:eastAsia="Calibri"/>
          <w:lang w:eastAsia="en-US"/>
        </w:rPr>
        <w:t xml:space="preserve"> </w:t>
      </w:r>
      <w:r>
        <w:rPr>
          <w:rFonts w:eastAsia="Calibri"/>
          <w:lang w:eastAsia="en-US"/>
        </w:rPr>
        <w:t>treatment</w:t>
      </w:r>
      <w:r w:rsidRPr="00E2422F">
        <w:rPr>
          <w:rFonts w:eastAsia="Calibri"/>
          <w:lang w:eastAsia="en-US"/>
        </w:rPr>
        <w:t xml:space="preserve">, </w:t>
      </w:r>
      <w:r>
        <w:rPr>
          <w:rFonts w:eastAsia="Calibri"/>
          <w:lang w:eastAsia="en-US"/>
        </w:rPr>
        <w:t xml:space="preserve">defined as </w:t>
      </w:r>
      <w:r w:rsidRPr="00E2422F">
        <w:rPr>
          <w:rFonts w:eastAsia="Calibri"/>
          <w:lang w:eastAsia="en-US"/>
        </w:rPr>
        <w:t>the primary effectiveness outcome of</w:t>
      </w:r>
      <w:r>
        <w:rPr>
          <w:rFonts w:eastAsia="Calibri"/>
          <w:lang w:eastAsia="en-US"/>
        </w:rPr>
        <w:t xml:space="preserve"> interest to</w:t>
      </w:r>
      <w:r w:rsidRPr="00E2422F">
        <w:rPr>
          <w:rFonts w:eastAsia="Calibri"/>
          <w:lang w:eastAsia="en-US"/>
        </w:rPr>
        <w:t xml:space="preserve"> the present assessment, </w:t>
      </w:r>
      <w:r>
        <w:rPr>
          <w:rFonts w:eastAsia="Calibri"/>
          <w:lang w:eastAsia="en-US"/>
        </w:rPr>
        <w:t>could not</w:t>
      </w:r>
      <w:r w:rsidRPr="00E2422F">
        <w:rPr>
          <w:rFonts w:eastAsia="Calibri"/>
          <w:lang w:eastAsia="en-US"/>
        </w:rPr>
        <w:t xml:space="preserve"> be determined based on the </w:t>
      </w:r>
      <w:r>
        <w:rPr>
          <w:rFonts w:eastAsia="Calibri"/>
          <w:lang w:eastAsia="en-US"/>
        </w:rPr>
        <w:t xml:space="preserve">available evidence. One comparative </w:t>
      </w:r>
      <w:r w:rsidRPr="00E2422F">
        <w:rPr>
          <w:rFonts w:eastAsia="Calibri"/>
          <w:lang w:eastAsia="en-US"/>
        </w:rPr>
        <w:t>study assessed this outcome</w:t>
      </w:r>
      <w:r>
        <w:rPr>
          <w:rFonts w:eastAsia="Calibri"/>
          <w:lang w:eastAsia="en-US"/>
        </w:rPr>
        <w:t>;</w:t>
      </w:r>
      <w:r w:rsidRPr="00651229">
        <w:t xml:space="preserve"> </w:t>
      </w:r>
      <w:r>
        <w:t>t</w:t>
      </w:r>
      <w:r w:rsidRPr="00A550ED">
        <w:t>he results of this stu</w:t>
      </w:r>
      <w:r w:rsidRPr="0055406F">
        <w:t>dy</w:t>
      </w:r>
      <w:r>
        <w:t xml:space="preserve"> </w:t>
      </w:r>
      <w:r w:rsidRPr="0055406F">
        <w:t xml:space="preserve">did not show </w:t>
      </w:r>
      <w:r w:rsidRPr="004C658D">
        <w:t xml:space="preserve">any benefit for </w:t>
      </w:r>
      <w:r w:rsidRPr="00B1508A">
        <w:t>SEMS placement over surgical resection</w:t>
      </w:r>
      <w:r w:rsidRPr="00E2422F">
        <w:rPr>
          <w:rFonts w:eastAsia="Calibri"/>
          <w:lang w:eastAsia="en-US"/>
        </w:rPr>
        <w:t xml:space="preserve">. </w:t>
      </w:r>
      <w:r w:rsidR="00D32F3C" w:rsidRPr="00A84480">
        <w:t xml:space="preserve">While </w:t>
      </w:r>
      <w:r w:rsidR="00D32F3C">
        <w:t>a</w:t>
      </w:r>
      <w:r w:rsidR="00D32F3C" w:rsidRPr="00A84480">
        <w:t xml:space="preserve"> lack of universal definitions</w:t>
      </w:r>
      <w:r w:rsidR="00D32F3C" w:rsidRPr="00186148">
        <w:t xml:space="preserve"> </w:t>
      </w:r>
      <w:r w:rsidR="00D32F3C" w:rsidRPr="00A32225">
        <w:t xml:space="preserve">and direct statistical </w:t>
      </w:r>
      <w:r w:rsidR="00D32F3C" w:rsidRPr="005C214B">
        <w:t xml:space="preserve">comparisons </w:t>
      </w:r>
      <w:r w:rsidR="00D32F3C" w:rsidRPr="00C27C1E">
        <w:t>made evaluation</w:t>
      </w:r>
      <w:r w:rsidR="00D32F3C" w:rsidRPr="00027046" w:rsidDel="00FD1AE5">
        <w:t xml:space="preserve"> </w:t>
      </w:r>
      <w:r w:rsidR="00D32F3C" w:rsidRPr="00027046">
        <w:t xml:space="preserve">of the relative procedural success between </w:t>
      </w:r>
      <w:r w:rsidR="00181725">
        <w:t xml:space="preserve">the </w:t>
      </w:r>
      <w:r w:rsidR="00D32F3C" w:rsidRPr="00027046">
        <w:t xml:space="preserve">two </w:t>
      </w:r>
      <w:r w:rsidR="00D32F3C">
        <w:t>treatment</w:t>
      </w:r>
      <w:r w:rsidR="00D32F3C" w:rsidRPr="00027046">
        <w:t>s difficult</w:t>
      </w:r>
      <w:r w:rsidR="00D32F3C" w:rsidRPr="00EA5A32">
        <w:t>, the majority of studies reported equivalent or slightly</w:t>
      </w:r>
      <w:r w:rsidR="00D32F3C" w:rsidRPr="00177142">
        <w:t xml:space="preserve"> higher rates of </w:t>
      </w:r>
      <w:r w:rsidR="00D32F3C">
        <w:t xml:space="preserve">initial </w:t>
      </w:r>
      <w:r w:rsidR="00D32F3C" w:rsidRPr="00177142">
        <w:t xml:space="preserve">clinical success in patients who underwent surgical resection </w:t>
      </w:r>
      <w:r w:rsidR="00D32F3C">
        <w:t>compared to</w:t>
      </w:r>
      <w:r w:rsidR="00D32F3C" w:rsidRPr="00177142">
        <w:t xml:space="preserve"> those </w:t>
      </w:r>
      <w:r w:rsidR="00D32F3C">
        <w:t xml:space="preserve">who </w:t>
      </w:r>
      <w:r w:rsidR="00D32F3C" w:rsidRPr="00177142">
        <w:t>receiv</w:t>
      </w:r>
      <w:r w:rsidR="00D32F3C">
        <w:t>ed</w:t>
      </w:r>
      <w:r w:rsidR="00D32F3C" w:rsidRPr="00177142">
        <w:t xml:space="preserve"> SEMS</w:t>
      </w:r>
      <w:r w:rsidR="00D32F3C" w:rsidRPr="00367FF6">
        <w:t xml:space="preserve">. </w:t>
      </w:r>
      <w:r w:rsidR="00D32F3C">
        <w:rPr>
          <w:rFonts w:eastAsia="Calibri"/>
          <w:lang w:eastAsia="en-US"/>
        </w:rPr>
        <w:t>N</w:t>
      </w:r>
      <w:r w:rsidR="00D32F3C" w:rsidRPr="00E2422F">
        <w:rPr>
          <w:rFonts w:eastAsia="Calibri"/>
          <w:lang w:eastAsia="en-US"/>
        </w:rPr>
        <w:t xml:space="preserve">eed </w:t>
      </w:r>
      <w:r w:rsidR="00D32F3C">
        <w:rPr>
          <w:rFonts w:eastAsia="Calibri"/>
          <w:lang w:eastAsia="en-US"/>
        </w:rPr>
        <w:t xml:space="preserve">for </w:t>
      </w:r>
      <w:r w:rsidR="00D32F3C" w:rsidRPr="00E2422F">
        <w:rPr>
          <w:rFonts w:eastAsia="Calibri"/>
          <w:lang w:eastAsia="en-US"/>
        </w:rPr>
        <w:t>re-intervention</w:t>
      </w:r>
      <w:r w:rsidR="00D32F3C">
        <w:rPr>
          <w:rFonts w:eastAsia="Calibri"/>
          <w:lang w:eastAsia="en-US"/>
        </w:rPr>
        <w:t xml:space="preserve"> after SEMS placement </w:t>
      </w:r>
      <w:r w:rsidR="00D32F3C" w:rsidRPr="00BB3C05">
        <w:t xml:space="preserve">generally varied from zero to </w:t>
      </w:r>
      <w:r w:rsidR="00181725">
        <w:t>10</w:t>
      </w:r>
      <w:r w:rsidR="00D32F3C" w:rsidRPr="00BB3C05">
        <w:t xml:space="preserve"> per cent</w:t>
      </w:r>
      <w:r w:rsidR="002D7E5F">
        <w:t xml:space="preserve"> of patients</w:t>
      </w:r>
      <w:r w:rsidR="00D32F3C">
        <w:t xml:space="preserve">, but no </w:t>
      </w:r>
      <w:r w:rsidR="00D32F3C">
        <w:rPr>
          <w:rFonts w:eastAsia="Calibri"/>
          <w:lang w:eastAsia="en-US"/>
        </w:rPr>
        <w:t>comparison to</w:t>
      </w:r>
      <w:r w:rsidR="00D32F3C" w:rsidRPr="00E2422F">
        <w:rPr>
          <w:rFonts w:eastAsia="Calibri"/>
          <w:lang w:eastAsia="en-US"/>
        </w:rPr>
        <w:t xml:space="preserve"> </w:t>
      </w:r>
      <w:r w:rsidR="00DF03CC">
        <w:rPr>
          <w:rFonts w:eastAsia="Calibri"/>
          <w:lang w:eastAsia="en-US"/>
        </w:rPr>
        <w:t>multi-stage</w:t>
      </w:r>
      <w:r w:rsidR="00D32F3C" w:rsidRPr="00E2422F">
        <w:rPr>
          <w:rFonts w:eastAsia="Calibri"/>
          <w:lang w:eastAsia="en-US"/>
        </w:rPr>
        <w:t xml:space="preserve"> surgery</w:t>
      </w:r>
      <w:r w:rsidR="00D32F3C">
        <w:rPr>
          <w:rFonts w:eastAsia="Calibri"/>
          <w:lang w:eastAsia="en-US"/>
        </w:rPr>
        <w:t xml:space="preserve"> was made </w:t>
      </w:r>
      <w:r w:rsidR="002D7E5F">
        <w:rPr>
          <w:rFonts w:eastAsia="Calibri"/>
          <w:lang w:eastAsia="en-US"/>
        </w:rPr>
        <w:t>with</w:t>
      </w:r>
      <w:r w:rsidR="00D32F3C">
        <w:rPr>
          <w:rFonts w:eastAsia="Calibri"/>
          <w:lang w:eastAsia="en-US"/>
        </w:rPr>
        <w:t xml:space="preserve">in the </w:t>
      </w:r>
      <w:r w:rsidR="002D7E5F">
        <w:rPr>
          <w:rFonts w:eastAsia="Calibri"/>
          <w:lang w:eastAsia="en-US"/>
        </w:rPr>
        <w:t xml:space="preserve">available </w:t>
      </w:r>
      <w:r w:rsidR="00D32F3C">
        <w:rPr>
          <w:rFonts w:eastAsia="Calibri"/>
          <w:lang w:eastAsia="en-US"/>
        </w:rPr>
        <w:t xml:space="preserve">evidence. </w:t>
      </w:r>
      <w:r w:rsidR="00154934">
        <w:rPr>
          <w:rFonts w:eastAsia="Calibri"/>
          <w:lang w:eastAsia="en-US"/>
        </w:rPr>
        <w:t xml:space="preserve">When treatment occurred with </w:t>
      </w:r>
      <w:r w:rsidR="002D7E5F">
        <w:rPr>
          <w:rFonts w:eastAsia="Calibri"/>
          <w:lang w:eastAsia="en-US"/>
        </w:rPr>
        <w:t xml:space="preserve">definitive </w:t>
      </w:r>
      <w:r w:rsidR="00154934">
        <w:rPr>
          <w:rFonts w:eastAsia="Calibri"/>
          <w:lang w:eastAsia="en-US"/>
        </w:rPr>
        <w:t xml:space="preserve">palliative intent, no significant difference in length of patient survival was found between SEMS placement and </w:t>
      </w:r>
      <w:r w:rsidR="00DF03CC">
        <w:t>multi-stage</w:t>
      </w:r>
      <w:r w:rsidR="00154934">
        <w:t xml:space="preserve"> surgery.</w:t>
      </w:r>
      <w:r w:rsidR="00154934" w:rsidRPr="00154934">
        <w:rPr>
          <w:rFonts w:eastAsia="Calibri"/>
          <w:lang w:eastAsia="en-US"/>
        </w:rPr>
        <w:t xml:space="preserve"> </w:t>
      </w:r>
    </w:p>
    <w:p w:rsidR="006442DA" w:rsidRDefault="00CC0B1F" w:rsidP="00E21AB0">
      <w:pPr>
        <w:rPr>
          <w:rFonts w:eastAsia="Calibri"/>
          <w:lang w:eastAsia="en-US"/>
        </w:rPr>
      </w:pPr>
      <w:r>
        <w:t>With respect to relative effectiveness, SEMS placement appear</w:t>
      </w:r>
      <w:r w:rsidR="00C43758">
        <w:t>ed</w:t>
      </w:r>
      <w:r>
        <w:t xml:space="preserve"> to be non-inferior to multi</w:t>
      </w:r>
      <w:r w:rsidR="00CF1FED">
        <w:t>-</w:t>
      </w:r>
      <w:r>
        <w:t xml:space="preserve">stage surgical resection. However, this conclusion </w:t>
      </w:r>
      <w:r w:rsidR="00C43758">
        <w:t>wa</w:t>
      </w:r>
      <w:r>
        <w:t>s based on a small number of studies with</w:t>
      </w:r>
      <w:r w:rsidRPr="00CC0B1F">
        <w:rPr>
          <w:rFonts w:eastAsia="Calibri"/>
          <w:lang w:eastAsia="en-US"/>
        </w:rPr>
        <w:t xml:space="preserve"> </w:t>
      </w:r>
      <w:r>
        <w:rPr>
          <w:rFonts w:eastAsia="Calibri"/>
          <w:lang w:eastAsia="en-US"/>
        </w:rPr>
        <w:t>considerable methodological deficiencies</w:t>
      </w:r>
      <w:r>
        <w:t xml:space="preserve"> and should be accepted with caution.</w:t>
      </w:r>
    </w:p>
    <w:p w:rsidR="00ED4333" w:rsidRPr="00B01E21" w:rsidRDefault="00ED4333" w:rsidP="00B01E21">
      <w:pPr>
        <w:pStyle w:val="Heading3"/>
      </w:pPr>
      <w:r w:rsidRPr="00B01E21">
        <w:t>Economic evaluation</w:t>
      </w:r>
    </w:p>
    <w:p w:rsidR="00ED4333" w:rsidRPr="00FC66CF" w:rsidRDefault="00C5591F" w:rsidP="00ED4333">
      <w:r>
        <w:t>For the purpose of</w:t>
      </w:r>
      <w:r w:rsidR="00ED4333" w:rsidRPr="00FC66CF">
        <w:t xml:space="preserve"> conduct</w:t>
      </w:r>
      <w:r>
        <w:t>ing</w:t>
      </w:r>
      <w:r w:rsidR="00ED4333" w:rsidRPr="00FC66CF">
        <w:t xml:space="preserve"> </w:t>
      </w:r>
      <w:r>
        <w:t>the</w:t>
      </w:r>
      <w:r w:rsidRPr="00FC66CF">
        <w:t xml:space="preserve"> </w:t>
      </w:r>
      <w:r w:rsidR="00ED4333" w:rsidRPr="00FC66CF">
        <w:t xml:space="preserve">economic evaluation of SEMS insertion for the management of malignant bowel obstructions, it was assumed that colonic stents are suitable for two groups of patients </w:t>
      </w:r>
      <w:r>
        <w:t>(</w:t>
      </w:r>
      <w:r w:rsidR="00ED4333" w:rsidRPr="00FC66CF">
        <w:t xml:space="preserve">all of </w:t>
      </w:r>
      <w:r w:rsidR="00361C7A">
        <w:t>whom</w:t>
      </w:r>
      <w:r w:rsidR="00361C7A" w:rsidRPr="00FC66CF">
        <w:t xml:space="preserve"> </w:t>
      </w:r>
      <w:r w:rsidR="00ED4333" w:rsidRPr="00FC66CF">
        <w:t xml:space="preserve">are </w:t>
      </w:r>
      <w:r>
        <w:t>in</w:t>
      </w:r>
      <w:r w:rsidR="00ED4333" w:rsidRPr="00FC66CF">
        <w:t>eligible for single-stage bowel resection</w:t>
      </w:r>
      <w:r>
        <w:t>)</w:t>
      </w:r>
      <w:r w:rsidR="00422933">
        <w:t xml:space="preserve"> with an obstruction caused by either</w:t>
      </w:r>
      <w:r w:rsidR="00ED4333" w:rsidRPr="00FC66CF">
        <w:t xml:space="preserve"> pre-diagnosed cancer or unknown diagnosis: </w:t>
      </w:r>
    </w:p>
    <w:p w:rsidR="00ED4333" w:rsidRPr="00065DCF" w:rsidRDefault="00361C7A" w:rsidP="0007443E">
      <w:pPr>
        <w:pStyle w:val="Bullet"/>
      </w:pPr>
      <w:r w:rsidRPr="00065DCF">
        <w:t>p</w:t>
      </w:r>
      <w:r w:rsidR="00ED4333" w:rsidRPr="00065DCF">
        <w:t xml:space="preserve">atients medically fit for </w:t>
      </w:r>
      <w:r w:rsidR="00DF03CC">
        <w:t>multi-stage</w:t>
      </w:r>
      <w:r w:rsidR="00ED4333" w:rsidRPr="00065DCF">
        <w:t xml:space="preserve"> surgery</w:t>
      </w:r>
      <w:r w:rsidRPr="00065DCF">
        <w:t>;</w:t>
      </w:r>
      <w:r w:rsidR="00ED4333" w:rsidRPr="00065DCF">
        <w:t xml:space="preserve"> and </w:t>
      </w:r>
    </w:p>
    <w:p w:rsidR="00ED4333" w:rsidRPr="00065DCF" w:rsidRDefault="00361C7A" w:rsidP="0007443E">
      <w:pPr>
        <w:pStyle w:val="Bullet"/>
      </w:pPr>
      <w:proofErr w:type="gramStart"/>
      <w:r w:rsidRPr="00065DCF">
        <w:t>p</w:t>
      </w:r>
      <w:r w:rsidR="00ED4333" w:rsidRPr="00065DCF">
        <w:t>atients</w:t>
      </w:r>
      <w:proofErr w:type="gramEnd"/>
      <w:r w:rsidR="00ED4333" w:rsidRPr="00065DCF">
        <w:t xml:space="preserve"> medically unfit for </w:t>
      </w:r>
      <w:r w:rsidR="00DF03CC">
        <w:t>multi-stage</w:t>
      </w:r>
      <w:r w:rsidR="00ED4333" w:rsidRPr="00065DCF">
        <w:t xml:space="preserve"> surgery. </w:t>
      </w:r>
    </w:p>
    <w:p w:rsidR="00ED4333" w:rsidRPr="00FC66CF" w:rsidRDefault="00ED4333" w:rsidP="00ED4333">
      <w:r w:rsidRPr="00FC66CF">
        <w:t xml:space="preserve">These two patient populations were modelled separately as the comparator(s) differed based on the baseline risk for </w:t>
      </w:r>
      <w:r w:rsidR="00DF03CC">
        <w:t>multi-stage</w:t>
      </w:r>
      <w:r w:rsidRPr="00FC66CF">
        <w:t xml:space="preserve"> surgery.  </w:t>
      </w:r>
    </w:p>
    <w:p w:rsidR="00ED4333" w:rsidRPr="00FC66CF" w:rsidRDefault="00ED4333" w:rsidP="00B01E21">
      <w:pPr>
        <w:pStyle w:val="Heading4"/>
      </w:pPr>
      <w:r w:rsidRPr="00FC66CF">
        <w:t>Pati</w:t>
      </w:r>
      <w:r w:rsidR="00B01E21">
        <w:t xml:space="preserve">ents fit for </w:t>
      </w:r>
      <w:r w:rsidR="00DF03CC">
        <w:t>multi-stage</w:t>
      </w:r>
      <w:r w:rsidR="00B01E21">
        <w:t xml:space="preserve"> surgery</w:t>
      </w:r>
    </w:p>
    <w:p w:rsidR="00ED4333" w:rsidRPr="00FC66CF" w:rsidRDefault="00ED4333" w:rsidP="0007443E">
      <w:pPr>
        <w:tabs>
          <w:tab w:val="center" w:pos="1134"/>
        </w:tabs>
      </w:pPr>
      <w:r w:rsidRPr="00FC66CF">
        <w:t xml:space="preserve">Patients who </w:t>
      </w:r>
      <w:r w:rsidR="002D50B5">
        <w:t>we</w:t>
      </w:r>
      <w:r w:rsidRPr="00FC66CF">
        <w:t xml:space="preserve">re initially fit to undergo a </w:t>
      </w:r>
      <w:r w:rsidR="00DF03CC">
        <w:t>multi-stage</w:t>
      </w:r>
      <w:r w:rsidRPr="00FC66CF">
        <w:t xml:space="preserve"> surgery to resolve the malignant colonic obstruction could receive such a surgery (</w:t>
      </w:r>
      <w:r w:rsidR="00CE0D06">
        <w:t>eg</w:t>
      </w:r>
      <w:r w:rsidRPr="00FC66CF">
        <w:t xml:space="preserve"> colostomy) for palliation or with an intention for re-anastomosis (</w:t>
      </w:r>
      <w:r w:rsidR="00CE0D06">
        <w:t>eg</w:t>
      </w:r>
      <w:r w:rsidRPr="00FC66CF">
        <w:t xml:space="preserve"> second stage of a two-stage surgery) at a later date. Accordingly for the purpose of </w:t>
      </w:r>
      <w:r w:rsidR="00B15B3C">
        <w:t xml:space="preserve">determining </w:t>
      </w:r>
      <w:r w:rsidRPr="00FC66CF">
        <w:t xml:space="preserve">cost-effectiveness: </w:t>
      </w:r>
    </w:p>
    <w:p w:rsidR="00ED4333" w:rsidRPr="00FC66CF" w:rsidRDefault="00ED4333" w:rsidP="0007443E">
      <w:pPr>
        <w:pStyle w:val="Bullet"/>
        <w:tabs>
          <w:tab w:val="num" w:pos="1134"/>
        </w:tabs>
        <w:ind w:left="1134" w:hanging="425"/>
      </w:pPr>
      <w:r w:rsidRPr="00FC66CF">
        <w:t xml:space="preserve">The patients who received palliative or definitive SEMS were compared with patients </w:t>
      </w:r>
      <w:r>
        <w:t>who</w:t>
      </w:r>
      <w:r w:rsidRPr="00FC66CF">
        <w:t xml:space="preserve"> </w:t>
      </w:r>
      <w:r w:rsidR="00554C8D">
        <w:t>we</w:t>
      </w:r>
      <w:r w:rsidRPr="00FC66CF">
        <w:t>re not medically fit for re-anastomosis, which include</w:t>
      </w:r>
      <w:r w:rsidR="00554C8D">
        <w:t>d</w:t>
      </w:r>
      <w:r w:rsidRPr="00FC66CF">
        <w:t xml:space="preserve"> colostomy for palliative purposes. </w:t>
      </w:r>
    </w:p>
    <w:p w:rsidR="00ED4333" w:rsidRPr="00FC66CF" w:rsidRDefault="00ED4333" w:rsidP="0007443E">
      <w:pPr>
        <w:pStyle w:val="Bullet"/>
        <w:tabs>
          <w:tab w:val="num" w:pos="1134"/>
        </w:tabs>
        <w:ind w:left="1134" w:hanging="425"/>
      </w:pPr>
      <w:r w:rsidRPr="00FC66CF">
        <w:t xml:space="preserve">The patients who received SEMS as </w:t>
      </w:r>
      <w:r w:rsidR="00065DCF">
        <w:t xml:space="preserve">a </w:t>
      </w:r>
      <w:r w:rsidRPr="00FC66CF">
        <w:t xml:space="preserve">bridge to surgery were compared with patients who </w:t>
      </w:r>
      <w:r w:rsidR="00065DCF">
        <w:t>we</w:t>
      </w:r>
      <w:r w:rsidRPr="00FC66CF">
        <w:t xml:space="preserve">re medically fit for a second stage of a two-stage surgery. The comparative </w:t>
      </w:r>
      <w:r w:rsidR="00DF03CC">
        <w:t>multi-stage</w:t>
      </w:r>
      <w:r w:rsidRPr="00FC66CF">
        <w:t xml:space="preserve"> surgeries include</w:t>
      </w:r>
      <w:r w:rsidR="00065DCF">
        <w:t>d</w:t>
      </w:r>
      <w:r w:rsidRPr="00FC66CF">
        <w:t xml:space="preserve"> colostomy or Hartman</w:t>
      </w:r>
      <w:r w:rsidR="00065DCF">
        <w:t>n</w:t>
      </w:r>
      <w:r w:rsidRPr="00FC66CF">
        <w:t xml:space="preserve">’s procedure. </w:t>
      </w:r>
    </w:p>
    <w:p w:rsidR="00ED4333" w:rsidRPr="00FC66CF" w:rsidRDefault="00ED4333" w:rsidP="00ED4333">
      <w:r w:rsidRPr="00FC66CF">
        <w:lastRenderedPageBreak/>
        <w:t>The previous literature demonstrated that the use of colonic SEMS for malignant bowel obstruction is usually cost saving relative to colostomy or Hartmann’s procedure. The main differences in healthcare cost</w:t>
      </w:r>
      <w:r w:rsidR="00386979">
        <w:t>s</w:t>
      </w:r>
      <w:r w:rsidRPr="00FC66CF">
        <w:t xml:space="preserve"> </w:t>
      </w:r>
      <w:r w:rsidR="00C43758">
        <w:t>we</w:t>
      </w:r>
      <w:r w:rsidRPr="00FC66CF">
        <w:t>re largely driven by</w:t>
      </w:r>
      <w:r w:rsidR="00386979">
        <w:t xml:space="preserve"> the</w:t>
      </w:r>
      <w:r w:rsidRPr="00FC66CF">
        <w:t xml:space="preserve"> length of hospital stay, which </w:t>
      </w:r>
      <w:r w:rsidR="00C43758">
        <w:t>wa</w:t>
      </w:r>
      <w:r w:rsidRPr="00FC66CF">
        <w:t xml:space="preserve">s significantly shorter in patients receiving colonic stents. In addition, there </w:t>
      </w:r>
      <w:r w:rsidR="00C43758">
        <w:t>wa</w:t>
      </w:r>
      <w:r w:rsidRPr="00FC66CF">
        <w:t xml:space="preserve">s some evidence to suggest that colonic stent insertion </w:t>
      </w:r>
      <w:r w:rsidR="00C43758">
        <w:t>wa</w:t>
      </w:r>
      <w:r w:rsidRPr="00FC66CF">
        <w:t>s more effective, in terms of gains in quality of life.</w:t>
      </w:r>
    </w:p>
    <w:p w:rsidR="00ED4333" w:rsidRPr="00FC66CF" w:rsidRDefault="00ED4333" w:rsidP="00B01E21">
      <w:pPr>
        <w:pStyle w:val="Heading4"/>
      </w:pPr>
      <w:r w:rsidRPr="00FC66CF">
        <w:t>Patien</w:t>
      </w:r>
      <w:r w:rsidR="00B01E21">
        <w:t xml:space="preserve">ts unfit for </w:t>
      </w:r>
      <w:r w:rsidR="00DF03CC">
        <w:t>multi-stage</w:t>
      </w:r>
      <w:r w:rsidR="00B01E21">
        <w:t xml:space="preserve"> surgery</w:t>
      </w:r>
    </w:p>
    <w:p w:rsidR="00ED4333" w:rsidRPr="00FC66CF" w:rsidRDefault="00ED4333" w:rsidP="00ED4333">
      <w:r w:rsidRPr="00FC66CF">
        <w:t xml:space="preserve">There was insufficient published evidence regarding patients considered unfit to receive any type </w:t>
      </w:r>
      <w:r w:rsidR="00B15B3C">
        <w:t xml:space="preserve">of </w:t>
      </w:r>
      <w:r w:rsidRPr="00FC66CF">
        <w:t xml:space="preserve">emergency surgery to resolve the obstruction. Therefore for the purposes of the economic evaluation, the incremental cost of treating these patients with a SEMS compared to palliation alone </w:t>
      </w:r>
      <w:r w:rsidR="00386979">
        <w:t>(</w:t>
      </w:r>
      <w:r w:rsidRPr="00FC66CF">
        <w:t>resembling best supportive care</w:t>
      </w:r>
      <w:r w:rsidR="00386979">
        <w:t>)</w:t>
      </w:r>
      <w:r w:rsidRPr="00FC66CF">
        <w:t xml:space="preserve"> was estimated. </w:t>
      </w:r>
    </w:p>
    <w:p w:rsidR="00ED4333" w:rsidRPr="00FC66CF" w:rsidRDefault="00ED4333" w:rsidP="00B01E21">
      <w:pPr>
        <w:pStyle w:val="Heading3"/>
      </w:pPr>
      <w:r w:rsidRPr="00FC66CF">
        <w:t>Rationale for cost-effectiveness</w:t>
      </w:r>
    </w:p>
    <w:p w:rsidR="00ED4333" w:rsidRPr="00FC66CF" w:rsidRDefault="00ED4333" w:rsidP="00ED4333">
      <w:r w:rsidRPr="00FC66CF">
        <w:t>There were only two RCTs that measured the effectiveness of SEMS relative to colostomy for colonic obstruction for palliative purpose. Both RCTs compared palliation with SEMS versus stoma creation for the management of inoperable malignant colonic obstruction. The results from Xinopolous et al (2004)</w:t>
      </w:r>
      <w:r w:rsidRPr="00FC66CF" w:rsidDel="00412B0B">
        <w:t xml:space="preserve"> </w:t>
      </w:r>
      <w:r w:rsidRPr="00FC66CF">
        <w:t xml:space="preserve">found that 14 out of 15 patients (93.3%) had successful SEMS placement without serious complications compared with 15 patients (100%) who underwent surgery. Fiori et al (2004) reported technical and clinical success rates of 100 per cent in the 11 patients that had SEMS placed and also for the 11 patients who underwent colostomy.  </w:t>
      </w:r>
    </w:p>
    <w:p w:rsidR="00ED4333" w:rsidRPr="00FC66CF" w:rsidRDefault="00ED4333" w:rsidP="00AD12F6">
      <w:r w:rsidRPr="00FC66CF">
        <w:t>Given the low number of patients in both RCTs and the lack of follow-up data regarding outcomes after SEMS insertion, a systematic review of clinical studies and case series by Khot et al (</w:t>
      </w:r>
      <w:r w:rsidR="0062550F" w:rsidRPr="00FC66CF">
        <w:t>200</w:t>
      </w:r>
      <w:r w:rsidR="0062550F">
        <w:t>2</w:t>
      </w:r>
      <w:r w:rsidRPr="00FC66CF">
        <w:t xml:space="preserve">) was used to form the basis of the </w:t>
      </w:r>
      <w:r w:rsidR="00AD12F6">
        <w:t xml:space="preserve">transitions through the model. </w:t>
      </w:r>
      <w:r w:rsidRPr="00FC66CF">
        <w:t>Both models adopted a cost-utility analysis framework. Decision trees were developed to estimate the costs and benefits of SEMS versus the comparators over a one</w:t>
      </w:r>
      <w:r w:rsidR="0062550F">
        <w:t>-</w:t>
      </w:r>
      <w:r w:rsidRPr="00FC66CF">
        <w:t xml:space="preserve">year time period. The decision trees incorporated all pre-procedural, surgical, hospital, ICU, post-procedural, palliative and procedure failure costs. Quality of life was also incorporated into the model based on the estimated survival. A cost per QALY for both models was estimated. </w:t>
      </w:r>
    </w:p>
    <w:p w:rsidR="00ED4333" w:rsidRPr="00FC66CF" w:rsidRDefault="00ED4333" w:rsidP="00AD12F6">
      <w:r w:rsidRPr="00FC66CF">
        <w:t>The decision tree for patients requiri</w:t>
      </w:r>
      <w:r w:rsidR="00AD12F6">
        <w:t xml:space="preserve">ng palliation is presented in </w:t>
      </w:r>
      <w:r w:rsidR="00155C87">
        <w:fldChar w:fldCharType="begin"/>
      </w:r>
      <w:r w:rsidR="00155C87">
        <w:instrText xml:space="preserve"> REF _Ref324933326 \h </w:instrText>
      </w:r>
      <w:r w:rsidR="00155C87">
        <w:fldChar w:fldCharType="separate"/>
      </w:r>
      <w:r w:rsidR="0071544A">
        <w:t xml:space="preserve">Figure </w:t>
      </w:r>
      <w:r w:rsidR="0071544A">
        <w:rPr>
          <w:noProof/>
        </w:rPr>
        <w:t>3</w:t>
      </w:r>
      <w:r w:rsidR="00155C87">
        <w:fldChar w:fldCharType="end"/>
      </w:r>
      <w:r w:rsidRPr="00FC66CF">
        <w:t xml:space="preserve">. </w:t>
      </w:r>
      <w:r>
        <w:t xml:space="preserve">A separate decision tree was developed to compare SEMS with </w:t>
      </w:r>
      <w:r w:rsidR="00DF03CC">
        <w:t>multi-stage</w:t>
      </w:r>
      <w:r>
        <w:t xml:space="preserve"> surgery (diverting colostomy or a Hartmann’s procedure) as a bridge to surgery. This deci</w:t>
      </w:r>
      <w:r w:rsidR="008E7EA0">
        <w:t xml:space="preserve">sion tree is presented in </w:t>
      </w:r>
      <w:r w:rsidR="008E7EA0">
        <w:fldChar w:fldCharType="begin"/>
      </w:r>
      <w:r w:rsidR="008E7EA0">
        <w:instrText xml:space="preserve"> REF _Ref324933523 \h </w:instrText>
      </w:r>
      <w:r w:rsidR="008E7EA0">
        <w:fldChar w:fldCharType="separate"/>
      </w:r>
      <w:r w:rsidR="0071544A">
        <w:t xml:space="preserve">Figure </w:t>
      </w:r>
      <w:r w:rsidR="0071544A">
        <w:rPr>
          <w:noProof/>
        </w:rPr>
        <w:t>4</w:t>
      </w:r>
      <w:r w:rsidR="008E7EA0">
        <w:fldChar w:fldCharType="end"/>
      </w:r>
      <w:r w:rsidR="00AD12F6">
        <w:t xml:space="preserve">. </w:t>
      </w:r>
      <w:r w:rsidRPr="00FC66CF">
        <w:t xml:space="preserve">The incremental cost-effectiveness ratio (ICER) was calculated using the following ratio: </w:t>
      </w:r>
    </w:p>
    <w:p w:rsidR="00ED4333" w:rsidRPr="00FC66CF" w:rsidRDefault="00A75144" w:rsidP="00A75144">
      <w:pPr>
        <w:ind w:left="1854" w:firstLine="414"/>
      </w:pPr>
      <w:r>
        <w:rPr>
          <w:noProof/>
        </w:rPr>
        <mc:AlternateContent>
          <mc:Choice Requires="wpg">
            <w:drawing>
              <wp:inline distT="0" distB="0" distL="0" distR="0" wp14:anchorId="541D9679" wp14:editId="0E228770">
                <wp:extent cx="3457575" cy="581025"/>
                <wp:effectExtent l="0" t="0" r="0" b="9525"/>
                <wp:docPr id="1893" name="Group 2" descr="The incremental cost-effectiveness ratio (ICER) was calculated using the following ratio:" title="The incremental cost-effectiveness ratio (ICER) was calculated using the following rati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581025"/>
                          <a:chOff x="3501" y="5944"/>
                          <a:chExt cx="5445" cy="915"/>
                        </a:xfrm>
                      </wpg:grpSpPr>
                      <wps:wsp>
                        <wps:cNvPr id="1894" name="Text Box 3"/>
                        <wps:cNvSpPr txBox="1">
                          <a:spLocks noChangeArrowheads="1"/>
                        </wps:cNvSpPr>
                        <wps:spPr bwMode="auto">
                          <a:xfrm>
                            <a:off x="5271" y="5944"/>
                            <a:ext cx="32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144" w:rsidRDefault="00A75144" w:rsidP="00A75144">
                              <w:pPr>
                                <w:rPr>
                                  <w:i/>
                                </w:rPr>
                              </w:pPr>
                              <w:r>
                                <w:rPr>
                                  <w:i/>
                                </w:rPr>
                                <w:t xml:space="preserve">Cost </w:t>
                              </w:r>
                              <w:r>
                                <w:rPr>
                                  <w:i/>
                                  <w:vertAlign w:val="subscript"/>
                                </w:rPr>
                                <w:t>New</w:t>
                              </w:r>
                              <w:r>
                                <w:rPr>
                                  <w:i/>
                                </w:rPr>
                                <w:t xml:space="preserve"> – Cost </w:t>
                              </w:r>
                              <w:r>
                                <w:rPr>
                                  <w:i/>
                                  <w:vertAlign w:val="subscript"/>
                                </w:rPr>
                                <w:t>Comparator</w:t>
                              </w:r>
                            </w:p>
                          </w:txbxContent>
                        </wps:txbx>
                        <wps:bodyPr rot="0" vert="horz" wrap="square" lIns="91440" tIns="45720" rIns="91440" bIns="45720" anchor="t" anchorCtr="0" upright="1">
                          <a:noAutofit/>
                        </wps:bodyPr>
                      </wps:wsp>
                      <wps:wsp>
                        <wps:cNvPr id="1895" name="Text Box 4"/>
                        <wps:cNvSpPr txBox="1">
                          <a:spLocks noChangeArrowheads="1"/>
                        </wps:cNvSpPr>
                        <wps:spPr bwMode="auto">
                          <a:xfrm>
                            <a:off x="4446" y="6319"/>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144" w:rsidRDefault="00A75144" w:rsidP="00A75144">
                              <w:pPr>
                                <w:rPr>
                                  <w:i/>
                                </w:rPr>
                              </w:pPr>
                              <w:r>
                                <w:rPr>
                                  <w:i/>
                                </w:rPr>
                                <w:t xml:space="preserve">Effectiveness </w:t>
                              </w:r>
                              <w:r>
                                <w:rPr>
                                  <w:i/>
                                  <w:vertAlign w:val="subscript"/>
                                </w:rPr>
                                <w:t>New</w:t>
                              </w:r>
                              <w:r>
                                <w:rPr>
                                  <w:i/>
                                </w:rPr>
                                <w:t xml:space="preserve"> – Effectiveness </w:t>
                              </w:r>
                              <w:r>
                                <w:rPr>
                                  <w:i/>
                                  <w:vertAlign w:val="subscript"/>
                                </w:rPr>
                                <w:t>Comparator</w:t>
                              </w:r>
                            </w:p>
                          </w:txbxContent>
                        </wps:txbx>
                        <wps:bodyPr rot="0" vert="horz" wrap="square" lIns="91440" tIns="45720" rIns="91440" bIns="45720" anchor="t" anchorCtr="0" upright="1">
                          <a:noAutofit/>
                        </wps:bodyPr>
                      </wps:wsp>
                      <wps:wsp>
                        <wps:cNvPr id="1896" name="Line 5"/>
                        <wps:cNvCnPr>
                          <a:cxnSpLocks noChangeShapeType="1"/>
                        </wps:cNvCnPr>
                        <wps:spPr bwMode="auto">
                          <a:xfrm>
                            <a:off x="4626" y="6349"/>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7" name="Text Box 6"/>
                        <wps:cNvSpPr txBox="1">
                          <a:spLocks noChangeArrowheads="1"/>
                        </wps:cNvSpPr>
                        <wps:spPr bwMode="auto">
                          <a:xfrm>
                            <a:off x="3501" y="6124"/>
                            <a:ext cx="116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144" w:rsidRDefault="00A75144" w:rsidP="00A75144">
                              <w:pPr>
                                <w:ind w:left="0"/>
                                <w:rPr>
                                  <w:i/>
                                </w:rPr>
                              </w:pPr>
                              <w:r>
                                <w:rPr>
                                  <w:i/>
                                </w:rPr>
                                <w:t>ICER =</w:t>
                              </w:r>
                            </w:p>
                          </w:txbxContent>
                        </wps:txbx>
                        <wps:bodyPr rot="0" vert="horz" wrap="square" lIns="91440" tIns="45720" rIns="91440" bIns="45720" anchor="t" anchorCtr="0" upright="1">
                          <a:noAutofit/>
                        </wps:bodyPr>
                      </wps:wsp>
                    </wpg:wgp>
                  </a:graphicData>
                </a:graphic>
              </wp:inline>
            </w:drawing>
          </mc:Choice>
          <mc:Fallback>
            <w:pict>
              <v:group id="Group 2" o:spid="_x0000_s1187" alt="Title: The incremental cost-effectiveness ratio (ICER) was calculated using the following ratio: - Description: The incremental cost-effectiveness ratio (ICER) was calculated using the following ratio:" style="width:272.25pt;height:45.75pt;mso-position-horizontal-relative:char;mso-position-vertical-relative:line" coordorigin="3501,5944" coordsize="544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">
                <v:shape id="Text Box 3" o:spid="_x0000_s1188" type="#_x0000_t202" style="position:absolute;left:5271;top:5944;width:32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atnMMA&#10;AADdAAAADwAAAGRycy9kb3ducmV2LnhtbERPTWvCQBC9F/wPywi9NbuWWGLqGqSl4EmptoK3ITsm&#10;odnZkN2a+O/dQsHbPN7nLIvRtuJCvW8ca5glCgRx6UzDlYavw8dTBsIHZIOtY9JwJQ/FavKwxNy4&#10;gT/psg+ViCHsc9RQh9DlUvqyJos+cR1x5M6utxgi7CtpehxiuG3ls1Iv0mLDsaHGjt5qKn/2v1bD&#10;9/Z8OqZqV73beTe4UUm2C6n143Rcv4IINIa7+N+9MXF+tkjh75t4gl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atnMMAAADdAAAADwAAAAAAAAAAAAAAAACYAgAAZHJzL2Rv&#10;d25yZXYueG1sUEsFBgAAAAAEAAQA9QAAAIgDAAAAAA==&#10;" filled="f" stroked="f">
                  <v:textbox>
                    <w:txbxContent>
                      <w:p w:rsidR="00A75144" w:rsidRDefault="00A75144" w:rsidP="00A75144">
                        <w:pPr>
                          <w:rPr>
                            <w:i/>
                          </w:rPr>
                        </w:pPr>
                        <w:r>
                          <w:rPr>
                            <w:i/>
                          </w:rPr>
                          <w:t xml:space="preserve">Cost </w:t>
                        </w:r>
                        <w:r>
                          <w:rPr>
                            <w:i/>
                            <w:vertAlign w:val="subscript"/>
                          </w:rPr>
                          <w:t>New</w:t>
                        </w:r>
                        <w:r>
                          <w:rPr>
                            <w:i/>
                          </w:rPr>
                          <w:t xml:space="preserve"> – Cost </w:t>
                        </w:r>
                        <w:r>
                          <w:rPr>
                            <w:i/>
                            <w:vertAlign w:val="subscript"/>
                          </w:rPr>
                          <w:t>Comparator</w:t>
                        </w:r>
                      </w:p>
                    </w:txbxContent>
                  </v:textbox>
                </v:shape>
                <v:shape id="Text Box 4" o:spid="_x0000_s1189" type="#_x0000_t202" style="position:absolute;left:4446;top:6319;width:45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IB8EA&#10;AADdAAAADwAAAGRycy9kb3ducmV2LnhtbERPTYvCMBC9L/gfwgje1kTRRatRRBE8uayrgrehGdti&#10;MylNtPXfbwRhb/N4nzNftrYUD6p94VjDoK9AEKfOFJxpOP5uPycgfEA2WDomDU/ysFx0PuaYGNfw&#10;Dz0OIRMxhH2CGvIQqkRKn+Zk0fddRRy5q6sthgjrTJoamxhuSzlU6ktaLDg25FjROqf0drhbDaf9&#10;9XIeqe9sY8dV41ol2U6l1r1uu5qBCNSGf/HbvTNx/mQ6ht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KCAfBAAAA3QAAAA8AAAAAAAAAAAAAAAAAmAIAAGRycy9kb3du&#10;cmV2LnhtbFBLBQYAAAAABAAEAPUAAACGAwAAAAA=&#10;" filled="f" stroked="f">
                  <v:textbox>
                    <w:txbxContent>
                      <w:p w:rsidR="00A75144" w:rsidRDefault="00A75144" w:rsidP="00A75144">
                        <w:pPr>
                          <w:rPr>
                            <w:i/>
                          </w:rPr>
                        </w:pPr>
                        <w:r>
                          <w:rPr>
                            <w:i/>
                          </w:rPr>
                          <w:t xml:space="preserve">Effectiveness </w:t>
                        </w:r>
                        <w:r>
                          <w:rPr>
                            <w:i/>
                            <w:vertAlign w:val="subscript"/>
                          </w:rPr>
                          <w:t>New</w:t>
                        </w:r>
                        <w:r>
                          <w:rPr>
                            <w:i/>
                          </w:rPr>
                          <w:t xml:space="preserve"> – Effectiveness </w:t>
                        </w:r>
                        <w:r>
                          <w:rPr>
                            <w:i/>
                            <w:vertAlign w:val="subscript"/>
                          </w:rPr>
                          <w:t>Comparator</w:t>
                        </w:r>
                      </w:p>
                    </w:txbxContent>
                  </v:textbox>
                </v:shape>
                <v:line id="Line 5" o:spid="_x0000_s1190" style="position:absolute;visibility:visible;mso-wrap-style:square" from="4626,6349" to="8586,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94wMUAAADdAAAADwAAAGRycy9kb3ducmV2LnhtbERPTWvCQBC9F/wPywi91Y0KQVNXkYqg&#10;PUi1hfY4ZqdJbHY27G6T9N93BcHbPN7nLFa9qUVLzleWFYxHCQji3OqKCwUf79unGQgfkDXWlknB&#10;H3lYLQcPC8y07fhI7SkUIoawz1BBGUKTSenzkgz6kW2II/dtncEQoSukdtjFcFPLSZKk0mDFsaHE&#10;hl5Kyn9Ov0bBYfqWtuv9667/3KfnfHM8f106p9TjsF8/gwjUh7v45t7pOH82T+H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94wMUAAADdAAAADwAAAAAAAAAA&#10;AAAAAAChAgAAZHJzL2Rvd25yZXYueG1sUEsFBgAAAAAEAAQA+QAAAJMDAAAAAA==&#10;"/>
                <v:shape id="Text Box 6" o:spid="_x0000_s1191" type="#_x0000_t202" style="position:absolute;left:3501;top:6124;width:1161;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z68IA&#10;AADdAAAADwAAAGRycy9kb3ducmV2LnhtbERPS4vCMBC+C/6HMMLe1mSX9dU1yqIInhSfsLehGduy&#10;zaQ00dZ/b4QFb/PxPWc6b20pblT7wrGGj74CQZw6U3Cm4XhYvY9B+IBssHRMGu7kYT7rdqaYGNfw&#10;jm77kIkYwj5BDXkIVSKlT3Oy6PuuIo7cxdUWQ4R1Jk2NTQy3pfxUaigtFhwbcqxokVP6t79aDafN&#10;5ff8pbbZ0g6qxrVKsp1Ird967c83iEBteIn/3WsT548nI3h+E0+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DPrwgAAAN0AAAAPAAAAAAAAAAAAAAAAAJgCAABkcnMvZG93&#10;bnJldi54bWxQSwUGAAAAAAQABAD1AAAAhwMAAAAA&#10;" filled="f" stroked="f">
                  <v:textbox>
                    <w:txbxContent>
                      <w:p w:rsidR="00A75144" w:rsidRDefault="00A75144" w:rsidP="00A75144">
                        <w:pPr>
                          <w:ind w:left="0"/>
                          <w:rPr>
                            <w:i/>
                          </w:rPr>
                        </w:pPr>
                        <w:r>
                          <w:rPr>
                            <w:i/>
                          </w:rPr>
                          <w:t>ICER =</w:t>
                        </w:r>
                      </w:p>
                    </w:txbxContent>
                  </v:textbox>
                </v:shape>
                <w10:anchorlock/>
              </v:group>
            </w:pict>
          </mc:Fallback>
        </mc:AlternateContent>
      </w:r>
    </w:p>
    <w:p w:rsidR="00ED4333" w:rsidRDefault="00ED4333" w:rsidP="00155C87">
      <w:pPr>
        <w:ind w:left="0"/>
        <w:sectPr w:rsidR="00ED4333" w:rsidSect="007D0B68">
          <w:footerReference w:type="even" r:id="rId19"/>
          <w:footerReference w:type="default" r:id="rId20"/>
          <w:pgSz w:w="12240" w:h="15840"/>
          <w:pgMar w:top="1440" w:right="1440" w:bottom="1440" w:left="1440" w:header="708" w:footer="708" w:gutter="0"/>
          <w:cols w:space="708"/>
          <w:docGrid w:linePitch="360"/>
        </w:sectPr>
      </w:pPr>
    </w:p>
    <w:p w:rsidR="00ED4333" w:rsidRPr="001B7439" w:rsidRDefault="00155C87" w:rsidP="00155C87">
      <w:pPr>
        <w:pStyle w:val="Caption"/>
      </w:pPr>
      <w:bookmarkStart w:id="23" w:name="_Ref324933326"/>
      <w:bookmarkStart w:id="24" w:name="_Toc327522126"/>
      <w:r>
        <w:lastRenderedPageBreak/>
        <w:t xml:space="preserve">Figure </w:t>
      </w:r>
      <w:fldSimple w:instr=" SEQ Figure \* ARABIC ">
        <w:r w:rsidR="0071544A">
          <w:rPr>
            <w:noProof/>
          </w:rPr>
          <w:t>3</w:t>
        </w:r>
      </w:fldSimple>
      <w:bookmarkEnd w:id="23"/>
      <w:r w:rsidR="00ED4333">
        <w:tab/>
      </w:r>
      <w:r w:rsidR="00ED4333" w:rsidRPr="001B7439">
        <w:t>Decision tree for patients requiring palliation (SEMS versus colostomy)</w:t>
      </w:r>
      <w:bookmarkEnd w:id="24"/>
    </w:p>
    <w:p w:rsidR="00ED4333" w:rsidRPr="00FC66CF" w:rsidRDefault="00516B5D" w:rsidP="002C141C">
      <w:pPr>
        <w:spacing w:after="0"/>
        <w:ind w:left="0"/>
        <w:jc w:val="center"/>
      </w:pPr>
      <w:r>
        <w:rPr>
          <w:rFonts w:ascii="Arial Narrow" w:hAnsi="Arial Narrow"/>
          <w:noProof/>
          <w:sz w:val="20"/>
        </w:rPr>
        <w:drawing>
          <wp:inline distT="0" distB="0" distL="0" distR="0" wp14:anchorId="30AB90A1" wp14:editId="40D8308D">
            <wp:extent cx="8388985" cy="3774440"/>
            <wp:effectExtent l="0" t="0" r="0" b="0"/>
            <wp:docPr id="4" name="Picture 2" descr="Figure 3 Decision tree for patients requiring palliation (SEMS versus colostomy)" title="Figure 3 Decision tree for patients requiring palliation (SEMS versus colos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8985" cy="3774440"/>
                    </a:xfrm>
                    <a:prstGeom prst="rect">
                      <a:avLst/>
                    </a:prstGeom>
                    <a:noFill/>
                    <a:ln>
                      <a:noFill/>
                    </a:ln>
                  </pic:spPr>
                </pic:pic>
              </a:graphicData>
            </a:graphic>
          </wp:inline>
        </w:drawing>
      </w:r>
    </w:p>
    <w:p w:rsidR="001774BF" w:rsidRDefault="001774BF" w:rsidP="0068785A">
      <w:pPr>
        <w:spacing w:after="0"/>
      </w:pPr>
      <w:r w:rsidRPr="00D34C3C">
        <w:rPr>
          <w:color w:val="0000CC"/>
          <w:sz w:val="26"/>
          <w:szCs w:val="26"/>
        </w:rPr>
        <w:t>□</w:t>
      </w:r>
      <w:r>
        <w:rPr>
          <w:color w:val="0000CC"/>
        </w:rPr>
        <w:t xml:space="preserve"> </w:t>
      </w:r>
      <w:r w:rsidRPr="00C71AD4">
        <w:rPr>
          <w:rFonts w:ascii="Arial Narrow" w:hAnsi="Arial Narrow"/>
          <w:sz w:val="16"/>
          <w:szCs w:val="16"/>
        </w:rPr>
        <w:t>represents a decision node between the two treatment options</w:t>
      </w:r>
      <w:r>
        <w:rPr>
          <w:rFonts w:ascii="Arial Narrow" w:hAnsi="Arial Narrow"/>
          <w:sz w:val="16"/>
          <w:szCs w:val="16"/>
        </w:rPr>
        <w:t xml:space="preserve">; </w:t>
      </w:r>
      <w:r w:rsidRPr="00C71AD4">
        <w:rPr>
          <w:color w:val="339933"/>
          <w:sz w:val="26"/>
          <w:szCs w:val="26"/>
        </w:rPr>
        <w:t>○</w:t>
      </w:r>
      <w:r>
        <w:rPr>
          <w:color w:val="339933"/>
        </w:rPr>
        <w:t xml:space="preserve"> </w:t>
      </w:r>
      <w:r w:rsidRPr="00C71AD4">
        <w:rPr>
          <w:rFonts w:ascii="Arial Narrow" w:hAnsi="Arial Narrow"/>
          <w:sz w:val="16"/>
          <w:szCs w:val="16"/>
        </w:rPr>
        <w:t>represents a chance node with a prob</w:t>
      </w:r>
      <w:r>
        <w:rPr>
          <w:rFonts w:ascii="Arial Narrow" w:hAnsi="Arial Narrow"/>
          <w:sz w:val="16"/>
          <w:szCs w:val="16"/>
        </w:rPr>
        <w:t>ab</w:t>
      </w:r>
      <w:r w:rsidRPr="00C71AD4">
        <w:rPr>
          <w:rFonts w:ascii="Arial Narrow" w:hAnsi="Arial Narrow"/>
          <w:sz w:val="16"/>
          <w:szCs w:val="16"/>
        </w:rPr>
        <w:t xml:space="preserve">ility of various events </w:t>
      </w:r>
      <w:r>
        <w:rPr>
          <w:rFonts w:ascii="Arial Narrow" w:hAnsi="Arial Narrow"/>
          <w:sz w:val="16"/>
          <w:szCs w:val="16"/>
        </w:rPr>
        <w:t xml:space="preserve">occurring; </w:t>
      </w:r>
      <w:r w:rsidRPr="00516B5D">
        <w:rPr>
          <w:outline/>
          <w:color w:val="FF0000"/>
          <w:sz w:val="16"/>
          <w:szCs w:val="16"/>
          <w14:textOutline w14:w="9525" w14:cap="flat" w14:cmpd="sng" w14:algn="ctr">
            <w14:solidFill>
              <w14:srgbClr w14:val="FF0000"/>
            </w14:solidFill>
            <w14:prstDash w14:val="solid"/>
            <w14:round/>
          </w14:textOutline>
          <w14:textFill>
            <w14:noFill/>
          </w14:textFill>
        </w:rPr>
        <w:t xml:space="preserve">◄ </w:t>
      </w:r>
      <w:r w:rsidRPr="00D34C3C">
        <w:rPr>
          <w:rFonts w:ascii="Arial Narrow" w:hAnsi="Arial Narrow"/>
          <w:sz w:val="16"/>
          <w:szCs w:val="16"/>
        </w:rPr>
        <w:t>represents a terminal node where the pathway ends.</w:t>
      </w:r>
      <w:r>
        <w:rPr>
          <w:rFonts w:ascii="Arial Narrow" w:hAnsi="Arial Narrow"/>
          <w:sz w:val="16"/>
          <w:szCs w:val="16"/>
        </w:rPr>
        <w:t xml:space="preserve"> </w:t>
      </w:r>
      <w:r w:rsidRPr="0068785A">
        <w:rPr>
          <w:rFonts w:ascii="Arial Narrow" w:hAnsi="Arial Narrow"/>
          <w:sz w:val="16"/>
          <w:szCs w:val="16"/>
        </w:rPr>
        <w:t xml:space="preserve">The bold line represents a clone of the substree which is replicated elsewhere in the tree. </w:t>
      </w:r>
      <w:proofErr w:type="gramStart"/>
      <w:r w:rsidRPr="0068785A">
        <w:rPr>
          <w:rFonts w:ascii="Arial Narrow" w:hAnsi="Arial Narrow"/>
          <w:sz w:val="16"/>
          <w:szCs w:val="16"/>
        </w:rPr>
        <w:t>p</w:t>
      </w:r>
      <w:proofErr w:type="gramEnd"/>
      <w:r w:rsidRPr="0068785A">
        <w:rPr>
          <w:rFonts w:ascii="Arial Narrow" w:hAnsi="Arial Narrow"/>
          <w:sz w:val="16"/>
          <w:szCs w:val="16"/>
        </w:rPr>
        <w:t>: Probabilities that were determined by the literature; #: 1-p.</w:t>
      </w:r>
    </w:p>
    <w:p w:rsidR="00ED4333" w:rsidRPr="001774BF" w:rsidRDefault="00ED4333" w:rsidP="001774BF">
      <w:pPr>
        <w:pStyle w:val="Caption"/>
      </w:pPr>
      <w:r>
        <w:br w:type="page"/>
      </w:r>
      <w:bookmarkStart w:id="25" w:name="_Ref324933523"/>
      <w:bookmarkStart w:id="26" w:name="_Toc327522127"/>
      <w:r w:rsidR="00155C87">
        <w:lastRenderedPageBreak/>
        <w:t xml:space="preserve">Figure </w:t>
      </w:r>
      <w:fldSimple w:instr=" SEQ Figure \* ARABIC ">
        <w:r w:rsidR="0071544A">
          <w:rPr>
            <w:noProof/>
          </w:rPr>
          <w:t>4</w:t>
        </w:r>
      </w:fldSimple>
      <w:bookmarkEnd w:id="25"/>
      <w:r>
        <w:tab/>
      </w:r>
      <w:r w:rsidRPr="001B7439">
        <w:t>Decision tree for patients requiring a bridge-to-surgery (SEMS v</w:t>
      </w:r>
      <w:r w:rsidR="0062550F">
        <w:t>ersu</w:t>
      </w:r>
      <w:r w:rsidRPr="001B7439">
        <w:t>s colostomy/ Hartmann’s procedure)</w:t>
      </w:r>
      <w:bookmarkEnd w:id="26"/>
    </w:p>
    <w:p w:rsidR="002D41D1" w:rsidRDefault="00516B5D" w:rsidP="002C141C">
      <w:pPr>
        <w:spacing w:after="0"/>
        <w:ind w:left="0"/>
        <w:jc w:val="center"/>
      </w:pPr>
      <w:r>
        <w:rPr>
          <w:noProof/>
        </w:rPr>
        <w:drawing>
          <wp:inline distT="0" distB="0" distL="0" distR="0" wp14:anchorId="40CB76AD" wp14:editId="5894A270">
            <wp:extent cx="8665845" cy="4391025"/>
            <wp:effectExtent l="0" t="0" r="1905" b="9525"/>
            <wp:docPr id="3" name="Picture 4" descr="Figure 4 Decision tree for patients requiring a bridge-to-surgery (SEMS versus colostomy/ Hartmann’s procedure)" title="Figure 4 Decision tree for patients requiring a bridge-to-surgery (SEMS versus colostomy/ Hartmann’s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5845" cy="4391025"/>
                    </a:xfrm>
                    <a:prstGeom prst="rect">
                      <a:avLst/>
                    </a:prstGeom>
                    <a:noFill/>
                    <a:ln>
                      <a:noFill/>
                    </a:ln>
                  </pic:spPr>
                </pic:pic>
              </a:graphicData>
            </a:graphic>
          </wp:inline>
        </w:drawing>
      </w:r>
    </w:p>
    <w:p w:rsidR="00B87CB0" w:rsidRDefault="002C141C" w:rsidP="002D41D1">
      <w:pPr>
        <w:tabs>
          <w:tab w:val="left" w:pos="1493"/>
        </w:tabs>
        <w:spacing w:after="0"/>
        <w:ind w:left="0"/>
        <w:rPr>
          <w:rFonts w:ascii="Arial Narrow" w:hAnsi="Arial Narrow"/>
          <w:sz w:val="16"/>
          <w:szCs w:val="16"/>
        </w:rPr>
      </w:pPr>
      <w:r>
        <w:rPr>
          <w:color w:val="0000CC"/>
          <w:sz w:val="26"/>
          <w:szCs w:val="26"/>
        </w:rPr>
        <w:t xml:space="preserve">  </w:t>
      </w:r>
      <w:r w:rsidR="002D41D1" w:rsidRPr="002D41D1">
        <w:rPr>
          <w:color w:val="0000CC"/>
          <w:sz w:val="26"/>
          <w:szCs w:val="26"/>
        </w:rPr>
        <w:t>□</w:t>
      </w:r>
      <w:r w:rsidR="002D41D1" w:rsidRPr="002D41D1">
        <w:rPr>
          <w:color w:val="0000CC"/>
        </w:rPr>
        <w:t xml:space="preserve"> </w:t>
      </w:r>
      <w:r w:rsidR="002D41D1" w:rsidRPr="002D41D1">
        <w:rPr>
          <w:rFonts w:ascii="Arial Narrow" w:hAnsi="Arial Narrow"/>
          <w:sz w:val="16"/>
          <w:szCs w:val="16"/>
        </w:rPr>
        <w:t xml:space="preserve">represents a decision node between the two treatment options; </w:t>
      </w:r>
      <w:r w:rsidR="002D41D1" w:rsidRPr="002D41D1">
        <w:rPr>
          <w:color w:val="339933"/>
          <w:sz w:val="26"/>
          <w:szCs w:val="26"/>
        </w:rPr>
        <w:t>○</w:t>
      </w:r>
      <w:r w:rsidR="002D41D1" w:rsidRPr="002D41D1">
        <w:rPr>
          <w:color w:val="339933"/>
        </w:rPr>
        <w:t xml:space="preserve"> </w:t>
      </w:r>
      <w:r w:rsidR="002D41D1" w:rsidRPr="002D41D1">
        <w:rPr>
          <w:rFonts w:ascii="Arial Narrow" w:hAnsi="Arial Narrow"/>
          <w:sz w:val="16"/>
          <w:szCs w:val="16"/>
        </w:rPr>
        <w:t>repr</w:t>
      </w:r>
      <w:r w:rsidR="00EF5B75">
        <w:rPr>
          <w:rFonts w:ascii="Arial Narrow" w:hAnsi="Arial Narrow"/>
          <w:sz w:val="16"/>
          <w:szCs w:val="16"/>
        </w:rPr>
        <w:t>esents a chance node with a probabili</w:t>
      </w:r>
      <w:r w:rsidR="002D41D1" w:rsidRPr="002D41D1">
        <w:rPr>
          <w:rFonts w:ascii="Arial Narrow" w:hAnsi="Arial Narrow"/>
          <w:sz w:val="16"/>
          <w:szCs w:val="16"/>
        </w:rPr>
        <w:t xml:space="preserve">ty of various events occurring; </w:t>
      </w:r>
      <w:r w:rsidR="002D41D1" w:rsidRPr="00516B5D">
        <w:rPr>
          <w:outline/>
          <w:color w:val="FF0000"/>
          <w:sz w:val="16"/>
          <w:szCs w:val="16"/>
          <w14:textOutline w14:w="9525" w14:cap="flat" w14:cmpd="sng" w14:algn="ctr">
            <w14:solidFill>
              <w14:srgbClr w14:val="FF0000"/>
            </w14:solidFill>
            <w14:prstDash w14:val="solid"/>
            <w14:round/>
          </w14:textOutline>
          <w14:textFill>
            <w14:noFill/>
          </w14:textFill>
        </w:rPr>
        <w:t xml:space="preserve">◄ </w:t>
      </w:r>
      <w:r w:rsidR="00E81BA6" w:rsidRPr="00516B5D">
        <w:rPr>
          <w:outline/>
          <w:color w:val="FF0000"/>
          <w:sz w:val="16"/>
          <w:szCs w:val="16"/>
          <w14:textOutline w14:w="9525" w14:cap="flat" w14:cmpd="sng" w14:algn="ctr">
            <w14:solidFill>
              <w14:srgbClr w14:val="FF0000"/>
            </w14:solidFill>
            <w14:prstDash w14:val="solid"/>
            <w14:round/>
          </w14:textOutline>
          <w14:textFill>
            <w14:noFill/>
          </w14:textFill>
        </w:rPr>
        <w:t xml:space="preserve">  </w:t>
      </w:r>
      <w:r w:rsidR="002D41D1" w:rsidRPr="002D41D1">
        <w:rPr>
          <w:rFonts w:ascii="Arial Narrow" w:hAnsi="Arial Narrow"/>
          <w:sz w:val="16"/>
          <w:szCs w:val="16"/>
        </w:rPr>
        <w:t>represents a terminal node where the pathway ends.</w:t>
      </w:r>
    </w:p>
    <w:p w:rsidR="002D41D1" w:rsidRPr="002D41D1" w:rsidRDefault="002D41D1" w:rsidP="002D41D1">
      <w:pPr>
        <w:tabs>
          <w:tab w:val="left" w:pos="1493"/>
        </w:tabs>
        <w:spacing w:after="0"/>
        <w:ind w:left="0"/>
        <w:rPr>
          <w:color w:val="0000CC"/>
        </w:rPr>
        <w:sectPr w:rsidR="002D41D1" w:rsidRPr="002D41D1" w:rsidSect="002D41D1">
          <w:footerReference w:type="even" r:id="rId23"/>
          <w:footerReference w:type="default" r:id="rId24"/>
          <w:pgSz w:w="16834" w:h="11909" w:orient="landscape" w:code="9"/>
          <w:pgMar w:top="1440" w:right="1440" w:bottom="1440" w:left="1440" w:header="709" w:footer="709" w:gutter="0"/>
          <w:cols w:space="720"/>
          <w:docGrid w:linePitch="326"/>
        </w:sectPr>
      </w:pPr>
      <w:r w:rsidRPr="002D41D1">
        <w:rPr>
          <w:rFonts w:ascii="Arial Narrow" w:hAnsi="Arial Narrow"/>
          <w:sz w:val="16"/>
          <w:szCs w:val="16"/>
        </w:rPr>
        <w:t xml:space="preserve">The bold line represents a clone of the substree which is replicated elsewhere in the tree. </w:t>
      </w:r>
      <w:proofErr w:type="gramStart"/>
      <w:r w:rsidR="00532B55">
        <w:rPr>
          <w:rFonts w:ascii="Arial Narrow" w:hAnsi="Arial Narrow"/>
          <w:sz w:val="16"/>
          <w:szCs w:val="16"/>
        </w:rPr>
        <w:t>p</w:t>
      </w:r>
      <w:proofErr w:type="gramEnd"/>
      <w:r w:rsidR="00951C3D">
        <w:rPr>
          <w:rFonts w:ascii="Arial Narrow" w:hAnsi="Arial Narrow"/>
          <w:sz w:val="16"/>
          <w:szCs w:val="16"/>
        </w:rPr>
        <w:t>:</w:t>
      </w:r>
      <w:r w:rsidRPr="002D41D1">
        <w:rPr>
          <w:rFonts w:ascii="Arial Narrow" w:hAnsi="Arial Narrow"/>
          <w:sz w:val="16"/>
          <w:szCs w:val="16"/>
        </w:rPr>
        <w:t xml:space="preserve"> </w:t>
      </w:r>
      <w:r w:rsidR="00951C3D">
        <w:rPr>
          <w:rFonts w:ascii="Arial Narrow" w:hAnsi="Arial Narrow"/>
          <w:sz w:val="16"/>
          <w:szCs w:val="16"/>
        </w:rPr>
        <w:t>P</w:t>
      </w:r>
      <w:r w:rsidRPr="002D41D1">
        <w:rPr>
          <w:rFonts w:ascii="Arial Narrow" w:hAnsi="Arial Narrow"/>
          <w:sz w:val="16"/>
          <w:szCs w:val="16"/>
        </w:rPr>
        <w:t>robabilities that were determined by the literature; #</w:t>
      </w:r>
      <w:r w:rsidR="00951C3D">
        <w:rPr>
          <w:rFonts w:ascii="Arial Narrow" w:hAnsi="Arial Narrow"/>
          <w:sz w:val="16"/>
          <w:szCs w:val="16"/>
        </w:rPr>
        <w:t xml:space="preserve">: </w:t>
      </w:r>
      <w:r w:rsidRPr="002D41D1">
        <w:rPr>
          <w:rFonts w:ascii="Arial Narrow" w:hAnsi="Arial Narrow"/>
          <w:sz w:val="16"/>
          <w:szCs w:val="16"/>
        </w:rPr>
        <w:t xml:space="preserve"> 1-</w:t>
      </w:r>
      <w:r w:rsidR="00532B55">
        <w:rPr>
          <w:rFonts w:ascii="Arial Narrow" w:hAnsi="Arial Narrow"/>
          <w:sz w:val="16"/>
          <w:szCs w:val="16"/>
        </w:rPr>
        <w:t>p</w:t>
      </w:r>
    </w:p>
    <w:p w:rsidR="00ED4333" w:rsidRPr="00FC66CF" w:rsidRDefault="00ED4333" w:rsidP="002D41D1">
      <w:pPr>
        <w:pStyle w:val="Heading3"/>
      </w:pPr>
      <w:r w:rsidRPr="00FC66CF">
        <w:lastRenderedPageBreak/>
        <w:t xml:space="preserve">Main results of economic evaluation </w:t>
      </w:r>
    </w:p>
    <w:p w:rsidR="00ED4333" w:rsidRPr="00FC66CF" w:rsidRDefault="00ED4333" w:rsidP="00B01E21">
      <w:pPr>
        <w:pStyle w:val="Heading4"/>
      </w:pPr>
      <w:r w:rsidRPr="00FC66CF">
        <w:t xml:space="preserve">Patients fit for </w:t>
      </w:r>
      <w:r w:rsidR="00DF03CC">
        <w:t>multi-stage</w:t>
      </w:r>
      <w:r w:rsidRPr="00FC66CF">
        <w:t xml:space="preserve"> surgery </w:t>
      </w:r>
      <w:r w:rsidR="00B01E21">
        <w:t>(receiving SEMS for palliation)</w:t>
      </w:r>
    </w:p>
    <w:p w:rsidR="00ED4333" w:rsidRPr="00FC66CF" w:rsidRDefault="00ED4333" w:rsidP="00ED4333">
      <w:r w:rsidRPr="00FC66CF">
        <w:t>For the base case analysis the total cost of a SEMS insertion was estimated to be $17,809. This value includes the costs of palliation and the cost of colostom</w:t>
      </w:r>
      <w:r w:rsidR="00CF1FED">
        <w:t>y for those with stent failure.</w:t>
      </w:r>
      <w:r w:rsidRPr="00FC66CF">
        <w:t xml:space="preserve"> The total average cost for patients that received a palliative colostomy was estimated to be $20,516. This represent</w:t>
      </w:r>
      <w:r w:rsidR="00C43758">
        <w:t>ed</w:t>
      </w:r>
      <w:r w:rsidRPr="00FC66CF">
        <w:t xml:space="preserve"> a cost savings of $2,707 for stent placement over palliative colostomy. </w:t>
      </w:r>
    </w:p>
    <w:p w:rsidR="00ED4333" w:rsidRPr="00FC66CF" w:rsidRDefault="00ED4333" w:rsidP="00ED4333">
      <w:r w:rsidRPr="00FC66CF">
        <w:t xml:space="preserve">The estimated average patient receiving a SEMS would gain 0.099 quality-adjusted life years (QALYs) compared to 0.089 QALYs in the palliative colostomy group. This yields an incremental benefit of 0.010 QALYs per patient. This benefit is due to difference in mortality rates between colostomy and stenting. </w:t>
      </w:r>
    </w:p>
    <w:p w:rsidR="00ED4333" w:rsidRPr="00FC66CF" w:rsidRDefault="00ED4333" w:rsidP="00ED4333">
      <w:r w:rsidRPr="00FC66CF">
        <w:t>In terms of cost-effectiveness, the SEMS insertion for palliation dominated palliative colostomy. In other words it provide</w:t>
      </w:r>
      <w:r w:rsidR="007D710F">
        <w:t>d</w:t>
      </w:r>
      <w:r w:rsidRPr="00FC66CF">
        <w:t xml:space="preserve"> additional benefit at lower costs (</w:t>
      </w:r>
      <w:r w:rsidR="006F654A">
        <w:t xml:space="preserve">See </w:t>
      </w:r>
      <w:r w:rsidR="008E7EA0">
        <w:fldChar w:fldCharType="begin"/>
      </w:r>
      <w:r w:rsidR="008E7EA0">
        <w:instrText xml:space="preserve"> REF _Ref324933804 \h </w:instrText>
      </w:r>
      <w:r w:rsidR="008E7EA0">
        <w:fldChar w:fldCharType="separate"/>
      </w:r>
      <w:r w:rsidR="0071544A">
        <w:t xml:space="preserve">Table </w:t>
      </w:r>
      <w:r w:rsidR="0071544A">
        <w:rPr>
          <w:noProof/>
        </w:rPr>
        <w:t>5</w:t>
      </w:r>
      <w:r w:rsidR="008E7EA0">
        <w:fldChar w:fldCharType="end"/>
      </w:r>
      <w:r w:rsidRPr="00FC66CF">
        <w:t>).</w:t>
      </w:r>
    </w:p>
    <w:p w:rsidR="00ED4333" w:rsidRPr="009A6B8C" w:rsidRDefault="008E7EA0" w:rsidP="008E7EA0">
      <w:pPr>
        <w:pStyle w:val="Caption"/>
      </w:pPr>
      <w:bookmarkStart w:id="27" w:name="_Ref324933804"/>
      <w:bookmarkStart w:id="28" w:name="_Toc327522049"/>
      <w:r>
        <w:t xml:space="preserve">Table </w:t>
      </w:r>
      <w:fldSimple w:instr=" SEQ Table \* ARABIC ">
        <w:r w:rsidR="0071544A">
          <w:rPr>
            <w:noProof/>
          </w:rPr>
          <w:t>5</w:t>
        </w:r>
      </w:fldSimple>
      <w:bookmarkEnd w:id="27"/>
      <w:r>
        <w:tab/>
      </w:r>
      <w:r w:rsidR="00ED4333" w:rsidRPr="009A6B8C">
        <w:t>Summary of cost-effectiveness analysis for palliation (stent vs. colostomy)</w:t>
      </w:r>
      <w:bookmarkEnd w:id="28"/>
    </w:p>
    <w:tbl>
      <w:tblPr>
        <w:tblW w:w="8414" w:type="dxa"/>
        <w:tblInd w:w="720" w:type="dxa"/>
        <w:tblBorders>
          <w:top w:val="single" w:sz="12" w:space="0" w:color="auto"/>
          <w:bottom w:val="single" w:sz="12" w:space="0" w:color="auto"/>
        </w:tblBorders>
        <w:tblLayout w:type="fixed"/>
        <w:tblLook w:val="04A0" w:firstRow="1" w:lastRow="0" w:firstColumn="1" w:lastColumn="0" w:noHBand="0" w:noVBand="1"/>
      </w:tblPr>
      <w:tblGrid>
        <w:gridCol w:w="1003"/>
        <w:gridCol w:w="1418"/>
        <w:gridCol w:w="1559"/>
        <w:gridCol w:w="1276"/>
        <w:gridCol w:w="1755"/>
        <w:gridCol w:w="1403"/>
      </w:tblGrid>
      <w:tr w:rsidR="00ED4333" w:rsidRPr="00FC66CF" w:rsidTr="001F7E3E">
        <w:trPr>
          <w:trHeight w:val="300"/>
        </w:trPr>
        <w:tc>
          <w:tcPr>
            <w:tcW w:w="1003" w:type="dxa"/>
            <w:tcBorders>
              <w:top w:val="single" w:sz="12" w:space="0" w:color="auto"/>
              <w:bottom w:val="single" w:sz="4" w:space="0" w:color="auto"/>
            </w:tcBorders>
            <w:shd w:val="clear" w:color="auto" w:fill="auto"/>
            <w:noWrap/>
            <w:vAlign w:val="bottom"/>
            <w:hideMark/>
          </w:tcPr>
          <w:p w:rsidR="00ED4333" w:rsidRDefault="00ED4333" w:rsidP="00ED4333">
            <w:pPr>
              <w:keepNext/>
              <w:spacing w:after="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 </w:t>
            </w:r>
          </w:p>
        </w:tc>
        <w:tc>
          <w:tcPr>
            <w:tcW w:w="1418" w:type="dxa"/>
            <w:tcBorders>
              <w:top w:val="single" w:sz="12" w:space="0" w:color="auto"/>
              <w:bottom w:val="single" w:sz="4" w:space="0" w:color="auto"/>
            </w:tcBorders>
            <w:shd w:val="clear" w:color="auto" w:fill="auto"/>
            <w:noWrap/>
            <w:vAlign w:val="bottom"/>
            <w:hideMark/>
          </w:tcPr>
          <w:p w:rsidR="00ED4333" w:rsidRDefault="00ED4333" w:rsidP="00ED3C73">
            <w:pPr>
              <w:pStyle w:val="TableHeading"/>
              <w:jc w:val="center"/>
              <w:rPr>
                <w:lang w:val="en-US" w:eastAsia="en-US"/>
              </w:rPr>
            </w:pPr>
            <w:r w:rsidRPr="00FC66CF">
              <w:rPr>
                <w:lang w:val="en-US" w:eastAsia="en-US"/>
              </w:rPr>
              <w:t xml:space="preserve">Average </w:t>
            </w:r>
            <w:r w:rsidR="00080C6D">
              <w:rPr>
                <w:lang w:val="en-US" w:eastAsia="en-US"/>
              </w:rPr>
              <w:t>c</w:t>
            </w:r>
            <w:r w:rsidRPr="00FC66CF">
              <w:rPr>
                <w:lang w:val="en-US" w:eastAsia="en-US"/>
              </w:rPr>
              <w:t>ost</w:t>
            </w:r>
          </w:p>
        </w:tc>
        <w:tc>
          <w:tcPr>
            <w:tcW w:w="1559" w:type="dxa"/>
            <w:tcBorders>
              <w:top w:val="single" w:sz="12" w:space="0" w:color="auto"/>
              <w:bottom w:val="single" w:sz="4" w:space="0" w:color="auto"/>
            </w:tcBorders>
            <w:shd w:val="clear" w:color="auto" w:fill="auto"/>
            <w:noWrap/>
            <w:vAlign w:val="bottom"/>
            <w:hideMark/>
          </w:tcPr>
          <w:p w:rsidR="00ED4333" w:rsidRDefault="00ED4333" w:rsidP="00ED3C73">
            <w:pPr>
              <w:pStyle w:val="TableHeading"/>
              <w:jc w:val="center"/>
              <w:rPr>
                <w:lang w:val="en-US" w:eastAsia="en-US"/>
              </w:rPr>
            </w:pPr>
            <w:r w:rsidRPr="00FC66CF">
              <w:rPr>
                <w:lang w:val="en-US" w:eastAsia="en-US"/>
              </w:rPr>
              <w:t xml:space="preserve">Incremental </w:t>
            </w:r>
            <w:r w:rsidR="00080C6D">
              <w:rPr>
                <w:lang w:val="en-US" w:eastAsia="en-US"/>
              </w:rPr>
              <w:t>c</w:t>
            </w:r>
            <w:r w:rsidRPr="00FC66CF">
              <w:rPr>
                <w:lang w:val="en-US" w:eastAsia="en-US"/>
              </w:rPr>
              <w:t>ost</w:t>
            </w:r>
          </w:p>
        </w:tc>
        <w:tc>
          <w:tcPr>
            <w:tcW w:w="1276" w:type="dxa"/>
            <w:tcBorders>
              <w:top w:val="single" w:sz="12" w:space="0" w:color="auto"/>
              <w:bottom w:val="single" w:sz="4" w:space="0" w:color="auto"/>
            </w:tcBorders>
            <w:vAlign w:val="bottom"/>
          </w:tcPr>
          <w:p w:rsidR="00ED4333" w:rsidRDefault="00ED4333" w:rsidP="00ED3C73">
            <w:pPr>
              <w:pStyle w:val="TableHeading"/>
              <w:jc w:val="center"/>
              <w:rPr>
                <w:lang w:val="en-US" w:eastAsia="en-US"/>
              </w:rPr>
            </w:pPr>
            <w:r w:rsidRPr="00FC66CF">
              <w:rPr>
                <w:lang w:val="en-US" w:eastAsia="en-US"/>
              </w:rPr>
              <w:t>QALYs</w:t>
            </w:r>
          </w:p>
        </w:tc>
        <w:tc>
          <w:tcPr>
            <w:tcW w:w="1755" w:type="dxa"/>
            <w:tcBorders>
              <w:top w:val="single" w:sz="12" w:space="0" w:color="auto"/>
              <w:bottom w:val="single" w:sz="4" w:space="0" w:color="auto"/>
            </w:tcBorders>
            <w:vAlign w:val="bottom"/>
          </w:tcPr>
          <w:p w:rsidR="00ED4333" w:rsidRDefault="00ED4333" w:rsidP="00ED3C73">
            <w:pPr>
              <w:pStyle w:val="TableHeading"/>
              <w:jc w:val="center"/>
              <w:rPr>
                <w:lang w:val="en-US" w:eastAsia="en-US"/>
              </w:rPr>
            </w:pPr>
            <w:r w:rsidRPr="00FC66CF">
              <w:rPr>
                <w:lang w:val="en-US" w:eastAsia="en-US"/>
              </w:rPr>
              <w:t>Incremental QALYs</w:t>
            </w:r>
          </w:p>
        </w:tc>
        <w:tc>
          <w:tcPr>
            <w:tcW w:w="1403" w:type="dxa"/>
            <w:tcBorders>
              <w:top w:val="single" w:sz="12" w:space="0" w:color="auto"/>
              <w:bottom w:val="single" w:sz="4" w:space="0" w:color="auto"/>
            </w:tcBorders>
            <w:vAlign w:val="bottom"/>
          </w:tcPr>
          <w:p w:rsidR="00ED4333" w:rsidRDefault="00ED4333" w:rsidP="00ED3C73">
            <w:pPr>
              <w:pStyle w:val="TableHeading"/>
              <w:jc w:val="center"/>
              <w:rPr>
                <w:lang w:val="en-US" w:eastAsia="en-US"/>
              </w:rPr>
            </w:pPr>
            <w:r w:rsidRPr="00FC66CF">
              <w:rPr>
                <w:lang w:val="en-US" w:eastAsia="en-US"/>
              </w:rPr>
              <w:t>ICER</w:t>
            </w:r>
          </w:p>
        </w:tc>
      </w:tr>
      <w:tr w:rsidR="00ED4333" w:rsidRPr="00FC66CF" w:rsidTr="001F7E3E">
        <w:trPr>
          <w:trHeight w:val="227"/>
        </w:trPr>
        <w:tc>
          <w:tcPr>
            <w:tcW w:w="1003" w:type="dxa"/>
            <w:tcBorders>
              <w:top w:val="single" w:sz="4" w:space="0" w:color="auto"/>
            </w:tcBorders>
            <w:shd w:val="clear" w:color="auto" w:fill="auto"/>
            <w:noWrap/>
            <w:vAlign w:val="bottom"/>
            <w:hideMark/>
          </w:tcPr>
          <w:p w:rsidR="00ED4333" w:rsidRDefault="00ED4333" w:rsidP="008E7EA0">
            <w:pPr>
              <w:pStyle w:val="TableText0"/>
              <w:rPr>
                <w:lang w:val="en-US"/>
              </w:rPr>
            </w:pPr>
            <w:r w:rsidRPr="00FC66CF">
              <w:rPr>
                <w:lang w:val="en-US"/>
              </w:rPr>
              <w:t>Stent</w:t>
            </w:r>
          </w:p>
        </w:tc>
        <w:tc>
          <w:tcPr>
            <w:tcW w:w="1418" w:type="dxa"/>
            <w:tcBorders>
              <w:top w:val="single" w:sz="4" w:space="0" w:color="auto"/>
            </w:tcBorders>
            <w:shd w:val="clear" w:color="auto" w:fill="auto"/>
            <w:noWrap/>
            <w:vAlign w:val="bottom"/>
            <w:hideMark/>
          </w:tcPr>
          <w:p w:rsidR="00ED4333" w:rsidRDefault="00ED4333" w:rsidP="00B15B3C">
            <w:pPr>
              <w:pStyle w:val="TableText0"/>
              <w:jc w:val="right"/>
              <w:rPr>
                <w:lang w:val="en-US"/>
              </w:rPr>
            </w:pPr>
            <w:r w:rsidRPr="00FC66CF">
              <w:rPr>
                <w:lang w:val="en-US"/>
              </w:rPr>
              <w:t>$17,809</w:t>
            </w:r>
          </w:p>
        </w:tc>
        <w:tc>
          <w:tcPr>
            <w:tcW w:w="1559" w:type="dxa"/>
            <w:tcBorders>
              <w:top w:val="single" w:sz="4" w:space="0" w:color="auto"/>
            </w:tcBorders>
            <w:shd w:val="clear" w:color="auto" w:fill="auto"/>
            <w:noWrap/>
            <w:vAlign w:val="bottom"/>
            <w:hideMark/>
          </w:tcPr>
          <w:p w:rsidR="00ED4333" w:rsidRDefault="00ED4333" w:rsidP="00B15B3C">
            <w:pPr>
              <w:pStyle w:val="TableText0"/>
              <w:jc w:val="right"/>
              <w:rPr>
                <w:lang w:val="en-US"/>
              </w:rPr>
            </w:pPr>
          </w:p>
        </w:tc>
        <w:tc>
          <w:tcPr>
            <w:tcW w:w="1276" w:type="dxa"/>
            <w:tcBorders>
              <w:top w:val="single" w:sz="4" w:space="0" w:color="auto"/>
            </w:tcBorders>
            <w:vAlign w:val="bottom"/>
          </w:tcPr>
          <w:p w:rsidR="00ED4333" w:rsidRDefault="00ED4333" w:rsidP="00B15B3C">
            <w:pPr>
              <w:pStyle w:val="TableText0"/>
              <w:jc w:val="right"/>
              <w:rPr>
                <w:lang w:val="en-US"/>
              </w:rPr>
            </w:pPr>
            <w:r w:rsidRPr="00FC66CF">
              <w:rPr>
                <w:lang w:val="en-US"/>
              </w:rPr>
              <w:t>0.099</w:t>
            </w:r>
          </w:p>
        </w:tc>
        <w:tc>
          <w:tcPr>
            <w:tcW w:w="1755" w:type="dxa"/>
            <w:tcBorders>
              <w:top w:val="single" w:sz="4" w:space="0" w:color="auto"/>
            </w:tcBorders>
            <w:vAlign w:val="bottom"/>
          </w:tcPr>
          <w:p w:rsidR="00ED4333" w:rsidRDefault="00ED4333" w:rsidP="00B15B3C">
            <w:pPr>
              <w:pStyle w:val="TableText0"/>
              <w:jc w:val="right"/>
              <w:rPr>
                <w:lang w:val="en-US"/>
              </w:rPr>
            </w:pPr>
          </w:p>
        </w:tc>
        <w:tc>
          <w:tcPr>
            <w:tcW w:w="1403" w:type="dxa"/>
            <w:tcBorders>
              <w:top w:val="single" w:sz="4" w:space="0" w:color="auto"/>
            </w:tcBorders>
            <w:vAlign w:val="bottom"/>
          </w:tcPr>
          <w:p w:rsidR="00ED4333" w:rsidRDefault="00ED4333" w:rsidP="00ED3C73">
            <w:pPr>
              <w:pStyle w:val="TableText0"/>
              <w:jc w:val="center"/>
              <w:rPr>
                <w:lang w:val="en-US"/>
              </w:rPr>
            </w:pPr>
          </w:p>
        </w:tc>
      </w:tr>
      <w:tr w:rsidR="00ED4333" w:rsidRPr="00FC66CF" w:rsidTr="001F7E3E">
        <w:trPr>
          <w:trHeight w:val="227"/>
        </w:trPr>
        <w:tc>
          <w:tcPr>
            <w:tcW w:w="1003" w:type="dxa"/>
            <w:shd w:val="clear" w:color="auto" w:fill="auto"/>
            <w:noWrap/>
            <w:vAlign w:val="bottom"/>
            <w:hideMark/>
          </w:tcPr>
          <w:p w:rsidR="00ED4333" w:rsidRPr="00FC66CF" w:rsidRDefault="00ED4333" w:rsidP="008E7EA0">
            <w:pPr>
              <w:pStyle w:val="TableText0"/>
              <w:rPr>
                <w:lang w:val="en-US"/>
              </w:rPr>
            </w:pPr>
            <w:r w:rsidRPr="00FC66CF">
              <w:rPr>
                <w:lang w:val="en-US"/>
              </w:rPr>
              <w:t>Colostomy</w:t>
            </w:r>
          </w:p>
        </w:tc>
        <w:tc>
          <w:tcPr>
            <w:tcW w:w="1418" w:type="dxa"/>
            <w:shd w:val="clear" w:color="auto" w:fill="auto"/>
            <w:noWrap/>
            <w:vAlign w:val="bottom"/>
            <w:hideMark/>
          </w:tcPr>
          <w:p w:rsidR="00ED4333" w:rsidRPr="00FC66CF" w:rsidRDefault="00ED4333" w:rsidP="00B15B3C">
            <w:pPr>
              <w:pStyle w:val="TableText0"/>
              <w:jc w:val="right"/>
              <w:rPr>
                <w:lang w:val="en-US"/>
              </w:rPr>
            </w:pPr>
            <w:r w:rsidRPr="00FC66CF">
              <w:rPr>
                <w:lang w:val="en-US"/>
              </w:rPr>
              <w:t>$20,516</w:t>
            </w:r>
          </w:p>
        </w:tc>
        <w:tc>
          <w:tcPr>
            <w:tcW w:w="1559" w:type="dxa"/>
            <w:shd w:val="clear" w:color="auto" w:fill="auto"/>
            <w:noWrap/>
            <w:vAlign w:val="bottom"/>
            <w:hideMark/>
          </w:tcPr>
          <w:p w:rsidR="00ED4333" w:rsidRPr="00FC66CF" w:rsidRDefault="00ED4333" w:rsidP="00B15B3C">
            <w:pPr>
              <w:pStyle w:val="TableText0"/>
              <w:jc w:val="right"/>
              <w:rPr>
                <w:lang w:val="en-US"/>
              </w:rPr>
            </w:pPr>
            <w:r w:rsidRPr="00FC66CF">
              <w:rPr>
                <w:lang w:val="en-US"/>
              </w:rPr>
              <w:t>-$2,707</w:t>
            </w:r>
          </w:p>
        </w:tc>
        <w:tc>
          <w:tcPr>
            <w:tcW w:w="1276" w:type="dxa"/>
            <w:vAlign w:val="bottom"/>
          </w:tcPr>
          <w:p w:rsidR="00ED4333" w:rsidRPr="00FC66CF" w:rsidRDefault="00ED4333" w:rsidP="00B15B3C">
            <w:pPr>
              <w:pStyle w:val="TableText0"/>
              <w:jc w:val="right"/>
              <w:rPr>
                <w:lang w:val="en-US"/>
              </w:rPr>
            </w:pPr>
            <w:r w:rsidRPr="00FC66CF">
              <w:rPr>
                <w:lang w:val="en-US"/>
              </w:rPr>
              <w:t>0.089</w:t>
            </w:r>
          </w:p>
        </w:tc>
        <w:tc>
          <w:tcPr>
            <w:tcW w:w="1755" w:type="dxa"/>
            <w:vAlign w:val="bottom"/>
          </w:tcPr>
          <w:p w:rsidR="00ED4333" w:rsidRPr="00FC66CF" w:rsidRDefault="00ED4333" w:rsidP="00B15B3C">
            <w:pPr>
              <w:pStyle w:val="TableText0"/>
              <w:jc w:val="right"/>
              <w:rPr>
                <w:lang w:val="en-US"/>
              </w:rPr>
            </w:pPr>
            <w:r w:rsidRPr="00FC66CF">
              <w:rPr>
                <w:lang w:val="en-US"/>
              </w:rPr>
              <w:t>0.010</w:t>
            </w:r>
          </w:p>
        </w:tc>
        <w:tc>
          <w:tcPr>
            <w:tcW w:w="1403" w:type="dxa"/>
            <w:vAlign w:val="bottom"/>
          </w:tcPr>
          <w:p w:rsidR="00ED4333" w:rsidRPr="00FC66CF" w:rsidRDefault="00ED4333" w:rsidP="00ED3C73">
            <w:pPr>
              <w:pStyle w:val="TableText0"/>
              <w:jc w:val="center"/>
              <w:rPr>
                <w:lang w:val="en-US"/>
              </w:rPr>
            </w:pPr>
            <w:r w:rsidRPr="00FC66CF">
              <w:rPr>
                <w:lang w:val="en-US"/>
              </w:rPr>
              <w:t>Dominated</w:t>
            </w:r>
          </w:p>
        </w:tc>
      </w:tr>
    </w:tbl>
    <w:p w:rsidR="00ED4333" w:rsidRPr="00FC66CF" w:rsidRDefault="008E23F5" w:rsidP="0007443E">
      <w:pPr>
        <w:pStyle w:val="TableNotes"/>
      </w:pPr>
      <w:r>
        <w:t xml:space="preserve">QALY: </w:t>
      </w:r>
      <w:r w:rsidR="00D3398A">
        <w:t>Q</w:t>
      </w:r>
      <w:r>
        <w:t xml:space="preserve">uality-adjusted life year; ICER: </w:t>
      </w:r>
      <w:r w:rsidR="00D3398A">
        <w:t xml:space="preserve">Incremental </w:t>
      </w:r>
      <w:r>
        <w:t>cost-effectiveness ratio</w:t>
      </w:r>
      <w:r w:rsidR="00D3398A">
        <w:t>.</w:t>
      </w:r>
    </w:p>
    <w:p w:rsidR="00ED4333" w:rsidRPr="00FC66CF" w:rsidRDefault="00ED4333" w:rsidP="00B01E21">
      <w:pPr>
        <w:pStyle w:val="Heading4"/>
      </w:pPr>
      <w:r w:rsidRPr="00FC66CF">
        <w:t xml:space="preserve">Patients fit for </w:t>
      </w:r>
      <w:r w:rsidR="00DF03CC">
        <w:t>multi-stage</w:t>
      </w:r>
      <w:r w:rsidRPr="00FC66CF">
        <w:t xml:space="preserve"> surgery (receivi</w:t>
      </w:r>
      <w:r w:rsidR="00B01E21">
        <w:t>ng SEMS as a bridge</w:t>
      </w:r>
      <w:r w:rsidR="00080C6D">
        <w:t xml:space="preserve"> </w:t>
      </w:r>
      <w:r w:rsidR="00B01E21">
        <w:t>to</w:t>
      </w:r>
      <w:r w:rsidR="00080C6D">
        <w:t xml:space="preserve"> </w:t>
      </w:r>
      <w:r w:rsidR="00B01E21">
        <w:t>surgery)</w:t>
      </w:r>
      <w:r w:rsidRPr="00FC66CF">
        <w:t xml:space="preserve"> </w:t>
      </w:r>
    </w:p>
    <w:p w:rsidR="00ED4333" w:rsidRPr="00FC66CF" w:rsidRDefault="00ED4333" w:rsidP="00ED4333">
      <w:r w:rsidRPr="00FC66CF">
        <w:t>For the base case analysis, the total cost of SEMS insertion was estimated to be $29,729. This value include</w:t>
      </w:r>
      <w:r w:rsidR="00C43758">
        <w:t>d</w:t>
      </w:r>
      <w:r w:rsidRPr="00FC66CF">
        <w:t xml:space="preserve"> the costs of re-stenting, stoma creation or Hartmann’s procedure in </w:t>
      </w:r>
      <w:r w:rsidR="00080C6D">
        <w:t xml:space="preserve">the </w:t>
      </w:r>
      <w:r w:rsidR="00CF1FED">
        <w:t>case of a stent failure.</w:t>
      </w:r>
      <w:r w:rsidRPr="00FC66CF">
        <w:t xml:space="preserve"> The total average cost for patients that received </w:t>
      </w:r>
      <w:r w:rsidR="00DF03CC">
        <w:t>multi-stage</w:t>
      </w:r>
      <w:r w:rsidRPr="00FC66CF">
        <w:t xml:space="preserve"> surgery (either a colostomy or a Hartmann’s procedure) was estimated to be $30,169. This represent</w:t>
      </w:r>
      <w:r w:rsidR="00C43758">
        <w:t>ed</w:t>
      </w:r>
      <w:r w:rsidRPr="00FC66CF">
        <w:t xml:space="preserve"> a cost savings of $440.</w:t>
      </w:r>
    </w:p>
    <w:p w:rsidR="00ED4333" w:rsidRPr="00FC66CF" w:rsidRDefault="00ED4333" w:rsidP="00ED4333">
      <w:r w:rsidRPr="00FC66CF">
        <w:t xml:space="preserve">The estimated average patient receiving a SEMS as a bridge to surgery would gain 0.510 quality-adjusted life years (QALYs) compared to 0.458 QALYs in the </w:t>
      </w:r>
      <w:r w:rsidR="00DF03CC">
        <w:t>multi-stage</w:t>
      </w:r>
      <w:r w:rsidRPr="00FC66CF">
        <w:t xml:space="preserve"> surgery group. This yields an incremental benefit of 0.052 QALYs per patient. This benefit is due to </w:t>
      </w:r>
      <w:r w:rsidR="00080C6D">
        <w:t xml:space="preserve">the </w:t>
      </w:r>
      <w:r w:rsidRPr="00FC66CF">
        <w:t xml:space="preserve">difference in mortality rates between an emergency procedure and an elective procedure. </w:t>
      </w:r>
    </w:p>
    <w:p w:rsidR="00ED4333" w:rsidRPr="00FC66CF" w:rsidRDefault="00ED4333" w:rsidP="00ED4333">
      <w:r w:rsidRPr="00FC66CF">
        <w:t xml:space="preserve">In terms of cost-effectiveness, the SEMS insertion as </w:t>
      </w:r>
      <w:r w:rsidR="00080C6D">
        <w:t xml:space="preserve">a </w:t>
      </w:r>
      <w:r w:rsidRPr="00FC66CF">
        <w:t>bridge to surgery dominated colostomy. In other words it provide</w:t>
      </w:r>
      <w:r w:rsidR="007D710F">
        <w:t>d</w:t>
      </w:r>
      <w:r w:rsidRPr="00FC66CF">
        <w:t xml:space="preserve"> additional benefit at lower costs (</w:t>
      </w:r>
      <w:r w:rsidR="006F654A">
        <w:t xml:space="preserve">See </w:t>
      </w:r>
      <w:r w:rsidR="008E7EA0">
        <w:fldChar w:fldCharType="begin"/>
      </w:r>
      <w:r w:rsidR="008E7EA0">
        <w:instrText xml:space="preserve"> REF _Ref324933929 \h </w:instrText>
      </w:r>
      <w:r w:rsidR="008E7EA0">
        <w:fldChar w:fldCharType="separate"/>
      </w:r>
      <w:r w:rsidR="0071544A" w:rsidRPr="008E7EA0">
        <w:t xml:space="preserve">Table </w:t>
      </w:r>
      <w:r w:rsidR="0071544A">
        <w:rPr>
          <w:noProof/>
        </w:rPr>
        <w:t>6</w:t>
      </w:r>
      <w:r w:rsidR="008E7EA0">
        <w:fldChar w:fldCharType="end"/>
      </w:r>
      <w:r w:rsidRPr="00FC66CF">
        <w:t xml:space="preserve">). </w:t>
      </w:r>
    </w:p>
    <w:p w:rsidR="00ED4333" w:rsidRPr="00A720CB" w:rsidRDefault="00ED4333" w:rsidP="00A720CB">
      <w:pPr>
        <w:pStyle w:val="Caption"/>
        <w:rPr>
          <w:rFonts w:cs="Arial"/>
        </w:rPr>
      </w:pPr>
      <w:r>
        <w:rPr>
          <w:rFonts w:cs="Arial"/>
        </w:rPr>
        <w:br w:type="page"/>
      </w:r>
      <w:bookmarkStart w:id="29" w:name="_Ref324933929"/>
      <w:bookmarkStart w:id="30" w:name="_Toc327522050"/>
      <w:r w:rsidR="008E7EA0" w:rsidRPr="008E7EA0">
        <w:lastRenderedPageBreak/>
        <w:t xml:space="preserve">Table </w:t>
      </w:r>
      <w:fldSimple w:instr=" SEQ Table \* ARABIC ">
        <w:r w:rsidR="0071544A">
          <w:rPr>
            <w:noProof/>
          </w:rPr>
          <w:t>6</w:t>
        </w:r>
      </w:fldSimple>
      <w:bookmarkEnd w:id="29"/>
      <w:r w:rsidR="008E7EA0" w:rsidRPr="008E7EA0">
        <w:tab/>
      </w:r>
      <w:r w:rsidRPr="008E7EA0">
        <w:t xml:space="preserve">Summary of cost-effectiveness analysis for bridge to surgery (stent vs. </w:t>
      </w:r>
      <w:r w:rsidR="00DF03CC">
        <w:t>multi-stage</w:t>
      </w:r>
      <w:r w:rsidRPr="008E7EA0">
        <w:t xml:space="preserve"> surgery)</w:t>
      </w:r>
      <w:bookmarkEnd w:id="30"/>
    </w:p>
    <w:tbl>
      <w:tblPr>
        <w:tblW w:w="8414" w:type="dxa"/>
        <w:tblInd w:w="720" w:type="dxa"/>
        <w:tblBorders>
          <w:top w:val="single" w:sz="12" w:space="0" w:color="auto"/>
          <w:bottom w:val="single" w:sz="12" w:space="0" w:color="auto"/>
        </w:tblBorders>
        <w:tblLayout w:type="fixed"/>
        <w:tblLook w:val="04A0" w:firstRow="1" w:lastRow="0" w:firstColumn="1" w:lastColumn="0" w:noHBand="0" w:noVBand="1"/>
      </w:tblPr>
      <w:tblGrid>
        <w:gridCol w:w="1145"/>
        <w:gridCol w:w="1418"/>
        <w:gridCol w:w="1701"/>
        <w:gridCol w:w="992"/>
        <w:gridCol w:w="1984"/>
        <w:gridCol w:w="1174"/>
      </w:tblGrid>
      <w:tr w:rsidR="00ED4333" w:rsidRPr="00FC66CF" w:rsidTr="001F7E3E">
        <w:trPr>
          <w:trHeight w:val="300"/>
        </w:trPr>
        <w:tc>
          <w:tcPr>
            <w:tcW w:w="1145" w:type="dxa"/>
            <w:tcBorders>
              <w:top w:val="single" w:sz="12" w:space="0" w:color="auto"/>
              <w:bottom w:val="single" w:sz="4" w:space="0" w:color="auto"/>
            </w:tcBorders>
            <w:shd w:val="clear" w:color="auto" w:fill="auto"/>
            <w:noWrap/>
            <w:vAlign w:val="bottom"/>
            <w:hideMark/>
          </w:tcPr>
          <w:p w:rsidR="00ED4333" w:rsidRPr="00B15B3C" w:rsidRDefault="00ED4333" w:rsidP="00B15B3C">
            <w:pPr>
              <w:pStyle w:val="TableHeading"/>
              <w:jc w:val="right"/>
              <w:rPr>
                <w:lang w:val="en-US" w:eastAsia="en-US"/>
              </w:rPr>
            </w:pPr>
            <w:r w:rsidRPr="00B15B3C">
              <w:rPr>
                <w:lang w:val="en-US" w:eastAsia="en-US"/>
              </w:rPr>
              <w:t> </w:t>
            </w:r>
          </w:p>
        </w:tc>
        <w:tc>
          <w:tcPr>
            <w:tcW w:w="1418" w:type="dxa"/>
            <w:tcBorders>
              <w:top w:val="single" w:sz="12" w:space="0" w:color="auto"/>
              <w:bottom w:val="single" w:sz="4" w:space="0" w:color="auto"/>
            </w:tcBorders>
            <w:shd w:val="clear" w:color="auto" w:fill="auto"/>
            <w:noWrap/>
            <w:vAlign w:val="bottom"/>
            <w:hideMark/>
          </w:tcPr>
          <w:p w:rsidR="00ED4333" w:rsidRPr="00B15B3C" w:rsidRDefault="00ED4333" w:rsidP="00ED3C73">
            <w:pPr>
              <w:pStyle w:val="TableHeading"/>
              <w:jc w:val="center"/>
              <w:rPr>
                <w:lang w:val="en-US" w:eastAsia="en-US"/>
              </w:rPr>
            </w:pPr>
            <w:r w:rsidRPr="00B15B3C">
              <w:rPr>
                <w:lang w:val="en-US" w:eastAsia="en-US"/>
              </w:rPr>
              <w:t xml:space="preserve">Average </w:t>
            </w:r>
            <w:r w:rsidR="00080C6D">
              <w:rPr>
                <w:lang w:val="en-US" w:eastAsia="en-US"/>
              </w:rPr>
              <w:t>c</w:t>
            </w:r>
            <w:r w:rsidRPr="00B15B3C">
              <w:rPr>
                <w:lang w:val="en-US" w:eastAsia="en-US"/>
              </w:rPr>
              <w:t>ost</w:t>
            </w:r>
          </w:p>
        </w:tc>
        <w:tc>
          <w:tcPr>
            <w:tcW w:w="1701" w:type="dxa"/>
            <w:tcBorders>
              <w:top w:val="single" w:sz="12" w:space="0" w:color="auto"/>
              <w:bottom w:val="single" w:sz="4" w:space="0" w:color="auto"/>
            </w:tcBorders>
            <w:shd w:val="clear" w:color="auto" w:fill="auto"/>
            <w:noWrap/>
            <w:vAlign w:val="bottom"/>
            <w:hideMark/>
          </w:tcPr>
          <w:p w:rsidR="00ED4333" w:rsidRPr="00B15B3C" w:rsidRDefault="00ED4333" w:rsidP="00ED3C73">
            <w:pPr>
              <w:pStyle w:val="TableHeading"/>
              <w:jc w:val="center"/>
              <w:rPr>
                <w:lang w:val="en-US" w:eastAsia="en-US"/>
              </w:rPr>
            </w:pPr>
            <w:r w:rsidRPr="00B15B3C">
              <w:rPr>
                <w:lang w:val="en-US" w:eastAsia="en-US"/>
              </w:rPr>
              <w:t xml:space="preserve">Incremental </w:t>
            </w:r>
            <w:r w:rsidR="00080C6D">
              <w:rPr>
                <w:lang w:val="en-US" w:eastAsia="en-US"/>
              </w:rPr>
              <w:t>c</w:t>
            </w:r>
            <w:r w:rsidRPr="00B15B3C">
              <w:rPr>
                <w:lang w:val="en-US" w:eastAsia="en-US"/>
              </w:rPr>
              <w:t>ost</w:t>
            </w:r>
          </w:p>
        </w:tc>
        <w:tc>
          <w:tcPr>
            <w:tcW w:w="992" w:type="dxa"/>
            <w:tcBorders>
              <w:top w:val="single" w:sz="12" w:space="0" w:color="auto"/>
              <w:bottom w:val="single" w:sz="4" w:space="0" w:color="auto"/>
            </w:tcBorders>
            <w:vAlign w:val="bottom"/>
          </w:tcPr>
          <w:p w:rsidR="00ED4333" w:rsidRPr="00B15B3C" w:rsidRDefault="00ED4333" w:rsidP="00ED3C73">
            <w:pPr>
              <w:pStyle w:val="TableHeading"/>
              <w:jc w:val="center"/>
              <w:rPr>
                <w:lang w:val="en-US" w:eastAsia="en-US"/>
              </w:rPr>
            </w:pPr>
            <w:r w:rsidRPr="00B15B3C">
              <w:rPr>
                <w:lang w:val="en-US" w:eastAsia="en-US"/>
              </w:rPr>
              <w:t>QALYs</w:t>
            </w:r>
          </w:p>
        </w:tc>
        <w:tc>
          <w:tcPr>
            <w:tcW w:w="1984" w:type="dxa"/>
            <w:tcBorders>
              <w:top w:val="single" w:sz="12" w:space="0" w:color="auto"/>
              <w:bottom w:val="single" w:sz="4" w:space="0" w:color="auto"/>
            </w:tcBorders>
            <w:vAlign w:val="bottom"/>
          </w:tcPr>
          <w:p w:rsidR="00ED4333" w:rsidRPr="00B15B3C" w:rsidRDefault="00ED4333" w:rsidP="00ED3C73">
            <w:pPr>
              <w:pStyle w:val="TableHeading"/>
              <w:jc w:val="center"/>
              <w:rPr>
                <w:lang w:val="en-US" w:eastAsia="en-US"/>
              </w:rPr>
            </w:pPr>
            <w:r w:rsidRPr="00B15B3C">
              <w:rPr>
                <w:lang w:val="en-US" w:eastAsia="en-US"/>
              </w:rPr>
              <w:t>Incremental QALYs</w:t>
            </w:r>
          </w:p>
        </w:tc>
        <w:tc>
          <w:tcPr>
            <w:tcW w:w="1174" w:type="dxa"/>
            <w:tcBorders>
              <w:top w:val="single" w:sz="12" w:space="0" w:color="auto"/>
              <w:bottom w:val="single" w:sz="4" w:space="0" w:color="auto"/>
            </w:tcBorders>
            <w:vAlign w:val="bottom"/>
          </w:tcPr>
          <w:p w:rsidR="00ED4333" w:rsidRPr="00B15B3C" w:rsidRDefault="00ED4333" w:rsidP="00ED3C73">
            <w:pPr>
              <w:pStyle w:val="TableHeading"/>
              <w:jc w:val="center"/>
              <w:rPr>
                <w:lang w:val="en-US" w:eastAsia="en-US"/>
              </w:rPr>
            </w:pPr>
            <w:r w:rsidRPr="00B15B3C">
              <w:rPr>
                <w:lang w:val="en-US" w:eastAsia="en-US"/>
              </w:rPr>
              <w:t>ICER</w:t>
            </w:r>
          </w:p>
        </w:tc>
      </w:tr>
      <w:tr w:rsidR="00ED4333" w:rsidRPr="00FC66CF" w:rsidTr="001F7E3E">
        <w:trPr>
          <w:trHeight w:val="227"/>
        </w:trPr>
        <w:tc>
          <w:tcPr>
            <w:tcW w:w="1145" w:type="dxa"/>
            <w:tcBorders>
              <w:top w:val="single" w:sz="4" w:space="0" w:color="auto"/>
            </w:tcBorders>
            <w:shd w:val="clear" w:color="auto" w:fill="auto"/>
            <w:noWrap/>
            <w:vAlign w:val="bottom"/>
            <w:hideMark/>
          </w:tcPr>
          <w:p w:rsidR="00ED4333" w:rsidRPr="00FC66CF" w:rsidRDefault="00ED4333" w:rsidP="00A720CB">
            <w:pPr>
              <w:pStyle w:val="TableText0"/>
              <w:rPr>
                <w:lang w:val="en-US"/>
              </w:rPr>
            </w:pPr>
            <w:r w:rsidRPr="00FC66CF">
              <w:rPr>
                <w:lang w:val="en-US"/>
              </w:rPr>
              <w:t>Stent</w:t>
            </w:r>
          </w:p>
        </w:tc>
        <w:tc>
          <w:tcPr>
            <w:tcW w:w="1418" w:type="dxa"/>
            <w:tcBorders>
              <w:top w:val="single" w:sz="4" w:space="0" w:color="auto"/>
            </w:tcBorders>
            <w:shd w:val="clear" w:color="auto" w:fill="auto"/>
            <w:noWrap/>
            <w:vAlign w:val="bottom"/>
            <w:hideMark/>
          </w:tcPr>
          <w:p w:rsidR="00ED4333" w:rsidRPr="00FC66CF" w:rsidRDefault="00ED4333" w:rsidP="00A720CB">
            <w:pPr>
              <w:pStyle w:val="TableText0"/>
              <w:jc w:val="right"/>
              <w:rPr>
                <w:lang w:val="en-US"/>
              </w:rPr>
            </w:pPr>
            <w:r w:rsidRPr="00FC66CF">
              <w:rPr>
                <w:lang w:val="en-US"/>
              </w:rPr>
              <w:t>$29,729</w:t>
            </w:r>
          </w:p>
        </w:tc>
        <w:tc>
          <w:tcPr>
            <w:tcW w:w="1701" w:type="dxa"/>
            <w:tcBorders>
              <w:top w:val="single" w:sz="4" w:space="0" w:color="auto"/>
            </w:tcBorders>
            <w:shd w:val="clear" w:color="auto" w:fill="auto"/>
            <w:noWrap/>
            <w:vAlign w:val="bottom"/>
            <w:hideMark/>
          </w:tcPr>
          <w:p w:rsidR="00ED4333" w:rsidRPr="00FC66CF" w:rsidRDefault="00ED4333" w:rsidP="00A720CB">
            <w:pPr>
              <w:pStyle w:val="TableText0"/>
              <w:jc w:val="right"/>
              <w:rPr>
                <w:lang w:val="en-US"/>
              </w:rPr>
            </w:pPr>
          </w:p>
        </w:tc>
        <w:tc>
          <w:tcPr>
            <w:tcW w:w="992" w:type="dxa"/>
            <w:tcBorders>
              <w:top w:val="single" w:sz="4" w:space="0" w:color="auto"/>
            </w:tcBorders>
            <w:vAlign w:val="bottom"/>
          </w:tcPr>
          <w:p w:rsidR="00ED4333" w:rsidRPr="00FC66CF" w:rsidRDefault="00ED4333" w:rsidP="00A720CB">
            <w:pPr>
              <w:pStyle w:val="TableText0"/>
              <w:jc w:val="right"/>
              <w:rPr>
                <w:lang w:val="en-US"/>
              </w:rPr>
            </w:pPr>
            <w:r w:rsidRPr="00FC66CF">
              <w:rPr>
                <w:lang w:val="en-US"/>
              </w:rPr>
              <w:t>0.510</w:t>
            </w:r>
          </w:p>
        </w:tc>
        <w:tc>
          <w:tcPr>
            <w:tcW w:w="1984" w:type="dxa"/>
            <w:tcBorders>
              <w:top w:val="single" w:sz="4" w:space="0" w:color="auto"/>
            </w:tcBorders>
            <w:vAlign w:val="bottom"/>
          </w:tcPr>
          <w:p w:rsidR="00ED4333" w:rsidRPr="00FC66CF" w:rsidRDefault="00ED4333" w:rsidP="00A720CB">
            <w:pPr>
              <w:pStyle w:val="TableText0"/>
              <w:jc w:val="right"/>
              <w:rPr>
                <w:lang w:val="en-US"/>
              </w:rPr>
            </w:pPr>
          </w:p>
        </w:tc>
        <w:tc>
          <w:tcPr>
            <w:tcW w:w="1174" w:type="dxa"/>
            <w:tcBorders>
              <w:top w:val="single" w:sz="4" w:space="0" w:color="auto"/>
            </w:tcBorders>
            <w:vAlign w:val="bottom"/>
          </w:tcPr>
          <w:p w:rsidR="00ED4333" w:rsidRPr="00FC66CF" w:rsidRDefault="00ED4333" w:rsidP="00ED3C73">
            <w:pPr>
              <w:pStyle w:val="TableText0"/>
              <w:jc w:val="center"/>
              <w:rPr>
                <w:lang w:val="en-US"/>
              </w:rPr>
            </w:pPr>
          </w:p>
        </w:tc>
      </w:tr>
      <w:tr w:rsidR="00ED4333" w:rsidRPr="00FC66CF" w:rsidTr="001F7E3E">
        <w:trPr>
          <w:trHeight w:val="227"/>
        </w:trPr>
        <w:tc>
          <w:tcPr>
            <w:tcW w:w="1145" w:type="dxa"/>
            <w:shd w:val="clear" w:color="auto" w:fill="auto"/>
            <w:noWrap/>
            <w:vAlign w:val="bottom"/>
            <w:hideMark/>
          </w:tcPr>
          <w:p w:rsidR="00ED4333" w:rsidRPr="00FC66CF" w:rsidRDefault="00ED4333" w:rsidP="00A720CB">
            <w:pPr>
              <w:pStyle w:val="TableText0"/>
              <w:rPr>
                <w:lang w:val="en-US"/>
              </w:rPr>
            </w:pPr>
            <w:r w:rsidRPr="00FC66CF">
              <w:rPr>
                <w:lang w:val="en-US"/>
              </w:rPr>
              <w:t>Colostomy</w:t>
            </w:r>
          </w:p>
        </w:tc>
        <w:tc>
          <w:tcPr>
            <w:tcW w:w="1418" w:type="dxa"/>
            <w:shd w:val="clear" w:color="auto" w:fill="auto"/>
            <w:noWrap/>
            <w:vAlign w:val="bottom"/>
            <w:hideMark/>
          </w:tcPr>
          <w:p w:rsidR="00ED4333" w:rsidRPr="00FC66CF" w:rsidRDefault="00ED4333" w:rsidP="00A720CB">
            <w:pPr>
              <w:pStyle w:val="TableText0"/>
              <w:jc w:val="right"/>
              <w:rPr>
                <w:lang w:val="en-US"/>
              </w:rPr>
            </w:pPr>
            <w:r w:rsidRPr="00FC66CF">
              <w:rPr>
                <w:lang w:val="en-US"/>
              </w:rPr>
              <w:t>$30,169</w:t>
            </w:r>
          </w:p>
        </w:tc>
        <w:tc>
          <w:tcPr>
            <w:tcW w:w="1701" w:type="dxa"/>
            <w:shd w:val="clear" w:color="auto" w:fill="auto"/>
            <w:noWrap/>
            <w:vAlign w:val="bottom"/>
            <w:hideMark/>
          </w:tcPr>
          <w:p w:rsidR="00ED4333" w:rsidRPr="00FC66CF" w:rsidRDefault="00ED4333" w:rsidP="00A720CB">
            <w:pPr>
              <w:pStyle w:val="TableText0"/>
              <w:jc w:val="right"/>
              <w:rPr>
                <w:lang w:val="en-US"/>
              </w:rPr>
            </w:pPr>
            <w:r w:rsidRPr="00FC66CF">
              <w:rPr>
                <w:lang w:val="en-US"/>
              </w:rPr>
              <w:t>-$440</w:t>
            </w:r>
          </w:p>
        </w:tc>
        <w:tc>
          <w:tcPr>
            <w:tcW w:w="992" w:type="dxa"/>
            <w:vAlign w:val="bottom"/>
          </w:tcPr>
          <w:p w:rsidR="00ED4333" w:rsidRPr="00FC66CF" w:rsidRDefault="00ED4333" w:rsidP="00A720CB">
            <w:pPr>
              <w:pStyle w:val="TableText0"/>
              <w:jc w:val="right"/>
              <w:rPr>
                <w:lang w:val="en-US"/>
              </w:rPr>
            </w:pPr>
            <w:r w:rsidRPr="00FC66CF">
              <w:rPr>
                <w:lang w:val="en-US"/>
              </w:rPr>
              <w:t>0.458</w:t>
            </w:r>
          </w:p>
        </w:tc>
        <w:tc>
          <w:tcPr>
            <w:tcW w:w="1984" w:type="dxa"/>
            <w:vAlign w:val="bottom"/>
          </w:tcPr>
          <w:p w:rsidR="00ED4333" w:rsidRPr="00FC66CF" w:rsidRDefault="00ED4333" w:rsidP="00A720CB">
            <w:pPr>
              <w:pStyle w:val="TableText0"/>
              <w:jc w:val="right"/>
              <w:rPr>
                <w:lang w:val="en-US"/>
              </w:rPr>
            </w:pPr>
            <w:r w:rsidRPr="00FC66CF">
              <w:rPr>
                <w:lang w:val="en-US"/>
              </w:rPr>
              <w:t>0.052</w:t>
            </w:r>
          </w:p>
        </w:tc>
        <w:tc>
          <w:tcPr>
            <w:tcW w:w="1174" w:type="dxa"/>
            <w:vAlign w:val="bottom"/>
          </w:tcPr>
          <w:p w:rsidR="00ED4333" w:rsidRPr="00FC66CF" w:rsidRDefault="00ED4333" w:rsidP="00ED3C73">
            <w:pPr>
              <w:pStyle w:val="TableText0"/>
              <w:jc w:val="center"/>
              <w:rPr>
                <w:lang w:val="en-US"/>
              </w:rPr>
            </w:pPr>
            <w:r w:rsidRPr="00FC66CF">
              <w:rPr>
                <w:lang w:val="en-US"/>
              </w:rPr>
              <w:t>Dominated</w:t>
            </w:r>
          </w:p>
        </w:tc>
      </w:tr>
    </w:tbl>
    <w:p w:rsidR="008E23F5" w:rsidRPr="00FC66CF" w:rsidRDefault="008E23F5" w:rsidP="008E23F5">
      <w:pPr>
        <w:pStyle w:val="TableNotes"/>
      </w:pPr>
      <w:r>
        <w:t xml:space="preserve">QALY: </w:t>
      </w:r>
      <w:r w:rsidR="00D3398A">
        <w:t>Q</w:t>
      </w:r>
      <w:r>
        <w:t>ua</w:t>
      </w:r>
      <w:r w:rsidR="00D3398A">
        <w:t>lity-adjusted life year; ICER: I</w:t>
      </w:r>
      <w:r>
        <w:t>ncremental cost-effectiveness ratio</w:t>
      </w:r>
      <w:r w:rsidR="0026112F">
        <w:t>.</w:t>
      </w:r>
    </w:p>
    <w:p w:rsidR="00ED4333" w:rsidRPr="00FC66CF" w:rsidRDefault="00ED4333" w:rsidP="00B01E21">
      <w:pPr>
        <w:pStyle w:val="Heading4"/>
      </w:pPr>
      <w:r w:rsidRPr="00FC66CF">
        <w:t xml:space="preserve">Patients unfit for </w:t>
      </w:r>
      <w:r w:rsidR="00DF03CC">
        <w:t>multi-stage</w:t>
      </w:r>
      <w:r w:rsidRPr="00FC66CF">
        <w:t xml:space="preserve"> surgery</w:t>
      </w:r>
    </w:p>
    <w:p w:rsidR="00ED4333" w:rsidRPr="00FC66CF" w:rsidRDefault="00ED4333" w:rsidP="00ED4333">
      <w:pPr>
        <w:tabs>
          <w:tab w:val="left" w:pos="720"/>
          <w:tab w:val="left" w:pos="1140"/>
        </w:tabs>
        <w:spacing w:before="120" w:after="0"/>
      </w:pPr>
      <w:r w:rsidRPr="00FC66CF">
        <w:t>For patients who are unfit for any type of resection to resolve the colonic obstruction, a SEMS insertion procedure could substitute palliation (best supportive care)</w:t>
      </w:r>
      <w:r w:rsidR="00B15B3C">
        <w:t>;</w:t>
      </w:r>
      <w:r w:rsidRPr="00FC66CF">
        <w:t xml:space="preserve"> the cost of providing the stent procedure rather than palliation alone </w:t>
      </w:r>
      <w:r w:rsidR="00C43758">
        <w:t>wa</w:t>
      </w:r>
      <w:r w:rsidRPr="00FC66CF">
        <w:t>s estimated to be $9,659.</w:t>
      </w:r>
    </w:p>
    <w:p w:rsidR="00ED4333" w:rsidRPr="00B01E21" w:rsidRDefault="00ED4333" w:rsidP="00B01E21">
      <w:pPr>
        <w:pStyle w:val="Heading3"/>
      </w:pPr>
      <w:r w:rsidRPr="00B01E21">
        <w:t xml:space="preserve">Estimate of costs </w:t>
      </w:r>
    </w:p>
    <w:p w:rsidR="00ED4333" w:rsidRPr="00FC66CF" w:rsidRDefault="00ED4333" w:rsidP="00ED4333">
      <w:r w:rsidRPr="00FC66CF">
        <w:t xml:space="preserve">The proposed MBS fee was provided by the applicant ($650). In the base-case analysis the co-payment was estimated to be 25 per cent of the MBS fee. Higher co-payment fees were tested in the sensitivity analysis.  Under this scenario SEMS is a cost saving. In the sensitivity analysis different MBS fees and co-payments were tested. </w:t>
      </w:r>
    </w:p>
    <w:p w:rsidR="00B01E21" w:rsidRDefault="00ED4333" w:rsidP="00A75144">
      <w:pPr>
        <w:pStyle w:val="Heading4"/>
      </w:pPr>
      <w:r w:rsidRPr="00FC66CF">
        <w:t>For patient</w:t>
      </w:r>
      <w:r w:rsidR="00B01E21">
        <w:t>s requiring SEMS for palliation</w:t>
      </w:r>
    </w:p>
    <w:p w:rsidR="00ED4333" w:rsidRPr="00FC66CF" w:rsidRDefault="00ED4333" w:rsidP="00ED4333">
      <w:r w:rsidRPr="00FC66CF">
        <w:t>If the total cost of the MBS schedule benefit and co-payment is over $3058</w:t>
      </w:r>
      <w:r w:rsidR="00D416B5">
        <w:t>,</w:t>
      </w:r>
      <w:r w:rsidRPr="00FC66CF">
        <w:t xml:space="preserve"> SEMS is no longer cost-saving, relative to colostomy.</w:t>
      </w:r>
    </w:p>
    <w:p w:rsidR="00B01E21" w:rsidRDefault="00ED4333" w:rsidP="00B01E21">
      <w:pPr>
        <w:pStyle w:val="Heading5"/>
      </w:pPr>
      <w:r w:rsidRPr="00FC66CF">
        <w:t>For patients requir</w:t>
      </w:r>
      <w:r w:rsidR="00B01E21">
        <w:t>ing SEMS as a bridge</w:t>
      </w:r>
      <w:r w:rsidR="003617AD">
        <w:t xml:space="preserve"> </w:t>
      </w:r>
      <w:r w:rsidR="00B01E21">
        <w:t>to</w:t>
      </w:r>
      <w:r w:rsidR="003617AD">
        <w:t xml:space="preserve"> </w:t>
      </w:r>
      <w:r w:rsidR="00B01E21">
        <w:t>surgery</w:t>
      </w:r>
      <w:r w:rsidRPr="00FC66CF">
        <w:t xml:space="preserve">  </w:t>
      </w:r>
    </w:p>
    <w:p w:rsidR="00ED4333" w:rsidRPr="00FC66CF" w:rsidRDefault="00ED4333" w:rsidP="00ED4333">
      <w:r w:rsidRPr="00FC66CF">
        <w:t>If the total cost of the MBS schedule benefit and co-payment is over $1249</w:t>
      </w:r>
      <w:r w:rsidR="00D416B5">
        <w:t>,</w:t>
      </w:r>
      <w:r w:rsidRPr="00FC66CF">
        <w:t xml:space="preserve"> SEMS is no longer cost-saving, relative to </w:t>
      </w:r>
      <w:r w:rsidR="00DF03CC">
        <w:t>multi-stage</w:t>
      </w:r>
      <w:r w:rsidRPr="00FC66CF">
        <w:t xml:space="preserve"> surgery (colostomy or Hartmann’s surgery).</w:t>
      </w:r>
    </w:p>
    <w:p w:rsidR="00ED4333" w:rsidRPr="0086624F" w:rsidRDefault="00ED4333" w:rsidP="0086624F">
      <w:pPr>
        <w:pStyle w:val="Heading3"/>
      </w:pPr>
      <w:r w:rsidRPr="0086624F">
        <w:t>Financial/budgetary impacts</w:t>
      </w:r>
    </w:p>
    <w:p w:rsidR="00ED4333" w:rsidRPr="00FC66CF" w:rsidRDefault="00ED4333" w:rsidP="00ED4333">
      <w:pPr>
        <w:rPr>
          <w:rFonts w:ascii="Arial" w:hAnsi="Arial" w:cs="Arial"/>
          <w:b/>
          <w:szCs w:val="24"/>
        </w:rPr>
      </w:pPr>
      <w:r w:rsidRPr="00FC66CF">
        <w:t xml:space="preserve">An epidemiological approach, based on the incidence of colorectal cancer in Australia, was used to estimate the cost per annum of providing SEMS instead of colostomy or Hartmann’s resection for treatment of malignant colorectal obstruction.  </w:t>
      </w:r>
    </w:p>
    <w:p w:rsidR="00ED4333" w:rsidRPr="00FC66CF" w:rsidRDefault="00ED4333" w:rsidP="00ED4333">
      <w:pPr>
        <w:rPr>
          <w:b/>
          <w:szCs w:val="24"/>
        </w:rPr>
      </w:pPr>
      <w:r w:rsidRPr="00FC66CF">
        <w:rPr>
          <w:iCs/>
        </w:rPr>
        <w:t xml:space="preserve">The </w:t>
      </w:r>
      <w:r w:rsidR="00A720CB">
        <w:rPr>
          <w:iCs/>
        </w:rPr>
        <w:t xml:space="preserve">estimated </w:t>
      </w:r>
      <w:r w:rsidRPr="00FC66CF">
        <w:rPr>
          <w:iCs/>
        </w:rPr>
        <w:t>number of patients eligible for SEMS for palliation range</w:t>
      </w:r>
      <w:r w:rsidR="007D7AEE">
        <w:rPr>
          <w:iCs/>
        </w:rPr>
        <w:t>d</w:t>
      </w:r>
      <w:r w:rsidRPr="00FC66CF">
        <w:rPr>
          <w:iCs/>
        </w:rPr>
        <w:t xml:space="preserve"> between 134 and 487. The </w:t>
      </w:r>
      <w:r w:rsidR="00A720CB">
        <w:rPr>
          <w:iCs/>
        </w:rPr>
        <w:t xml:space="preserve">estimated </w:t>
      </w:r>
      <w:r w:rsidRPr="00FC66CF">
        <w:rPr>
          <w:iCs/>
        </w:rPr>
        <w:t>number of patients eligible for SEMS as a bridge</w:t>
      </w:r>
      <w:r w:rsidR="00D416B5">
        <w:rPr>
          <w:iCs/>
        </w:rPr>
        <w:t xml:space="preserve"> </w:t>
      </w:r>
      <w:r w:rsidRPr="00FC66CF">
        <w:rPr>
          <w:iCs/>
        </w:rPr>
        <w:t>to</w:t>
      </w:r>
      <w:r w:rsidR="00D416B5">
        <w:rPr>
          <w:iCs/>
        </w:rPr>
        <w:t xml:space="preserve"> </w:t>
      </w:r>
      <w:r w:rsidRPr="00FC66CF">
        <w:rPr>
          <w:iCs/>
        </w:rPr>
        <w:t>surgery range</w:t>
      </w:r>
      <w:r w:rsidR="007D7AEE">
        <w:rPr>
          <w:iCs/>
        </w:rPr>
        <w:t>d</w:t>
      </w:r>
      <w:r w:rsidRPr="00FC66CF">
        <w:rPr>
          <w:iCs/>
        </w:rPr>
        <w:t xml:space="preserve"> between 314 and 1,137</w:t>
      </w:r>
      <w:r w:rsidR="00A720CB">
        <w:rPr>
          <w:iCs/>
        </w:rPr>
        <w:t xml:space="preserve"> (</w:t>
      </w:r>
      <w:r w:rsidR="006F654A">
        <w:rPr>
          <w:iCs/>
        </w:rPr>
        <w:t xml:space="preserve">See </w:t>
      </w:r>
      <w:r w:rsidR="00A720CB">
        <w:rPr>
          <w:iCs/>
        </w:rPr>
        <w:fldChar w:fldCharType="begin"/>
      </w:r>
      <w:r w:rsidR="00A720CB">
        <w:rPr>
          <w:iCs/>
        </w:rPr>
        <w:instrText xml:space="preserve"> REF _Ref324934250 \h </w:instrText>
      </w:r>
      <w:r w:rsidR="00A720CB">
        <w:rPr>
          <w:iCs/>
        </w:rPr>
      </w:r>
      <w:r w:rsidR="00A720CB">
        <w:rPr>
          <w:iCs/>
        </w:rPr>
        <w:fldChar w:fldCharType="separate"/>
      </w:r>
      <w:r w:rsidR="0071544A">
        <w:t xml:space="preserve">Table </w:t>
      </w:r>
      <w:r w:rsidR="0071544A">
        <w:rPr>
          <w:noProof/>
        </w:rPr>
        <w:t>7</w:t>
      </w:r>
      <w:r w:rsidR="00A720CB">
        <w:rPr>
          <w:iCs/>
        </w:rPr>
        <w:fldChar w:fldCharType="end"/>
      </w:r>
      <w:r w:rsidR="00A720CB">
        <w:rPr>
          <w:iCs/>
        </w:rPr>
        <w:t>)</w:t>
      </w:r>
      <w:r w:rsidRPr="00FC66CF">
        <w:rPr>
          <w:iCs/>
        </w:rPr>
        <w:t xml:space="preserve">. </w:t>
      </w:r>
    </w:p>
    <w:p w:rsidR="00ED4333" w:rsidRPr="00FC66CF" w:rsidRDefault="00A720CB" w:rsidP="00A720CB">
      <w:pPr>
        <w:pStyle w:val="Caption"/>
      </w:pPr>
      <w:bookmarkStart w:id="31" w:name="_Ref324934250"/>
      <w:bookmarkStart w:id="32" w:name="_Toc327522051"/>
      <w:r>
        <w:t xml:space="preserve">Table </w:t>
      </w:r>
      <w:fldSimple w:instr=" SEQ Table \* ARABIC ">
        <w:r w:rsidR="0071544A">
          <w:rPr>
            <w:noProof/>
          </w:rPr>
          <w:t>7</w:t>
        </w:r>
      </w:fldSimple>
      <w:bookmarkEnd w:id="31"/>
      <w:r w:rsidR="00ED4333" w:rsidRPr="00FC66CF">
        <w:tab/>
        <w:t>Estimated number of patients to receive treatment</w:t>
      </w:r>
      <w:bookmarkEnd w:id="32"/>
    </w:p>
    <w:tbl>
      <w:tblPr>
        <w:tblW w:w="8203" w:type="dxa"/>
        <w:tblInd w:w="720" w:type="dxa"/>
        <w:tblBorders>
          <w:top w:val="single" w:sz="12" w:space="0" w:color="auto"/>
          <w:bottom w:val="single" w:sz="12" w:space="0" w:color="auto"/>
        </w:tblBorders>
        <w:tblLook w:val="04A0" w:firstRow="1" w:lastRow="0" w:firstColumn="1" w:lastColumn="0" w:noHBand="0" w:noVBand="1"/>
      </w:tblPr>
      <w:tblGrid>
        <w:gridCol w:w="5368"/>
        <w:gridCol w:w="1275"/>
        <w:gridCol w:w="1560"/>
      </w:tblGrid>
      <w:tr w:rsidR="00CB5216" w:rsidRPr="00FC66CF" w:rsidTr="00BE51CC">
        <w:trPr>
          <w:trHeight w:val="300"/>
        </w:trPr>
        <w:tc>
          <w:tcPr>
            <w:tcW w:w="5368" w:type="dxa"/>
            <w:tcBorders>
              <w:top w:val="single" w:sz="12" w:space="0" w:color="auto"/>
              <w:bottom w:val="nil"/>
            </w:tcBorders>
            <w:shd w:val="clear" w:color="auto" w:fill="auto"/>
            <w:noWrap/>
            <w:vAlign w:val="bottom"/>
          </w:tcPr>
          <w:p w:rsidR="00CB5216" w:rsidRPr="00FC66CF" w:rsidRDefault="00CB5216" w:rsidP="004C0C4B">
            <w:pPr>
              <w:keepNext/>
              <w:spacing w:after="0"/>
              <w:ind w:left="0"/>
              <w:rPr>
                <w:rFonts w:ascii="Arial Narrow" w:hAnsi="Arial Narrow"/>
                <w:color w:val="000000"/>
                <w:sz w:val="18"/>
                <w:szCs w:val="18"/>
                <w:lang w:val="en-US" w:eastAsia="en-US"/>
              </w:rPr>
            </w:pPr>
          </w:p>
        </w:tc>
        <w:tc>
          <w:tcPr>
            <w:tcW w:w="2835" w:type="dxa"/>
            <w:gridSpan w:val="2"/>
            <w:tcBorders>
              <w:top w:val="single" w:sz="12" w:space="0" w:color="auto"/>
              <w:bottom w:val="nil"/>
            </w:tcBorders>
            <w:shd w:val="clear" w:color="auto" w:fill="auto"/>
            <w:noWrap/>
            <w:vAlign w:val="bottom"/>
          </w:tcPr>
          <w:p w:rsidR="00CB5216" w:rsidRPr="00FC66CF" w:rsidRDefault="00CB5216" w:rsidP="003617AD">
            <w:pPr>
              <w:pStyle w:val="TableHeading"/>
              <w:jc w:val="center"/>
              <w:rPr>
                <w:lang w:val="en-US" w:eastAsia="en-US"/>
              </w:rPr>
            </w:pPr>
            <w:r>
              <w:rPr>
                <w:lang w:val="en-US" w:eastAsia="en-US"/>
              </w:rPr>
              <w:t xml:space="preserve"> Incidence of obstruction</w:t>
            </w:r>
          </w:p>
        </w:tc>
      </w:tr>
      <w:tr w:rsidR="00B15B3C" w:rsidRPr="00FC66CF" w:rsidTr="001F7E3E">
        <w:trPr>
          <w:trHeight w:val="300"/>
        </w:trPr>
        <w:tc>
          <w:tcPr>
            <w:tcW w:w="5368" w:type="dxa"/>
            <w:tcBorders>
              <w:top w:val="nil"/>
              <w:bottom w:val="single" w:sz="4" w:space="0" w:color="auto"/>
            </w:tcBorders>
            <w:shd w:val="clear" w:color="auto" w:fill="auto"/>
            <w:noWrap/>
            <w:vAlign w:val="bottom"/>
            <w:hideMark/>
          </w:tcPr>
          <w:p w:rsidR="00B15B3C" w:rsidRPr="00FC66CF" w:rsidRDefault="00B15B3C" w:rsidP="004C0C4B">
            <w:pPr>
              <w:keepNext/>
              <w:spacing w:after="0"/>
              <w:ind w:left="0"/>
              <w:rPr>
                <w:rFonts w:ascii="Arial Narrow" w:hAnsi="Arial Narrow"/>
                <w:color w:val="000000"/>
                <w:sz w:val="18"/>
                <w:szCs w:val="18"/>
                <w:lang w:val="en-US" w:eastAsia="en-US"/>
              </w:rPr>
            </w:pPr>
          </w:p>
        </w:tc>
        <w:tc>
          <w:tcPr>
            <w:tcW w:w="1275" w:type="dxa"/>
            <w:tcBorders>
              <w:top w:val="nil"/>
              <w:bottom w:val="single" w:sz="4" w:space="0" w:color="auto"/>
            </w:tcBorders>
            <w:shd w:val="clear" w:color="auto" w:fill="auto"/>
            <w:noWrap/>
            <w:vAlign w:val="bottom"/>
            <w:hideMark/>
          </w:tcPr>
          <w:p w:rsidR="00B15B3C" w:rsidRPr="00FC66CF" w:rsidRDefault="00B15B3C" w:rsidP="00017327">
            <w:pPr>
              <w:pStyle w:val="TableHeading"/>
              <w:jc w:val="right"/>
              <w:rPr>
                <w:lang w:val="en-US" w:eastAsia="en-US"/>
              </w:rPr>
            </w:pPr>
            <w:r w:rsidRPr="00FC66CF">
              <w:rPr>
                <w:lang w:val="en-US" w:eastAsia="en-US"/>
              </w:rPr>
              <w:t>LOW (8%)</w:t>
            </w:r>
          </w:p>
        </w:tc>
        <w:tc>
          <w:tcPr>
            <w:tcW w:w="1560" w:type="dxa"/>
            <w:tcBorders>
              <w:top w:val="nil"/>
              <w:bottom w:val="single" w:sz="4" w:space="0" w:color="auto"/>
            </w:tcBorders>
            <w:shd w:val="clear" w:color="auto" w:fill="auto"/>
            <w:noWrap/>
            <w:vAlign w:val="bottom"/>
            <w:hideMark/>
          </w:tcPr>
          <w:p w:rsidR="00B15B3C" w:rsidRPr="00FC66CF" w:rsidRDefault="00B15B3C" w:rsidP="00017327">
            <w:pPr>
              <w:pStyle w:val="TableHeading"/>
              <w:jc w:val="right"/>
              <w:rPr>
                <w:lang w:val="en-US" w:eastAsia="en-US"/>
              </w:rPr>
            </w:pPr>
            <w:r w:rsidRPr="00FC66CF">
              <w:rPr>
                <w:lang w:val="en-US" w:eastAsia="en-US"/>
              </w:rPr>
              <w:t>HIGH (29%)</w:t>
            </w:r>
          </w:p>
        </w:tc>
      </w:tr>
      <w:tr w:rsidR="00ED4333" w:rsidRPr="00FC66CF" w:rsidTr="001F7E3E">
        <w:trPr>
          <w:trHeight w:val="227"/>
        </w:trPr>
        <w:tc>
          <w:tcPr>
            <w:tcW w:w="5368" w:type="dxa"/>
            <w:tcBorders>
              <w:top w:val="single" w:sz="4" w:space="0" w:color="auto"/>
            </w:tcBorders>
            <w:shd w:val="clear" w:color="auto" w:fill="auto"/>
            <w:noWrap/>
            <w:vAlign w:val="bottom"/>
            <w:hideMark/>
          </w:tcPr>
          <w:p w:rsidR="00ED4333" w:rsidRPr="00FC66CF" w:rsidRDefault="00ED4333" w:rsidP="00A720CB">
            <w:pPr>
              <w:pStyle w:val="TableText0"/>
              <w:rPr>
                <w:lang w:val="en-US"/>
              </w:rPr>
            </w:pPr>
            <w:r w:rsidRPr="00FC66CF">
              <w:rPr>
                <w:lang w:val="en-US"/>
              </w:rPr>
              <w:t>Estimated number of colorectal cancer cases</w:t>
            </w:r>
          </w:p>
        </w:tc>
        <w:tc>
          <w:tcPr>
            <w:tcW w:w="1275" w:type="dxa"/>
            <w:tcBorders>
              <w:top w:val="single" w:sz="4" w:space="0" w:color="auto"/>
            </w:tcBorders>
            <w:shd w:val="clear" w:color="auto" w:fill="auto"/>
            <w:noWrap/>
            <w:vAlign w:val="bottom"/>
            <w:hideMark/>
          </w:tcPr>
          <w:p w:rsidR="00ED4333" w:rsidRPr="00FC66CF" w:rsidRDefault="00ED4333" w:rsidP="00017327">
            <w:pPr>
              <w:pStyle w:val="TableText0"/>
              <w:jc w:val="right"/>
              <w:rPr>
                <w:lang w:val="en-US"/>
              </w:rPr>
            </w:pPr>
            <w:r w:rsidRPr="00FC66CF">
              <w:rPr>
                <w:lang w:val="en-US"/>
              </w:rPr>
              <w:t>14,940</w:t>
            </w:r>
          </w:p>
        </w:tc>
        <w:tc>
          <w:tcPr>
            <w:tcW w:w="1560" w:type="dxa"/>
            <w:tcBorders>
              <w:top w:val="single" w:sz="4" w:space="0" w:color="auto"/>
            </w:tcBorders>
            <w:shd w:val="clear" w:color="auto" w:fill="auto"/>
            <w:noWrap/>
            <w:vAlign w:val="bottom"/>
            <w:hideMark/>
          </w:tcPr>
          <w:p w:rsidR="00ED4333" w:rsidRPr="00FC66CF" w:rsidRDefault="00ED4333" w:rsidP="00017327">
            <w:pPr>
              <w:pStyle w:val="TableText0"/>
              <w:jc w:val="right"/>
              <w:rPr>
                <w:lang w:val="en-US"/>
              </w:rPr>
            </w:pPr>
            <w:r w:rsidRPr="00FC66CF">
              <w:rPr>
                <w:lang w:val="en-US"/>
              </w:rPr>
              <w:t>14,940</w:t>
            </w:r>
          </w:p>
        </w:tc>
      </w:tr>
      <w:tr w:rsidR="00B15B3C" w:rsidRPr="00FC66CF" w:rsidTr="001F7E3E">
        <w:trPr>
          <w:trHeight w:val="227"/>
        </w:trPr>
        <w:tc>
          <w:tcPr>
            <w:tcW w:w="5368" w:type="dxa"/>
            <w:shd w:val="clear" w:color="auto" w:fill="auto"/>
            <w:noWrap/>
            <w:vAlign w:val="bottom"/>
            <w:hideMark/>
          </w:tcPr>
          <w:p w:rsidR="00B15B3C" w:rsidRPr="00FC66CF" w:rsidRDefault="00B15B3C" w:rsidP="00A720CB">
            <w:pPr>
              <w:pStyle w:val="TableText0"/>
              <w:rPr>
                <w:lang w:val="en-US"/>
              </w:rPr>
            </w:pPr>
            <w:r w:rsidRPr="00FC66CF">
              <w:rPr>
                <w:lang w:val="en-US"/>
              </w:rPr>
              <w:t>Incidence of obstruction (8%-29%)</w:t>
            </w:r>
          </w:p>
        </w:tc>
        <w:tc>
          <w:tcPr>
            <w:tcW w:w="1275" w:type="dxa"/>
            <w:shd w:val="clear" w:color="auto" w:fill="auto"/>
            <w:noWrap/>
            <w:vAlign w:val="bottom"/>
            <w:hideMark/>
          </w:tcPr>
          <w:p w:rsidR="00B15B3C" w:rsidRPr="00FC66CF" w:rsidRDefault="00B15B3C" w:rsidP="00017327">
            <w:pPr>
              <w:pStyle w:val="TableText0"/>
              <w:jc w:val="right"/>
              <w:rPr>
                <w:lang w:val="en-US"/>
              </w:rPr>
            </w:pPr>
            <w:r w:rsidRPr="00FC66CF">
              <w:rPr>
                <w:lang w:val="en-US"/>
              </w:rPr>
              <w:t>1,195</w:t>
            </w:r>
          </w:p>
        </w:tc>
        <w:tc>
          <w:tcPr>
            <w:tcW w:w="1560" w:type="dxa"/>
            <w:shd w:val="clear" w:color="auto" w:fill="auto"/>
            <w:noWrap/>
            <w:vAlign w:val="bottom"/>
            <w:hideMark/>
          </w:tcPr>
          <w:p w:rsidR="00B15B3C" w:rsidRPr="00FC66CF" w:rsidRDefault="00B15B3C" w:rsidP="00017327">
            <w:pPr>
              <w:pStyle w:val="TableText0"/>
              <w:jc w:val="right"/>
              <w:rPr>
                <w:lang w:val="en-US"/>
              </w:rPr>
            </w:pPr>
            <w:r w:rsidRPr="00FC66CF">
              <w:rPr>
                <w:lang w:val="en-US"/>
              </w:rPr>
              <w:t>4,333</w:t>
            </w:r>
          </w:p>
        </w:tc>
      </w:tr>
      <w:tr w:rsidR="00E96996" w:rsidRPr="00FC66CF" w:rsidTr="001F7E3E">
        <w:trPr>
          <w:trHeight w:val="227"/>
        </w:trPr>
        <w:tc>
          <w:tcPr>
            <w:tcW w:w="5368" w:type="dxa"/>
            <w:shd w:val="clear" w:color="auto" w:fill="auto"/>
            <w:noWrap/>
            <w:vAlign w:val="bottom"/>
            <w:hideMark/>
          </w:tcPr>
          <w:p w:rsidR="00E96996" w:rsidRPr="00FC66CF" w:rsidRDefault="00E96996" w:rsidP="00E96996">
            <w:pPr>
              <w:pStyle w:val="TableText0"/>
              <w:rPr>
                <w:lang w:val="en-US"/>
              </w:rPr>
            </w:pPr>
            <w:r w:rsidRPr="00FC66CF">
              <w:rPr>
                <w:lang w:val="en-US"/>
              </w:rPr>
              <w:t xml:space="preserve">Percentage </w:t>
            </w:r>
            <w:r>
              <w:rPr>
                <w:lang w:val="en-US"/>
              </w:rPr>
              <w:t>of left-sided malignancies (75%)</w:t>
            </w:r>
          </w:p>
        </w:tc>
        <w:tc>
          <w:tcPr>
            <w:tcW w:w="1275" w:type="dxa"/>
            <w:shd w:val="clear" w:color="auto" w:fill="auto"/>
            <w:noWrap/>
            <w:vAlign w:val="bottom"/>
            <w:hideMark/>
          </w:tcPr>
          <w:p w:rsidR="00E96996" w:rsidRPr="00FC66CF" w:rsidRDefault="00E96996" w:rsidP="0082017C">
            <w:pPr>
              <w:pStyle w:val="TableText0"/>
              <w:jc w:val="right"/>
              <w:rPr>
                <w:lang w:val="en-US"/>
              </w:rPr>
            </w:pPr>
            <w:r w:rsidRPr="00FC66CF">
              <w:rPr>
                <w:lang w:val="en-US"/>
              </w:rPr>
              <w:t>896</w:t>
            </w:r>
            <w:r>
              <w:rPr>
                <w:lang w:val="en-US"/>
              </w:rPr>
              <w:t xml:space="preserve"> </w:t>
            </w:r>
          </w:p>
        </w:tc>
        <w:tc>
          <w:tcPr>
            <w:tcW w:w="1560" w:type="dxa"/>
            <w:shd w:val="clear" w:color="auto" w:fill="auto"/>
            <w:noWrap/>
            <w:vAlign w:val="bottom"/>
            <w:hideMark/>
          </w:tcPr>
          <w:p w:rsidR="00E96996" w:rsidRPr="00FC66CF" w:rsidRDefault="00E96996" w:rsidP="0082017C">
            <w:pPr>
              <w:pStyle w:val="TableText0"/>
              <w:jc w:val="right"/>
              <w:rPr>
                <w:lang w:val="en-US"/>
              </w:rPr>
            </w:pPr>
            <w:r w:rsidRPr="00FC66CF">
              <w:rPr>
                <w:lang w:val="en-US"/>
              </w:rPr>
              <w:t>3,249</w:t>
            </w:r>
            <w:r>
              <w:rPr>
                <w:lang w:val="en-US"/>
              </w:rPr>
              <w:t xml:space="preserve"> </w:t>
            </w:r>
          </w:p>
        </w:tc>
      </w:tr>
      <w:tr w:rsidR="00ED4333" w:rsidRPr="00FC66CF" w:rsidTr="001F7E3E">
        <w:trPr>
          <w:trHeight w:val="227"/>
        </w:trPr>
        <w:tc>
          <w:tcPr>
            <w:tcW w:w="5368" w:type="dxa"/>
            <w:shd w:val="clear" w:color="auto" w:fill="auto"/>
            <w:noWrap/>
            <w:vAlign w:val="bottom"/>
            <w:hideMark/>
          </w:tcPr>
          <w:p w:rsidR="00ED4333" w:rsidRPr="00FC66CF" w:rsidRDefault="00ED4333" w:rsidP="00A720CB">
            <w:pPr>
              <w:pStyle w:val="TableText0"/>
              <w:rPr>
                <w:lang w:val="en-US"/>
              </w:rPr>
            </w:pPr>
            <w:r w:rsidRPr="00FC66CF">
              <w:rPr>
                <w:lang w:val="en-US"/>
              </w:rPr>
              <w:t>Percentage eligible for curative surgery (</w:t>
            </w:r>
            <w:r w:rsidR="00511134">
              <w:rPr>
                <w:lang w:val="en-US"/>
              </w:rPr>
              <w:t>single-stage</w:t>
            </w:r>
            <w:r w:rsidRPr="00FC66CF">
              <w:rPr>
                <w:lang w:val="en-US"/>
              </w:rPr>
              <w:t>) (50%)</w:t>
            </w:r>
          </w:p>
        </w:tc>
        <w:tc>
          <w:tcPr>
            <w:tcW w:w="1275" w:type="dxa"/>
            <w:shd w:val="clear" w:color="auto" w:fill="auto"/>
            <w:noWrap/>
            <w:vAlign w:val="bottom"/>
            <w:hideMark/>
          </w:tcPr>
          <w:p w:rsidR="00ED4333" w:rsidRPr="00FC66CF" w:rsidRDefault="00ED4333" w:rsidP="00017327">
            <w:pPr>
              <w:pStyle w:val="TableText0"/>
              <w:jc w:val="right"/>
              <w:rPr>
                <w:lang w:val="en-US"/>
              </w:rPr>
            </w:pPr>
            <w:r w:rsidRPr="00FC66CF">
              <w:rPr>
                <w:lang w:val="en-US"/>
              </w:rPr>
              <w:t>448</w:t>
            </w:r>
          </w:p>
        </w:tc>
        <w:tc>
          <w:tcPr>
            <w:tcW w:w="1560" w:type="dxa"/>
            <w:shd w:val="clear" w:color="auto" w:fill="auto"/>
            <w:noWrap/>
            <w:vAlign w:val="bottom"/>
            <w:hideMark/>
          </w:tcPr>
          <w:p w:rsidR="00ED4333" w:rsidRPr="00FC66CF" w:rsidRDefault="00ED4333" w:rsidP="00017327">
            <w:pPr>
              <w:pStyle w:val="TableText0"/>
              <w:jc w:val="right"/>
              <w:rPr>
                <w:lang w:val="en-US"/>
              </w:rPr>
            </w:pPr>
            <w:r w:rsidRPr="00FC66CF">
              <w:rPr>
                <w:lang w:val="en-US"/>
              </w:rPr>
              <w:t>1,625</w:t>
            </w:r>
          </w:p>
        </w:tc>
      </w:tr>
      <w:tr w:rsidR="00ED4333" w:rsidRPr="00FC66CF" w:rsidTr="001F7E3E">
        <w:trPr>
          <w:trHeight w:val="227"/>
        </w:trPr>
        <w:tc>
          <w:tcPr>
            <w:tcW w:w="5368" w:type="dxa"/>
            <w:shd w:val="clear" w:color="auto" w:fill="auto"/>
            <w:noWrap/>
            <w:vAlign w:val="bottom"/>
            <w:hideMark/>
          </w:tcPr>
          <w:p w:rsidR="00ED4333" w:rsidRPr="00FC66CF" w:rsidRDefault="00ED4333" w:rsidP="00A720CB">
            <w:pPr>
              <w:pStyle w:val="TableText0"/>
              <w:rPr>
                <w:b/>
                <w:bCs/>
                <w:lang w:val="en-US"/>
              </w:rPr>
            </w:pPr>
            <w:r w:rsidRPr="00FC66CF">
              <w:rPr>
                <w:b/>
                <w:bCs/>
                <w:lang w:val="en-US"/>
              </w:rPr>
              <w:t>Estimated patients for palliative treatment (30%)</w:t>
            </w:r>
          </w:p>
        </w:tc>
        <w:tc>
          <w:tcPr>
            <w:tcW w:w="1275" w:type="dxa"/>
            <w:shd w:val="clear" w:color="auto" w:fill="auto"/>
            <w:noWrap/>
            <w:vAlign w:val="bottom"/>
            <w:hideMark/>
          </w:tcPr>
          <w:p w:rsidR="00ED4333" w:rsidRPr="00FC66CF" w:rsidRDefault="00ED4333" w:rsidP="00017327">
            <w:pPr>
              <w:pStyle w:val="TableText0"/>
              <w:jc w:val="right"/>
              <w:rPr>
                <w:b/>
                <w:bCs/>
                <w:lang w:val="en-US"/>
              </w:rPr>
            </w:pPr>
            <w:r w:rsidRPr="00FC66CF">
              <w:rPr>
                <w:b/>
                <w:bCs/>
                <w:lang w:val="en-US"/>
              </w:rPr>
              <w:t>134</w:t>
            </w:r>
          </w:p>
        </w:tc>
        <w:tc>
          <w:tcPr>
            <w:tcW w:w="1560" w:type="dxa"/>
            <w:shd w:val="clear" w:color="auto" w:fill="auto"/>
            <w:noWrap/>
            <w:vAlign w:val="bottom"/>
            <w:hideMark/>
          </w:tcPr>
          <w:p w:rsidR="00ED4333" w:rsidRPr="00FC66CF" w:rsidRDefault="00ED4333" w:rsidP="00017327">
            <w:pPr>
              <w:pStyle w:val="TableText0"/>
              <w:jc w:val="right"/>
              <w:rPr>
                <w:b/>
                <w:bCs/>
                <w:lang w:val="en-US"/>
              </w:rPr>
            </w:pPr>
            <w:r w:rsidRPr="00FC66CF">
              <w:rPr>
                <w:b/>
                <w:bCs/>
                <w:lang w:val="en-US"/>
              </w:rPr>
              <w:t>487</w:t>
            </w:r>
          </w:p>
        </w:tc>
      </w:tr>
      <w:tr w:rsidR="00ED4333" w:rsidRPr="00FC66CF" w:rsidTr="001F7E3E">
        <w:trPr>
          <w:trHeight w:val="227"/>
        </w:trPr>
        <w:tc>
          <w:tcPr>
            <w:tcW w:w="5368" w:type="dxa"/>
            <w:shd w:val="clear" w:color="auto" w:fill="auto"/>
            <w:noWrap/>
            <w:vAlign w:val="bottom"/>
            <w:hideMark/>
          </w:tcPr>
          <w:p w:rsidR="00ED4333" w:rsidRPr="00FC66CF" w:rsidRDefault="00ED4333" w:rsidP="00A720CB">
            <w:pPr>
              <w:pStyle w:val="TableText0"/>
              <w:rPr>
                <w:b/>
                <w:bCs/>
                <w:lang w:val="en-US"/>
              </w:rPr>
            </w:pPr>
            <w:r w:rsidRPr="00FC66CF">
              <w:rPr>
                <w:b/>
                <w:bCs/>
                <w:lang w:val="en-US"/>
              </w:rPr>
              <w:t xml:space="preserve">Estimated patients fit for surgery (bridge to surgery) </w:t>
            </w:r>
          </w:p>
        </w:tc>
        <w:tc>
          <w:tcPr>
            <w:tcW w:w="1275" w:type="dxa"/>
            <w:shd w:val="clear" w:color="auto" w:fill="auto"/>
            <w:noWrap/>
            <w:vAlign w:val="bottom"/>
            <w:hideMark/>
          </w:tcPr>
          <w:p w:rsidR="00ED4333" w:rsidRPr="00FC66CF" w:rsidRDefault="00ED4333" w:rsidP="00017327">
            <w:pPr>
              <w:pStyle w:val="TableText0"/>
              <w:jc w:val="right"/>
              <w:rPr>
                <w:b/>
                <w:bCs/>
                <w:lang w:val="en-US"/>
              </w:rPr>
            </w:pPr>
            <w:r w:rsidRPr="00FC66CF">
              <w:rPr>
                <w:b/>
                <w:bCs/>
                <w:lang w:val="en-US"/>
              </w:rPr>
              <w:t>314</w:t>
            </w:r>
          </w:p>
        </w:tc>
        <w:tc>
          <w:tcPr>
            <w:tcW w:w="1560" w:type="dxa"/>
            <w:shd w:val="clear" w:color="auto" w:fill="auto"/>
            <w:noWrap/>
            <w:vAlign w:val="bottom"/>
            <w:hideMark/>
          </w:tcPr>
          <w:p w:rsidR="00ED4333" w:rsidRPr="00FC66CF" w:rsidRDefault="00ED4333" w:rsidP="00017327">
            <w:pPr>
              <w:pStyle w:val="TableText0"/>
              <w:jc w:val="right"/>
              <w:rPr>
                <w:b/>
                <w:bCs/>
                <w:lang w:val="en-US"/>
              </w:rPr>
            </w:pPr>
            <w:r w:rsidRPr="00FC66CF">
              <w:rPr>
                <w:b/>
                <w:bCs/>
                <w:lang w:val="en-US"/>
              </w:rPr>
              <w:t>1,137</w:t>
            </w:r>
          </w:p>
        </w:tc>
      </w:tr>
    </w:tbl>
    <w:p w:rsidR="00ED4333" w:rsidRPr="00FC66CF" w:rsidRDefault="00ED4333" w:rsidP="00ED4333">
      <w:pPr>
        <w:tabs>
          <w:tab w:val="left" w:pos="720"/>
          <w:tab w:val="left" w:pos="1140"/>
        </w:tabs>
        <w:spacing w:before="120" w:after="0"/>
        <w:rPr>
          <w:rFonts w:ascii="Arial" w:hAnsi="Arial" w:cs="Arial"/>
          <w:color w:val="3366FF"/>
          <w:szCs w:val="24"/>
        </w:rPr>
      </w:pPr>
    </w:p>
    <w:p w:rsidR="00ED4333" w:rsidRPr="00FC66CF" w:rsidRDefault="00ED4333" w:rsidP="00ED4333">
      <w:r w:rsidRPr="00FC66CF">
        <w:lastRenderedPageBreak/>
        <w:t xml:space="preserve">It was estimated that most patients would only receive one SEMS placement procedure. However a small proportion of patients (&lt;10%) </w:t>
      </w:r>
      <w:r w:rsidR="007D7AEE">
        <w:t>could</w:t>
      </w:r>
      <w:r w:rsidR="007D7AEE" w:rsidRPr="00FC66CF">
        <w:t xml:space="preserve"> </w:t>
      </w:r>
      <w:r w:rsidRPr="00FC66CF">
        <w:t>require re-stenting because of stent failure, re-obstruction or migration of the initial stent insertion.</w:t>
      </w:r>
    </w:p>
    <w:p w:rsidR="00ED4333" w:rsidRPr="00FC66CF" w:rsidRDefault="00ED4333" w:rsidP="00B01E21">
      <w:pPr>
        <w:pStyle w:val="Heading4"/>
      </w:pPr>
      <w:r w:rsidRPr="00FC66CF">
        <w:t xml:space="preserve">Patients fit for </w:t>
      </w:r>
      <w:r w:rsidR="00DF03CC">
        <w:t>multi-stage</w:t>
      </w:r>
      <w:r w:rsidRPr="00FC66CF">
        <w:t xml:space="preserve"> surgery</w:t>
      </w:r>
    </w:p>
    <w:p w:rsidR="00B01E21" w:rsidRDefault="00ED4333" w:rsidP="00B01E21">
      <w:pPr>
        <w:pStyle w:val="Heading5"/>
      </w:pPr>
      <w:r w:rsidRPr="00FC66CF">
        <w:t>For pat</w:t>
      </w:r>
      <w:r w:rsidR="00B01E21">
        <w:t>ients requiring palliative SEMS</w:t>
      </w:r>
      <w:r w:rsidRPr="00FC66CF">
        <w:t xml:space="preserve"> </w:t>
      </w:r>
    </w:p>
    <w:p w:rsidR="00ED4333" w:rsidRPr="00FC66CF" w:rsidRDefault="00ED4333" w:rsidP="00ED4333">
      <w:pPr>
        <w:rPr>
          <w:b/>
        </w:rPr>
      </w:pPr>
      <w:r w:rsidRPr="00FC66CF">
        <w:t xml:space="preserve">The overall average cost of a SEMS versus a palliative colostomy is presented in </w:t>
      </w:r>
      <w:r w:rsidR="00A720CB">
        <w:fldChar w:fldCharType="begin"/>
      </w:r>
      <w:r w:rsidR="00A720CB">
        <w:instrText xml:space="preserve"> REF _Ref324934491 \h </w:instrText>
      </w:r>
      <w:r w:rsidR="00A720CB">
        <w:fldChar w:fldCharType="separate"/>
      </w:r>
      <w:r w:rsidR="0071544A">
        <w:t xml:space="preserve">Table </w:t>
      </w:r>
      <w:r w:rsidR="0071544A">
        <w:rPr>
          <w:noProof/>
        </w:rPr>
        <w:t>8</w:t>
      </w:r>
      <w:r w:rsidR="00A720CB">
        <w:fldChar w:fldCharType="end"/>
      </w:r>
      <w:r w:rsidR="00A720CB">
        <w:t xml:space="preserve"> </w:t>
      </w:r>
      <w:r w:rsidRPr="00FC66CF">
        <w:t xml:space="preserve"> (allowing for stent failures, complications and palliation costs)</w:t>
      </w:r>
      <w:r w:rsidR="00A720CB">
        <w:t>.</w:t>
      </w:r>
    </w:p>
    <w:p w:rsidR="00ED4333" w:rsidRPr="00FC66CF" w:rsidRDefault="00A720CB" w:rsidP="00A720CB">
      <w:pPr>
        <w:pStyle w:val="Caption"/>
      </w:pPr>
      <w:bookmarkStart w:id="33" w:name="_Ref324934491"/>
      <w:bookmarkStart w:id="34" w:name="_Toc327522052"/>
      <w:r>
        <w:t xml:space="preserve">Table </w:t>
      </w:r>
      <w:fldSimple w:instr=" SEQ Table \* ARABIC ">
        <w:r w:rsidR="0071544A">
          <w:rPr>
            <w:noProof/>
          </w:rPr>
          <w:t>8</w:t>
        </w:r>
      </w:fldSimple>
      <w:bookmarkEnd w:id="33"/>
      <w:r w:rsidR="00ED4333" w:rsidRPr="00FC66CF">
        <w:tab/>
        <w:t xml:space="preserve">Estimated total costs of SEMS versus </w:t>
      </w:r>
      <w:r w:rsidR="004C0C4B">
        <w:t>c</w:t>
      </w:r>
      <w:r w:rsidR="00ED4333" w:rsidRPr="00FC66CF">
        <w:t>olostomy (palliation)</w:t>
      </w:r>
      <w:bookmarkEnd w:id="34"/>
    </w:p>
    <w:tbl>
      <w:tblPr>
        <w:tblW w:w="6408" w:type="dxa"/>
        <w:tblInd w:w="720" w:type="dxa"/>
        <w:tblBorders>
          <w:top w:val="single" w:sz="12" w:space="0" w:color="auto"/>
          <w:bottom w:val="single" w:sz="12" w:space="0" w:color="auto"/>
        </w:tblBorders>
        <w:tblLook w:val="04A0" w:firstRow="1" w:lastRow="0" w:firstColumn="1" w:lastColumn="0" w:noHBand="0" w:noVBand="1"/>
      </w:tblPr>
      <w:tblGrid>
        <w:gridCol w:w="3438"/>
        <w:gridCol w:w="1440"/>
        <w:gridCol w:w="1530"/>
      </w:tblGrid>
      <w:tr w:rsidR="00ED4333" w:rsidRPr="00FC66CF" w:rsidTr="001F7E3E">
        <w:trPr>
          <w:trHeight w:val="227"/>
        </w:trPr>
        <w:tc>
          <w:tcPr>
            <w:tcW w:w="3438" w:type="dxa"/>
            <w:tcBorders>
              <w:top w:val="single" w:sz="12" w:space="0" w:color="auto"/>
              <w:bottom w:val="single" w:sz="4" w:space="0" w:color="auto"/>
            </w:tcBorders>
            <w:shd w:val="clear" w:color="auto" w:fill="auto"/>
            <w:noWrap/>
            <w:vAlign w:val="bottom"/>
            <w:hideMark/>
          </w:tcPr>
          <w:p w:rsidR="00ED4333" w:rsidRPr="00D416B5" w:rsidRDefault="00ED4333" w:rsidP="001F7E3E">
            <w:pPr>
              <w:pStyle w:val="TableHeading"/>
              <w:jc w:val="right"/>
              <w:rPr>
                <w:lang w:val="en-US" w:eastAsia="en-US"/>
              </w:rPr>
            </w:pPr>
          </w:p>
        </w:tc>
        <w:tc>
          <w:tcPr>
            <w:tcW w:w="1440" w:type="dxa"/>
            <w:tcBorders>
              <w:top w:val="single" w:sz="12" w:space="0" w:color="auto"/>
              <w:bottom w:val="single" w:sz="4" w:space="0" w:color="auto"/>
            </w:tcBorders>
            <w:shd w:val="clear" w:color="auto" w:fill="auto"/>
            <w:noWrap/>
            <w:vAlign w:val="bottom"/>
            <w:hideMark/>
          </w:tcPr>
          <w:p w:rsidR="00ED4333" w:rsidRPr="00D416B5" w:rsidRDefault="00ED4333" w:rsidP="001F7E3E">
            <w:pPr>
              <w:pStyle w:val="TableHeading"/>
              <w:jc w:val="right"/>
              <w:rPr>
                <w:lang w:val="en-US" w:eastAsia="en-US"/>
              </w:rPr>
            </w:pPr>
            <w:r w:rsidRPr="00D416B5">
              <w:rPr>
                <w:lang w:val="en-US" w:eastAsia="en-US"/>
              </w:rPr>
              <w:t>SEMS</w:t>
            </w:r>
          </w:p>
        </w:tc>
        <w:tc>
          <w:tcPr>
            <w:tcW w:w="1530" w:type="dxa"/>
            <w:tcBorders>
              <w:top w:val="single" w:sz="12" w:space="0" w:color="auto"/>
              <w:bottom w:val="single" w:sz="4" w:space="0" w:color="auto"/>
            </w:tcBorders>
            <w:shd w:val="clear" w:color="auto" w:fill="auto"/>
            <w:noWrap/>
            <w:vAlign w:val="bottom"/>
            <w:hideMark/>
          </w:tcPr>
          <w:p w:rsidR="00ED4333" w:rsidRPr="00D416B5" w:rsidRDefault="00ED4333" w:rsidP="001F7E3E">
            <w:pPr>
              <w:pStyle w:val="TableHeading"/>
              <w:jc w:val="right"/>
              <w:rPr>
                <w:lang w:val="en-US" w:eastAsia="en-US"/>
              </w:rPr>
            </w:pPr>
            <w:r w:rsidRPr="00D416B5">
              <w:rPr>
                <w:lang w:val="en-US" w:eastAsia="en-US"/>
              </w:rPr>
              <w:t>Colostomy</w:t>
            </w:r>
          </w:p>
        </w:tc>
      </w:tr>
      <w:tr w:rsidR="00ED4333" w:rsidRPr="00FC66CF" w:rsidTr="001F7E3E">
        <w:trPr>
          <w:trHeight w:val="227"/>
        </w:trPr>
        <w:tc>
          <w:tcPr>
            <w:tcW w:w="3438" w:type="dxa"/>
            <w:tcBorders>
              <w:top w:val="single" w:sz="4" w:space="0" w:color="auto"/>
            </w:tcBorders>
            <w:shd w:val="clear" w:color="auto" w:fill="auto"/>
            <w:noWrap/>
            <w:vAlign w:val="bottom"/>
            <w:hideMark/>
          </w:tcPr>
          <w:p w:rsidR="00ED4333" w:rsidRPr="00FC66CF" w:rsidRDefault="00ED4333" w:rsidP="001F7E3E">
            <w:pPr>
              <w:pStyle w:val="TableText0"/>
              <w:rPr>
                <w:lang w:val="en-US"/>
              </w:rPr>
            </w:pPr>
            <w:r w:rsidRPr="00FC66CF">
              <w:rPr>
                <w:lang w:val="en-US"/>
              </w:rPr>
              <w:t>Consumables</w:t>
            </w:r>
          </w:p>
        </w:tc>
        <w:tc>
          <w:tcPr>
            <w:tcW w:w="1440" w:type="dxa"/>
            <w:tcBorders>
              <w:top w:val="single" w:sz="4" w:space="0" w:color="auto"/>
            </w:tcBorders>
            <w:shd w:val="clear" w:color="auto" w:fill="auto"/>
            <w:noWrap/>
            <w:vAlign w:val="bottom"/>
            <w:hideMark/>
          </w:tcPr>
          <w:p w:rsidR="00ED4333" w:rsidRPr="00FC66CF" w:rsidRDefault="00ED4333" w:rsidP="001F7E3E">
            <w:pPr>
              <w:pStyle w:val="TableText0"/>
              <w:jc w:val="right"/>
              <w:rPr>
                <w:lang w:val="en-US"/>
              </w:rPr>
            </w:pPr>
            <w:r w:rsidRPr="00FC66CF">
              <w:rPr>
                <w:lang w:val="en-US"/>
              </w:rPr>
              <w:t>$3,902</w:t>
            </w:r>
          </w:p>
        </w:tc>
        <w:tc>
          <w:tcPr>
            <w:tcW w:w="1530" w:type="dxa"/>
            <w:tcBorders>
              <w:top w:val="single" w:sz="4" w:space="0" w:color="auto"/>
            </w:tcBorders>
            <w:shd w:val="clear" w:color="auto" w:fill="auto"/>
            <w:noWrap/>
            <w:vAlign w:val="bottom"/>
            <w:hideMark/>
          </w:tcPr>
          <w:p w:rsidR="00ED4333" w:rsidRPr="00FC66CF" w:rsidRDefault="00ED4333" w:rsidP="001F7E3E">
            <w:pPr>
              <w:pStyle w:val="TableText0"/>
              <w:jc w:val="right"/>
              <w:rPr>
                <w:lang w:val="en-US"/>
              </w:rPr>
            </w:pPr>
            <w:r w:rsidRPr="00FC66CF">
              <w:rPr>
                <w:lang w:val="en-US"/>
              </w:rPr>
              <w:t>$690</w:t>
            </w:r>
          </w:p>
        </w:tc>
      </w:tr>
      <w:tr w:rsidR="00ED4333" w:rsidRPr="00FC66CF" w:rsidTr="001F7E3E">
        <w:trPr>
          <w:trHeight w:val="227"/>
        </w:trPr>
        <w:tc>
          <w:tcPr>
            <w:tcW w:w="3438" w:type="dxa"/>
            <w:shd w:val="clear" w:color="auto" w:fill="auto"/>
            <w:noWrap/>
            <w:vAlign w:val="bottom"/>
            <w:hideMark/>
          </w:tcPr>
          <w:p w:rsidR="00ED4333" w:rsidRPr="00FC66CF" w:rsidRDefault="00ED4333" w:rsidP="001F7E3E">
            <w:pPr>
              <w:pStyle w:val="TableText0"/>
              <w:rPr>
                <w:lang w:val="en-US"/>
              </w:rPr>
            </w:pPr>
            <w:r w:rsidRPr="00FC66CF">
              <w:rPr>
                <w:lang w:val="en-US"/>
              </w:rPr>
              <w:t xml:space="preserve">MBS </w:t>
            </w:r>
            <w:r w:rsidR="003617AD">
              <w:rPr>
                <w:lang w:val="en-US"/>
              </w:rPr>
              <w:t>i</w:t>
            </w:r>
            <w:r w:rsidRPr="00FC66CF">
              <w:rPr>
                <w:lang w:val="en-US"/>
              </w:rPr>
              <w:t>tems &amp; hospital fees</w:t>
            </w:r>
          </w:p>
        </w:tc>
        <w:tc>
          <w:tcPr>
            <w:tcW w:w="1440" w:type="dxa"/>
            <w:shd w:val="clear" w:color="auto" w:fill="auto"/>
            <w:noWrap/>
            <w:vAlign w:val="bottom"/>
            <w:hideMark/>
          </w:tcPr>
          <w:p w:rsidR="00ED4333" w:rsidRPr="00FC66CF" w:rsidRDefault="00ED4333" w:rsidP="001F7E3E">
            <w:pPr>
              <w:pStyle w:val="TableText0"/>
              <w:jc w:val="right"/>
              <w:rPr>
                <w:lang w:val="en-US"/>
              </w:rPr>
            </w:pPr>
            <w:r w:rsidRPr="00FC66CF">
              <w:rPr>
                <w:lang w:val="en-US"/>
              </w:rPr>
              <w:t>$9,659</w:t>
            </w:r>
          </w:p>
        </w:tc>
        <w:tc>
          <w:tcPr>
            <w:tcW w:w="1530" w:type="dxa"/>
            <w:shd w:val="clear" w:color="auto" w:fill="auto"/>
            <w:noWrap/>
            <w:vAlign w:val="bottom"/>
            <w:hideMark/>
          </w:tcPr>
          <w:p w:rsidR="00ED4333" w:rsidRPr="00FC66CF" w:rsidRDefault="00ED4333" w:rsidP="001F7E3E">
            <w:pPr>
              <w:pStyle w:val="TableText0"/>
              <w:jc w:val="right"/>
              <w:rPr>
                <w:lang w:val="en-US"/>
              </w:rPr>
            </w:pPr>
            <w:r w:rsidRPr="00FC66CF">
              <w:rPr>
                <w:lang w:val="en-US"/>
              </w:rPr>
              <w:t>$11,285</w:t>
            </w:r>
          </w:p>
        </w:tc>
      </w:tr>
      <w:tr w:rsidR="00ED4333" w:rsidRPr="00FC66CF" w:rsidTr="001F7E3E">
        <w:trPr>
          <w:trHeight w:val="227"/>
        </w:trPr>
        <w:tc>
          <w:tcPr>
            <w:tcW w:w="3438" w:type="dxa"/>
            <w:shd w:val="clear" w:color="auto" w:fill="auto"/>
            <w:noWrap/>
            <w:vAlign w:val="bottom"/>
            <w:hideMark/>
          </w:tcPr>
          <w:p w:rsidR="00ED4333" w:rsidRPr="00FC66CF" w:rsidRDefault="00ED4333" w:rsidP="001F7E3E">
            <w:pPr>
              <w:pStyle w:val="TableText0"/>
              <w:rPr>
                <w:lang w:val="en-US"/>
              </w:rPr>
            </w:pPr>
            <w:r w:rsidRPr="00FC66CF">
              <w:rPr>
                <w:lang w:val="en-US"/>
              </w:rPr>
              <w:t>Patient/insurer costs</w:t>
            </w:r>
          </w:p>
        </w:tc>
        <w:tc>
          <w:tcPr>
            <w:tcW w:w="1440" w:type="dxa"/>
            <w:shd w:val="clear" w:color="auto" w:fill="auto"/>
            <w:noWrap/>
            <w:vAlign w:val="bottom"/>
            <w:hideMark/>
          </w:tcPr>
          <w:p w:rsidR="00ED4333" w:rsidRPr="00FC66CF" w:rsidRDefault="00ED4333" w:rsidP="001F7E3E">
            <w:pPr>
              <w:pStyle w:val="TableText0"/>
              <w:jc w:val="right"/>
              <w:rPr>
                <w:lang w:val="en-US"/>
              </w:rPr>
            </w:pPr>
            <w:r w:rsidRPr="00FC66CF">
              <w:rPr>
                <w:lang w:val="en-US"/>
              </w:rPr>
              <w:t>$4,248</w:t>
            </w:r>
          </w:p>
        </w:tc>
        <w:tc>
          <w:tcPr>
            <w:tcW w:w="1530" w:type="dxa"/>
            <w:shd w:val="clear" w:color="auto" w:fill="auto"/>
            <w:noWrap/>
            <w:vAlign w:val="bottom"/>
            <w:hideMark/>
          </w:tcPr>
          <w:p w:rsidR="00ED4333" w:rsidRPr="00FC66CF" w:rsidRDefault="00ED4333" w:rsidP="001F7E3E">
            <w:pPr>
              <w:pStyle w:val="TableText0"/>
              <w:jc w:val="right"/>
              <w:rPr>
                <w:lang w:val="en-US"/>
              </w:rPr>
            </w:pPr>
            <w:r w:rsidRPr="00FC66CF">
              <w:rPr>
                <w:lang w:val="en-US"/>
              </w:rPr>
              <w:t>$8,541</w:t>
            </w:r>
          </w:p>
        </w:tc>
      </w:tr>
      <w:tr w:rsidR="00ED4333" w:rsidRPr="00FC66CF" w:rsidTr="001F7E3E">
        <w:trPr>
          <w:trHeight w:val="227"/>
        </w:trPr>
        <w:tc>
          <w:tcPr>
            <w:tcW w:w="3438" w:type="dxa"/>
            <w:shd w:val="clear" w:color="auto" w:fill="auto"/>
            <w:noWrap/>
            <w:vAlign w:val="bottom"/>
            <w:hideMark/>
          </w:tcPr>
          <w:p w:rsidR="00ED4333" w:rsidRPr="00FC66CF" w:rsidRDefault="00ED4333" w:rsidP="001F7E3E">
            <w:pPr>
              <w:pStyle w:val="TableText0"/>
              <w:rPr>
                <w:b/>
                <w:bCs/>
                <w:lang w:val="en-US"/>
              </w:rPr>
            </w:pPr>
            <w:r w:rsidRPr="00FC66CF">
              <w:rPr>
                <w:b/>
                <w:bCs/>
                <w:lang w:val="en-US"/>
              </w:rPr>
              <w:t>Total post-operative</w:t>
            </w:r>
          </w:p>
        </w:tc>
        <w:tc>
          <w:tcPr>
            <w:tcW w:w="1440" w:type="dxa"/>
            <w:shd w:val="clear" w:color="auto" w:fill="auto"/>
            <w:noWrap/>
            <w:vAlign w:val="bottom"/>
            <w:hideMark/>
          </w:tcPr>
          <w:p w:rsidR="00ED4333" w:rsidRPr="00FC66CF" w:rsidRDefault="00ED4333" w:rsidP="001F7E3E">
            <w:pPr>
              <w:pStyle w:val="TableText0"/>
              <w:jc w:val="right"/>
              <w:rPr>
                <w:b/>
                <w:bCs/>
                <w:lang w:val="en-US"/>
              </w:rPr>
            </w:pPr>
            <w:r w:rsidRPr="00FC66CF">
              <w:rPr>
                <w:b/>
                <w:bCs/>
                <w:lang w:val="en-US"/>
              </w:rPr>
              <w:t>$17,809</w:t>
            </w:r>
          </w:p>
        </w:tc>
        <w:tc>
          <w:tcPr>
            <w:tcW w:w="1530" w:type="dxa"/>
            <w:shd w:val="clear" w:color="auto" w:fill="auto"/>
            <w:noWrap/>
            <w:vAlign w:val="bottom"/>
            <w:hideMark/>
          </w:tcPr>
          <w:p w:rsidR="00ED4333" w:rsidRPr="00FC66CF" w:rsidRDefault="00ED4333" w:rsidP="001F7E3E">
            <w:pPr>
              <w:pStyle w:val="TableText0"/>
              <w:jc w:val="right"/>
              <w:rPr>
                <w:b/>
                <w:bCs/>
                <w:lang w:val="en-US"/>
              </w:rPr>
            </w:pPr>
            <w:r w:rsidRPr="00FC66CF">
              <w:rPr>
                <w:b/>
                <w:bCs/>
                <w:lang w:val="en-US"/>
              </w:rPr>
              <w:t>$20,516</w:t>
            </w:r>
          </w:p>
        </w:tc>
      </w:tr>
    </w:tbl>
    <w:p w:rsidR="00800B87" w:rsidRDefault="00576A26" w:rsidP="001F7E3E">
      <w:pPr>
        <w:pStyle w:val="TableNotes"/>
      </w:pPr>
      <w:r>
        <w:t xml:space="preserve">SEMS: </w:t>
      </w:r>
      <w:r w:rsidR="00D3398A">
        <w:t>S</w:t>
      </w:r>
      <w:r>
        <w:t>elf-expanding metallic stent</w:t>
      </w:r>
      <w:r w:rsidR="0026112F">
        <w:t>.</w:t>
      </w:r>
    </w:p>
    <w:p w:rsidR="00B01E21" w:rsidRDefault="00ED4333" w:rsidP="00B01E21">
      <w:pPr>
        <w:pStyle w:val="Heading5"/>
      </w:pPr>
      <w:r w:rsidRPr="00FC66CF">
        <w:t>For patients requir</w:t>
      </w:r>
      <w:r w:rsidR="00B01E21">
        <w:t>ing SEMS as a bridge</w:t>
      </w:r>
      <w:r w:rsidR="003617AD">
        <w:t xml:space="preserve"> </w:t>
      </w:r>
      <w:r w:rsidR="00B01E21">
        <w:t>to</w:t>
      </w:r>
      <w:r w:rsidR="003617AD">
        <w:t xml:space="preserve"> </w:t>
      </w:r>
      <w:r w:rsidR="00B01E21">
        <w:t>surgery</w:t>
      </w:r>
      <w:r w:rsidRPr="00FC66CF">
        <w:t xml:space="preserve">  </w:t>
      </w:r>
    </w:p>
    <w:p w:rsidR="00ED4333" w:rsidRPr="00FC66CF" w:rsidRDefault="00ED4333" w:rsidP="00ED4333">
      <w:pPr>
        <w:rPr>
          <w:b/>
        </w:rPr>
      </w:pPr>
      <w:r w:rsidRPr="00FC66CF">
        <w:t xml:space="preserve">The total average costs for SEMS versus </w:t>
      </w:r>
      <w:r w:rsidR="00DF03CC">
        <w:t>multi-stage</w:t>
      </w:r>
      <w:r w:rsidRPr="00FC66CF">
        <w:t xml:space="preserve"> </w:t>
      </w:r>
      <w:r w:rsidR="00A720CB">
        <w:t xml:space="preserve">surgery is summarised in </w:t>
      </w:r>
      <w:r w:rsidR="00A720CB">
        <w:fldChar w:fldCharType="begin"/>
      </w:r>
      <w:r w:rsidR="00A720CB">
        <w:instrText xml:space="preserve"> REF _Ref324934556 \h </w:instrText>
      </w:r>
      <w:r w:rsidR="00A720CB">
        <w:fldChar w:fldCharType="separate"/>
      </w:r>
      <w:r w:rsidR="0071544A">
        <w:t xml:space="preserve">Table </w:t>
      </w:r>
      <w:r w:rsidR="0071544A">
        <w:rPr>
          <w:noProof/>
        </w:rPr>
        <w:t>9</w:t>
      </w:r>
      <w:r w:rsidR="00A720CB">
        <w:fldChar w:fldCharType="end"/>
      </w:r>
      <w:r w:rsidRPr="00FC66CF">
        <w:t>. These costs include those patients who would receive a resection with primary anastomosis after receiving a SEMS as bridge</w:t>
      </w:r>
      <w:r w:rsidR="003617AD">
        <w:t xml:space="preserve"> </w:t>
      </w:r>
      <w:r w:rsidRPr="00FC66CF">
        <w:t>to</w:t>
      </w:r>
      <w:r w:rsidR="003617AD">
        <w:t xml:space="preserve"> </w:t>
      </w:r>
      <w:r w:rsidRPr="00FC66CF">
        <w:t xml:space="preserve">surgery and also any re-stenting or </w:t>
      </w:r>
      <w:r w:rsidR="00DF03CC">
        <w:t>multi-stage</w:t>
      </w:r>
      <w:r w:rsidRPr="00FC66CF">
        <w:t xml:space="preserve"> surgeries due to a stent failure. The costs also include a proportion of patients who received palliation. </w:t>
      </w:r>
    </w:p>
    <w:p w:rsidR="00ED4333" w:rsidRPr="00FC66CF" w:rsidRDefault="00A720CB" w:rsidP="00A720CB">
      <w:pPr>
        <w:pStyle w:val="Caption"/>
        <w:rPr>
          <w:b w:val="0"/>
        </w:rPr>
      </w:pPr>
      <w:bookmarkStart w:id="35" w:name="_Ref324934556"/>
      <w:bookmarkStart w:id="36" w:name="_Toc327522053"/>
      <w:r>
        <w:t xml:space="preserve">Table </w:t>
      </w:r>
      <w:fldSimple w:instr=" SEQ Table \* ARABIC ">
        <w:r w:rsidR="0071544A">
          <w:rPr>
            <w:noProof/>
          </w:rPr>
          <w:t>9</w:t>
        </w:r>
      </w:fldSimple>
      <w:bookmarkEnd w:id="35"/>
      <w:r w:rsidR="00ED4333" w:rsidRPr="00FC66CF">
        <w:rPr>
          <w:b w:val="0"/>
        </w:rPr>
        <w:tab/>
      </w:r>
      <w:r w:rsidR="00ED4333" w:rsidRPr="00A720CB">
        <w:t xml:space="preserve">Estimated total costs of SEMS versus </w:t>
      </w:r>
      <w:r w:rsidR="00DF03CC">
        <w:t>multi-stage</w:t>
      </w:r>
      <w:r w:rsidR="00ED4333" w:rsidRPr="00A720CB">
        <w:t xml:space="preserve"> surgery</w:t>
      </w:r>
      <w:bookmarkEnd w:id="36"/>
    </w:p>
    <w:tbl>
      <w:tblPr>
        <w:tblW w:w="6362" w:type="dxa"/>
        <w:tblInd w:w="720" w:type="dxa"/>
        <w:tblBorders>
          <w:top w:val="single" w:sz="12" w:space="0" w:color="auto"/>
          <w:bottom w:val="single" w:sz="12" w:space="0" w:color="auto"/>
        </w:tblBorders>
        <w:tblLook w:val="04A0" w:firstRow="1" w:lastRow="0" w:firstColumn="1" w:lastColumn="0" w:noHBand="0" w:noVBand="1"/>
      </w:tblPr>
      <w:tblGrid>
        <w:gridCol w:w="3068"/>
        <w:gridCol w:w="1559"/>
        <w:gridCol w:w="1735"/>
      </w:tblGrid>
      <w:tr w:rsidR="00ED4333" w:rsidRPr="00FC66CF" w:rsidTr="001F7E3E">
        <w:trPr>
          <w:trHeight w:val="227"/>
        </w:trPr>
        <w:tc>
          <w:tcPr>
            <w:tcW w:w="3068" w:type="dxa"/>
            <w:tcBorders>
              <w:top w:val="single" w:sz="12" w:space="0" w:color="auto"/>
              <w:bottom w:val="single" w:sz="4" w:space="0" w:color="auto"/>
            </w:tcBorders>
            <w:shd w:val="clear" w:color="auto" w:fill="auto"/>
            <w:noWrap/>
            <w:vAlign w:val="bottom"/>
            <w:hideMark/>
          </w:tcPr>
          <w:p w:rsidR="00ED4333" w:rsidRPr="00FC66CF" w:rsidRDefault="00ED4333" w:rsidP="00017327">
            <w:pPr>
              <w:pStyle w:val="TableHeading"/>
              <w:rPr>
                <w:color w:val="000000"/>
                <w:szCs w:val="18"/>
                <w:lang w:val="en-US" w:eastAsia="en-US"/>
              </w:rPr>
            </w:pPr>
            <w:r w:rsidRPr="00FC66CF">
              <w:tab/>
            </w:r>
          </w:p>
        </w:tc>
        <w:tc>
          <w:tcPr>
            <w:tcW w:w="1559" w:type="dxa"/>
            <w:tcBorders>
              <w:top w:val="single" w:sz="12" w:space="0" w:color="auto"/>
              <w:bottom w:val="single" w:sz="4" w:space="0" w:color="auto"/>
            </w:tcBorders>
            <w:shd w:val="clear" w:color="auto" w:fill="auto"/>
            <w:noWrap/>
            <w:vAlign w:val="bottom"/>
            <w:hideMark/>
          </w:tcPr>
          <w:p w:rsidR="00ED4333" w:rsidRPr="00FC66CF" w:rsidRDefault="00ED4333" w:rsidP="00017327">
            <w:pPr>
              <w:pStyle w:val="TableHeading"/>
              <w:jc w:val="right"/>
              <w:rPr>
                <w:color w:val="000000"/>
                <w:szCs w:val="18"/>
                <w:lang w:val="en-US" w:eastAsia="en-US"/>
              </w:rPr>
            </w:pPr>
            <w:r w:rsidRPr="00FC66CF">
              <w:rPr>
                <w:color w:val="000000"/>
                <w:szCs w:val="18"/>
                <w:lang w:val="en-US" w:eastAsia="en-US"/>
              </w:rPr>
              <w:t>SEMS</w:t>
            </w:r>
          </w:p>
        </w:tc>
        <w:tc>
          <w:tcPr>
            <w:tcW w:w="1735" w:type="dxa"/>
            <w:tcBorders>
              <w:top w:val="single" w:sz="12" w:space="0" w:color="auto"/>
              <w:bottom w:val="single" w:sz="4" w:space="0" w:color="auto"/>
            </w:tcBorders>
            <w:shd w:val="clear" w:color="auto" w:fill="auto"/>
            <w:noWrap/>
            <w:vAlign w:val="bottom"/>
            <w:hideMark/>
          </w:tcPr>
          <w:p w:rsidR="00ED4333" w:rsidRPr="00FC66CF" w:rsidRDefault="00DF03CC" w:rsidP="00017327">
            <w:pPr>
              <w:pStyle w:val="TableHeading"/>
              <w:jc w:val="right"/>
              <w:rPr>
                <w:color w:val="000000"/>
                <w:szCs w:val="18"/>
                <w:lang w:val="en-US" w:eastAsia="en-US"/>
              </w:rPr>
            </w:pPr>
            <w:r>
              <w:rPr>
                <w:color w:val="000000"/>
                <w:szCs w:val="18"/>
                <w:lang w:val="en-US" w:eastAsia="en-US"/>
              </w:rPr>
              <w:t>Multi-stage</w:t>
            </w:r>
            <w:r w:rsidR="00ED4333" w:rsidRPr="00FC66CF">
              <w:rPr>
                <w:color w:val="000000"/>
                <w:szCs w:val="18"/>
                <w:lang w:val="en-US" w:eastAsia="en-US"/>
              </w:rPr>
              <w:t xml:space="preserve"> surgery</w:t>
            </w:r>
          </w:p>
        </w:tc>
      </w:tr>
      <w:tr w:rsidR="00ED4333" w:rsidRPr="00FC66CF" w:rsidTr="001F7E3E">
        <w:trPr>
          <w:trHeight w:val="227"/>
        </w:trPr>
        <w:tc>
          <w:tcPr>
            <w:tcW w:w="3068" w:type="dxa"/>
            <w:tcBorders>
              <w:top w:val="single" w:sz="4" w:space="0" w:color="auto"/>
            </w:tcBorders>
            <w:shd w:val="clear" w:color="auto" w:fill="auto"/>
            <w:noWrap/>
            <w:vAlign w:val="bottom"/>
            <w:hideMark/>
          </w:tcPr>
          <w:p w:rsidR="00ED4333" w:rsidRPr="00FC66CF" w:rsidRDefault="00ED4333" w:rsidP="00017327">
            <w:pPr>
              <w:pStyle w:val="TableText0"/>
              <w:rPr>
                <w:lang w:val="en-US"/>
              </w:rPr>
            </w:pPr>
            <w:r w:rsidRPr="00FC66CF">
              <w:rPr>
                <w:lang w:val="en-US"/>
              </w:rPr>
              <w:t>Consumables</w:t>
            </w:r>
          </w:p>
        </w:tc>
        <w:tc>
          <w:tcPr>
            <w:tcW w:w="1559" w:type="dxa"/>
            <w:tcBorders>
              <w:top w:val="single" w:sz="4" w:space="0" w:color="auto"/>
            </w:tcBorders>
            <w:shd w:val="clear" w:color="auto" w:fill="auto"/>
            <w:noWrap/>
            <w:vAlign w:val="bottom"/>
            <w:hideMark/>
          </w:tcPr>
          <w:p w:rsidR="00ED4333" w:rsidRPr="00FC66CF" w:rsidRDefault="00ED4333" w:rsidP="00017327">
            <w:pPr>
              <w:pStyle w:val="TableText0"/>
              <w:jc w:val="right"/>
              <w:rPr>
                <w:lang w:val="en-US"/>
              </w:rPr>
            </w:pPr>
            <w:r w:rsidRPr="000F3C8B">
              <w:rPr>
                <w:lang w:val="en-AU"/>
              </w:rPr>
              <w:t>$5,211</w:t>
            </w:r>
          </w:p>
        </w:tc>
        <w:tc>
          <w:tcPr>
            <w:tcW w:w="1735" w:type="dxa"/>
            <w:tcBorders>
              <w:top w:val="single" w:sz="4" w:space="0" w:color="auto"/>
            </w:tcBorders>
            <w:shd w:val="clear" w:color="auto" w:fill="auto"/>
            <w:noWrap/>
            <w:vAlign w:val="bottom"/>
            <w:hideMark/>
          </w:tcPr>
          <w:p w:rsidR="00ED4333" w:rsidRPr="00FC66CF" w:rsidRDefault="00ED4333" w:rsidP="00017327">
            <w:pPr>
              <w:pStyle w:val="TableText0"/>
              <w:jc w:val="right"/>
              <w:rPr>
                <w:lang w:val="en-US"/>
              </w:rPr>
            </w:pPr>
            <w:r w:rsidRPr="000F3C8B">
              <w:rPr>
                <w:lang w:val="en-AU"/>
              </w:rPr>
              <w:t>$1,908</w:t>
            </w:r>
          </w:p>
        </w:tc>
      </w:tr>
      <w:tr w:rsidR="00ED4333" w:rsidRPr="00FC66CF" w:rsidTr="001F7E3E">
        <w:trPr>
          <w:trHeight w:val="227"/>
        </w:trPr>
        <w:tc>
          <w:tcPr>
            <w:tcW w:w="3068" w:type="dxa"/>
            <w:shd w:val="clear" w:color="auto" w:fill="auto"/>
            <w:noWrap/>
            <w:vAlign w:val="bottom"/>
            <w:hideMark/>
          </w:tcPr>
          <w:p w:rsidR="00ED4333" w:rsidRPr="00FC66CF" w:rsidRDefault="00ED4333" w:rsidP="003617AD">
            <w:pPr>
              <w:pStyle w:val="TableText0"/>
              <w:rPr>
                <w:lang w:val="en-US"/>
              </w:rPr>
            </w:pPr>
            <w:r w:rsidRPr="00FC66CF">
              <w:rPr>
                <w:lang w:val="en-US"/>
              </w:rPr>
              <w:t xml:space="preserve">MBS </w:t>
            </w:r>
            <w:r w:rsidR="003617AD">
              <w:rPr>
                <w:lang w:val="en-US"/>
              </w:rPr>
              <w:t>i</w:t>
            </w:r>
            <w:r w:rsidRPr="00FC66CF">
              <w:rPr>
                <w:lang w:val="en-US"/>
              </w:rPr>
              <w:t>tems &amp; hospital fees</w:t>
            </w:r>
          </w:p>
        </w:tc>
        <w:tc>
          <w:tcPr>
            <w:tcW w:w="1559" w:type="dxa"/>
            <w:shd w:val="clear" w:color="auto" w:fill="auto"/>
            <w:noWrap/>
            <w:vAlign w:val="bottom"/>
            <w:hideMark/>
          </w:tcPr>
          <w:p w:rsidR="00ED4333" w:rsidRPr="00FC66CF" w:rsidRDefault="00ED4333" w:rsidP="00017327">
            <w:pPr>
              <w:pStyle w:val="TableText0"/>
              <w:jc w:val="right"/>
              <w:rPr>
                <w:lang w:val="en-US"/>
              </w:rPr>
            </w:pPr>
            <w:r w:rsidRPr="000F3C8B">
              <w:rPr>
                <w:lang w:val="en-AU"/>
              </w:rPr>
              <w:t>$9,848</w:t>
            </w:r>
          </w:p>
        </w:tc>
        <w:tc>
          <w:tcPr>
            <w:tcW w:w="1735" w:type="dxa"/>
            <w:shd w:val="clear" w:color="auto" w:fill="auto"/>
            <w:noWrap/>
            <w:vAlign w:val="bottom"/>
            <w:hideMark/>
          </w:tcPr>
          <w:p w:rsidR="00ED4333" w:rsidRPr="00FC66CF" w:rsidRDefault="00ED4333" w:rsidP="00017327">
            <w:pPr>
              <w:pStyle w:val="TableText0"/>
              <w:jc w:val="right"/>
              <w:rPr>
                <w:lang w:val="en-US"/>
              </w:rPr>
            </w:pPr>
            <w:r w:rsidRPr="000F3C8B">
              <w:rPr>
                <w:lang w:val="en-AU"/>
              </w:rPr>
              <w:t>$11,852</w:t>
            </w:r>
          </w:p>
        </w:tc>
      </w:tr>
      <w:tr w:rsidR="00ED4333" w:rsidRPr="00FC66CF" w:rsidTr="001F7E3E">
        <w:trPr>
          <w:trHeight w:val="227"/>
        </w:trPr>
        <w:tc>
          <w:tcPr>
            <w:tcW w:w="3068" w:type="dxa"/>
            <w:shd w:val="clear" w:color="auto" w:fill="auto"/>
            <w:noWrap/>
            <w:vAlign w:val="bottom"/>
            <w:hideMark/>
          </w:tcPr>
          <w:p w:rsidR="00ED4333" w:rsidRPr="00FC66CF" w:rsidRDefault="00ED4333" w:rsidP="003617AD">
            <w:pPr>
              <w:pStyle w:val="TableText0"/>
              <w:rPr>
                <w:lang w:val="en-US"/>
              </w:rPr>
            </w:pPr>
            <w:r w:rsidRPr="00FC66CF">
              <w:rPr>
                <w:lang w:val="en-US"/>
              </w:rPr>
              <w:t>Patient/insurer costs</w:t>
            </w:r>
          </w:p>
        </w:tc>
        <w:tc>
          <w:tcPr>
            <w:tcW w:w="1559" w:type="dxa"/>
            <w:shd w:val="clear" w:color="auto" w:fill="auto"/>
            <w:noWrap/>
            <w:vAlign w:val="bottom"/>
            <w:hideMark/>
          </w:tcPr>
          <w:p w:rsidR="00ED4333" w:rsidRPr="00FC66CF" w:rsidRDefault="00ED4333" w:rsidP="00017327">
            <w:pPr>
              <w:pStyle w:val="TableText0"/>
              <w:jc w:val="right"/>
              <w:rPr>
                <w:lang w:val="en-US"/>
              </w:rPr>
            </w:pPr>
            <w:r w:rsidRPr="000F3C8B">
              <w:rPr>
                <w:lang w:val="en-AU"/>
              </w:rPr>
              <w:t>$14,670</w:t>
            </w:r>
          </w:p>
        </w:tc>
        <w:tc>
          <w:tcPr>
            <w:tcW w:w="1735" w:type="dxa"/>
            <w:shd w:val="clear" w:color="auto" w:fill="auto"/>
            <w:noWrap/>
            <w:vAlign w:val="bottom"/>
            <w:hideMark/>
          </w:tcPr>
          <w:p w:rsidR="00ED4333" w:rsidRPr="00FC66CF" w:rsidRDefault="00ED4333" w:rsidP="00017327">
            <w:pPr>
              <w:pStyle w:val="TableText0"/>
              <w:jc w:val="right"/>
              <w:rPr>
                <w:lang w:val="en-US"/>
              </w:rPr>
            </w:pPr>
            <w:r w:rsidRPr="000F3C8B">
              <w:rPr>
                <w:lang w:val="en-AU"/>
              </w:rPr>
              <w:t>$16,409</w:t>
            </w:r>
          </w:p>
        </w:tc>
      </w:tr>
      <w:tr w:rsidR="00ED4333" w:rsidRPr="00FC66CF" w:rsidTr="001F7E3E">
        <w:trPr>
          <w:trHeight w:val="227"/>
        </w:trPr>
        <w:tc>
          <w:tcPr>
            <w:tcW w:w="3068" w:type="dxa"/>
            <w:shd w:val="clear" w:color="auto" w:fill="auto"/>
            <w:noWrap/>
            <w:vAlign w:val="bottom"/>
            <w:hideMark/>
          </w:tcPr>
          <w:p w:rsidR="00ED4333" w:rsidRPr="00FC66CF" w:rsidRDefault="00ED4333" w:rsidP="00017327">
            <w:pPr>
              <w:pStyle w:val="TableText0"/>
              <w:rPr>
                <w:b/>
                <w:bCs/>
                <w:lang w:val="en-US"/>
              </w:rPr>
            </w:pPr>
            <w:r w:rsidRPr="00FC66CF">
              <w:rPr>
                <w:b/>
                <w:bCs/>
                <w:lang w:val="en-US"/>
              </w:rPr>
              <w:t>Total post-operative</w:t>
            </w:r>
          </w:p>
        </w:tc>
        <w:tc>
          <w:tcPr>
            <w:tcW w:w="1559" w:type="dxa"/>
            <w:shd w:val="clear" w:color="auto" w:fill="auto"/>
            <w:noWrap/>
            <w:vAlign w:val="bottom"/>
            <w:hideMark/>
          </w:tcPr>
          <w:p w:rsidR="00ED4333" w:rsidRPr="00FC66CF" w:rsidRDefault="00ED4333" w:rsidP="00017327">
            <w:pPr>
              <w:pStyle w:val="TableText0"/>
              <w:jc w:val="right"/>
              <w:rPr>
                <w:b/>
                <w:bCs/>
                <w:lang w:val="en-US"/>
              </w:rPr>
            </w:pPr>
            <w:r w:rsidRPr="000F3C8B">
              <w:rPr>
                <w:b/>
                <w:bCs/>
                <w:lang w:val="en-AU"/>
              </w:rPr>
              <w:t>$29,729</w:t>
            </w:r>
          </w:p>
        </w:tc>
        <w:tc>
          <w:tcPr>
            <w:tcW w:w="1735" w:type="dxa"/>
            <w:shd w:val="clear" w:color="auto" w:fill="auto"/>
            <w:noWrap/>
            <w:vAlign w:val="bottom"/>
            <w:hideMark/>
          </w:tcPr>
          <w:p w:rsidR="00ED4333" w:rsidRPr="00FC66CF" w:rsidRDefault="00ED4333" w:rsidP="00017327">
            <w:pPr>
              <w:pStyle w:val="TableText0"/>
              <w:jc w:val="right"/>
              <w:rPr>
                <w:b/>
                <w:bCs/>
                <w:lang w:val="en-US"/>
              </w:rPr>
            </w:pPr>
            <w:r w:rsidRPr="000F3C8B">
              <w:rPr>
                <w:b/>
                <w:bCs/>
                <w:lang w:val="en-AU"/>
              </w:rPr>
              <w:t>$30,169</w:t>
            </w:r>
          </w:p>
        </w:tc>
      </w:tr>
    </w:tbl>
    <w:p w:rsidR="00C4664B" w:rsidRDefault="00576A26" w:rsidP="001F7E3E">
      <w:pPr>
        <w:pStyle w:val="TableNotes"/>
      </w:pPr>
      <w:r w:rsidRPr="00576A26">
        <w:t xml:space="preserve">SEMS: </w:t>
      </w:r>
      <w:r w:rsidR="00D3398A" w:rsidRPr="00576A26">
        <w:t>S</w:t>
      </w:r>
      <w:r w:rsidRPr="00576A26">
        <w:t>elf-expanding metallic stent</w:t>
      </w:r>
      <w:r w:rsidR="00AA69D5" w:rsidRPr="00AA69D5">
        <w:t>; MBS: Medicare Benefits Schedule</w:t>
      </w:r>
      <w:r w:rsidR="0026112F">
        <w:t>.</w:t>
      </w:r>
    </w:p>
    <w:p w:rsidR="00B01E21" w:rsidRDefault="00ED4333" w:rsidP="00017327">
      <w:pPr>
        <w:pStyle w:val="Heading4"/>
      </w:pPr>
      <w:r w:rsidRPr="00FC66CF">
        <w:t xml:space="preserve">Patients unfit for </w:t>
      </w:r>
      <w:r w:rsidR="00DF03CC">
        <w:t>multi-stage</w:t>
      </w:r>
      <w:r w:rsidRPr="00FC66CF">
        <w:t xml:space="preserve"> surgery </w:t>
      </w:r>
    </w:p>
    <w:p w:rsidR="00ED4333" w:rsidRPr="00FC66CF" w:rsidRDefault="00ED4333" w:rsidP="00017327">
      <w:pPr>
        <w:tabs>
          <w:tab w:val="left" w:pos="720"/>
          <w:tab w:val="left" w:pos="1140"/>
        </w:tabs>
      </w:pPr>
      <w:r w:rsidRPr="00017327">
        <w:t>The total average</w:t>
      </w:r>
      <w:r w:rsidRPr="00FC66CF">
        <w:t xml:space="preserve"> cost of a SEMS versus palliation (best supportive care) is presented in</w:t>
      </w:r>
      <w:r w:rsidR="00017327">
        <w:t xml:space="preserve"> </w:t>
      </w:r>
      <w:r w:rsidR="00017327">
        <w:fldChar w:fldCharType="begin"/>
      </w:r>
      <w:r w:rsidR="00017327">
        <w:instrText xml:space="preserve"> REF _Ref324934795 \h </w:instrText>
      </w:r>
      <w:r w:rsidR="00017327">
        <w:fldChar w:fldCharType="separate"/>
      </w:r>
      <w:r w:rsidR="0071544A" w:rsidRPr="00E67106">
        <w:t xml:space="preserve">Table </w:t>
      </w:r>
      <w:r w:rsidR="0071544A">
        <w:rPr>
          <w:noProof/>
        </w:rPr>
        <w:t>10</w:t>
      </w:r>
      <w:r w:rsidR="00017327">
        <w:fldChar w:fldCharType="end"/>
      </w:r>
      <w:r w:rsidRPr="00FC66CF">
        <w:t>. The average costs do not take into account any costs for deaths due to the procedure or re-</w:t>
      </w:r>
      <w:r w:rsidR="00197117" w:rsidRPr="00FC66CF">
        <w:t>stent</w:t>
      </w:r>
      <w:r w:rsidR="00197117">
        <w:t>ing</w:t>
      </w:r>
      <w:r w:rsidRPr="00FC66CF">
        <w:t xml:space="preserve">. </w:t>
      </w:r>
    </w:p>
    <w:p w:rsidR="00ED4333" w:rsidRPr="00E67106" w:rsidRDefault="00017327" w:rsidP="00E67106">
      <w:pPr>
        <w:pStyle w:val="Caption"/>
      </w:pPr>
      <w:bookmarkStart w:id="37" w:name="_Ref324934795"/>
      <w:bookmarkStart w:id="38" w:name="_Toc327522054"/>
      <w:r w:rsidRPr="00E67106">
        <w:t xml:space="preserve">Table </w:t>
      </w:r>
      <w:fldSimple w:instr=" SEQ Table \* ARABIC ">
        <w:r w:rsidR="0071544A">
          <w:rPr>
            <w:noProof/>
          </w:rPr>
          <w:t>10</w:t>
        </w:r>
      </w:fldSimple>
      <w:bookmarkEnd w:id="37"/>
      <w:r w:rsidR="00ED4333" w:rsidRPr="00E67106">
        <w:tab/>
        <w:t>Estimated total costs of SEMS versus palliation only (BSC)</w:t>
      </w:r>
      <w:bookmarkEnd w:id="38"/>
    </w:p>
    <w:tbl>
      <w:tblPr>
        <w:tblW w:w="6998" w:type="dxa"/>
        <w:tblInd w:w="720" w:type="dxa"/>
        <w:tblBorders>
          <w:top w:val="single" w:sz="12" w:space="0" w:color="auto"/>
          <w:bottom w:val="single" w:sz="12" w:space="0" w:color="auto"/>
        </w:tblBorders>
        <w:tblLook w:val="04A0" w:firstRow="1" w:lastRow="0" w:firstColumn="1" w:lastColumn="0" w:noHBand="0" w:noVBand="1"/>
      </w:tblPr>
      <w:tblGrid>
        <w:gridCol w:w="3328"/>
        <w:gridCol w:w="1559"/>
        <w:gridCol w:w="2111"/>
      </w:tblGrid>
      <w:tr w:rsidR="00ED4333" w:rsidRPr="00FC66CF" w:rsidTr="00CB5216">
        <w:trPr>
          <w:trHeight w:val="227"/>
        </w:trPr>
        <w:tc>
          <w:tcPr>
            <w:tcW w:w="3328" w:type="dxa"/>
            <w:tcBorders>
              <w:top w:val="single" w:sz="12" w:space="0" w:color="auto"/>
              <w:bottom w:val="single" w:sz="4" w:space="0" w:color="auto"/>
            </w:tcBorders>
            <w:shd w:val="clear" w:color="auto" w:fill="auto"/>
            <w:noWrap/>
            <w:vAlign w:val="bottom"/>
            <w:hideMark/>
          </w:tcPr>
          <w:p w:rsidR="00ED4333" w:rsidRPr="00197117" w:rsidRDefault="00ED4333" w:rsidP="00197117">
            <w:pPr>
              <w:pStyle w:val="TableHeading"/>
              <w:jc w:val="right"/>
              <w:rPr>
                <w:lang w:val="en-US" w:eastAsia="en-US"/>
              </w:rPr>
            </w:pPr>
            <w:r w:rsidRPr="00197117">
              <w:rPr>
                <w:lang w:val="en-US" w:eastAsia="en-US"/>
              </w:rPr>
              <w:tab/>
            </w:r>
          </w:p>
        </w:tc>
        <w:tc>
          <w:tcPr>
            <w:tcW w:w="1559" w:type="dxa"/>
            <w:tcBorders>
              <w:top w:val="single" w:sz="12" w:space="0" w:color="auto"/>
              <w:bottom w:val="single" w:sz="4" w:space="0" w:color="auto"/>
            </w:tcBorders>
            <w:shd w:val="clear" w:color="auto" w:fill="auto"/>
            <w:noWrap/>
            <w:vAlign w:val="bottom"/>
            <w:hideMark/>
          </w:tcPr>
          <w:p w:rsidR="00ED4333" w:rsidRPr="00197117" w:rsidRDefault="00ED4333" w:rsidP="00197117">
            <w:pPr>
              <w:pStyle w:val="TableHeading"/>
              <w:jc w:val="right"/>
              <w:rPr>
                <w:lang w:val="en-US" w:eastAsia="en-US"/>
              </w:rPr>
            </w:pPr>
            <w:r w:rsidRPr="00197117">
              <w:rPr>
                <w:lang w:val="en-US" w:eastAsia="en-US"/>
              </w:rPr>
              <w:t>SEMS</w:t>
            </w:r>
          </w:p>
        </w:tc>
        <w:tc>
          <w:tcPr>
            <w:tcW w:w="2111" w:type="dxa"/>
            <w:tcBorders>
              <w:top w:val="single" w:sz="12" w:space="0" w:color="auto"/>
              <w:bottom w:val="single" w:sz="4" w:space="0" w:color="auto"/>
            </w:tcBorders>
            <w:shd w:val="clear" w:color="auto" w:fill="auto"/>
            <w:noWrap/>
            <w:vAlign w:val="bottom"/>
            <w:hideMark/>
          </w:tcPr>
          <w:p w:rsidR="00ED4333" w:rsidRPr="00197117" w:rsidRDefault="00ED4333" w:rsidP="00197117">
            <w:pPr>
              <w:pStyle w:val="TableHeading"/>
              <w:jc w:val="right"/>
              <w:rPr>
                <w:lang w:val="en-US" w:eastAsia="en-US"/>
              </w:rPr>
            </w:pPr>
            <w:r w:rsidRPr="00197117">
              <w:rPr>
                <w:lang w:val="en-US" w:eastAsia="en-US"/>
              </w:rPr>
              <w:t>Palliation only (BSC)</w:t>
            </w:r>
          </w:p>
        </w:tc>
      </w:tr>
      <w:tr w:rsidR="00ED4333" w:rsidRPr="00FC66CF" w:rsidTr="00CB5216">
        <w:trPr>
          <w:trHeight w:val="227"/>
        </w:trPr>
        <w:tc>
          <w:tcPr>
            <w:tcW w:w="3328" w:type="dxa"/>
            <w:tcBorders>
              <w:top w:val="single" w:sz="4" w:space="0" w:color="auto"/>
            </w:tcBorders>
            <w:shd w:val="clear" w:color="auto" w:fill="auto"/>
            <w:noWrap/>
            <w:vAlign w:val="bottom"/>
            <w:hideMark/>
          </w:tcPr>
          <w:p w:rsidR="00ED4333" w:rsidRPr="00FC66CF" w:rsidRDefault="00ED4333" w:rsidP="00C4664B">
            <w:pPr>
              <w:pStyle w:val="TableText0"/>
              <w:rPr>
                <w:lang w:val="en-US"/>
              </w:rPr>
            </w:pPr>
            <w:r w:rsidRPr="00FC66CF">
              <w:rPr>
                <w:lang w:val="en-US"/>
              </w:rPr>
              <w:t>Consumables</w:t>
            </w:r>
          </w:p>
        </w:tc>
        <w:tc>
          <w:tcPr>
            <w:tcW w:w="1559" w:type="dxa"/>
            <w:tcBorders>
              <w:top w:val="single" w:sz="4" w:space="0" w:color="auto"/>
            </w:tcBorders>
            <w:shd w:val="clear" w:color="auto" w:fill="auto"/>
            <w:noWrap/>
            <w:vAlign w:val="bottom"/>
            <w:hideMark/>
          </w:tcPr>
          <w:p w:rsidR="00ED4333" w:rsidRPr="00FC66CF" w:rsidRDefault="00ED4333" w:rsidP="00C4664B">
            <w:pPr>
              <w:pStyle w:val="TableText0"/>
              <w:jc w:val="right"/>
              <w:rPr>
                <w:lang w:val="en-US"/>
              </w:rPr>
            </w:pPr>
            <w:r w:rsidRPr="000F3C8B">
              <w:rPr>
                <w:lang w:val="en-AU"/>
              </w:rPr>
              <w:t>$3,535</w:t>
            </w:r>
          </w:p>
        </w:tc>
        <w:tc>
          <w:tcPr>
            <w:tcW w:w="2111" w:type="dxa"/>
            <w:tcBorders>
              <w:top w:val="single" w:sz="4" w:space="0" w:color="auto"/>
            </w:tcBorders>
            <w:shd w:val="clear" w:color="auto" w:fill="auto"/>
            <w:noWrap/>
            <w:vAlign w:val="bottom"/>
            <w:hideMark/>
          </w:tcPr>
          <w:p w:rsidR="00ED4333" w:rsidRPr="00FC66CF" w:rsidRDefault="00ED4333" w:rsidP="00C4664B">
            <w:pPr>
              <w:pStyle w:val="TableText0"/>
              <w:jc w:val="right"/>
              <w:rPr>
                <w:lang w:val="en-US"/>
              </w:rPr>
            </w:pPr>
            <w:r w:rsidRPr="000F3C8B">
              <w:rPr>
                <w:lang w:val="en-AU"/>
              </w:rPr>
              <w:t>$0</w:t>
            </w:r>
          </w:p>
        </w:tc>
      </w:tr>
      <w:tr w:rsidR="00ED4333" w:rsidRPr="00FC66CF" w:rsidTr="00CB5216">
        <w:trPr>
          <w:trHeight w:val="227"/>
        </w:trPr>
        <w:tc>
          <w:tcPr>
            <w:tcW w:w="3328" w:type="dxa"/>
            <w:shd w:val="clear" w:color="auto" w:fill="auto"/>
            <w:noWrap/>
            <w:vAlign w:val="bottom"/>
            <w:hideMark/>
          </w:tcPr>
          <w:p w:rsidR="00ED4333" w:rsidRPr="00FC66CF" w:rsidRDefault="00ED4333" w:rsidP="003617AD">
            <w:pPr>
              <w:pStyle w:val="TableText0"/>
              <w:rPr>
                <w:lang w:val="en-US"/>
              </w:rPr>
            </w:pPr>
            <w:r w:rsidRPr="00FC66CF">
              <w:rPr>
                <w:lang w:val="en-US"/>
              </w:rPr>
              <w:t xml:space="preserve">MBS </w:t>
            </w:r>
            <w:r w:rsidR="003617AD">
              <w:rPr>
                <w:lang w:val="en-US"/>
              </w:rPr>
              <w:t>i</w:t>
            </w:r>
            <w:r w:rsidRPr="00FC66CF">
              <w:rPr>
                <w:lang w:val="en-US"/>
              </w:rPr>
              <w:t>tems &amp; hospital fees</w:t>
            </w:r>
          </w:p>
        </w:tc>
        <w:tc>
          <w:tcPr>
            <w:tcW w:w="1559" w:type="dxa"/>
            <w:shd w:val="clear" w:color="auto" w:fill="auto"/>
            <w:noWrap/>
            <w:vAlign w:val="bottom"/>
            <w:hideMark/>
          </w:tcPr>
          <w:p w:rsidR="00ED4333" w:rsidRPr="00FC66CF" w:rsidRDefault="00ED4333" w:rsidP="00C4664B">
            <w:pPr>
              <w:pStyle w:val="TableText0"/>
              <w:jc w:val="right"/>
              <w:rPr>
                <w:lang w:val="en-US"/>
              </w:rPr>
            </w:pPr>
            <w:r w:rsidRPr="000F3C8B">
              <w:rPr>
                <w:lang w:val="en-AU"/>
              </w:rPr>
              <w:t>$2,988</w:t>
            </w:r>
          </w:p>
        </w:tc>
        <w:tc>
          <w:tcPr>
            <w:tcW w:w="2111" w:type="dxa"/>
            <w:shd w:val="clear" w:color="auto" w:fill="auto"/>
            <w:noWrap/>
            <w:vAlign w:val="bottom"/>
            <w:hideMark/>
          </w:tcPr>
          <w:p w:rsidR="00ED4333" w:rsidRPr="00FC66CF" w:rsidRDefault="00ED4333" w:rsidP="00C4664B">
            <w:pPr>
              <w:pStyle w:val="TableText0"/>
              <w:jc w:val="right"/>
              <w:rPr>
                <w:lang w:val="en-US"/>
              </w:rPr>
            </w:pPr>
            <w:r w:rsidRPr="00FC66CF">
              <w:rPr>
                <w:lang w:val="en-US"/>
              </w:rPr>
              <w:t>$963</w:t>
            </w:r>
          </w:p>
        </w:tc>
      </w:tr>
      <w:tr w:rsidR="00ED4333" w:rsidRPr="00FC66CF" w:rsidTr="00CB5216">
        <w:trPr>
          <w:trHeight w:val="227"/>
        </w:trPr>
        <w:tc>
          <w:tcPr>
            <w:tcW w:w="3328" w:type="dxa"/>
            <w:shd w:val="clear" w:color="auto" w:fill="auto"/>
            <w:noWrap/>
            <w:vAlign w:val="bottom"/>
            <w:hideMark/>
          </w:tcPr>
          <w:p w:rsidR="00ED4333" w:rsidRPr="00FC66CF" w:rsidRDefault="00ED4333" w:rsidP="00C4664B">
            <w:pPr>
              <w:pStyle w:val="TableText0"/>
              <w:rPr>
                <w:lang w:val="en-US"/>
              </w:rPr>
            </w:pPr>
            <w:r w:rsidRPr="00FC66CF">
              <w:rPr>
                <w:lang w:val="en-US"/>
              </w:rPr>
              <w:t>Patient/insurer costs</w:t>
            </w:r>
          </w:p>
        </w:tc>
        <w:tc>
          <w:tcPr>
            <w:tcW w:w="1559" w:type="dxa"/>
            <w:shd w:val="clear" w:color="auto" w:fill="auto"/>
            <w:noWrap/>
            <w:vAlign w:val="bottom"/>
            <w:hideMark/>
          </w:tcPr>
          <w:p w:rsidR="00ED4333" w:rsidRPr="00FC66CF" w:rsidRDefault="00ED4333" w:rsidP="00C4664B">
            <w:pPr>
              <w:pStyle w:val="TableText0"/>
              <w:jc w:val="right"/>
              <w:rPr>
                <w:lang w:val="en-US"/>
              </w:rPr>
            </w:pPr>
            <w:r w:rsidRPr="000F3C8B">
              <w:rPr>
                <w:lang w:val="en-AU"/>
              </w:rPr>
              <w:t>$4,817</w:t>
            </w:r>
          </w:p>
        </w:tc>
        <w:tc>
          <w:tcPr>
            <w:tcW w:w="2111" w:type="dxa"/>
            <w:shd w:val="clear" w:color="auto" w:fill="auto"/>
            <w:noWrap/>
            <w:vAlign w:val="bottom"/>
            <w:hideMark/>
          </w:tcPr>
          <w:p w:rsidR="00ED4333" w:rsidRPr="00FC66CF" w:rsidRDefault="00ED4333" w:rsidP="00C4664B">
            <w:pPr>
              <w:pStyle w:val="TableText0"/>
              <w:jc w:val="right"/>
              <w:rPr>
                <w:lang w:val="en-US"/>
              </w:rPr>
            </w:pPr>
            <w:r w:rsidRPr="000F3C8B">
              <w:rPr>
                <w:lang w:val="en-AU"/>
              </w:rPr>
              <w:t>$719</w:t>
            </w:r>
          </w:p>
        </w:tc>
      </w:tr>
      <w:tr w:rsidR="00ED4333" w:rsidRPr="00FC66CF" w:rsidTr="00CB5216">
        <w:trPr>
          <w:trHeight w:val="227"/>
        </w:trPr>
        <w:tc>
          <w:tcPr>
            <w:tcW w:w="3328" w:type="dxa"/>
            <w:shd w:val="clear" w:color="auto" w:fill="auto"/>
            <w:noWrap/>
            <w:vAlign w:val="bottom"/>
            <w:hideMark/>
          </w:tcPr>
          <w:p w:rsidR="00ED4333" w:rsidRPr="00FC66CF" w:rsidRDefault="00ED4333" w:rsidP="00C4664B">
            <w:pPr>
              <w:pStyle w:val="TableText0"/>
              <w:rPr>
                <w:bCs/>
                <w:lang w:val="en-US"/>
              </w:rPr>
            </w:pPr>
            <w:r w:rsidRPr="00FC66CF">
              <w:rPr>
                <w:bCs/>
                <w:lang w:val="en-US"/>
              </w:rPr>
              <w:t xml:space="preserve">Other </w:t>
            </w:r>
            <w:r w:rsidR="00065DCF">
              <w:rPr>
                <w:bCs/>
                <w:lang w:val="en-US"/>
              </w:rPr>
              <w:t>healthcare</w:t>
            </w:r>
            <w:r w:rsidRPr="00FC66CF">
              <w:rPr>
                <w:bCs/>
                <w:lang w:val="en-US"/>
              </w:rPr>
              <w:t xml:space="preserve"> costs (palliation)</w:t>
            </w:r>
          </w:p>
        </w:tc>
        <w:tc>
          <w:tcPr>
            <w:tcW w:w="1559" w:type="dxa"/>
            <w:shd w:val="clear" w:color="auto" w:fill="auto"/>
            <w:noWrap/>
            <w:vAlign w:val="bottom"/>
            <w:hideMark/>
          </w:tcPr>
          <w:p w:rsidR="00ED4333" w:rsidRPr="00FC66CF" w:rsidRDefault="00ED4333" w:rsidP="00C4664B">
            <w:pPr>
              <w:pStyle w:val="TableText0"/>
              <w:jc w:val="right"/>
              <w:rPr>
                <w:bCs/>
                <w:lang w:val="en-US"/>
              </w:rPr>
            </w:pPr>
            <w:r w:rsidRPr="00FC66CF">
              <w:rPr>
                <w:bCs/>
                <w:lang w:val="en-US"/>
              </w:rPr>
              <w:t>$6,073</w:t>
            </w:r>
          </w:p>
        </w:tc>
        <w:tc>
          <w:tcPr>
            <w:tcW w:w="2111" w:type="dxa"/>
            <w:shd w:val="clear" w:color="auto" w:fill="auto"/>
            <w:noWrap/>
            <w:vAlign w:val="bottom"/>
            <w:hideMark/>
          </w:tcPr>
          <w:p w:rsidR="00ED4333" w:rsidRPr="00FC66CF" w:rsidRDefault="00ED4333" w:rsidP="00C4664B">
            <w:pPr>
              <w:pStyle w:val="TableText0"/>
              <w:jc w:val="right"/>
              <w:rPr>
                <w:bCs/>
                <w:lang w:val="en-US"/>
              </w:rPr>
            </w:pPr>
            <w:r w:rsidRPr="00FC66CF">
              <w:rPr>
                <w:bCs/>
                <w:lang w:val="en-US"/>
              </w:rPr>
              <w:t>$6,073</w:t>
            </w:r>
          </w:p>
        </w:tc>
      </w:tr>
      <w:tr w:rsidR="00ED4333" w:rsidRPr="00FC66CF" w:rsidTr="00CB5216">
        <w:trPr>
          <w:trHeight w:val="227"/>
        </w:trPr>
        <w:tc>
          <w:tcPr>
            <w:tcW w:w="3328" w:type="dxa"/>
            <w:shd w:val="clear" w:color="auto" w:fill="auto"/>
            <w:noWrap/>
            <w:vAlign w:val="bottom"/>
            <w:hideMark/>
          </w:tcPr>
          <w:p w:rsidR="00ED4333" w:rsidRPr="00FC66CF" w:rsidRDefault="00ED4333" w:rsidP="00C4664B">
            <w:pPr>
              <w:pStyle w:val="TableText0"/>
              <w:rPr>
                <w:b/>
                <w:bCs/>
                <w:lang w:val="en-US"/>
              </w:rPr>
            </w:pPr>
            <w:r w:rsidRPr="00FC66CF">
              <w:rPr>
                <w:b/>
                <w:bCs/>
                <w:lang w:val="en-US"/>
              </w:rPr>
              <w:t>Total post-operative</w:t>
            </w:r>
          </w:p>
        </w:tc>
        <w:tc>
          <w:tcPr>
            <w:tcW w:w="1559" w:type="dxa"/>
            <w:shd w:val="clear" w:color="auto" w:fill="auto"/>
            <w:noWrap/>
            <w:vAlign w:val="bottom"/>
            <w:hideMark/>
          </w:tcPr>
          <w:p w:rsidR="00ED4333" w:rsidRPr="00FC66CF" w:rsidRDefault="00ED4333" w:rsidP="00C4664B">
            <w:pPr>
              <w:pStyle w:val="TableText0"/>
              <w:jc w:val="right"/>
              <w:rPr>
                <w:b/>
                <w:bCs/>
                <w:lang w:val="en-US"/>
              </w:rPr>
            </w:pPr>
            <w:r w:rsidRPr="00FC66CF">
              <w:rPr>
                <w:b/>
                <w:bCs/>
                <w:lang w:val="en-US"/>
              </w:rPr>
              <w:t>$17,413</w:t>
            </w:r>
          </w:p>
        </w:tc>
        <w:tc>
          <w:tcPr>
            <w:tcW w:w="2111" w:type="dxa"/>
            <w:shd w:val="clear" w:color="auto" w:fill="auto"/>
            <w:noWrap/>
            <w:vAlign w:val="bottom"/>
            <w:hideMark/>
          </w:tcPr>
          <w:p w:rsidR="00ED4333" w:rsidRPr="00FC66CF" w:rsidRDefault="00ED4333" w:rsidP="003617AD">
            <w:pPr>
              <w:pStyle w:val="TableText0"/>
              <w:jc w:val="right"/>
              <w:rPr>
                <w:b/>
                <w:bCs/>
                <w:lang w:val="en-US"/>
              </w:rPr>
            </w:pPr>
            <w:r w:rsidRPr="00FC66CF">
              <w:rPr>
                <w:b/>
                <w:bCs/>
                <w:lang w:val="en-US"/>
              </w:rPr>
              <w:t>$7,75</w:t>
            </w:r>
            <w:r w:rsidR="003617AD">
              <w:rPr>
                <w:b/>
                <w:bCs/>
                <w:lang w:val="en-US"/>
              </w:rPr>
              <w:t>5</w:t>
            </w:r>
          </w:p>
        </w:tc>
      </w:tr>
    </w:tbl>
    <w:p w:rsidR="00ED4333" w:rsidRPr="009A6B8C" w:rsidRDefault="00576A26" w:rsidP="0007443E">
      <w:pPr>
        <w:pStyle w:val="TableNotes"/>
      </w:pPr>
      <w:r w:rsidRPr="00576A26">
        <w:t xml:space="preserve">SEMS: </w:t>
      </w:r>
      <w:r w:rsidR="00D3398A" w:rsidRPr="00576A26">
        <w:t>S</w:t>
      </w:r>
      <w:r w:rsidRPr="00576A26">
        <w:t>elf-expanding metallic stent</w:t>
      </w:r>
      <w:r>
        <w:t>;</w:t>
      </w:r>
      <w:r w:rsidRPr="00576A26">
        <w:t xml:space="preserve"> </w:t>
      </w:r>
      <w:r w:rsidR="00ED4333" w:rsidRPr="009A6B8C">
        <w:t xml:space="preserve">BSC: </w:t>
      </w:r>
      <w:r w:rsidR="00D3398A" w:rsidRPr="009A6B8C">
        <w:t>B</w:t>
      </w:r>
      <w:r w:rsidR="00ED4333" w:rsidRPr="009A6B8C">
        <w:t>est supportive care</w:t>
      </w:r>
      <w:r w:rsidR="00AA69D5" w:rsidRPr="00AA69D5">
        <w:t>; MBS: Medicare Benefits Schedule</w:t>
      </w:r>
      <w:r w:rsidR="0026112F">
        <w:t>.</w:t>
      </w:r>
    </w:p>
    <w:p w:rsidR="00B01E21" w:rsidRDefault="00ED4333" w:rsidP="00B01E21">
      <w:pPr>
        <w:pStyle w:val="Heading5"/>
      </w:pPr>
      <w:r w:rsidRPr="00FC66CF">
        <w:lastRenderedPageBreak/>
        <w:t>For pat</w:t>
      </w:r>
      <w:r w:rsidR="00B01E21">
        <w:t>ients requiring palliative SEMS</w:t>
      </w:r>
    </w:p>
    <w:p w:rsidR="00ED4333" w:rsidRPr="00FC66CF" w:rsidRDefault="00C4664B" w:rsidP="00ED4333">
      <w:r>
        <w:fldChar w:fldCharType="begin"/>
      </w:r>
      <w:r>
        <w:instrText xml:space="preserve"> REF _Ref324937404 \h </w:instrText>
      </w:r>
      <w:r>
        <w:fldChar w:fldCharType="separate"/>
      </w:r>
      <w:r w:rsidR="0071544A">
        <w:t xml:space="preserve">Table </w:t>
      </w:r>
      <w:r w:rsidR="0071544A">
        <w:rPr>
          <w:noProof/>
        </w:rPr>
        <w:t>11</w:t>
      </w:r>
      <w:r>
        <w:fldChar w:fldCharType="end"/>
      </w:r>
      <w:r>
        <w:t xml:space="preserve"> </w:t>
      </w:r>
      <w:r w:rsidR="00ED4333" w:rsidRPr="00FC66CF">
        <w:t xml:space="preserve">and </w:t>
      </w:r>
      <w:r>
        <w:fldChar w:fldCharType="begin"/>
      </w:r>
      <w:r>
        <w:instrText xml:space="preserve"> REF _Ref324937418 \h </w:instrText>
      </w:r>
      <w:r>
        <w:fldChar w:fldCharType="separate"/>
      </w:r>
      <w:r w:rsidR="0071544A">
        <w:t xml:space="preserve">Table </w:t>
      </w:r>
      <w:r w:rsidR="0071544A">
        <w:rPr>
          <w:noProof/>
        </w:rPr>
        <w:t>12</w:t>
      </w:r>
      <w:r>
        <w:fldChar w:fldCharType="end"/>
      </w:r>
      <w:r>
        <w:t xml:space="preserve"> </w:t>
      </w:r>
      <w:r w:rsidR="00ED4333" w:rsidRPr="00FC66CF">
        <w:t xml:space="preserve">present the overall estimated impact of SEMS placement in lieu </w:t>
      </w:r>
      <w:r w:rsidR="00197117">
        <w:t>of</w:t>
      </w:r>
      <w:r w:rsidR="00197117" w:rsidRPr="00FC66CF">
        <w:t xml:space="preserve"> </w:t>
      </w:r>
      <w:r w:rsidR="00ED4333" w:rsidRPr="00FC66CF">
        <w:t xml:space="preserve">a palliative colostomy. If all patients who would have received palliative colostomy received a SEMS instead, the overall cost savings would be between $363,981 (lower estimate) and $1,319,430 (upper limit). </w:t>
      </w:r>
    </w:p>
    <w:p w:rsidR="00ED4333" w:rsidRPr="00FC66CF" w:rsidRDefault="00C4664B" w:rsidP="00C4664B">
      <w:pPr>
        <w:pStyle w:val="Caption"/>
      </w:pPr>
      <w:bookmarkStart w:id="39" w:name="_Ref324937404"/>
      <w:bookmarkStart w:id="40" w:name="_Toc327522055"/>
      <w:r>
        <w:t xml:space="preserve">Table </w:t>
      </w:r>
      <w:fldSimple w:instr=" SEQ Table \* ARABIC ">
        <w:r w:rsidR="0071544A">
          <w:rPr>
            <w:noProof/>
          </w:rPr>
          <w:t>11</w:t>
        </w:r>
      </w:fldSimple>
      <w:bookmarkEnd w:id="39"/>
      <w:r w:rsidR="00ED4333" w:rsidRPr="00FC66CF">
        <w:tab/>
        <w:t>Estimated total costs of SEMS versus palliative colostomy (lower limit)</w:t>
      </w:r>
      <w:bookmarkEnd w:id="40"/>
    </w:p>
    <w:tbl>
      <w:tblPr>
        <w:tblW w:w="7289" w:type="dxa"/>
        <w:tblInd w:w="720" w:type="dxa"/>
        <w:tblBorders>
          <w:top w:val="single" w:sz="12" w:space="0" w:color="auto"/>
          <w:bottom w:val="single" w:sz="12" w:space="0" w:color="auto"/>
        </w:tblBorders>
        <w:tblLook w:val="04A0" w:firstRow="1" w:lastRow="0" w:firstColumn="1" w:lastColumn="0" w:noHBand="0" w:noVBand="1"/>
      </w:tblPr>
      <w:tblGrid>
        <w:gridCol w:w="3689"/>
        <w:gridCol w:w="1620"/>
        <w:gridCol w:w="1980"/>
      </w:tblGrid>
      <w:tr w:rsidR="00ED4333" w:rsidRPr="00FC66CF" w:rsidTr="00CB5216">
        <w:trPr>
          <w:trHeight w:val="227"/>
        </w:trPr>
        <w:tc>
          <w:tcPr>
            <w:tcW w:w="3689" w:type="dxa"/>
            <w:tcBorders>
              <w:top w:val="single" w:sz="12" w:space="0" w:color="auto"/>
              <w:bottom w:val="single" w:sz="4" w:space="0" w:color="auto"/>
            </w:tcBorders>
            <w:shd w:val="clear" w:color="auto" w:fill="auto"/>
            <w:noWrap/>
            <w:vAlign w:val="bottom"/>
            <w:hideMark/>
          </w:tcPr>
          <w:p w:rsidR="00ED4333" w:rsidRPr="00FC66CF" w:rsidRDefault="00ED4333" w:rsidP="00ED4333">
            <w:pPr>
              <w:spacing w:after="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 </w:t>
            </w:r>
          </w:p>
        </w:tc>
        <w:tc>
          <w:tcPr>
            <w:tcW w:w="1620" w:type="dxa"/>
            <w:tcBorders>
              <w:top w:val="single" w:sz="12" w:space="0" w:color="auto"/>
              <w:bottom w:val="single" w:sz="4" w:space="0" w:color="auto"/>
            </w:tcBorders>
            <w:shd w:val="clear" w:color="auto" w:fill="auto"/>
            <w:noWrap/>
            <w:vAlign w:val="bottom"/>
            <w:hideMark/>
          </w:tcPr>
          <w:p w:rsidR="00ED4333" w:rsidRPr="00FC66CF" w:rsidRDefault="00ED4333" w:rsidP="00C4664B">
            <w:pPr>
              <w:pStyle w:val="TableHeading"/>
              <w:jc w:val="right"/>
              <w:rPr>
                <w:lang w:val="en-US" w:eastAsia="en-US"/>
              </w:rPr>
            </w:pPr>
            <w:r w:rsidRPr="00FC66CF">
              <w:rPr>
                <w:lang w:val="en-US" w:eastAsia="en-US"/>
              </w:rPr>
              <w:t>SEMS</w:t>
            </w:r>
          </w:p>
        </w:tc>
        <w:tc>
          <w:tcPr>
            <w:tcW w:w="1980" w:type="dxa"/>
            <w:tcBorders>
              <w:top w:val="single" w:sz="12" w:space="0" w:color="auto"/>
              <w:bottom w:val="single" w:sz="4" w:space="0" w:color="auto"/>
            </w:tcBorders>
            <w:shd w:val="clear" w:color="auto" w:fill="auto"/>
            <w:noWrap/>
            <w:vAlign w:val="bottom"/>
            <w:hideMark/>
          </w:tcPr>
          <w:p w:rsidR="00ED4333" w:rsidRPr="00FC66CF" w:rsidRDefault="00ED4333" w:rsidP="00C4664B">
            <w:pPr>
              <w:pStyle w:val="TableHeading"/>
              <w:jc w:val="right"/>
              <w:rPr>
                <w:lang w:val="en-US" w:eastAsia="en-US"/>
              </w:rPr>
            </w:pPr>
            <w:r w:rsidRPr="00FC66CF">
              <w:rPr>
                <w:lang w:val="en-US" w:eastAsia="en-US"/>
              </w:rPr>
              <w:t>Colostomy</w:t>
            </w:r>
          </w:p>
        </w:tc>
      </w:tr>
      <w:tr w:rsidR="00ED4333" w:rsidRPr="00FC66CF" w:rsidTr="00CB5216">
        <w:trPr>
          <w:trHeight w:val="227"/>
        </w:trPr>
        <w:tc>
          <w:tcPr>
            <w:tcW w:w="3689" w:type="dxa"/>
            <w:tcBorders>
              <w:top w:val="single" w:sz="4" w:space="0" w:color="auto"/>
            </w:tcBorders>
            <w:shd w:val="clear" w:color="auto" w:fill="auto"/>
            <w:noWrap/>
            <w:vAlign w:val="bottom"/>
            <w:hideMark/>
          </w:tcPr>
          <w:p w:rsidR="00ED4333" w:rsidRPr="000F3C8B" w:rsidRDefault="00ED4333" w:rsidP="00C4664B">
            <w:pPr>
              <w:pStyle w:val="TableText0"/>
              <w:rPr>
                <w:lang w:val="en-AU"/>
              </w:rPr>
            </w:pPr>
            <w:r w:rsidRPr="000F3C8B">
              <w:rPr>
                <w:lang w:val="en-AU"/>
              </w:rPr>
              <w:t>Total cost per patient</w:t>
            </w:r>
          </w:p>
        </w:tc>
        <w:tc>
          <w:tcPr>
            <w:tcW w:w="1620" w:type="dxa"/>
            <w:tcBorders>
              <w:top w:val="single" w:sz="4" w:space="0" w:color="auto"/>
            </w:tcBorders>
            <w:shd w:val="clear" w:color="auto" w:fill="auto"/>
            <w:noWrap/>
            <w:vAlign w:val="bottom"/>
            <w:hideMark/>
          </w:tcPr>
          <w:p w:rsidR="00ED4333" w:rsidRPr="000F3C8B" w:rsidRDefault="00ED4333" w:rsidP="00112396">
            <w:pPr>
              <w:pStyle w:val="TableText0"/>
              <w:jc w:val="right"/>
              <w:rPr>
                <w:lang w:val="en-AU"/>
              </w:rPr>
            </w:pPr>
            <w:r w:rsidRPr="000F3C8B">
              <w:rPr>
                <w:lang w:val="en-AU"/>
              </w:rPr>
              <w:t>$17,809</w:t>
            </w:r>
          </w:p>
        </w:tc>
        <w:tc>
          <w:tcPr>
            <w:tcW w:w="1980" w:type="dxa"/>
            <w:tcBorders>
              <w:top w:val="single" w:sz="4" w:space="0" w:color="auto"/>
            </w:tcBorders>
            <w:shd w:val="clear" w:color="auto" w:fill="auto"/>
            <w:noWrap/>
            <w:vAlign w:val="bottom"/>
            <w:hideMark/>
          </w:tcPr>
          <w:p w:rsidR="00ED4333" w:rsidRPr="000F3C8B" w:rsidRDefault="00ED4333" w:rsidP="00112396">
            <w:pPr>
              <w:pStyle w:val="TableText0"/>
              <w:jc w:val="right"/>
              <w:rPr>
                <w:lang w:val="en-AU"/>
              </w:rPr>
            </w:pPr>
            <w:r w:rsidRPr="000F3C8B">
              <w:rPr>
                <w:lang w:val="en-AU"/>
              </w:rPr>
              <w:t>$20,516</w:t>
            </w:r>
          </w:p>
        </w:tc>
      </w:tr>
      <w:tr w:rsidR="00ED4333" w:rsidRPr="00FC66CF" w:rsidTr="00CB5216">
        <w:trPr>
          <w:trHeight w:val="227"/>
        </w:trPr>
        <w:tc>
          <w:tcPr>
            <w:tcW w:w="3689" w:type="dxa"/>
            <w:shd w:val="clear" w:color="auto" w:fill="auto"/>
            <w:noWrap/>
            <w:vAlign w:val="bottom"/>
            <w:hideMark/>
          </w:tcPr>
          <w:p w:rsidR="00ED4333" w:rsidRPr="000F3C8B" w:rsidRDefault="00ED4333" w:rsidP="00C4664B">
            <w:pPr>
              <w:pStyle w:val="TableText0"/>
              <w:rPr>
                <w:lang w:val="en-AU"/>
              </w:rPr>
            </w:pPr>
            <w:r w:rsidRPr="000F3C8B">
              <w:rPr>
                <w:lang w:val="en-AU"/>
              </w:rPr>
              <w:t>Number of patients</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xml:space="preserve">                          134 </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xml:space="preserve">                      134 </w:t>
            </w:r>
          </w:p>
        </w:tc>
      </w:tr>
      <w:tr w:rsidR="00ED4333" w:rsidRPr="00FC66CF" w:rsidTr="00CB5216">
        <w:trPr>
          <w:trHeight w:val="227"/>
        </w:trPr>
        <w:tc>
          <w:tcPr>
            <w:tcW w:w="3689" w:type="dxa"/>
            <w:shd w:val="clear" w:color="auto" w:fill="auto"/>
            <w:noWrap/>
            <w:vAlign w:val="bottom"/>
            <w:hideMark/>
          </w:tcPr>
          <w:p w:rsidR="00ED4333" w:rsidRPr="000F3C8B" w:rsidRDefault="00ED4333" w:rsidP="00C4664B">
            <w:pPr>
              <w:pStyle w:val="TableText0"/>
              <w:rPr>
                <w:i/>
                <w:lang w:val="en-AU"/>
              </w:rPr>
            </w:pPr>
            <w:r w:rsidRPr="000F3C8B">
              <w:rPr>
                <w:i/>
                <w:lang w:val="en-AU"/>
              </w:rPr>
              <w:t>Breakdown of fin</w:t>
            </w:r>
            <w:r w:rsidR="00112396" w:rsidRPr="000F3C8B">
              <w:rPr>
                <w:i/>
                <w:lang w:val="en-AU"/>
              </w:rPr>
              <w:t>ancial implications</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w:t>
            </w:r>
          </w:p>
        </w:tc>
      </w:tr>
      <w:tr w:rsidR="00ED4333" w:rsidRPr="00FC66CF" w:rsidTr="00CB5216">
        <w:trPr>
          <w:trHeight w:val="227"/>
        </w:trPr>
        <w:tc>
          <w:tcPr>
            <w:tcW w:w="3689" w:type="dxa"/>
            <w:shd w:val="clear" w:color="auto" w:fill="auto"/>
            <w:noWrap/>
            <w:vAlign w:val="bottom"/>
            <w:hideMark/>
          </w:tcPr>
          <w:p w:rsidR="00ED4333" w:rsidRPr="000F3C8B" w:rsidRDefault="00ED4333" w:rsidP="00C4664B">
            <w:pPr>
              <w:pStyle w:val="TableText0"/>
              <w:rPr>
                <w:lang w:val="en-AU"/>
              </w:rPr>
            </w:pPr>
            <w:r w:rsidRPr="000F3C8B">
              <w:rPr>
                <w:lang w:val="en-AU"/>
              </w:rPr>
              <w:t>Consumables</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$524,659</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$92,777</w:t>
            </w:r>
          </w:p>
        </w:tc>
      </w:tr>
      <w:tr w:rsidR="00ED4333" w:rsidRPr="00FC66CF" w:rsidTr="00CB5216">
        <w:trPr>
          <w:trHeight w:val="227"/>
        </w:trPr>
        <w:tc>
          <w:tcPr>
            <w:tcW w:w="3689" w:type="dxa"/>
            <w:shd w:val="clear" w:color="auto" w:fill="auto"/>
            <w:noWrap/>
            <w:vAlign w:val="bottom"/>
            <w:hideMark/>
          </w:tcPr>
          <w:p w:rsidR="00ED4333" w:rsidRPr="000F3C8B" w:rsidRDefault="00ED4333" w:rsidP="006B2092">
            <w:pPr>
              <w:pStyle w:val="TableText0"/>
              <w:rPr>
                <w:lang w:val="en-AU"/>
              </w:rPr>
            </w:pPr>
            <w:r w:rsidRPr="000F3C8B">
              <w:rPr>
                <w:lang w:val="en-AU"/>
              </w:rPr>
              <w:t xml:space="preserve">MBS </w:t>
            </w:r>
            <w:r w:rsidR="006B2092" w:rsidRPr="000F3C8B">
              <w:rPr>
                <w:lang w:val="en-AU"/>
              </w:rPr>
              <w:t>i</w:t>
            </w:r>
            <w:r w:rsidRPr="000F3C8B">
              <w:rPr>
                <w:lang w:val="en-AU"/>
              </w:rPr>
              <w:t>tems &amp; hospital fees</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$1,298,740</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$1,517,371</w:t>
            </w:r>
          </w:p>
        </w:tc>
      </w:tr>
      <w:tr w:rsidR="00ED4333" w:rsidRPr="00FC66CF" w:rsidTr="00CB5216">
        <w:trPr>
          <w:trHeight w:val="227"/>
        </w:trPr>
        <w:tc>
          <w:tcPr>
            <w:tcW w:w="3689" w:type="dxa"/>
            <w:shd w:val="clear" w:color="auto" w:fill="auto"/>
            <w:noWrap/>
            <w:vAlign w:val="bottom"/>
            <w:hideMark/>
          </w:tcPr>
          <w:p w:rsidR="00ED4333" w:rsidRPr="000F3C8B" w:rsidRDefault="00ED4333" w:rsidP="00C4664B">
            <w:pPr>
              <w:pStyle w:val="TableText0"/>
              <w:rPr>
                <w:lang w:val="en-AU"/>
              </w:rPr>
            </w:pPr>
            <w:r w:rsidRPr="000F3C8B">
              <w:rPr>
                <w:lang w:val="en-AU"/>
              </w:rPr>
              <w:t>Patient out-of-pocket</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$571,182</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$1,148,415</w:t>
            </w:r>
          </w:p>
        </w:tc>
      </w:tr>
      <w:tr w:rsidR="00ED4333" w:rsidRPr="00FC66CF" w:rsidTr="00CB5216">
        <w:trPr>
          <w:trHeight w:val="227"/>
        </w:trPr>
        <w:tc>
          <w:tcPr>
            <w:tcW w:w="3689" w:type="dxa"/>
            <w:shd w:val="clear" w:color="auto" w:fill="auto"/>
            <w:noWrap/>
            <w:vAlign w:val="bottom"/>
            <w:hideMark/>
          </w:tcPr>
          <w:p w:rsidR="00ED4333" w:rsidRPr="0007443E" w:rsidRDefault="00ED4333" w:rsidP="00C4664B">
            <w:pPr>
              <w:pStyle w:val="TableText0"/>
              <w:rPr>
                <w:b/>
                <w:lang w:val="en-AU"/>
              </w:rPr>
            </w:pPr>
            <w:r w:rsidRPr="0007443E">
              <w:rPr>
                <w:b/>
                <w:lang w:val="en-AU"/>
              </w:rPr>
              <w:t>Total financial implications</w:t>
            </w:r>
          </w:p>
        </w:tc>
        <w:tc>
          <w:tcPr>
            <w:tcW w:w="1620" w:type="dxa"/>
            <w:shd w:val="clear" w:color="auto" w:fill="auto"/>
            <w:noWrap/>
            <w:vAlign w:val="bottom"/>
            <w:hideMark/>
          </w:tcPr>
          <w:p w:rsidR="00ED4333" w:rsidRPr="0007443E" w:rsidRDefault="00ED4333" w:rsidP="00112396">
            <w:pPr>
              <w:pStyle w:val="TableText0"/>
              <w:jc w:val="right"/>
              <w:rPr>
                <w:b/>
                <w:lang w:val="en-AU"/>
              </w:rPr>
            </w:pPr>
            <w:r w:rsidRPr="0007443E">
              <w:rPr>
                <w:b/>
                <w:lang w:val="en-AU"/>
              </w:rPr>
              <w:t>$2,394,582</w:t>
            </w:r>
          </w:p>
        </w:tc>
        <w:tc>
          <w:tcPr>
            <w:tcW w:w="1980" w:type="dxa"/>
            <w:shd w:val="clear" w:color="auto" w:fill="auto"/>
            <w:noWrap/>
            <w:vAlign w:val="bottom"/>
            <w:hideMark/>
          </w:tcPr>
          <w:p w:rsidR="00ED4333" w:rsidRPr="0007443E" w:rsidRDefault="00ED4333" w:rsidP="00112396">
            <w:pPr>
              <w:pStyle w:val="TableText0"/>
              <w:jc w:val="right"/>
              <w:rPr>
                <w:b/>
                <w:lang w:val="en-AU"/>
              </w:rPr>
            </w:pPr>
            <w:r w:rsidRPr="0007443E">
              <w:rPr>
                <w:b/>
                <w:lang w:val="en-AU"/>
              </w:rPr>
              <w:t>$2,758,562</w:t>
            </w:r>
          </w:p>
        </w:tc>
      </w:tr>
      <w:tr w:rsidR="00ED4333" w:rsidRPr="00FC66CF" w:rsidTr="00CB5216">
        <w:trPr>
          <w:trHeight w:val="227"/>
        </w:trPr>
        <w:tc>
          <w:tcPr>
            <w:tcW w:w="3689" w:type="dxa"/>
            <w:shd w:val="clear" w:color="auto" w:fill="auto"/>
            <w:noWrap/>
            <w:vAlign w:val="bottom"/>
            <w:hideMark/>
          </w:tcPr>
          <w:p w:rsidR="00ED4333" w:rsidRPr="000F3C8B" w:rsidRDefault="00112396" w:rsidP="00C4664B">
            <w:pPr>
              <w:pStyle w:val="TableText0"/>
              <w:rPr>
                <w:i/>
                <w:lang w:val="en-AU"/>
              </w:rPr>
            </w:pPr>
            <w:r w:rsidRPr="000F3C8B">
              <w:rPr>
                <w:i/>
                <w:lang w:val="en-AU"/>
              </w:rPr>
              <w:t>Incremental costs</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w:t>
            </w:r>
          </w:p>
        </w:tc>
      </w:tr>
      <w:tr w:rsidR="00ED4333" w:rsidRPr="00FC66CF" w:rsidTr="00CB5216">
        <w:trPr>
          <w:trHeight w:val="227"/>
        </w:trPr>
        <w:tc>
          <w:tcPr>
            <w:tcW w:w="3689" w:type="dxa"/>
            <w:shd w:val="clear" w:color="auto" w:fill="auto"/>
            <w:noWrap/>
            <w:vAlign w:val="bottom"/>
            <w:hideMark/>
          </w:tcPr>
          <w:p w:rsidR="00ED4333" w:rsidRPr="000F3C8B" w:rsidRDefault="00ED4333" w:rsidP="00C4664B">
            <w:pPr>
              <w:pStyle w:val="TableText0"/>
              <w:rPr>
                <w:lang w:val="en-AU"/>
              </w:rPr>
            </w:pPr>
            <w:r w:rsidRPr="000F3C8B">
              <w:rPr>
                <w:lang w:val="en-AU"/>
              </w:rPr>
              <w:t>Consumables</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$431,883</w:t>
            </w:r>
          </w:p>
        </w:tc>
      </w:tr>
      <w:tr w:rsidR="00ED4333" w:rsidRPr="00FC66CF" w:rsidTr="00CB5216">
        <w:trPr>
          <w:trHeight w:val="227"/>
        </w:trPr>
        <w:tc>
          <w:tcPr>
            <w:tcW w:w="3689" w:type="dxa"/>
            <w:shd w:val="clear" w:color="auto" w:fill="auto"/>
            <w:noWrap/>
            <w:vAlign w:val="bottom"/>
            <w:hideMark/>
          </w:tcPr>
          <w:p w:rsidR="00ED4333" w:rsidRPr="000F3C8B" w:rsidRDefault="00ED4333" w:rsidP="006B2092">
            <w:pPr>
              <w:pStyle w:val="TableText0"/>
              <w:rPr>
                <w:lang w:val="en-AU"/>
              </w:rPr>
            </w:pPr>
            <w:r w:rsidRPr="000F3C8B">
              <w:rPr>
                <w:lang w:val="en-AU"/>
              </w:rPr>
              <w:t xml:space="preserve">MBS </w:t>
            </w:r>
            <w:r w:rsidR="006B2092" w:rsidRPr="000F3C8B">
              <w:rPr>
                <w:lang w:val="en-AU"/>
              </w:rPr>
              <w:t>i</w:t>
            </w:r>
            <w:r w:rsidRPr="000F3C8B">
              <w:rPr>
                <w:lang w:val="en-AU"/>
              </w:rPr>
              <w:t>tems &amp; hospital fees</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-$218,630</w:t>
            </w:r>
          </w:p>
        </w:tc>
      </w:tr>
      <w:tr w:rsidR="00ED4333" w:rsidRPr="00FC66CF" w:rsidTr="00CB5216">
        <w:trPr>
          <w:trHeight w:val="227"/>
        </w:trPr>
        <w:tc>
          <w:tcPr>
            <w:tcW w:w="3689" w:type="dxa"/>
            <w:shd w:val="clear" w:color="auto" w:fill="auto"/>
            <w:noWrap/>
            <w:vAlign w:val="bottom"/>
            <w:hideMark/>
          </w:tcPr>
          <w:p w:rsidR="00ED4333" w:rsidRPr="000F3C8B" w:rsidRDefault="00ED4333" w:rsidP="00C4664B">
            <w:pPr>
              <w:pStyle w:val="TableText0"/>
              <w:rPr>
                <w:lang w:val="en-AU"/>
              </w:rPr>
            </w:pPr>
            <w:r w:rsidRPr="000F3C8B">
              <w:rPr>
                <w:lang w:val="en-AU"/>
              </w:rPr>
              <w:t>Patient out-of-pocket</w:t>
            </w:r>
          </w:p>
        </w:tc>
        <w:tc>
          <w:tcPr>
            <w:tcW w:w="162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112396">
            <w:pPr>
              <w:pStyle w:val="TableText0"/>
              <w:jc w:val="right"/>
              <w:rPr>
                <w:lang w:val="en-AU"/>
              </w:rPr>
            </w:pPr>
            <w:r w:rsidRPr="000F3C8B">
              <w:rPr>
                <w:lang w:val="en-AU"/>
              </w:rPr>
              <w:t>-$577,233</w:t>
            </w:r>
          </w:p>
        </w:tc>
      </w:tr>
      <w:tr w:rsidR="00ED4333" w:rsidRPr="00FC66CF" w:rsidTr="00CB5216">
        <w:trPr>
          <w:trHeight w:val="227"/>
        </w:trPr>
        <w:tc>
          <w:tcPr>
            <w:tcW w:w="3689" w:type="dxa"/>
            <w:shd w:val="clear" w:color="auto" w:fill="auto"/>
            <w:noWrap/>
            <w:vAlign w:val="bottom"/>
            <w:hideMark/>
          </w:tcPr>
          <w:p w:rsidR="00ED4333" w:rsidRPr="0007443E" w:rsidRDefault="00ED4333" w:rsidP="00C4664B">
            <w:pPr>
              <w:pStyle w:val="TableText0"/>
              <w:rPr>
                <w:b/>
                <w:lang w:val="en-AU"/>
              </w:rPr>
            </w:pPr>
            <w:r w:rsidRPr="0007443E">
              <w:rPr>
                <w:b/>
                <w:lang w:val="en-AU"/>
              </w:rPr>
              <w:t xml:space="preserve">Total cost </w:t>
            </w:r>
          </w:p>
        </w:tc>
        <w:tc>
          <w:tcPr>
            <w:tcW w:w="1620" w:type="dxa"/>
            <w:shd w:val="clear" w:color="auto" w:fill="auto"/>
            <w:noWrap/>
            <w:vAlign w:val="bottom"/>
            <w:hideMark/>
          </w:tcPr>
          <w:p w:rsidR="00ED4333" w:rsidRPr="0007443E" w:rsidRDefault="00ED4333" w:rsidP="00112396">
            <w:pPr>
              <w:pStyle w:val="TableText0"/>
              <w:jc w:val="right"/>
              <w:rPr>
                <w:b/>
                <w:lang w:val="en-AU"/>
              </w:rPr>
            </w:pPr>
            <w:r w:rsidRPr="0007443E">
              <w:rPr>
                <w:b/>
                <w:lang w:val="en-AU"/>
              </w:rPr>
              <w:t> </w:t>
            </w:r>
          </w:p>
        </w:tc>
        <w:tc>
          <w:tcPr>
            <w:tcW w:w="1980" w:type="dxa"/>
            <w:shd w:val="clear" w:color="auto" w:fill="auto"/>
            <w:noWrap/>
            <w:vAlign w:val="bottom"/>
            <w:hideMark/>
          </w:tcPr>
          <w:p w:rsidR="00ED4333" w:rsidRPr="0007443E" w:rsidRDefault="00ED4333" w:rsidP="00BC4966">
            <w:pPr>
              <w:pStyle w:val="TableText0"/>
              <w:jc w:val="right"/>
              <w:rPr>
                <w:b/>
                <w:lang w:val="en-AU"/>
              </w:rPr>
            </w:pPr>
            <w:r w:rsidRPr="0007443E">
              <w:rPr>
                <w:b/>
                <w:lang w:val="en-AU"/>
              </w:rPr>
              <w:t>-$363,98</w:t>
            </w:r>
            <w:r w:rsidR="00BC4966">
              <w:rPr>
                <w:b/>
                <w:lang w:val="en-AU"/>
              </w:rPr>
              <w:t>1</w:t>
            </w:r>
          </w:p>
        </w:tc>
      </w:tr>
    </w:tbl>
    <w:p w:rsidR="00C33DE2" w:rsidRDefault="00576A26" w:rsidP="0007443E">
      <w:pPr>
        <w:pStyle w:val="TableNotes"/>
        <w:rPr>
          <w:lang w:val="en-AU"/>
        </w:rPr>
      </w:pPr>
      <w:r w:rsidRPr="00576A26">
        <w:t xml:space="preserve">SEMS: </w:t>
      </w:r>
      <w:r w:rsidR="00D3398A" w:rsidRPr="00576A26">
        <w:t>S</w:t>
      </w:r>
      <w:r w:rsidRPr="00576A26">
        <w:t>elf-expanding metallic stent</w:t>
      </w:r>
      <w:r w:rsidR="00AA69D5" w:rsidRPr="00AA69D5">
        <w:t>; MBS: Medicare Benefits Schedule</w:t>
      </w:r>
      <w:r w:rsidR="0026112F">
        <w:t>.</w:t>
      </w:r>
      <w:r w:rsidR="00BC4966" w:rsidRPr="00BC4966">
        <w:t xml:space="preserve"> </w:t>
      </w:r>
    </w:p>
    <w:p w:rsidR="00841A6E" w:rsidRPr="00AE40E2" w:rsidRDefault="00C33DE2" w:rsidP="0007443E">
      <w:pPr>
        <w:pStyle w:val="TableNotes"/>
        <w:rPr>
          <w:lang w:val="en-AU"/>
        </w:rPr>
      </w:pPr>
      <w:r>
        <w:rPr>
          <w:lang w:val="en-AU"/>
        </w:rPr>
        <w:t>Note</w:t>
      </w:r>
      <w:r w:rsidR="00951C3D">
        <w:rPr>
          <w:lang w:val="en-AU"/>
        </w:rPr>
        <w:t>: N</w:t>
      </w:r>
      <w:r w:rsidR="00BC4966">
        <w:t xml:space="preserve">umbers may not </w:t>
      </w:r>
      <w:r w:rsidR="001F7E3E">
        <w:rPr>
          <w:lang w:val="en-AU"/>
        </w:rPr>
        <w:t>sum to total</w:t>
      </w:r>
      <w:r w:rsidR="00BC4966">
        <w:t xml:space="preserve"> due to rounding</w:t>
      </w:r>
      <w:r w:rsidR="00BC4966">
        <w:rPr>
          <w:lang w:val="en-AU"/>
        </w:rPr>
        <w:t>.</w:t>
      </w:r>
    </w:p>
    <w:p w:rsidR="00ED4333" w:rsidRPr="00FC66CF" w:rsidRDefault="00C4664B" w:rsidP="00841A6E">
      <w:pPr>
        <w:pStyle w:val="Caption"/>
      </w:pPr>
      <w:bookmarkStart w:id="41" w:name="_Ref324937418"/>
      <w:bookmarkStart w:id="42" w:name="_Toc327522056"/>
      <w:r>
        <w:t xml:space="preserve">Table </w:t>
      </w:r>
      <w:fldSimple w:instr=" SEQ Table \* ARABIC ">
        <w:r w:rsidR="0071544A">
          <w:rPr>
            <w:noProof/>
          </w:rPr>
          <w:t>12</w:t>
        </w:r>
      </w:fldSimple>
      <w:bookmarkEnd w:id="41"/>
      <w:r w:rsidR="00ED4333" w:rsidRPr="00FC66CF">
        <w:tab/>
        <w:t>Estimated total costs of SEMS versus palliative colostomy (upper limit)</w:t>
      </w:r>
      <w:bookmarkEnd w:id="42"/>
    </w:p>
    <w:tbl>
      <w:tblPr>
        <w:tblW w:w="7344" w:type="dxa"/>
        <w:tblInd w:w="720" w:type="dxa"/>
        <w:tblBorders>
          <w:top w:val="single" w:sz="12" w:space="0" w:color="auto"/>
          <w:bottom w:val="single" w:sz="12" w:space="0" w:color="auto"/>
        </w:tblBorders>
        <w:tblLook w:val="04A0" w:firstRow="1" w:lastRow="0" w:firstColumn="1" w:lastColumn="0" w:noHBand="0" w:noVBand="1"/>
      </w:tblPr>
      <w:tblGrid>
        <w:gridCol w:w="3744"/>
        <w:gridCol w:w="1620"/>
        <w:gridCol w:w="1980"/>
      </w:tblGrid>
      <w:tr w:rsidR="00ED4333" w:rsidRPr="00FC66CF" w:rsidTr="00CB5216">
        <w:trPr>
          <w:trHeight w:val="227"/>
        </w:trPr>
        <w:tc>
          <w:tcPr>
            <w:tcW w:w="3744" w:type="dxa"/>
            <w:tcBorders>
              <w:top w:val="single" w:sz="12" w:space="0" w:color="auto"/>
              <w:bottom w:val="single" w:sz="4" w:space="0" w:color="auto"/>
            </w:tcBorders>
            <w:shd w:val="clear" w:color="auto" w:fill="auto"/>
            <w:noWrap/>
            <w:vAlign w:val="bottom"/>
            <w:hideMark/>
          </w:tcPr>
          <w:p w:rsidR="00ED4333" w:rsidRPr="00FC66CF" w:rsidRDefault="00ED4333" w:rsidP="00ED4333">
            <w:pPr>
              <w:spacing w:after="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 </w:t>
            </w:r>
          </w:p>
        </w:tc>
        <w:tc>
          <w:tcPr>
            <w:tcW w:w="1620" w:type="dxa"/>
            <w:tcBorders>
              <w:top w:val="single" w:sz="12" w:space="0" w:color="auto"/>
              <w:bottom w:val="single" w:sz="4" w:space="0" w:color="auto"/>
            </w:tcBorders>
            <w:shd w:val="clear" w:color="auto" w:fill="auto"/>
            <w:noWrap/>
            <w:vAlign w:val="bottom"/>
            <w:hideMark/>
          </w:tcPr>
          <w:p w:rsidR="00ED4333" w:rsidRPr="00841A6E" w:rsidRDefault="00ED4333" w:rsidP="00841A6E">
            <w:pPr>
              <w:pStyle w:val="TableHeading"/>
              <w:jc w:val="right"/>
            </w:pPr>
            <w:r w:rsidRPr="00841A6E">
              <w:t>SEMS</w:t>
            </w:r>
          </w:p>
        </w:tc>
        <w:tc>
          <w:tcPr>
            <w:tcW w:w="1980" w:type="dxa"/>
            <w:tcBorders>
              <w:top w:val="single" w:sz="12" w:space="0" w:color="auto"/>
              <w:bottom w:val="single" w:sz="4" w:space="0" w:color="auto"/>
            </w:tcBorders>
            <w:shd w:val="clear" w:color="auto" w:fill="auto"/>
            <w:noWrap/>
            <w:vAlign w:val="bottom"/>
            <w:hideMark/>
          </w:tcPr>
          <w:p w:rsidR="00ED4333" w:rsidRPr="00841A6E" w:rsidRDefault="00ED4333" w:rsidP="00841A6E">
            <w:pPr>
              <w:pStyle w:val="TableHeading"/>
              <w:jc w:val="right"/>
            </w:pPr>
            <w:r w:rsidRPr="00841A6E">
              <w:t>Colostomy</w:t>
            </w:r>
          </w:p>
        </w:tc>
      </w:tr>
      <w:tr w:rsidR="00ED4333" w:rsidRPr="00FC66CF" w:rsidTr="00CB5216">
        <w:trPr>
          <w:trHeight w:val="227"/>
        </w:trPr>
        <w:tc>
          <w:tcPr>
            <w:tcW w:w="3744" w:type="dxa"/>
            <w:tcBorders>
              <w:top w:val="single" w:sz="4" w:space="0" w:color="auto"/>
            </w:tcBorders>
            <w:shd w:val="clear" w:color="auto" w:fill="auto"/>
            <w:noWrap/>
            <w:vAlign w:val="bottom"/>
            <w:hideMark/>
          </w:tcPr>
          <w:p w:rsidR="00ED4333" w:rsidRPr="000F3C8B" w:rsidRDefault="00ED4333" w:rsidP="00841A6E">
            <w:pPr>
              <w:pStyle w:val="TableText0"/>
              <w:rPr>
                <w:lang w:val="en-AU"/>
              </w:rPr>
            </w:pPr>
            <w:r w:rsidRPr="000F3C8B">
              <w:rPr>
                <w:lang w:val="en-AU"/>
              </w:rPr>
              <w:t>Total cost per patient</w:t>
            </w:r>
          </w:p>
        </w:tc>
        <w:tc>
          <w:tcPr>
            <w:tcW w:w="1620" w:type="dxa"/>
            <w:tcBorders>
              <w:top w:val="single" w:sz="4" w:space="0" w:color="auto"/>
            </w:tcBorders>
            <w:shd w:val="clear" w:color="auto" w:fill="auto"/>
            <w:noWrap/>
            <w:vAlign w:val="bottom"/>
            <w:hideMark/>
          </w:tcPr>
          <w:p w:rsidR="00ED4333" w:rsidRPr="000F3C8B" w:rsidRDefault="00ED4333" w:rsidP="00841A6E">
            <w:pPr>
              <w:pStyle w:val="TableText0"/>
              <w:jc w:val="right"/>
              <w:rPr>
                <w:lang w:val="en-AU"/>
              </w:rPr>
            </w:pPr>
            <w:r w:rsidRPr="000F3C8B">
              <w:rPr>
                <w:lang w:val="en-AU"/>
              </w:rPr>
              <w:t>$17,809</w:t>
            </w:r>
          </w:p>
        </w:tc>
        <w:tc>
          <w:tcPr>
            <w:tcW w:w="1980" w:type="dxa"/>
            <w:tcBorders>
              <w:top w:val="single" w:sz="4" w:space="0" w:color="auto"/>
            </w:tcBorders>
            <w:shd w:val="clear" w:color="auto" w:fill="auto"/>
            <w:noWrap/>
            <w:vAlign w:val="bottom"/>
            <w:hideMark/>
          </w:tcPr>
          <w:p w:rsidR="00ED4333" w:rsidRPr="000F3C8B" w:rsidRDefault="00ED4333" w:rsidP="00841A6E">
            <w:pPr>
              <w:pStyle w:val="TableText0"/>
              <w:jc w:val="right"/>
              <w:rPr>
                <w:lang w:val="en-AU"/>
              </w:rPr>
            </w:pPr>
            <w:r w:rsidRPr="000F3C8B">
              <w:rPr>
                <w:lang w:val="en-AU"/>
              </w:rPr>
              <w:t>$20,516</w:t>
            </w:r>
          </w:p>
        </w:tc>
      </w:tr>
      <w:tr w:rsidR="00ED4333" w:rsidRPr="00FC66CF" w:rsidTr="00CB5216">
        <w:trPr>
          <w:trHeight w:val="227"/>
        </w:trPr>
        <w:tc>
          <w:tcPr>
            <w:tcW w:w="3744" w:type="dxa"/>
            <w:shd w:val="clear" w:color="auto" w:fill="auto"/>
            <w:noWrap/>
            <w:vAlign w:val="bottom"/>
            <w:hideMark/>
          </w:tcPr>
          <w:p w:rsidR="00ED4333" w:rsidRPr="000F3C8B" w:rsidRDefault="00ED4333" w:rsidP="00841A6E">
            <w:pPr>
              <w:pStyle w:val="TableText0"/>
              <w:rPr>
                <w:lang w:val="en-AU"/>
              </w:rPr>
            </w:pPr>
            <w:r w:rsidRPr="000F3C8B">
              <w:rPr>
                <w:lang w:val="en-AU"/>
              </w:rPr>
              <w:t>Number of patients</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xml:space="preserve">                          487 </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xml:space="preserve">                      487 </w:t>
            </w:r>
          </w:p>
        </w:tc>
      </w:tr>
      <w:tr w:rsidR="00ED4333" w:rsidRPr="00FC66CF" w:rsidTr="00CB5216">
        <w:trPr>
          <w:trHeight w:val="227"/>
        </w:trPr>
        <w:tc>
          <w:tcPr>
            <w:tcW w:w="3744" w:type="dxa"/>
            <w:shd w:val="clear" w:color="auto" w:fill="auto"/>
            <w:noWrap/>
            <w:vAlign w:val="bottom"/>
            <w:hideMark/>
          </w:tcPr>
          <w:p w:rsidR="00ED4333" w:rsidRPr="000F3C8B" w:rsidRDefault="00ED4333" w:rsidP="00841A6E">
            <w:pPr>
              <w:pStyle w:val="TableText0"/>
              <w:rPr>
                <w:i/>
                <w:lang w:val="en-AU"/>
              </w:rPr>
            </w:pPr>
            <w:r w:rsidRPr="000F3C8B">
              <w:rPr>
                <w:i/>
                <w:lang w:val="en-AU"/>
              </w:rPr>
              <w:t>Brea</w:t>
            </w:r>
            <w:r w:rsidR="00112396" w:rsidRPr="000F3C8B">
              <w:rPr>
                <w:i/>
                <w:lang w:val="en-AU"/>
              </w:rPr>
              <w:t>kdown of financial implications</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w:t>
            </w:r>
          </w:p>
        </w:tc>
      </w:tr>
      <w:tr w:rsidR="00ED4333" w:rsidRPr="00FC66CF" w:rsidTr="00CB5216">
        <w:trPr>
          <w:trHeight w:val="227"/>
        </w:trPr>
        <w:tc>
          <w:tcPr>
            <w:tcW w:w="3744" w:type="dxa"/>
            <w:shd w:val="clear" w:color="auto" w:fill="auto"/>
            <w:noWrap/>
            <w:vAlign w:val="bottom"/>
            <w:hideMark/>
          </w:tcPr>
          <w:p w:rsidR="00ED4333" w:rsidRPr="000F3C8B" w:rsidRDefault="00ED4333" w:rsidP="00841A6E">
            <w:pPr>
              <w:pStyle w:val="TableText0"/>
              <w:rPr>
                <w:lang w:val="en-AU"/>
              </w:rPr>
            </w:pPr>
            <w:r w:rsidRPr="000F3C8B">
              <w:rPr>
                <w:lang w:val="en-AU"/>
              </w:rPr>
              <w:t>Consumables</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$1,901,890</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$336,316</w:t>
            </w:r>
          </w:p>
        </w:tc>
      </w:tr>
      <w:tr w:rsidR="00ED4333" w:rsidRPr="00FC66CF" w:rsidTr="00CB5216">
        <w:trPr>
          <w:trHeight w:val="227"/>
        </w:trPr>
        <w:tc>
          <w:tcPr>
            <w:tcW w:w="3744" w:type="dxa"/>
            <w:shd w:val="clear" w:color="auto" w:fill="auto"/>
            <w:noWrap/>
            <w:vAlign w:val="bottom"/>
            <w:hideMark/>
          </w:tcPr>
          <w:p w:rsidR="00ED4333" w:rsidRPr="000F3C8B" w:rsidRDefault="00ED4333" w:rsidP="006B2092">
            <w:pPr>
              <w:pStyle w:val="TableText0"/>
              <w:rPr>
                <w:lang w:val="en-AU"/>
              </w:rPr>
            </w:pPr>
            <w:r w:rsidRPr="000F3C8B">
              <w:rPr>
                <w:lang w:val="en-AU"/>
              </w:rPr>
              <w:t xml:space="preserve">MBS </w:t>
            </w:r>
            <w:r w:rsidR="006B2092" w:rsidRPr="000F3C8B">
              <w:rPr>
                <w:lang w:val="en-AU"/>
              </w:rPr>
              <w:t>i</w:t>
            </w:r>
            <w:r w:rsidRPr="000F3C8B">
              <w:rPr>
                <w:lang w:val="en-AU"/>
              </w:rPr>
              <w:t>tems &amp; hospital fees</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$4,707,933</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$5,500,468</w:t>
            </w:r>
          </w:p>
        </w:tc>
      </w:tr>
      <w:tr w:rsidR="00ED4333" w:rsidRPr="00FC66CF" w:rsidTr="00CB5216">
        <w:trPr>
          <w:trHeight w:val="227"/>
        </w:trPr>
        <w:tc>
          <w:tcPr>
            <w:tcW w:w="3744" w:type="dxa"/>
            <w:shd w:val="clear" w:color="auto" w:fill="auto"/>
            <w:noWrap/>
            <w:vAlign w:val="bottom"/>
            <w:hideMark/>
          </w:tcPr>
          <w:p w:rsidR="00ED4333" w:rsidRPr="000F3C8B" w:rsidRDefault="00ED4333" w:rsidP="00841A6E">
            <w:pPr>
              <w:pStyle w:val="TableText0"/>
              <w:rPr>
                <w:lang w:val="en-AU"/>
              </w:rPr>
            </w:pPr>
            <w:r w:rsidRPr="000F3C8B">
              <w:rPr>
                <w:lang w:val="en-AU"/>
              </w:rPr>
              <w:t>Patient out-of-pocket</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$2,070,535</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$4,163,004</w:t>
            </w:r>
          </w:p>
        </w:tc>
      </w:tr>
      <w:tr w:rsidR="00ED4333" w:rsidRPr="00FC66CF" w:rsidTr="00CB5216">
        <w:trPr>
          <w:trHeight w:val="227"/>
        </w:trPr>
        <w:tc>
          <w:tcPr>
            <w:tcW w:w="3744" w:type="dxa"/>
            <w:shd w:val="clear" w:color="auto" w:fill="auto"/>
            <w:noWrap/>
            <w:vAlign w:val="bottom"/>
            <w:hideMark/>
          </w:tcPr>
          <w:p w:rsidR="00ED4333" w:rsidRPr="0007443E" w:rsidRDefault="00ED4333" w:rsidP="00841A6E">
            <w:pPr>
              <w:pStyle w:val="TableText0"/>
              <w:rPr>
                <w:b/>
                <w:lang w:val="en-AU"/>
              </w:rPr>
            </w:pPr>
            <w:r w:rsidRPr="0007443E">
              <w:rPr>
                <w:b/>
                <w:lang w:val="en-AU"/>
              </w:rPr>
              <w:t>Total financial implications</w:t>
            </w:r>
          </w:p>
        </w:tc>
        <w:tc>
          <w:tcPr>
            <w:tcW w:w="1620" w:type="dxa"/>
            <w:shd w:val="clear" w:color="auto" w:fill="auto"/>
            <w:noWrap/>
            <w:vAlign w:val="bottom"/>
            <w:hideMark/>
          </w:tcPr>
          <w:p w:rsidR="00ED4333" w:rsidRPr="0007443E" w:rsidRDefault="00ED4333" w:rsidP="00841A6E">
            <w:pPr>
              <w:pStyle w:val="TableText0"/>
              <w:jc w:val="right"/>
              <w:rPr>
                <w:b/>
                <w:lang w:val="en-AU"/>
              </w:rPr>
            </w:pPr>
            <w:r w:rsidRPr="0007443E">
              <w:rPr>
                <w:b/>
                <w:lang w:val="en-AU"/>
              </w:rPr>
              <w:t>$8,680,358</w:t>
            </w:r>
          </w:p>
        </w:tc>
        <w:tc>
          <w:tcPr>
            <w:tcW w:w="1980" w:type="dxa"/>
            <w:shd w:val="clear" w:color="auto" w:fill="auto"/>
            <w:noWrap/>
            <w:vAlign w:val="bottom"/>
            <w:hideMark/>
          </w:tcPr>
          <w:p w:rsidR="00ED4333" w:rsidRPr="0007443E" w:rsidRDefault="00ED4333" w:rsidP="00841A6E">
            <w:pPr>
              <w:pStyle w:val="TableText0"/>
              <w:jc w:val="right"/>
              <w:rPr>
                <w:b/>
                <w:lang w:val="en-AU"/>
              </w:rPr>
            </w:pPr>
            <w:r w:rsidRPr="0007443E">
              <w:rPr>
                <w:b/>
                <w:lang w:val="en-AU"/>
              </w:rPr>
              <w:t>$9,999,788</w:t>
            </w:r>
          </w:p>
        </w:tc>
      </w:tr>
      <w:tr w:rsidR="00ED4333" w:rsidRPr="00FC66CF" w:rsidTr="00CB5216">
        <w:trPr>
          <w:trHeight w:val="227"/>
        </w:trPr>
        <w:tc>
          <w:tcPr>
            <w:tcW w:w="3744" w:type="dxa"/>
            <w:shd w:val="clear" w:color="auto" w:fill="auto"/>
            <w:noWrap/>
            <w:vAlign w:val="bottom"/>
            <w:hideMark/>
          </w:tcPr>
          <w:p w:rsidR="00ED4333" w:rsidRPr="000F3C8B" w:rsidRDefault="00112396" w:rsidP="00841A6E">
            <w:pPr>
              <w:pStyle w:val="TableText0"/>
              <w:rPr>
                <w:i/>
                <w:lang w:val="en-AU"/>
              </w:rPr>
            </w:pPr>
            <w:r w:rsidRPr="000F3C8B">
              <w:rPr>
                <w:i/>
                <w:lang w:val="en-AU"/>
              </w:rPr>
              <w:t>Incremental costs</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w:t>
            </w:r>
          </w:p>
        </w:tc>
      </w:tr>
      <w:tr w:rsidR="00ED4333" w:rsidRPr="00FC66CF" w:rsidTr="00CB5216">
        <w:trPr>
          <w:trHeight w:val="227"/>
        </w:trPr>
        <w:tc>
          <w:tcPr>
            <w:tcW w:w="3744" w:type="dxa"/>
            <w:shd w:val="clear" w:color="auto" w:fill="auto"/>
            <w:noWrap/>
            <w:vAlign w:val="bottom"/>
            <w:hideMark/>
          </w:tcPr>
          <w:p w:rsidR="00ED4333" w:rsidRPr="000F3C8B" w:rsidRDefault="00ED4333" w:rsidP="00841A6E">
            <w:pPr>
              <w:pStyle w:val="TableText0"/>
              <w:rPr>
                <w:lang w:val="en-AU"/>
              </w:rPr>
            </w:pPr>
            <w:r w:rsidRPr="000F3C8B">
              <w:rPr>
                <w:lang w:val="en-AU"/>
              </w:rPr>
              <w:t>Consumables</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$1,565,574</w:t>
            </w:r>
          </w:p>
        </w:tc>
      </w:tr>
      <w:tr w:rsidR="00ED4333" w:rsidRPr="00FC66CF" w:rsidTr="00CB5216">
        <w:trPr>
          <w:trHeight w:val="227"/>
        </w:trPr>
        <w:tc>
          <w:tcPr>
            <w:tcW w:w="3744" w:type="dxa"/>
            <w:shd w:val="clear" w:color="auto" w:fill="auto"/>
            <w:noWrap/>
            <w:vAlign w:val="bottom"/>
            <w:hideMark/>
          </w:tcPr>
          <w:p w:rsidR="00ED4333" w:rsidRPr="000F3C8B" w:rsidRDefault="00ED4333" w:rsidP="006B2092">
            <w:pPr>
              <w:pStyle w:val="TableText0"/>
              <w:rPr>
                <w:lang w:val="en-AU"/>
              </w:rPr>
            </w:pPr>
            <w:r w:rsidRPr="000F3C8B">
              <w:rPr>
                <w:lang w:val="en-AU"/>
              </w:rPr>
              <w:t xml:space="preserve">MBS </w:t>
            </w:r>
            <w:r w:rsidR="006B2092" w:rsidRPr="000F3C8B">
              <w:rPr>
                <w:lang w:val="en-AU"/>
              </w:rPr>
              <w:t>i</w:t>
            </w:r>
            <w:r w:rsidRPr="000F3C8B">
              <w:rPr>
                <w:lang w:val="en-AU"/>
              </w:rPr>
              <w:t>tems &amp; hospital fees</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-$792,535</w:t>
            </w:r>
          </w:p>
        </w:tc>
      </w:tr>
      <w:tr w:rsidR="00ED4333" w:rsidRPr="00FC66CF" w:rsidTr="00CB5216">
        <w:trPr>
          <w:trHeight w:val="227"/>
        </w:trPr>
        <w:tc>
          <w:tcPr>
            <w:tcW w:w="3744" w:type="dxa"/>
            <w:shd w:val="clear" w:color="auto" w:fill="auto"/>
            <w:noWrap/>
            <w:vAlign w:val="bottom"/>
            <w:hideMark/>
          </w:tcPr>
          <w:p w:rsidR="00ED4333" w:rsidRPr="000F3C8B" w:rsidRDefault="00ED4333" w:rsidP="00841A6E">
            <w:pPr>
              <w:pStyle w:val="TableText0"/>
              <w:rPr>
                <w:lang w:val="en-AU"/>
              </w:rPr>
            </w:pPr>
            <w:r w:rsidRPr="000F3C8B">
              <w:rPr>
                <w:lang w:val="en-AU"/>
              </w:rPr>
              <w:t>Patient out-of-pocket</w:t>
            </w:r>
          </w:p>
        </w:tc>
        <w:tc>
          <w:tcPr>
            <w:tcW w:w="162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 </w:t>
            </w:r>
          </w:p>
        </w:tc>
        <w:tc>
          <w:tcPr>
            <w:tcW w:w="1980" w:type="dxa"/>
            <w:shd w:val="clear" w:color="auto" w:fill="auto"/>
            <w:noWrap/>
            <w:vAlign w:val="bottom"/>
            <w:hideMark/>
          </w:tcPr>
          <w:p w:rsidR="00ED4333" w:rsidRPr="000F3C8B" w:rsidRDefault="00ED4333" w:rsidP="00841A6E">
            <w:pPr>
              <w:pStyle w:val="TableText0"/>
              <w:jc w:val="right"/>
              <w:rPr>
                <w:lang w:val="en-AU"/>
              </w:rPr>
            </w:pPr>
            <w:r w:rsidRPr="000F3C8B">
              <w:rPr>
                <w:lang w:val="en-AU"/>
              </w:rPr>
              <w:t>-$2,092,469</w:t>
            </w:r>
          </w:p>
        </w:tc>
      </w:tr>
      <w:tr w:rsidR="00ED4333" w:rsidRPr="00FC66CF" w:rsidTr="00CB5216">
        <w:trPr>
          <w:trHeight w:val="227"/>
        </w:trPr>
        <w:tc>
          <w:tcPr>
            <w:tcW w:w="3744" w:type="dxa"/>
            <w:shd w:val="clear" w:color="auto" w:fill="auto"/>
            <w:noWrap/>
            <w:vAlign w:val="bottom"/>
            <w:hideMark/>
          </w:tcPr>
          <w:p w:rsidR="00ED4333" w:rsidRPr="0007443E" w:rsidRDefault="00ED4333" w:rsidP="00841A6E">
            <w:pPr>
              <w:pStyle w:val="TableText0"/>
              <w:rPr>
                <w:b/>
                <w:lang w:val="en-AU"/>
              </w:rPr>
            </w:pPr>
            <w:r w:rsidRPr="0007443E">
              <w:rPr>
                <w:b/>
                <w:lang w:val="en-AU"/>
              </w:rPr>
              <w:t xml:space="preserve">Total cost </w:t>
            </w:r>
          </w:p>
        </w:tc>
        <w:tc>
          <w:tcPr>
            <w:tcW w:w="1620" w:type="dxa"/>
            <w:shd w:val="clear" w:color="auto" w:fill="auto"/>
            <w:noWrap/>
            <w:vAlign w:val="bottom"/>
            <w:hideMark/>
          </w:tcPr>
          <w:p w:rsidR="00ED4333" w:rsidRPr="0007443E" w:rsidRDefault="00ED4333" w:rsidP="00841A6E">
            <w:pPr>
              <w:pStyle w:val="TableText0"/>
              <w:jc w:val="right"/>
              <w:rPr>
                <w:b/>
                <w:lang w:val="en-AU"/>
              </w:rPr>
            </w:pPr>
            <w:r w:rsidRPr="0007443E">
              <w:rPr>
                <w:b/>
                <w:lang w:val="en-AU"/>
              </w:rPr>
              <w:t> </w:t>
            </w:r>
          </w:p>
        </w:tc>
        <w:tc>
          <w:tcPr>
            <w:tcW w:w="1980" w:type="dxa"/>
            <w:shd w:val="clear" w:color="auto" w:fill="auto"/>
            <w:noWrap/>
            <w:vAlign w:val="bottom"/>
            <w:hideMark/>
          </w:tcPr>
          <w:p w:rsidR="00ED4333" w:rsidRPr="0007443E" w:rsidRDefault="00ED4333" w:rsidP="00841A6E">
            <w:pPr>
              <w:pStyle w:val="TableText0"/>
              <w:jc w:val="right"/>
              <w:rPr>
                <w:b/>
                <w:lang w:val="en-AU"/>
              </w:rPr>
            </w:pPr>
            <w:r w:rsidRPr="0007443E">
              <w:rPr>
                <w:b/>
                <w:lang w:val="en-AU"/>
              </w:rPr>
              <w:t>-$1,319,430</w:t>
            </w:r>
          </w:p>
        </w:tc>
      </w:tr>
    </w:tbl>
    <w:p w:rsidR="00C33DE2" w:rsidRDefault="00576A26" w:rsidP="0007443E">
      <w:pPr>
        <w:pStyle w:val="TableNotes"/>
        <w:rPr>
          <w:lang w:val="en-AU"/>
        </w:rPr>
      </w:pPr>
      <w:r w:rsidRPr="00576A26">
        <w:t xml:space="preserve">SEMS: </w:t>
      </w:r>
      <w:r w:rsidR="00D3398A" w:rsidRPr="00576A26">
        <w:t>S</w:t>
      </w:r>
      <w:r w:rsidRPr="00576A26">
        <w:t>elf-expanding metallic stent</w:t>
      </w:r>
      <w:r w:rsidR="00AA69D5" w:rsidRPr="00AA69D5">
        <w:t>; MBS: Medicare Benefits Schedule</w:t>
      </w:r>
      <w:r w:rsidR="0026112F">
        <w:t>.</w:t>
      </w:r>
    </w:p>
    <w:p w:rsidR="00841A6E" w:rsidRDefault="00C33DE2" w:rsidP="0007443E">
      <w:pPr>
        <w:pStyle w:val="TableNotes"/>
        <w:rPr>
          <w:b/>
        </w:rPr>
      </w:pPr>
      <w:r>
        <w:rPr>
          <w:lang w:val="en-AU"/>
        </w:rPr>
        <w:t>Note</w:t>
      </w:r>
      <w:r w:rsidR="00951C3D">
        <w:rPr>
          <w:lang w:val="en-AU"/>
        </w:rPr>
        <w:t>: N</w:t>
      </w:r>
      <w:r w:rsidR="00BC4966">
        <w:t xml:space="preserve">umbers may not </w:t>
      </w:r>
      <w:r w:rsidR="001F7E3E">
        <w:rPr>
          <w:lang w:val="en-AU"/>
        </w:rPr>
        <w:t>sum to total</w:t>
      </w:r>
      <w:r w:rsidR="00BC4966">
        <w:t xml:space="preserve"> due to rounding</w:t>
      </w:r>
      <w:r w:rsidR="00BC4966">
        <w:rPr>
          <w:lang w:val="en-AU"/>
        </w:rPr>
        <w:t>.</w:t>
      </w:r>
    </w:p>
    <w:p w:rsidR="00B01E21" w:rsidRPr="00841A6E" w:rsidRDefault="00ED4333" w:rsidP="00841A6E">
      <w:pPr>
        <w:pStyle w:val="Heading5"/>
      </w:pPr>
      <w:r w:rsidRPr="00841A6E">
        <w:t>For patients requiri</w:t>
      </w:r>
      <w:r w:rsidR="00B01E21" w:rsidRPr="00841A6E">
        <w:t xml:space="preserve">ng SEMS as a </w:t>
      </w:r>
      <w:r w:rsidR="003617AD">
        <w:t>bridge to surgery</w:t>
      </w:r>
    </w:p>
    <w:p w:rsidR="00ED4333" w:rsidRPr="00FC66CF" w:rsidRDefault="00841A6E" w:rsidP="00ED4333">
      <w:r>
        <w:fldChar w:fldCharType="begin"/>
      </w:r>
      <w:r>
        <w:instrText xml:space="preserve"> REF _Ref324938691 \h </w:instrText>
      </w:r>
      <w:r w:rsidR="00FA584E">
        <w:instrText xml:space="preserve"> \* MERGEFORMAT </w:instrText>
      </w:r>
      <w:r>
        <w:fldChar w:fldCharType="separate"/>
      </w:r>
      <w:r w:rsidR="0071544A">
        <w:t>Table 13</w:t>
      </w:r>
      <w:r>
        <w:fldChar w:fldCharType="end"/>
      </w:r>
      <w:r>
        <w:t xml:space="preserve"> </w:t>
      </w:r>
      <w:r w:rsidR="00ED4333" w:rsidRPr="00FC66CF">
        <w:t xml:space="preserve">and </w:t>
      </w:r>
      <w:r w:rsidR="00FA584E">
        <w:fldChar w:fldCharType="begin"/>
      </w:r>
      <w:r w:rsidR="00FA584E">
        <w:instrText xml:space="preserve"> REF _Ref327455224 \h </w:instrText>
      </w:r>
      <w:r w:rsidR="00FA584E">
        <w:fldChar w:fldCharType="separate"/>
      </w:r>
      <w:r w:rsidR="0071544A">
        <w:t xml:space="preserve">Table </w:t>
      </w:r>
      <w:r w:rsidR="0071544A">
        <w:rPr>
          <w:noProof/>
        </w:rPr>
        <w:t>14</w:t>
      </w:r>
      <w:r w:rsidR="00FA584E">
        <w:fldChar w:fldCharType="end"/>
      </w:r>
      <w:r w:rsidR="00FA584E">
        <w:t xml:space="preserve"> </w:t>
      </w:r>
      <w:r w:rsidR="00ED4333" w:rsidRPr="00FC66CF">
        <w:t>present the overall esti</w:t>
      </w:r>
      <w:r w:rsidR="00ED4333">
        <w:t xml:space="preserve">mated impact of SEMS placement </w:t>
      </w:r>
      <w:r w:rsidR="00197117">
        <w:t xml:space="preserve">in lieu </w:t>
      </w:r>
      <w:r w:rsidR="00ED4333" w:rsidRPr="00FC66CF">
        <w:t xml:space="preserve">of either a colostomy or a Hartmann’s procedure. If all patients who would have received a colostomy or Hartmann’s resection received a SEMS, the overall cost savings would be between $138,045 (lower estimate) and $500,412 (upper limit). </w:t>
      </w:r>
    </w:p>
    <w:p w:rsidR="00ED4333" w:rsidRPr="00FC66CF" w:rsidRDefault="00841A6E" w:rsidP="00841A6E">
      <w:pPr>
        <w:pStyle w:val="Caption"/>
      </w:pPr>
      <w:bookmarkStart w:id="43" w:name="_Ref324938691"/>
      <w:bookmarkStart w:id="44" w:name="_Toc327522057"/>
      <w:r>
        <w:lastRenderedPageBreak/>
        <w:t xml:space="preserve">Table </w:t>
      </w:r>
      <w:fldSimple w:instr=" SEQ Table \* ARABIC ">
        <w:r w:rsidR="0071544A">
          <w:rPr>
            <w:noProof/>
          </w:rPr>
          <w:t>13</w:t>
        </w:r>
      </w:fldSimple>
      <w:bookmarkEnd w:id="43"/>
      <w:r w:rsidR="00ED4333" w:rsidRPr="00FC66CF">
        <w:tab/>
        <w:t xml:space="preserve">Estimated total costs of SEMS versus </w:t>
      </w:r>
      <w:r w:rsidR="00DF03CC">
        <w:t>multi-stage</w:t>
      </w:r>
      <w:r w:rsidR="00ED4333" w:rsidRPr="00FC66CF">
        <w:t xml:space="preserve"> surgery (lower limit)</w:t>
      </w:r>
      <w:bookmarkEnd w:id="44"/>
    </w:p>
    <w:tbl>
      <w:tblPr>
        <w:tblW w:w="7371" w:type="dxa"/>
        <w:tblInd w:w="720" w:type="dxa"/>
        <w:tblBorders>
          <w:top w:val="single" w:sz="12" w:space="0" w:color="auto"/>
          <w:bottom w:val="single" w:sz="12" w:space="0" w:color="auto"/>
        </w:tblBorders>
        <w:tblLook w:val="04A0" w:firstRow="1" w:lastRow="0" w:firstColumn="1" w:lastColumn="0" w:noHBand="0" w:noVBand="1"/>
      </w:tblPr>
      <w:tblGrid>
        <w:gridCol w:w="3771"/>
        <w:gridCol w:w="1620"/>
        <w:gridCol w:w="1980"/>
      </w:tblGrid>
      <w:tr w:rsidR="00ED4333" w:rsidRPr="00FC66CF" w:rsidTr="00CB5216">
        <w:trPr>
          <w:trHeight w:val="227"/>
        </w:trPr>
        <w:tc>
          <w:tcPr>
            <w:tcW w:w="3771" w:type="dxa"/>
            <w:tcBorders>
              <w:top w:val="single" w:sz="12" w:space="0" w:color="auto"/>
              <w:bottom w:val="single" w:sz="4" w:space="0" w:color="auto"/>
            </w:tcBorders>
            <w:shd w:val="clear" w:color="auto" w:fill="auto"/>
            <w:noWrap/>
            <w:vAlign w:val="bottom"/>
            <w:hideMark/>
          </w:tcPr>
          <w:p w:rsidR="00ED4333" w:rsidRPr="00FC66CF" w:rsidRDefault="00ED4333" w:rsidP="00841A6E">
            <w:pPr>
              <w:pStyle w:val="TableHeading"/>
              <w:rPr>
                <w:lang w:val="en-US" w:eastAsia="en-US"/>
              </w:rPr>
            </w:pPr>
            <w:r w:rsidRPr="00FC66CF">
              <w:rPr>
                <w:lang w:val="en-US" w:eastAsia="en-US"/>
              </w:rPr>
              <w:t> </w:t>
            </w:r>
          </w:p>
        </w:tc>
        <w:tc>
          <w:tcPr>
            <w:tcW w:w="1620" w:type="dxa"/>
            <w:tcBorders>
              <w:top w:val="single" w:sz="12" w:space="0" w:color="auto"/>
              <w:bottom w:val="single" w:sz="4" w:space="0" w:color="auto"/>
            </w:tcBorders>
            <w:shd w:val="clear" w:color="auto" w:fill="auto"/>
            <w:noWrap/>
            <w:vAlign w:val="bottom"/>
            <w:hideMark/>
          </w:tcPr>
          <w:p w:rsidR="00ED4333" w:rsidRPr="00FC66CF" w:rsidRDefault="00ED4333" w:rsidP="00841A6E">
            <w:pPr>
              <w:pStyle w:val="TableHeading"/>
              <w:jc w:val="right"/>
              <w:rPr>
                <w:bCs/>
                <w:lang w:val="en-US" w:eastAsia="en-US"/>
              </w:rPr>
            </w:pPr>
            <w:r w:rsidRPr="00FC66CF">
              <w:rPr>
                <w:bCs/>
                <w:lang w:val="en-US" w:eastAsia="en-US"/>
              </w:rPr>
              <w:t>SEMS</w:t>
            </w:r>
          </w:p>
        </w:tc>
        <w:tc>
          <w:tcPr>
            <w:tcW w:w="1980" w:type="dxa"/>
            <w:tcBorders>
              <w:top w:val="single" w:sz="12" w:space="0" w:color="auto"/>
              <w:bottom w:val="single" w:sz="4" w:space="0" w:color="auto"/>
            </w:tcBorders>
            <w:shd w:val="clear" w:color="auto" w:fill="auto"/>
            <w:noWrap/>
            <w:vAlign w:val="bottom"/>
            <w:hideMark/>
          </w:tcPr>
          <w:p w:rsidR="00ED4333" w:rsidRPr="00FC66CF" w:rsidRDefault="00DF03CC" w:rsidP="00841A6E">
            <w:pPr>
              <w:pStyle w:val="TableHeading"/>
              <w:jc w:val="right"/>
              <w:rPr>
                <w:bCs/>
                <w:lang w:val="en-US" w:eastAsia="en-US"/>
              </w:rPr>
            </w:pPr>
            <w:r>
              <w:rPr>
                <w:bCs/>
                <w:lang w:val="en-US" w:eastAsia="en-US"/>
              </w:rPr>
              <w:t>Multi-stage</w:t>
            </w:r>
            <w:r w:rsidR="00841A6E">
              <w:rPr>
                <w:bCs/>
                <w:lang w:val="en-US" w:eastAsia="en-US"/>
              </w:rPr>
              <w:t xml:space="preserve"> s</w:t>
            </w:r>
            <w:r w:rsidR="00ED4333" w:rsidRPr="00FC66CF">
              <w:rPr>
                <w:bCs/>
                <w:lang w:val="en-US" w:eastAsia="en-US"/>
              </w:rPr>
              <w:t>urgery</w:t>
            </w:r>
          </w:p>
        </w:tc>
      </w:tr>
      <w:tr w:rsidR="00ED4333" w:rsidRPr="00FC66CF" w:rsidTr="00CB5216">
        <w:trPr>
          <w:trHeight w:val="227"/>
        </w:trPr>
        <w:tc>
          <w:tcPr>
            <w:tcW w:w="3771" w:type="dxa"/>
            <w:tcBorders>
              <w:top w:val="single" w:sz="4" w:space="0" w:color="auto"/>
            </w:tcBorders>
            <w:shd w:val="clear" w:color="auto" w:fill="auto"/>
            <w:noWrap/>
            <w:vAlign w:val="bottom"/>
            <w:hideMark/>
          </w:tcPr>
          <w:p w:rsidR="00ED4333" w:rsidRPr="00FC66CF" w:rsidRDefault="00ED4333" w:rsidP="00841A6E">
            <w:pPr>
              <w:pStyle w:val="TableText0"/>
              <w:rPr>
                <w:lang w:val="en-US"/>
              </w:rPr>
            </w:pPr>
            <w:r w:rsidRPr="00FC66CF">
              <w:rPr>
                <w:lang w:val="en-US"/>
              </w:rPr>
              <w:t>Total cost per patient</w:t>
            </w:r>
          </w:p>
        </w:tc>
        <w:tc>
          <w:tcPr>
            <w:tcW w:w="1620" w:type="dxa"/>
            <w:tcBorders>
              <w:top w:val="single" w:sz="4" w:space="0" w:color="auto"/>
            </w:tcBorders>
            <w:shd w:val="clear" w:color="auto" w:fill="auto"/>
            <w:noWrap/>
            <w:vAlign w:val="bottom"/>
            <w:hideMark/>
          </w:tcPr>
          <w:p w:rsidR="00ED4333" w:rsidRPr="00FC66CF" w:rsidRDefault="00ED4333" w:rsidP="00841A6E">
            <w:pPr>
              <w:pStyle w:val="TableText0"/>
              <w:jc w:val="right"/>
              <w:rPr>
                <w:lang w:val="en-US"/>
              </w:rPr>
            </w:pPr>
            <w:r w:rsidRPr="000F3C8B">
              <w:rPr>
                <w:lang w:val="en-AU"/>
              </w:rPr>
              <w:t>$29,729</w:t>
            </w:r>
          </w:p>
        </w:tc>
        <w:tc>
          <w:tcPr>
            <w:tcW w:w="1980" w:type="dxa"/>
            <w:tcBorders>
              <w:top w:val="single" w:sz="4" w:space="0" w:color="auto"/>
            </w:tcBorders>
            <w:shd w:val="clear" w:color="auto" w:fill="auto"/>
            <w:noWrap/>
            <w:vAlign w:val="bottom"/>
            <w:hideMark/>
          </w:tcPr>
          <w:p w:rsidR="00ED4333" w:rsidRPr="00FC66CF" w:rsidRDefault="00ED4333" w:rsidP="00841A6E">
            <w:pPr>
              <w:pStyle w:val="TableText0"/>
              <w:jc w:val="right"/>
              <w:rPr>
                <w:lang w:val="en-US"/>
              </w:rPr>
            </w:pPr>
            <w:r w:rsidRPr="000F3C8B">
              <w:rPr>
                <w:lang w:val="en-AU"/>
              </w:rPr>
              <w:t>$30,169</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lang w:val="en-US"/>
              </w:rPr>
            </w:pPr>
            <w:r w:rsidRPr="00FC66CF">
              <w:rPr>
                <w:lang w:val="en-US"/>
              </w:rPr>
              <w:t>Number of patients</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xml:space="preserve">                     314 </w:t>
            </w:r>
          </w:p>
        </w:tc>
        <w:tc>
          <w:tcPr>
            <w:tcW w:w="198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xml:space="preserve">                        314 </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i/>
                <w:iCs/>
                <w:lang w:val="en-US"/>
              </w:rPr>
            </w:pPr>
            <w:r w:rsidRPr="00FC66CF">
              <w:rPr>
                <w:i/>
                <w:iCs/>
                <w:lang w:val="en-US"/>
              </w:rPr>
              <w:t>Breakd</w:t>
            </w:r>
            <w:r w:rsidR="00841A6E">
              <w:rPr>
                <w:i/>
                <w:iCs/>
                <w:lang w:val="en-US"/>
              </w:rPr>
              <w:t>own of financial implications</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w:t>
            </w:r>
          </w:p>
        </w:tc>
        <w:tc>
          <w:tcPr>
            <w:tcW w:w="198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lang w:val="en-US"/>
              </w:rPr>
            </w:pPr>
            <w:r w:rsidRPr="00FC66CF">
              <w:rPr>
                <w:lang w:val="en-US"/>
              </w:rPr>
              <w:t>Consumables</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$1,634,888</w:t>
            </w:r>
          </w:p>
        </w:tc>
        <w:tc>
          <w:tcPr>
            <w:tcW w:w="198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$598,612</w:t>
            </w:r>
          </w:p>
        </w:tc>
      </w:tr>
      <w:tr w:rsidR="00ED4333" w:rsidRPr="00FC66CF" w:rsidTr="00CB5216">
        <w:trPr>
          <w:trHeight w:val="227"/>
        </w:trPr>
        <w:tc>
          <w:tcPr>
            <w:tcW w:w="3771" w:type="dxa"/>
            <w:shd w:val="clear" w:color="auto" w:fill="auto"/>
            <w:noWrap/>
            <w:vAlign w:val="bottom"/>
            <w:hideMark/>
          </w:tcPr>
          <w:p w:rsidR="00ED4333" w:rsidRPr="00FC66CF" w:rsidRDefault="00ED4333" w:rsidP="008E23F5">
            <w:pPr>
              <w:pStyle w:val="TableText0"/>
              <w:rPr>
                <w:lang w:val="en-US"/>
              </w:rPr>
            </w:pPr>
            <w:r w:rsidRPr="00FC66CF">
              <w:rPr>
                <w:lang w:val="en-US"/>
              </w:rPr>
              <w:t xml:space="preserve">MBS </w:t>
            </w:r>
            <w:r w:rsidR="008E23F5">
              <w:rPr>
                <w:lang w:val="en-US"/>
              </w:rPr>
              <w:t>i</w:t>
            </w:r>
            <w:r w:rsidRPr="00FC66CF">
              <w:rPr>
                <w:lang w:val="en-US"/>
              </w:rPr>
              <w:t>tems &amp; hospital fees</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$3,089,690</w:t>
            </w:r>
          </w:p>
        </w:tc>
        <w:tc>
          <w:tcPr>
            <w:tcW w:w="198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$3,718,421</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lang w:val="en-US"/>
              </w:rPr>
            </w:pPr>
            <w:r w:rsidRPr="00FC66CF">
              <w:rPr>
                <w:lang w:val="en-US"/>
              </w:rPr>
              <w:t>Patient out-of-pocket</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$4,602,534</w:t>
            </w:r>
          </w:p>
        </w:tc>
        <w:tc>
          <w:tcPr>
            <w:tcW w:w="198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$5,148,124</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b/>
                <w:bCs/>
                <w:lang w:val="en-US"/>
              </w:rPr>
            </w:pPr>
            <w:r w:rsidRPr="00FC66CF">
              <w:rPr>
                <w:b/>
                <w:bCs/>
                <w:lang w:val="en-US"/>
              </w:rPr>
              <w:t>Total financial implications</w:t>
            </w:r>
          </w:p>
        </w:tc>
        <w:tc>
          <w:tcPr>
            <w:tcW w:w="1620" w:type="dxa"/>
            <w:shd w:val="clear" w:color="auto" w:fill="auto"/>
            <w:noWrap/>
            <w:vAlign w:val="bottom"/>
            <w:hideMark/>
          </w:tcPr>
          <w:p w:rsidR="00ED4333" w:rsidRPr="00FC66CF" w:rsidRDefault="00ED4333" w:rsidP="00841A6E">
            <w:pPr>
              <w:pStyle w:val="TableText0"/>
              <w:jc w:val="right"/>
              <w:rPr>
                <w:b/>
                <w:bCs/>
                <w:lang w:val="en-US"/>
              </w:rPr>
            </w:pPr>
            <w:r w:rsidRPr="000F3C8B">
              <w:rPr>
                <w:b/>
                <w:bCs/>
                <w:lang w:val="en-AU"/>
              </w:rPr>
              <w:t>$9,327,112</w:t>
            </w:r>
          </w:p>
        </w:tc>
        <w:tc>
          <w:tcPr>
            <w:tcW w:w="1980" w:type="dxa"/>
            <w:shd w:val="clear" w:color="auto" w:fill="auto"/>
            <w:noWrap/>
            <w:vAlign w:val="bottom"/>
            <w:hideMark/>
          </w:tcPr>
          <w:p w:rsidR="00ED4333" w:rsidRPr="00FC66CF" w:rsidRDefault="00ED4333" w:rsidP="00841A6E">
            <w:pPr>
              <w:pStyle w:val="TableText0"/>
              <w:jc w:val="right"/>
              <w:rPr>
                <w:b/>
                <w:bCs/>
                <w:lang w:val="en-US"/>
              </w:rPr>
            </w:pPr>
            <w:r w:rsidRPr="000F3C8B">
              <w:rPr>
                <w:b/>
                <w:bCs/>
                <w:lang w:val="en-AU"/>
              </w:rPr>
              <w:t>$9,465,157</w:t>
            </w:r>
          </w:p>
        </w:tc>
      </w:tr>
      <w:tr w:rsidR="00ED4333" w:rsidRPr="00FC66CF" w:rsidTr="00CB5216">
        <w:trPr>
          <w:trHeight w:val="227"/>
        </w:trPr>
        <w:tc>
          <w:tcPr>
            <w:tcW w:w="3771" w:type="dxa"/>
            <w:shd w:val="clear" w:color="auto" w:fill="auto"/>
            <w:noWrap/>
            <w:vAlign w:val="bottom"/>
            <w:hideMark/>
          </w:tcPr>
          <w:p w:rsidR="00ED4333" w:rsidRPr="00FC66CF" w:rsidRDefault="00841A6E" w:rsidP="00841A6E">
            <w:pPr>
              <w:pStyle w:val="TableText0"/>
              <w:rPr>
                <w:i/>
                <w:iCs/>
                <w:lang w:val="en-US"/>
              </w:rPr>
            </w:pPr>
            <w:r>
              <w:rPr>
                <w:i/>
                <w:iCs/>
                <w:lang w:val="en-US"/>
              </w:rPr>
              <w:t>Incremental costs</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w:t>
            </w:r>
          </w:p>
        </w:tc>
        <w:tc>
          <w:tcPr>
            <w:tcW w:w="198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lang w:val="en-US"/>
              </w:rPr>
            </w:pPr>
            <w:r w:rsidRPr="00FC66CF">
              <w:rPr>
                <w:lang w:val="en-US"/>
              </w:rPr>
              <w:t>Consumables</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w:t>
            </w:r>
          </w:p>
        </w:tc>
        <w:tc>
          <w:tcPr>
            <w:tcW w:w="198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$1,036,276</w:t>
            </w:r>
          </w:p>
        </w:tc>
      </w:tr>
      <w:tr w:rsidR="00ED4333" w:rsidRPr="00FC66CF" w:rsidTr="00CB5216">
        <w:trPr>
          <w:trHeight w:val="227"/>
        </w:trPr>
        <w:tc>
          <w:tcPr>
            <w:tcW w:w="3771" w:type="dxa"/>
            <w:shd w:val="clear" w:color="auto" w:fill="auto"/>
            <w:noWrap/>
            <w:vAlign w:val="bottom"/>
            <w:hideMark/>
          </w:tcPr>
          <w:p w:rsidR="00ED4333" w:rsidRPr="00FC66CF" w:rsidRDefault="00ED4333" w:rsidP="008E23F5">
            <w:pPr>
              <w:pStyle w:val="TableText0"/>
              <w:rPr>
                <w:lang w:val="en-US"/>
              </w:rPr>
            </w:pPr>
            <w:r w:rsidRPr="00FC66CF">
              <w:rPr>
                <w:lang w:val="en-US"/>
              </w:rPr>
              <w:t xml:space="preserve">MBS </w:t>
            </w:r>
            <w:r w:rsidR="008E23F5">
              <w:rPr>
                <w:lang w:val="en-US"/>
              </w:rPr>
              <w:t>i</w:t>
            </w:r>
            <w:r w:rsidRPr="00FC66CF">
              <w:rPr>
                <w:lang w:val="en-US"/>
              </w:rPr>
              <w:t>tems &amp; hospital fees</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w:t>
            </w:r>
          </w:p>
        </w:tc>
        <w:tc>
          <w:tcPr>
            <w:tcW w:w="1980" w:type="dxa"/>
            <w:shd w:val="clear" w:color="auto" w:fill="auto"/>
            <w:noWrap/>
            <w:vAlign w:val="bottom"/>
            <w:hideMark/>
          </w:tcPr>
          <w:p w:rsidR="00ED4333" w:rsidRPr="001F67E3" w:rsidRDefault="00ED4333" w:rsidP="00841A6E">
            <w:pPr>
              <w:pStyle w:val="TableText0"/>
              <w:jc w:val="right"/>
              <w:rPr>
                <w:lang w:val="en-US"/>
              </w:rPr>
            </w:pPr>
            <w:r w:rsidRPr="000F3C8B">
              <w:rPr>
                <w:lang w:val="en-AU"/>
              </w:rPr>
              <w:t>-$628,731</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lang w:val="en-US"/>
              </w:rPr>
            </w:pPr>
            <w:r w:rsidRPr="00FC66CF">
              <w:rPr>
                <w:lang w:val="en-US"/>
              </w:rPr>
              <w:t>Patient out-of-pocket</w:t>
            </w:r>
          </w:p>
        </w:tc>
        <w:tc>
          <w:tcPr>
            <w:tcW w:w="1620" w:type="dxa"/>
            <w:shd w:val="clear" w:color="auto" w:fill="auto"/>
            <w:noWrap/>
            <w:vAlign w:val="bottom"/>
            <w:hideMark/>
          </w:tcPr>
          <w:p w:rsidR="00ED4333" w:rsidRPr="00FC66CF" w:rsidRDefault="00ED4333" w:rsidP="00841A6E">
            <w:pPr>
              <w:pStyle w:val="TableText0"/>
              <w:jc w:val="right"/>
              <w:rPr>
                <w:lang w:val="en-US"/>
              </w:rPr>
            </w:pPr>
            <w:r w:rsidRPr="000F3C8B">
              <w:rPr>
                <w:lang w:val="en-AU"/>
              </w:rPr>
              <w:t> </w:t>
            </w:r>
          </w:p>
        </w:tc>
        <w:tc>
          <w:tcPr>
            <w:tcW w:w="1980" w:type="dxa"/>
            <w:shd w:val="clear" w:color="auto" w:fill="auto"/>
            <w:noWrap/>
            <w:vAlign w:val="bottom"/>
            <w:hideMark/>
          </w:tcPr>
          <w:p w:rsidR="00ED4333" w:rsidRPr="001F67E3" w:rsidRDefault="00ED4333" w:rsidP="00841A6E">
            <w:pPr>
              <w:pStyle w:val="TableText0"/>
              <w:jc w:val="right"/>
              <w:rPr>
                <w:lang w:val="en-US"/>
              </w:rPr>
            </w:pPr>
            <w:r w:rsidRPr="000F3C8B">
              <w:rPr>
                <w:lang w:val="en-AU"/>
              </w:rPr>
              <w:t>-$545,590</w:t>
            </w:r>
          </w:p>
        </w:tc>
      </w:tr>
      <w:tr w:rsidR="00ED4333" w:rsidRPr="00FC66CF" w:rsidTr="00CB5216">
        <w:trPr>
          <w:trHeight w:val="227"/>
        </w:trPr>
        <w:tc>
          <w:tcPr>
            <w:tcW w:w="3771" w:type="dxa"/>
            <w:shd w:val="clear" w:color="auto" w:fill="auto"/>
            <w:noWrap/>
            <w:vAlign w:val="bottom"/>
            <w:hideMark/>
          </w:tcPr>
          <w:p w:rsidR="00ED4333" w:rsidRPr="00FC66CF" w:rsidRDefault="00ED4333" w:rsidP="00841A6E">
            <w:pPr>
              <w:pStyle w:val="TableText0"/>
              <w:rPr>
                <w:b/>
                <w:bCs/>
                <w:lang w:val="en-US"/>
              </w:rPr>
            </w:pPr>
            <w:r w:rsidRPr="00FC66CF">
              <w:rPr>
                <w:b/>
                <w:bCs/>
                <w:lang w:val="en-US"/>
              </w:rPr>
              <w:t xml:space="preserve">Total cost </w:t>
            </w:r>
          </w:p>
        </w:tc>
        <w:tc>
          <w:tcPr>
            <w:tcW w:w="1620" w:type="dxa"/>
            <w:shd w:val="clear" w:color="auto" w:fill="auto"/>
            <w:noWrap/>
            <w:vAlign w:val="bottom"/>
            <w:hideMark/>
          </w:tcPr>
          <w:p w:rsidR="00ED4333" w:rsidRPr="00FC66CF" w:rsidRDefault="00ED4333" w:rsidP="00841A6E">
            <w:pPr>
              <w:pStyle w:val="TableText0"/>
              <w:jc w:val="right"/>
              <w:rPr>
                <w:b/>
                <w:bCs/>
                <w:lang w:val="en-US"/>
              </w:rPr>
            </w:pPr>
            <w:r w:rsidRPr="000F3C8B">
              <w:rPr>
                <w:b/>
                <w:bCs/>
                <w:lang w:val="en-AU"/>
              </w:rPr>
              <w:t> </w:t>
            </w:r>
          </w:p>
        </w:tc>
        <w:tc>
          <w:tcPr>
            <w:tcW w:w="1980" w:type="dxa"/>
            <w:shd w:val="clear" w:color="auto" w:fill="auto"/>
            <w:noWrap/>
            <w:vAlign w:val="bottom"/>
            <w:hideMark/>
          </w:tcPr>
          <w:p w:rsidR="00ED4333" w:rsidRPr="001F67E3" w:rsidRDefault="00ED4333" w:rsidP="00841A6E">
            <w:pPr>
              <w:pStyle w:val="TableText0"/>
              <w:jc w:val="right"/>
              <w:rPr>
                <w:b/>
                <w:bCs/>
                <w:lang w:val="en-US"/>
              </w:rPr>
            </w:pPr>
            <w:r w:rsidRPr="000F3C8B">
              <w:rPr>
                <w:b/>
                <w:bCs/>
                <w:lang w:val="en-AU"/>
              </w:rPr>
              <w:t>-$138,045</w:t>
            </w:r>
          </w:p>
        </w:tc>
      </w:tr>
    </w:tbl>
    <w:p w:rsidR="001F7E3E" w:rsidRDefault="00AA69D5" w:rsidP="001F7E3E">
      <w:pPr>
        <w:pStyle w:val="TableNotes"/>
        <w:rPr>
          <w:lang w:val="en-AU"/>
        </w:rPr>
      </w:pPr>
      <w:r w:rsidRPr="00AA69D5">
        <w:t xml:space="preserve">SEMS: </w:t>
      </w:r>
      <w:r w:rsidR="00951C3D">
        <w:rPr>
          <w:lang w:val="en-AU"/>
        </w:rPr>
        <w:t>S</w:t>
      </w:r>
      <w:r w:rsidRPr="00AA69D5">
        <w:t>elf-expanding metallic stent; MBS: Medicare Benefits Schedule</w:t>
      </w:r>
      <w:r w:rsidR="0026112F">
        <w:t>.</w:t>
      </w:r>
      <w:bookmarkStart w:id="45" w:name="_Ref324938722"/>
    </w:p>
    <w:p w:rsidR="008857B1" w:rsidRDefault="001F7E3E" w:rsidP="008857B1">
      <w:pPr>
        <w:pStyle w:val="TableNotes"/>
        <w:rPr>
          <w:lang w:val="en-AU"/>
        </w:rPr>
      </w:pPr>
      <w:r>
        <w:rPr>
          <w:lang w:val="en-AU"/>
        </w:rPr>
        <w:t>Note: N</w:t>
      </w:r>
      <w:r>
        <w:t xml:space="preserve">umbers may not </w:t>
      </w:r>
      <w:r>
        <w:rPr>
          <w:lang w:val="en-AU"/>
        </w:rPr>
        <w:t>sum to total</w:t>
      </w:r>
      <w:r>
        <w:t xml:space="preserve"> due to rounding</w:t>
      </w:r>
      <w:r>
        <w:rPr>
          <w:lang w:val="en-AU"/>
        </w:rPr>
        <w:t>.</w:t>
      </w:r>
    </w:p>
    <w:p w:rsidR="00ED4333" w:rsidRPr="00FC66CF" w:rsidRDefault="00841A6E" w:rsidP="008857B1">
      <w:pPr>
        <w:pStyle w:val="Caption"/>
      </w:pPr>
      <w:bookmarkStart w:id="46" w:name="_Ref327455224"/>
      <w:bookmarkStart w:id="47" w:name="_Toc327522058"/>
      <w:r>
        <w:t xml:space="preserve">Table </w:t>
      </w:r>
      <w:fldSimple w:instr=" SEQ Table \* ARABIC ">
        <w:r w:rsidR="0071544A">
          <w:rPr>
            <w:noProof/>
          </w:rPr>
          <w:t>14</w:t>
        </w:r>
      </w:fldSimple>
      <w:bookmarkEnd w:id="45"/>
      <w:bookmarkEnd w:id="46"/>
      <w:r w:rsidR="00ED4333" w:rsidRPr="00FC66CF">
        <w:tab/>
        <w:t xml:space="preserve">Estimated total costs of SEMS versus </w:t>
      </w:r>
      <w:r w:rsidR="00DF03CC">
        <w:t>multi-stage</w:t>
      </w:r>
      <w:r w:rsidR="0044517E">
        <w:t xml:space="preserve"> surgery</w:t>
      </w:r>
      <w:r w:rsidR="00ED4333" w:rsidRPr="00FC66CF">
        <w:t xml:space="preserve"> (upper limit)</w:t>
      </w:r>
      <w:bookmarkEnd w:id="47"/>
    </w:p>
    <w:tbl>
      <w:tblPr>
        <w:tblW w:w="7371" w:type="dxa"/>
        <w:tblInd w:w="720" w:type="dxa"/>
        <w:tblBorders>
          <w:top w:val="single" w:sz="12" w:space="0" w:color="auto"/>
          <w:bottom w:val="single" w:sz="12" w:space="0" w:color="auto"/>
        </w:tblBorders>
        <w:tblLook w:val="04A0" w:firstRow="1" w:lastRow="0" w:firstColumn="1" w:lastColumn="0" w:noHBand="0" w:noVBand="1"/>
      </w:tblPr>
      <w:tblGrid>
        <w:gridCol w:w="3771"/>
        <w:gridCol w:w="1620"/>
        <w:gridCol w:w="1980"/>
      </w:tblGrid>
      <w:tr w:rsidR="00ED4333" w:rsidRPr="00FC66CF" w:rsidTr="00CB5216">
        <w:trPr>
          <w:trHeight w:val="227"/>
        </w:trPr>
        <w:tc>
          <w:tcPr>
            <w:tcW w:w="3771" w:type="dxa"/>
            <w:tcBorders>
              <w:top w:val="single" w:sz="12" w:space="0" w:color="auto"/>
              <w:bottom w:val="single" w:sz="4" w:space="0" w:color="auto"/>
            </w:tcBorders>
            <w:shd w:val="clear" w:color="auto" w:fill="auto"/>
            <w:noWrap/>
            <w:vAlign w:val="bottom"/>
            <w:hideMark/>
          </w:tcPr>
          <w:p w:rsidR="00ED4333" w:rsidRPr="00FC66CF" w:rsidRDefault="00ED4333" w:rsidP="00ED4333">
            <w:pPr>
              <w:spacing w:after="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 </w:t>
            </w:r>
          </w:p>
        </w:tc>
        <w:tc>
          <w:tcPr>
            <w:tcW w:w="1620" w:type="dxa"/>
            <w:tcBorders>
              <w:top w:val="single" w:sz="12" w:space="0" w:color="auto"/>
              <w:bottom w:val="single" w:sz="4" w:space="0" w:color="auto"/>
            </w:tcBorders>
            <w:shd w:val="clear" w:color="auto" w:fill="auto"/>
            <w:noWrap/>
            <w:vAlign w:val="bottom"/>
            <w:hideMark/>
          </w:tcPr>
          <w:p w:rsidR="00ED4333" w:rsidRPr="00FC66CF" w:rsidRDefault="00ED4333" w:rsidP="005D2AE2">
            <w:pPr>
              <w:pStyle w:val="TableHeading0"/>
              <w:jc w:val="right"/>
            </w:pPr>
            <w:r w:rsidRPr="00FC66CF">
              <w:t>SEMS</w:t>
            </w:r>
          </w:p>
        </w:tc>
        <w:tc>
          <w:tcPr>
            <w:tcW w:w="1980" w:type="dxa"/>
            <w:tcBorders>
              <w:top w:val="single" w:sz="12" w:space="0" w:color="auto"/>
              <w:bottom w:val="single" w:sz="4" w:space="0" w:color="auto"/>
            </w:tcBorders>
            <w:shd w:val="clear" w:color="auto" w:fill="auto"/>
            <w:noWrap/>
            <w:vAlign w:val="bottom"/>
            <w:hideMark/>
          </w:tcPr>
          <w:p w:rsidR="00ED4333" w:rsidRPr="00FC66CF" w:rsidRDefault="00DF03CC" w:rsidP="005D2AE2">
            <w:pPr>
              <w:pStyle w:val="TableHeading0"/>
              <w:jc w:val="right"/>
            </w:pPr>
            <w:r>
              <w:t>Multi-stage</w:t>
            </w:r>
            <w:r w:rsidR="00ED4333" w:rsidRPr="00FC66CF">
              <w:t xml:space="preserve"> </w:t>
            </w:r>
            <w:r w:rsidR="005D2AE2">
              <w:t>s</w:t>
            </w:r>
            <w:r w:rsidR="00ED4333" w:rsidRPr="00FC66CF">
              <w:t>urgery</w:t>
            </w:r>
          </w:p>
        </w:tc>
      </w:tr>
      <w:tr w:rsidR="00ED4333" w:rsidRPr="00FC66CF" w:rsidTr="00CB5216">
        <w:trPr>
          <w:trHeight w:val="227"/>
        </w:trPr>
        <w:tc>
          <w:tcPr>
            <w:tcW w:w="3771" w:type="dxa"/>
            <w:tcBorders>
              <w:top w:val="single" w:sz="4" w:space="0" w:color="auto"/>
            </w:tcBorders>
            <w:shd w:val="clear" w:color="auto" w:fill="auto"/>
            <w:noWrap/>
            <w:vAlign w:val="bottom"/>
            <w:hideMark/>
          </w:tcPr>
          <w:p w:rsidR="00ED4333" w:rsidRPr="00FC66CF" w:rsidRDefault="00ED4333" w:rsidP="00DC433D">
            <w:pPr>
              <w:pStyle w:val="TableText0"/>
              <w:rPr>
                <w:lang w:val="en-US"/>
              </w:rPr>
            </w:pPr>
            <w:r w:rsidRPr="00FC66CF">
              <w:rPr>
                <w:lang w:val="en-US"/>
              </w:rPr>
              <w:t>Total cost per patient</w:t>
            </w:r>
          </w:p>
        </w:tc>
        <w:tc>
          <w:tcPr>
            <w:tcW w:w="1620" w:type="dxa"/>
            <w:tcBorders>
              <w:top w:val="single" w:sz="4" w:space="0" w:color="auto"/>
            </w:tcBorders>
            <w:shd w:val="clear" w:color="auto" w:fill="auto"/>
            <w:noWrap/>
            <w:vAlign w:val="bottom"/>
            <w:hideMark/>
          </w:tcPr>
          <w:p w:rsidR="00ED4333" w:rsidRPr="00FC66CF" w:rsidRDefault="00ED4333" w:rsidP="00DC433D">
            <w:pPr>
              <w:pStyle w:val="TableText0"/>
              <w:jc w:val="right"/>
              <w:rPr>
                <w:lang w:val="en-US"/>
              </w:rPr>
            </w:pPr>
            <w:r w:rsidRPr="000F3C8B">
              <w:rPr>
                <w:lang w:val="en-AU"/>
              </w:rPr>
              <w:t>$29,729</w:t>
            </w:r>
          </w:p>
        </w:tc>
        <w:tc>
          <w:tcPr>
            <w:tcW w:w="1980" w:type="dxa"/>
            <w:tcBorders>
              <w:top w:val="single" w:sz="4" w:space="0" w:color="auto"/>
            </w:tcBorders>
            <w:shd w:val="clear" w:color="auto" w:fill="auto"/>
            <w:noWrap/>
            <w:vAlign w:val="bottom"/>
            <w:hideMark/>
          </w:tcPr>
          <w:p w:rsidR="00ED4333" w:rsidRPr="00FC66CF" w:rsidRDefault="00ED4333" w:rsidP="00DC433D">
            <w:pPr>
              <w:pStyle w:val="TableText0"/>
              <w:jc w:val="right"/>
              <w:rPr>
                <w:lang w:val="en-US"/>
              </w:rPr>
            </w:pPr>
            <w:r w:rsidRPr="000F3C8B">
              <w:rPr>
                <w:lang w:val="en-AU"/>
              </w:rPr>
              <w:t>$30,169</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pStyle w:val="TableText0"/>
              <w:rPr>
                <w:lang w:val="en-US"/>
              </w:rPr>
            </w:pPr>
            <w:r w:rsidRPr="00FC66CF">
              <w:rPr>
                <w:lang w:val="en-US"/>
              </w:rPr>
              <w:t>Number of patients</w:t>
            </w:r>
          </w:p>
        </w:tc>
        <w:tc>
          <w:tcPr>
            <w:tcW w:w="162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 xml:space="preserve">                  1,137 </w:t>
            </w:r>
          </w:p>
        </w:tc>
        <w:tc>
          <w:tcPr>
            <w:tcW w:w="198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 xml:space="preserve">                     1,137 </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pStyle w:val="TableText0"/>
              <w:rPr>
                <w:i/>
                <w:iCs/>
                <w:lang w:val="en-US"/>
              </w:rPr>
            </w:pPr>
            <w:r w:rsidRPr="00FC66CF">
              <w:rPr>
                <w:i/>
                <w:iCs/>
                <w:lang w:val="en-US"/>
              </w:rPr>
              <w:t>Brea</w:t>
            </w:r>
            <w:r w:rsidR="00F00C6B">
              <w:rPr>
                <w:i/>
                <w:iCs/>
                <w:lang w:val="en-US"/>
              </w:rPr>
              <w:t>kdown of financial implications</w:t>
            </w:r>
          </w:p>
        </w:tc>
        <w:tc>
          <w:tcPr>
            <w:tcW w:w="162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0</w:t>
            </w:r>
          </w:p>
        </w:tc>
        <w:tc>
          <w:tcPr>
            <w:tcW w:w="198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0</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pStyle w:val="TableText0"/>
              <w:rPr>
                <w:lang w:val="en-US"/>
              </w:rPr>
            </w:pPr>
            <w:r w:rsidRPr="00FC66CF">
              <w:rPr>
                <w:lang w:val="en-US"/>
              </w:rPr>
              <w:t>Consumables</w:t>
            </w:r>
          </w:p>
        </w:tc>
        <w:tc>
          <w:tcPr>
            <w:tcW w:w="162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$5,926,468</w:t>
            </w:r>
          </w:p>
        </w:tc>
        <w:tc>
          <w:tcPr>
            <w:tcW w:w="198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$2,169,968</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pStyle w:val="TableText0"/>
              <w:rPr>
                <w:lang w:val="en-US"/>
              </w:rPr>
            </w:pPr>
            <w:r w:rsidRPr="00FC66CF">
              <w:rPr>
                <w:lang w:val="en-US"/>
              </w:rPr>
              <w:t xml:space="preserve">MBS </w:t>
            </w:r>
            <w:r w:rsidR="008E23F5">
              <w:rPr>
                <w:lang w:val="en-US"/>
              </w:rPr>
              <w:t>i</w:t>
            </w:r>
            <w:r w:rsidRPr="00FC66CF">
              <w:rPr>
                <w:lang w:val="en-US"/>
              </w:rPr>
              <w:t>tems &amp; hospital fees</w:t>
            </w:r>
          </w:p>
        </w:tc>
        <w:tc>
          <w:tcPr>
            <w:tcW w:w="162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$11,200,127</w:t>
            </w:r>
          </w:p>
        </w:tc>
        <w:tc>
          <w:tcPr>
            <w:tcW w:w="198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$13,479,275</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pStyle w:val="TableText0"/>
              <w:rPr>
                <w:lang w:val="en-US"/>
              </w:rPr>
            </w:pPr>
            <w:r w:rsidRPr="00FC66CF">
              <w:rPr>
                <w:lang w:val="en-US"/>
              </w:rPr>
              <w:t>Patient out-of-pocket</w:t>
            </w:r>
          </w:p>
        </w:tc>
        <w:tc>
          <w:tcPr>
            <w:tcW w:w="162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$16,684,186</w:t>
            </w:r>
          </w:p>
        </w:tc>
        <w:tc>
          <w:tcPr>
            <w:tcW w:w="1980" w:type="dxa"/>
            <w:shd w:val="clear" w:color="auto" w:fill="auto"/>
            <w:noWrap/>
            <w:vAlign w:val="bottom"/>
            <w:hideMark/>
          </w:tcPr>
          <w:p w:rsidR="00ED4333" w:rsidRPr="00FC66CF" w:rsidRDefault="00ED4333" w:rsidP="00DC433D">
            <w:pPr>
              <w:pStyle w:val="TableText0"/>
              <w:jc w:val="right"/>
              <w:rPr>
                <w:lang w:val="en-US"/>
              </w:rPr>
            </w:pPr>
            <w:r w:rsidRPr="000F3C8B">
              <w:rPr>
                <w:lang w:val="en-AU"/>
              </w:rPr>
              <w:t>$18,661,950</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pStyle w:val="TableText0"/>
              <w:rPr>
                <w:b/>
                <w:bCs/>
                <w:lang w:val="en-US"/>
              </w:rPr>
            </w:pPr>
            <w:r w:rsidRPr="00FC66CF">
              <w:rPr>
                <w:b/>
                <w:bCs/>
                <w:lang w:val="en-US"/>
              </w:rPr>
              <w:t>Total financial implications</w:t>
            </w:r>
          </w:p>
        </w:tc>
        <w:tc>
          <w:tcPr>
            <w:tcW w:w="1620" w:type="dxa"/>
            <w:shd w:val="clear" w:color="auto" w:fill="auto"/>
            <w:noWrap/>
            <w:vAlign w:val="bottom"/>
            <w:hideMark/>
          </w:tcPr>
          <w:p w:rsidR="00ED4333" w:rsidRPr="00FC66CF" w:rsidRDefault="00ED4333" w:rsidP="00DC433D">
            <w:pPr>
              <w:pStyle w:val="TableText0"/>
              <w:jc w:val="right"/>
              <w:rPr>
                <w:b/>
                <w:bCs/>
                <w:lang w:val="en-US"/>
              </w:rPr>
            </w:pPr>
            <w:r w:rsidRPr="000F3C8B">
              <w:rPr>
                <w:b/>
                <w:bCs/>
                <w:lang w:val="en-AU"/>
              </w:rPr>
              <w:t>$33,810,781</w:t>
            </w:r>
          </w:p>
        </w:tc>
        <w:tc>
          <w:tcPr>
            <w:tcW w:w="1980" w:type="dxa"/>
            <w:shd w:val="clear" w:color="auto" w:fill="auto"/>
            <w:noWrap/>
            <w:vAlign w:val="bottom"/>
            <w:hideMark/>
          </w:tcPr>
          <w:p w:rsidR="00ED4333" w:rsidRPr="00FC66CF" w:rsidRDefault="00ED4333" w:rsidP="00DC433D">
            <w:pPr>
              <w:pStyle w:val="TableText0"/>
              <w:jc w:val="right"/>
              <w:rPr>
                <w:b/>
                <w:bCs/>
                <w:lang w:val="en-US"/>
              </w:rPr>
            </w:pPr>
            <w:r w:rsidRPr="000F3C8B">
              <w:rPr>
                <w:b/>
                <w:bCs/>
                <w:lang w:val="en-AU"/>
              </w:rPr>
              <w:t>$34,311,193</w:t>
            </w:r>
          </w:p>
        </w:tc>
      </w:tr>
      <w:tr w:rsidR="00ED4333" w:rsidRPr="00FC66CF" w:rsidTr="00CB5216">
        <w:trPr>
          <w:trHeight w:val="227"/>
        </w:trPr>
        <w:tc>
          <w:tcPr>
            <w:tcW w:w="3771" w:type="dxa"/>
            <w:shd w:val="clear" w:color="auto" w:fill="auto"/>
            <w:noWrap/>
            <w:vAlign w:val="bottom"/>
            <w:hideMark/>
          </w:tcPr>
          <w:p w:rsidR="00ED4333" w:rsidRPr="00FC66CF" w:rsidRDefault="00F00C6B" w:rsidP="00DC433D">
            <w:pPr>
              <w:spacing w:before="40" w:after="40"/>
              <w:ind w:left="0"/>
              <w:rPr>
                <w:rFonts w:ascii="Arial Narrow" w:hAnsi="Arial Narrow"/>
                <w:i/>
                <w:iCs/>
                <w:color w:val="000000"/>
                <w:sz w:val="18"/>
                <w:szCs w:val="18"/>
                <w:lang w:val="en-US" w:eastAsia="en-US"/>
              </w:rPr>
            </w:pPr>
            <w:r>
              <w:rPr>
                <w:rFonts w:ascii="Arial Narrow" w:hAnsi="Arial Narrow"/>
                <w:i/>
                <w:iCs/>
                <w:color w:val="000000"/>
                <w:sz w:val="18"/>
                <w:szCs w:val="18"/>
                <w:lang w:val="en-US" w:eastAsia="en-US"/>
              </w:rPr>
              <w:t>Incremental costs</w:t>
            </w:r>
          </w:p>
        </w:tc>
        <w:tc>
          <w:tcPr>
            <w:tcW w:w="1620" w:type="dxa"/>
            <w:shd w:val="clear" w:color="auto" w:fill="auto"/>
            <w:noWrap/>
            <w:vAlign w:val="bottom"/>
            <w:hideMark/>
          </w:tcPr>
          <w:p w:rsidR="00ED4333" w:rsidRPr="00FC66CF" w:rsidRDefault="00ED4333" w:rsidP="00DC433D">
            <w:pPr>
              <w:spacing w:before="40" w:after="40"/>
              <w:ind w:left="0"/>
              <w:jc w:val="right"/>
              <w:rPr>
                <w:rFonts w:ascii="Arial Narrow" w:hAnsi="Arial Narrow"/>
                <w:color w:val="000000"/>
                <w:sz w:val="18"/>
                <w:szCs w:val="18"/>
                <w:lang w:val="en-US" w:eastAsia="en-US"/>
              </w:rPr>
            </w:pPr>
            <w:r w:rsidRPr="00FC66CF">
              <w:rPr>
                <w:rFonts w:ascii="Arial Narrow" w:hAnsi="Arial Narrow"/>
                <w:color w:val="000000"/>
                <w:sz w:val="18"/>
                <w:szCs w:val="18"/>
              </w:rPr>
              <w:t> </w:t>
            </w:r>
          </w:p>
        </w:tc>
        <w:tc>
          <w:tcPr>
            <w:tcW w:w="1980" w:type="dxa"/>
            <w:shd w:val="clear" w:color="auto" w:fill="auto"/>
            <w:noWrap/>
            <w:vAlign w:val="bottom"/>
            <w:hideMark/>
          </w:tcPr>
          <w:p w:rsidR="00ED4333" w:rsidRPr="00FC66CF" w:rsidRDefault="00ED4333" w:rsidP="00DC433D">
            <w:pPr>
              <w:spacing w:before="40" w:after="40"/>
              <w:ind w:left="0"/>
              <w:jc w:val="right"/>
              <w:rPr>
                <w:rFonts w:ascii="Arial Narrow" w:hAnsi="Arial Narrow"/>
                <w:color w:val="000000"/>
                <w:sz w:val="18"/>
                <w:szCs w:val="18"/>
                <w:lang w:val="en-US" w:eastAsia="en-US"/>
              </w:rPr>
            </w:pPr>
            <w:r w:rsidRPr="00FC66CF">
              <w:rPr>
                <w:rFonts w:ascii="Arial Narrow" w:hAnsi="Arial Narrow"/>
                <w:color w:val="000000"/>
                <w:sz w:val="18"/>
                <w:szCs w:val="18"/>
              </w:rPr>
              <w:t> </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spacing w:before="40" w:after="4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Consumables</w:t>
            </w:r>
          </w:p>
        </w:tc>
        <w:tc>
          <w:tcPr>
            <w:tcW w:w="1620" w:type="dxa"/>
            <w:shd w:val="clear" w:color="auto" w:fill="auto"/>
            <w:noWrap/>
            <w:vAlign w:val="bottom"/>
            <w:hideMark/>
          </w:tcPr>
          <w:p w:rsidR="00ED4333" w:rsidRPr="00FC66CF" w:rsidRDefault="00ED4333" w:rsidP="00DC433D">
            <w:pPr>
              <w:spacing w:before="40" w:after="40"/>
              <w:ind w:left="0"/>
              <w:jc w:val="right"/>
              <w:rPr>
                <w:rFonts w:ascii="Arial Narrow" w:hAnsi="Arial Narrow"/>
                <w:color w:val="000000"/>
                <w:sz w:val="18"/>
                <w:szCs w:val="18"/>
                <w:lang w:val="en-US" w:eastAsia="en-US"/>
              </w:rPr>
            </w:pPr>
            <w:r w:rsidRPr="00FC66CF">
              <w:rPr>
                <w:rFonts w:ascii="Arial Narrow" w:hAnsi="Arial Narrow"/>
                <w:color w:val="000000"/>
                <w:sz w:val="18"/>
                <w:szCs w:val="18"/>
              </w:rPr>
              <w:t> </w:t>
            </w:r>
          </w:p>
        </w:tc>
        <w:tc>
          <w:tcPr>
            <w:tcW w:w="1980" w:type="dxa"/>
            <w:shd w:val="clear" w:color="auto" w:fill="auto"/>
            <w:noWrap/>
            <w:vAlign w:val="bottom"/>
            <w:hideMark/>
          </w:tcPr>
          <w:p w:rsidR="00ED4333" w:rsidRPr="00FC66CF" w:rsidRDefault="00ED4333" w:rsidP="00DC433D">
            <w:pPr>
              <w:spacing w:before="40" w:after="40"/>
              <w:ind w:left="0"/>
              <w:jc w:val="right"/>
              <w:rPr>
                <w:rFonts w:ascii="Arial Narrow" w:hAnsi="Arial Narrow"/>
                <w:color w:val="000000"/>
                <w:sz w:val="18"/>
                <w:szCs w:val="18"/>
                <w:lang w:val="en-US" w:eastAsia="en-US"/>
              </w:rPr>
            </w:pPr>
            <w:r w:rsidRPr="00FC66CF">
              <w:rPr>
                <w:rFonts w:ascii="Arial Narrow" w:hAnsi="Arial Narrow"/>
                <w:color w:val="000000"/>
                <w:sz w:val="18"/>
                <w:szCs w:val="18"/>
              </w:rPr>
              <w:t>$3,756,501</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spacing w:before="40" w:after="4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 xml:space="preserve">MBS </w:t>
            </w:r>
            <w:r w:rsidR="008E23F5">
              <w:rPr>
                <w:rFonts w:ascii="Arial Narrow" w:hAnsi="Arial Narrow"/>
                <w:color w:val="000000"/>
                <w:sz w:val="18"/>
                <w:szCs w:val="18"/>
                <w:lang w:val="en-US" w:eastAsia="en-US"/>
              </w:rPr>
              <w:t>i</w:t>
            </w:r>
            <w:r w:rsidRPr="00FC66CF">
              <w:rPr>
                <w:rFonts w:ascii="Arial Narrow" w:hAnsi="Arial Narrow"/>
                <w:color w:val="000000"/>
                <w:sz w:val="18"/>
                <w:szCs w:val="18"/>
                <w:lang w:val="en-US" w:eastAsia="en-US"/>
              </w:rPr>
              <w:t>tems &amp; hospital fees</w:t>
            </w:r>
          </w:p>
        </w:tc>
        <w:tc>
          <w:tcPr>
            <w:tcW w:w="1620" w:type="dxa"/>
            <w:shd w:val="clear" w:color="auto" w:fill="auto"/>
            <w:noWrap/>
            <w:vAlign w:val="bottom"/>
            <w:hideMark/>
          </w:tcPr>
          <w:p w:rsidR="00ED4333" w:rsidRPr="00FC66CF" w:rsidRDefault="00ED4333" w:rsidP="00DC433D">
            <w:pPr>
              <w:spacing w:before="40" w:after="40"/>
              <w:ind w:left="0"/>
              <w:jc w:val="right"/>
              <w:rPr>
                <w:rFonts w:ascii="Arial Narrow" w:hAnsi="Arial Narrow"/>
                <w:color w:val="000000"/>
                <w:sz w:val="18"/>
                <w:szCs w:val="18"/>
                <w:lang w:val="en-US" w:eastAsia="en-US"/>
              </w:rPr>
            </w:pPr>
            <w:r w:rsidRPr="00FC66CF">
              <w:rPr>
                <w:rFonts w:ascii="Arial Narrow" w:hAnsi="Arial Narrow"/>
                <w:color w:val="000000"/>
                <w:sz w:val="18"/>
                <w:szCs w:val="18"/>
              </w:rPr>
              <w:t> </w:t>
            </w:r>
          </w:p>
        </w:tc>
        <w:tc>
          <w:tcPr>
            <w:tcW w:w="1980" w:type="dxa"/>
            <w:shd w:val="clear" w:color="auto" w:fill="auto"/>
            <w:noWrap/>
            <w:vAlign w:val="bottom"/>
            <w:hideMark/>
          </w:tcPr>
          <w:p w:rsidR="00ED4333" w:rsidRPr="001F67E3" w:rsidRDefault="00ED4333" w:rsidP="00DC433D">
            <w:pPr>
              <w:spacing w:before="40" w:after="40"/>
              <w:ind w:left="0"/>
              <w:jc w:val="right"/>
              <w:rPr>
                <w:rFonts w:ascii="Arial Narrow" w:hAnsi="Arial Narrow"/>
                <w:sz w:val="18"/>
                <w:szCs w:val="18"/>
                <w:lang w:val="en-US" w:eastAsia="en-US"/>
              </w:rPr>
            </w:pPr>
            <w:r w:rsidRPr="001F67E3">
              <w:rPr>
                <w:rFonts w:ascii="Arial Narrow" w:hAnsi="Arial Narrow"/>
                <w:sz w:val="18"/>
                <w:szCs w:val="18"/>
              </w:rPr>
              <w:t>-$2,279,148</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spacing w:before="40" w:after="4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Patient out-of-pocket</w:t>
            </w:r>
          </w:p>
        </w:tc>
        <w:tc>
          <w:tcPr>
            <w:tcW w:w="1620" w:type="dxa"/>
            <w:shd w:val="clear" w:color="auto" w:fill="auto"/>
            <w:noWrap/>
            <w:vAlign w:val="bottom"/>
            <w:hideMark/>
          </w:tcPr>
          <w:p w:rsidR="00ED4333" w:rsidRPr="00FC66CF" w:rsidRDefault="00ED4333" w:rsidP="00DC433D">
            <w:pPr>
              <w:spacing w:before="40" w:after="40"/>
              <w:ind w:left="0"/>
              <w:jc w:val="right"/>
              <w:rPr>
                <w:rFonts w:ascii="Arial Narrow" w:hAnsi="Arial Narrow"/>
                <w:color w:val="000000"/>
                <w:sz w:val="18"/>
                <w:szCs w:val="18"/>
                <w:lang w:val="en-US" w:eastAsia="en-US"/>
              </w:rPr>
            </w:pPr>
            <w:r w:rsidRPr="00FC66CF">
              <w:rPr>
                <w:rFonts w:ascii="Arial Narrow" w:hAnsi="Arial Narrow"/>
                <w:color w:val="000000"/>
                <w:sz w:val="18"/>
                <w:szCs w:val="18"/>
              </w:rPr>
              <w:t> </w:t>
            </w:r>
          </w:p>
        </w:tc>
        <w:tc>
          <w:tcPr>
            <w:tcW w:w="1980" w:type="dxa"/>
            <w:shd w:val="clear" w:color="auto" w:fill="auto"/>
            <w:noWrap/>
            <w:vAlign w:val="bottom"/>
            <w:hideMark/>
          </w:tcPr>
          <w:p w:rsidR="00ED4333" w:rsidRPr="001F67E3" w:rsidRDefault="00ED4333" w:rsidP="00DC433D">
            <w:pPr>
              <w:spacing w:before="40" w:after="40"/>
              <w:ind w:left="0"/>
              <w:jc w:val="right"/>
              <w:rPr>
                <w:rFonts w:ascii="Arial Narrow" w:hAnsi="Arial Narrow"/>
                <w:sz w:val="18"/>
                <w:szCs w:val="18"/>
                <w:lang w:val="en-US" w:eastAsia="en-US"/>
              </w:rPr>
            </w:pPr>
            <w:r w:rsidRPr="001F67E3">
              <w:rPr>
                <w:rFonts w:ascii="Arial Narrow" w:hAnsi="Arial Narrow"/>
                <w:sz w:val="18"/>
                <w:szCs w:val="18"/>
              </w:rPr>
              <w:t>-$1,977,764</w:t>
            </w:r>
          </w:p>
        </w:tc>
      </w:tr>
      <w:tr w:rsidR="00ED4333" w:rsidRPr="00FC66CF" w:rsidTr="00CB5216">
        <w:trPr>
          <w:trHeight w:val="227"/>
        </w:trPr>
        <w:tc>
          <w:tcPr>
            <w:tcW w:w="3771" w:type="dxa"/>
            <w:shd w:val="clear" w:color="auto" w:fill="auto"/>
            <w:noWrap/>
            <w:vAlign w:val="bottom"/>
            <w:hideMark/>
          </w:tcPr>
          <w:p w:rsidR="00ED4333" w:rsidRPr="00FC66CF" w:rsidRDefault="00ED4333" w:rsidP="00DC433D">
            <w:pPr>
              <w:spacing w:before="40" w:after="40"/>
              <w:ind w:left="0"/>
              <w:rPr>
                <w:rFonts w:ascii="Arial Narrow" w:hAnsi="Arial Narrow"/>
                <w:b/>
                <w:bCs/>
                <w:color w:val="000000"/>
                <w:sz w:val="18"/>
                <w:szCs w:val="18"/>
                <w:lang w:val="en-US" w:eastAsia="en-US"/>
              </w:rPr>
            </w:pPr>
            <w:r w:rsidRPr="00FC66CF">
              <w:rPr>
                <w:rFonts w:ascii="Arial Narrow" w:hAnsi="Arial Narrow"/>
                <w:b/>
                <w:bCs/>
                <w:color w:val="000000"/>
                <w:sz w:val="18"/>
                <w:szCs w:val="18"/>
                <w:lang w:val="en-US" w:eastAsia="en-US"/>
              </w:rPr>
              <w:t xml:space="preserve">Total cost </w:t>
            </w:r>
          </w:p>
        </w:tc>
        <w:tc>
          <w:tcPr>
            <w:tcW w:w="1620" w:type="dxa"/>
            <w:shd w:val="clear" w:color="auto" w:fill="auto"/>
            <w:noWrap/>
            <w:vAlign w:val="bottom"/>
            <w:hideMark/>
          </w:tcPr>
          <w:p w:rsidR="00ED4333" w:rsidRPr="00FC66CF" w:rsidRDefault="00ED4333" w:rsidP="00DC433D">
            <w:pPr>
              <w:spacing w:before="40" w:after="40"/>
              <w:ind w:left="0"/>
              <w:jc w:val="right"/>
              <w:rPr>
                <w:rFonts w:ascii="Arial Narrow" w:hAnsi="Arial Narrow"/>
                <w:b/>
                <w:bCs/>
                <w:color w:val="000000"/>
                <w:sz w:val="18"/>
                <w:szCs w:val="18"/>
                <w:lang w:val="en-US" w:eastAsia="en-US"/>
              </w:rPr>
            </w:pPr>
            <w:r w:rsidRPr="00FC66CF">
              <w:rPr>
                <w:rFonts w:ascii="Arial Narrow" w:hAnsi="Arial Narrow"/>
                <w:b/>
                <w:bCs/>
                <w:color w:val="000000"/>
                <w:sz w:val="18"/>
                <w:szCs w:val="18"/>
              </w:rPr>
              <w:t> </w:t>
            </w:r>
          </w:p>
        </w:tc>
        <w:tc>
          <w:tcPr>
            <w:tcW w:w="1980" w:type="dxa"/>
            <w:shd w:val="clear" w:color="auto" w:fill="auto"/>
            <w:noWrap/>
            <w:vAlign w:val="bottom"/>
            <w:hideMark/>
          </w:tcPr>
          <w:p w:rsidR="00ED4333" w:rsidRPr="001F67E3" w:rsidRDefault="00ED4333" w:rsidP="00DC433D">
            <w:pPr>
              <w:spacing w:before="40" w:after="40"/>
              <w:ind w:left="0"/>
              <w:jc w:val="right"/>
              <w:rPr>
                <w:rFonts w:ascii="Arial Narrow" w:hAnsi="Arial Narrow"/>
                <w:b/>
                <w:bCs/>
                <w:sz w:val="18"/>
                <w:szCs w:val="18"/>
                <w:lang w:val="en-US" w:eastAsia="en-US"/>
              </w:rPr>
            </w:pPr>
            <w:r w:rsidRPr="001F67E3">
              <w:rPr>
                <w:rFonts w:ascii="Arial Narrow" w:hAnsi="Arial Narrow"/>
                <w:b/>
                <w:bCs/>
                <w:sz w:val="18"/>
                <w:szCs w:val="18"/>
              </w:rPr>
              <w:t>-$500,41</w:t>
            </w:r>
            <w:r w:rsidR="00BC4966">
              <w:rPr>
                <w:rFonts w:ascii="Arial Narrow" w:hAnsi="Arial Narrow"/>
                <w:b/>
                <w:bCs/>
                <w:sz w:val="18"/>
                <w:szCs w:val="18"/>
              </w:rPr>
              <w:t>2</w:t>
            </w:r>
          </w:p>
        </w:tc>
      </w:tr>
    </w:tbl>
    <w:p w:rsidR="001F7E3E" w:rsidRDefault="00AA69D5" w:rsidP="001F7E3E">
      <w:pPr>
        <w:pStyle w:val="TableNotes"/>
        <w:rPr>
          <w:lang w:val="en-AU"/>
        </w:rPr>
      </w:pPr>
      <w:r w:rsidRPr="00AA69D5">
        <w:t xml:space="preserve">SEMS: </w:t>
      </w:r>
      <w:r w:rsidR="00D3398A" w:rsidRPr="00AA69D5">
        <w:t>S</w:t>
      </w:r>
      <w:r w:rsidRPr="00AA69D5">
        <w:t>elf-expanding metallic stent; MBS: Medicare Benefits Schedule</w:t>
      </w:r>
      <w:r w:rsidR="0026112F">
        <w:t>.</w:t>
      </w:r>
    </w:p>
    <w:p w:rsidR="001F7E3E" w:rsidRDefault="001F7E3E" w:rsidP="001F7E3E">
      <w:pPr>
        <w:pStyle w:val="TableNotes"/>
        <w:rPr>
          <w:b/>
        </w:rPr>
      </w:pPr>
      <w:r>
        <w:rPr>
          <w:lang w:val="en-AU"/>
        </w:rPr>
        <w:t>Note: N</w:t>
      </w:r>
      <w:r>
        <w:t xml:space="preserve">umbers may not </w:t>
      </w:r>
      <w:r>
        <w:rPr>
          <w:lang w:val="en-AU"/>
        </w:rPr>
        <w:t>sum to total</w:t>
      </w:r>
      <w:r>
        <w:t xml:space="preserve"> due to rounding</w:t>
      </w:r>
      <w:r>
        <w:rPr>
          <w:lang w:val="en-AU"/>
        </w:rPr>
        <w:t>.</w:t>
      </w:r>
    </w:p>
    <w:p w:rsidR="00B01E21" w:rsidRDefault="00ED4333" w:rsidP="00B01E21">
      <w:pPr>
        <w:pStyle w:val="Heading5"/>
      </w:pPr>
      <w:r w:rsidRPr="00FC66CF">
        <w:t>Patients unfit for any surgery</w:t>
      </w:r>
    </w:p>
    <w:p w:rsidR="0071544A" w:rsidRDefault="00F00C6B" w:rsidP="0071544A">
      <w:r>
        <w:fldChar w:fldCharType="begin"/>
      </w:r>
      <w:r>
        <w:instrText xml:space="preserve"> REF _Ref324939581 \h </w:instrText>
      </w:r>
      <w:r w:rsidR="000C2548">
        <w:instrText xml:space="preserve"> \* MERGEFORMAT </w:instrText>
      </w:r>
      <w:r>
        <w:fldChar w:fldCharType="separate"/>
      </w:r>
      <w:r w:rsidR="0071544A">
        <w:t xml:space="preserve">Table </w:t>
      </w:r>
      <w:r w:rsidR="0071544A">
        <w:rPr>
          <w:noProof/>
        </w:rPr>
        <w:t>15</w:t>
      </w:r>
      <w:r>
        <w:fldChar w:fldCharType="end"/>
      </w:r>
      <w:r>
        <w:t xml:space="preserve"> </w:t>
      </w:r>
      <w:r w:rsidR="00ED4333" w:rsidRPr="00FC66CF">
        <w:t>and</w:t>
      </w:r>
      <w:r w:rsidR="0082017C">
        <w:fldChar w:fldCharType="begin"/>
      </w:r>
      <w:r w:rsidR="0082017C">
        <w:instrText xml:space="preserve"> REF _Ref324940483 \h </w:instrText>
      </w:r>
      <w:r w:rsidR="000C2548">
        <w:instrText xml:space="preserve"> \* MERGEFORMAT </w:instrText>
      </w:r>
      <w:r w:rsidR="0082017C">
        <w:fldChar w:fldCharType="separate"/>
      </w:r>
    </w:p>
    <w:p w:rsidR="00ED4333" w:rsidRPr="00FC66CF" w:rsidRDefault="0071544A" w:rsidP="000C2548">
      <w:r>
        <w:t xml:space="preserve">Table </w:t>
      </w:r>
      <w:r>
        <w:rPr>
          <w:noProof/>
        </w:rPr>
        <w:t>16</w:t>
      </w:r>
      <w:r w:rsidR="0082017C">
        <w:fldChar w:fldCharType="end"/>
      </w:r>
      <w:r w:rsidR="0082017C">
        <w:t xml:space="preserve"> </w:t>
      </w:r>
      <w:r w:rsidR="00ED4333" w:rsidRPr="00FC66CF">
        <w:t xml:space="preserve">present the overall estimated impact of SEMS in addition to palliation alone (best supportive care). If all patients </w:t>
      </w:r>
      <w:r w:rsidR="00ED4333" w:rsidRPr="00FC66CF">
        <w:rPr>
          <w:iCs/>
        </w:rPr>
        <w:t>received a SEMS rather than palliation alone (best supportive care), the overall additional cost would be between $1,294,1</w:t>
      </w:r>
      <w:r w:rsidR="00BC4966">
        <w:rPr>
          <w:iCs/>
        </w:rPr>
        <w:t>5</w:t>
      </w:r>
      <w:r w:rsidR="00024813">
        <w:rPr>
          <w:iCs/>
        </w:rPr>
        <w:t>4</w:t>
      </w:r>
      <w:r w:rsidR="00ED4333" w:rsidRPr="00FC66CF">
        <w:rPr>
          <w:iCs/>
        </w:rPr>
        <w:t xml:space="preserve"> (lower estimate) and $4,703,201 (upper limit).</w:t>
      </w:r>
    </w:p>
    <w:p w:rsidR="00ED4333" w:rsidRPr="00FC66CF" w:rsidRDefault="00F00C6B" w:rsidP="00F00C6B">
      <w:pPr>
        <w:pStyle w:val="Caption"/>
      </w:pPr>
      <w:bookmarkStart w:id="48" w:name="_Ref324939581"/>
      <w:bookmarkStart w:id="49" w:name="_Toc327522059"/>
      <w:r>
        <w:lastRenderedPageBreak/>
        <w:t xml:space="preserve">Table </w:t>
      </w:r>
      <w:fldSimple w:instr=" SEQ Table \* ARABIC ">
        <w:r w:rsidR="0071544A">
          <w:rPr>
            <w:noProof/>
          </w:rPr>
          <w:t>15</w:t>
        </w:r>
      </w:fldSimple>
      <w:bookmarkEnd w:id="48"/>
      <w:r w:rsidR="00ED4333" w:rsidRPr="00FC66CF">
        <w:tab/>
        <w:t>Estimated total costs of SEMS versus BSC (lower limit)</w:t>
      </w:r>
      <w:bookmarkEnd w:id="49"/>
    </w:p>
    <w:tbl>
      <w:tblPr>
        <w:tblW w:w="7555" w:type="dxa"/>
        <w:tblInd w:w="720" w:type="dxa"/>
        <w:tblBorders>
          <w:top w:val="single" w:sz="12" w:space="0" w:color="auto"/>
          <w:bottom w:val="single" w:sz="12" w:space="0" w:color="auto"/>
        </w:tblBorders>
        <w:tblLook w:val="04A0" w:firstRow="1" w:lastRow="0" w:firstColumn="1" w:lastColumn="0" w:noHBand="0" w:noVBand="1"/>
      </w:tblPr>
      <w:tblGrid>
        <w:gridCol w:w="3870"/>
        <w:gridCol w:w="1630"/>
        <w:gridCol w:w="2055"/>
      </w:tblGrid>
      <w:tr w:rsidR="00ED4333" w:rsidRPr="00FC66CF" w:rsidTr="00CB5216">
        <w:trPr>
          <w:trHeight w:val="315"/>
        </w:trPr>
        <w:tc>
          <w:tcPr>
            <w:tcW w:w="3870" w:type="dxa"/>
            <w:tcBorders>
              <w:top w:val="single" w:sz="12" w:space="0" w:color="auto"/>
              <w:bottom w:val="single" w:sz="4" w:space="0" w:color="auto"/>
            </w:tcBorders>
            <w:shd w:val="clear" w:color="auto" w:fill="auto"/>
            <w:noWrap/>
            <w:vAlign w:val="bottom"/>
            <w:hideMark/>
          </w:tcPr>
          <w:p w:rsidR="00ED4333" w:rsidRPr="00FC66CF" w:rsidRDefault="00ED4333" w:rsidP="00ED4333">
            <w:pPr>
              <w:keepNext/>
              <w:spacing w:after="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 </w:t>
            </w:r>
          </w:p>
        </w:tc>
        <w:tc>
          <w:tcPr>
            <w:tcW w:w="1630" w:type="dxa"/>
            <w:tcBorders>
              <w:top w:val="single" w:sz="12" w:space="0" w:color="auto"/>
              <w:bottom w:val="single" w:sz="4" w:space="0" w:color="auto"/>
            </w:tcBorders>
            <w:shd w:val="clear" w:color="auto" w:fill="auto"/>
            <w:noWrap/>
            <w:vAlign w:val="bottom"/>
            <w:hideMark/>
          </w:tcPr>
          <w:p w:rsidR="00ED4333" w:rsidRPr="00FC66CF" w:rsidRDefault="00ED4333" w:rsidP="00EB5A47">
            <w:pPr>
              <w:pStyle w:val="TableHeading0"/>
              <w:jc w:val="right"/>
            </w:pPr>
            <w:r w:rsidRPr="00FC66CF">
              <w:t>SEMS</w:t>
            </w:r>
          </w:p>
        </w:tc>
        <w:tc>
          <w:tcPr>
            <w:tcW w:w="2055" w:type="dxa"/>
            <w:tcBorders>
              <w:top w:val="single" w:sz="12" w:space="0" w:color="auto"/>
              <w:bottom w:val="single" w:sz="4" w:space="0" w:color="auto"/>
            </w:tcBorders>
            <w:shd w:val="clear" w:color="auto" w:fill="auto"/>
            <w:noWrap/>
            <w:vAlign w:val="bottom"/>
            <w:hideMark/>
          </w:tcPr>
          <w:p w:rsidR="00ED4333" w:rsidRPr="00FC66CF" w:rsidRDefault="00ED4333" w:rsidP="00EB5A47">
            <w:pPr>
              <w:pStyle w:val="TableHeading0"/>
              <w:jc w:val="right"/>
            </w:pPr>
            <w:r>
              <w:t>Palliation only (</w:t>
            </w:r>
            <w:r w:rsidRPr="00FC66CF">
              <w:t>BSC</w:t>
            </w:r>
            <w:r>
              <w:t>)</w:t>
            </w:r>
          </w:p>
        </w:tc>
      </w:tr>
      <w:tr w:rsidR="00ED4333" w:rsidRPr="00FC66CF" w:rsidTr="00CB5216">
        <w:trPr>
          <w:trHeight w:val="315"/>
        </w:trPr>
        <w:tc>
          <w:tcPr>
            <w:tcW w:w="3870" w:type="dxa"/>
            <w:tcBorders>
              <w:top w:val="single" w:sz="4" w:space="0" w:color="auto"/>
            </w:tcBorders>
            <w:shd w:val="clear" w:color="auto" w:fill="auto"/>
            <w:noWrap/>
            <w:vAlign w:val="bottom"/>
            <w:hideMark/>
          </w:tcPr>
          <w:p w:rsidR="00ED4333" w:rsidRPr="00FC66CF" w:rsidRDefault="00ED4333" w:rsidP="00EB5A47">
            <w:pPr>
              <w:pStyle w:val="TableText0"/>
              <w:rPr>
                <w:lang w:val="en-US"/>
              </w:rPr>
            </w:pPr>
            <w:r w:rsidRPr="00FC66CF">
              <w:rPr>
                <w:lang w:val="en-US"/>
              </w:rPr>
              <w:t>Total cost per patient</w:t>
            </w:r>
          </w:p>
        </w:tc>
        <w:tc>
          <w:tcPr>
            <w:tcW w:w="1630" w:type="dxa"/>
            <w:tcBorders>
              <w:top w:val="single" w:sz="4" w:space="0" w:color="auto"/>
            </w:tcBorders>
            <w:shd w:val="clear" w:color="auto" w:fill="auto"/>
            <w:noWrap/>
            <w:vAlign w:val="bottom"/>
            <w:hideMark/>
          </w:tcPr>
          <w:p w:rsidR="00ED4333" w:rsidRPr="00FC66CF" w:rsidRDefault="00ED4333" w:rsidP="00EB5A47">
            <w:pPr>
              <w:pStyle w:val="TableText0"/>
              <w:jc w:val="right"/>
              <w:rPr>
                <w:lang w:val="en-US"/>
              </w:rPr>
            </w:pPr>
            <w:r w:rsidRPr="000F3C8B">
              <w:rPr>
                <w:lang w:val="en-AU"/>
              </w:rPr>
              <w:t>$17,413</w:t>
            </w:r>
          </w:p>
        </w:tc>
        <w:tc>
          <w:tcPr>
            <w:tcW w:w="2055" w:type="dxa"/>
            <w:tcBorders>
              <w:top w:val="single" w:sz="4" w:space="0" w:color="auto"/>
            </w:tcBorders>
            <w:shd w:val="clear" w:color="auto" w:fill="auto"/>
            <w:noWrap/>
            <w:vAlign w:val="bottom"/>
            <w:hideMark/>
          </w:tcPr>
          <w:p w:rsidR="00ED4333" w:rsidRPr="00FC66CF" w:rsidRDefault="00ED4333" w:rsidP="00EB5A47">
            <w:pPr>
              <w:pStyle w:val="TableText0"/>
              <w:jc w:val="right"/>
              <w:rPr>
                <w:lang w:val="en-US"/>
              </w:rPr>
            </w:pPr>
            <w:r w:rsidRPr="000F3C8B">
              <w:rPr>
                <w:lang w:val="en-AU"/>
              </w:rPr>
              <w:t>$7,756</w:t>
            </w:r>
          </w:p>
        </w:tc>
      </w:tr>
      <w:tr w:rsidR="00ED4333" w:rsidRPr="00FC66CF" w:rsidTr="00CB5216">
        <w:trPr>
          <w:trHeight w:val="300"/>
        </w:trPr>
        <w:tc>
          <w:tcPr>
            <w:tcW w:w="3870" w:type="dxa"/>
            <w:shd w:val="clear" w:color="auto" w:fill="auto"/>
            <w:noWrap/>
            <w:vAlign w:val="bottom"/>
            <w:hideMark/>
          </w:tcPr>
          <w:p w:rsidR="00ED4333" w:rsidRPr="00FC66CF" w:rsidRDefault="00ED4333" w:rsidP="00EB5A47">
            <w:pPr>
              <w:pStyle w:val="TableText0"/>
              <w:rPr>
                <w:lang w:val="en-US"/>
              </w:rPr>
            </w:pPr>
            <w:r w:rsidRPr="00FC66CF">
              <w:rPr>
                <w:lang w:val="en-US"/>
              </w:rPr>
              <w:t>Number of patients</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134</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134</w:t>
            </w:r>
          </w:p>
        </w:tc>
      </w:tr>
      <w:tr w:rsidR="00ED4333" w:rsidRPr="00FC66CF" w:rsidTr="00CB5216">
        <w:trPr>
          <w:trHeight w:val="300"/>
        </w:trPr>
        <w:tc>
          <w:tcPr>
            <w:tcW w:w="3870" w:type="dxa"/>
            <w:shd w:val="clear" w:color="auto" w:fill="auto"/>
            <w:noWrap/>
            <w:vAlign w:val="bottom"/>
            <w:hideMark/>
          </w:tcPr>
          <w:p w:rsidR="00ED4333" w:rsidRPr="00FC66CF" w:rsidRDefault="00ED4333" w:rsidP="00EB5A47">
            <w:pPr>
              <w:pStyle w:val="TableText0"/>
              <w:rPr>
                <w:i/>
                <w:iCs/>
                <w:lang w:val="en-US"/>
              </w:rPr>
            </w:pPr>
            <w:r w:rsidRPr="00FC66CF">
              <w:rPr>
                <w:i/>
                <w:iCs/>
                <w:lang w:val="en-US"/>
              </w:rPr>
              <w:t>Brea</w:t>
            </w:r>
            <w:r w:rsidR="00EB5A47">
              <w:rPr>
                <w:i/>
                <w:iCs/>
                <w:lang w:val="en-US"/>
              </w:rPr>
              <w:t>kdown of financial implications</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 </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 </w:t>
            </w:r>
          </w:p>
        </w:tc>
      </w:tr>
      <w:tr w:rsidR="00ED4333" w:rsidRPr="00FC66CF" w:rsidTr="00CB5216">
        <w:trPr>
          <w:trHeight w:val="300"/>
        </w:trPr>
        <w:tc>
          <w:tcPr>
            <w:tcW w:w="3870" w:type="dxa"/>
            <w:shd w:val="clear" w:color="auto" w:fill="auto"/>
            <w:noWrap/>
            <w:vAlign w:val="bottom"/>
            <w:hideMark/>
          </w:tcPr>
          <w:p w:rsidR="00ED4333" w:rsidRPr="00FC66CF" w:rsidRDefault="00ED4333" w:rsidP="00EB5A47">
            <w:pPr>
              <w:pStyle w:val="TableText0"/>
              <w:rPr>
                <w:lang w:val="en-US"/>
              </w:rPr>
            </w:pPr>
            <w:r w:rsidRPr="00FC66CF">
              <w:rPr>
                <w:lang w:val="en-US"/>
              </w:rPr>
              <w:t>Consumables</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$473,690</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$0</w:t>
            </w:r>
          </w:p>
        </w:tc>
      </w:tr>
      <w:tr w:rsidR="00ED4333" w:rsidRPr="00FC66CF" w:rsidTr="00CB5216">
        <w:trPr>
          <w:trHeight w:val="315"/>
        </w:trPr>
        <w:tc>
          <w:tcPr>
            <w:tcW w:w="3870" w:type="dxa"/>
            <w:shd w:val="clear" w:color="auto" w:fill="auto"/>
            <w:noWrap/>
            <w:vAlign w:val="bottom"/>
            <w:hideMark/>
          </w:tcPr>
          <w:p w:rsidR="00ED4333" w:rsidRPr="00FC66CF" w:rsidRDefault="00ED4333" w:rsidP="008E23F5">
            <w:pPr>
              <w:pStyle w:val="TableText0"/>
              <w:rPr>
                <w:lang w:val="en-US"/>
              </w:rPr>
            </w:pPr>
            <w:r w:rsidRPr="00FC66CF">
              <w:rPr>
                <w:lang w:val="en-US"/>
              </w:rPr>
              <w:t xml:space="preserve">MBS </w:t>
            </w:r>
            <w:r w:rsidR="008E23F5">
              <w:rPr>
                <w:lang w:val="en-US"/>
              </w:rPr>
              <w:t>i</w:t>
            </w:r>
            <w:r w:rsidRPr="00FC66CF">
              <w:rPr>
                <w:lang w:val="en-US"/>
              </w:rPr>
              <w:t>tems &amp; hospital fees</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$1,214,174</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$942,831</w:t>
            </w:r>
          </w:p>
        </w:tc>
      </w:tr>
      <w:tr w:rsidR="00ED4333" w:rsidRPr="00FC66CF" w:rsidTr="00CB5216">
        <w:trPr>
          <w:trHeight w:val="315"/>
        </w:trPr>
        <w:tc>
          <w:tcPr>
            <w:tcW w:w="3870" w:type="dxa"/>
            <w:shd w:val="clear" w:color="auto" w:fill="auto"/>
            <w:noWrap/>
            <w:vAlign w:val="bottom"/>
            <w:hideMark/>
          </w:tcPr>
          <w:p w:rsidR="00ED4333" w:rsidRPr="00FC66CF" w:rsidRDefault="00ED4333" w:rsidP="00EB5A47">
            <w:pPr>
              <w:pStyle w:val="TableText0"/>
              <w:rPr>
                <w:lang w:val="en-US"/>
              </w:rPr>
            </w:pPr>
            <w:r w:rsidRPr="00FC66CF">
              <w:rPr>
                <w:lang w:val="en-US"/>
              </w:rPr>
              <w:t>Patient out-of-pocket</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$645,478</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$96,407</w:t>
            </w:r>
          </w:p>
        </w:tc>
      </w:tr>
      <w:tr w:rsidR="00ED4333" w:rsidRPr="00FC66CF" w:rsidTr="00CB5216">
        <w:trPr>
          <w:trHeight w:val="300"/>
        </w:trPr>
        <w:tc>
          <w:tcPr>
            <w:tcW w:w="3870" w:type="dxa"/>
            <w:shd w:val="clear" w:color="auto" w:fill="auto"/>
            <w:noWrap/>
            <w:vAlign w:val="bottom"/>
            <w:hideMark/>
          </w:tcPr>
          <w:p w:rsidR="00ED4333" w:rsidRPr="00FC66CF" w:rsidRDefault="00ED4333" w:rsidP="00EB5A47">
            <w:pPr>
              <w:pStyle w:val="TableText0"/>
              <w:rPr>
                <w:b/>
                <w:bCs/>
                <w:lang w:val="en-US"/>
              </w:rPr>
            </w:pPr>
            <w:r w:rsidRPr="00FC66CF">
              <w:rPr>
                <w:b/>
                <w:bCs/>
                <w:lang w:val="en-US"/>
              </w:rPr>
              <w:t>Total financial implications</w:t>
            </w:r>
          </w:p>
        </w:tc>
        <w:tc>
          <w:tcPr>
            <w:tcW w:w="1630" w:type="dxa"/>
            <w:shd w:val="clear" w:color="auto" w:fill="auto"/>
            <w:noWrap/>
            <w:vAlign w:val="bottom"/>
            <w:hideMark/>
          </w:tcPr>
          <w:p w:rsidR="00ED4333" w:rsidRPr="00FC66CF" w:rsidRDefault="00ED4333" w:rsidP="00EB5A47">
            <w:pPr>
              <w:pStyle w:val="TableText0"/>
              <w:jc w:val="right"/>
              <w:rPr>
                <w:b/>
                <w:bCs/>
                <w:lang w:val="en-US"/>
              </w:rPr>
            </w:pPr>
            <w:r w:rsidRPr="000F3C8B">
              <w:rPr>
                <w:b/>
                <w:bCs/>
                <w:lang w:val="en-AU"/>
              </w:rPr>
              <w:t>$2,333,342</w:t>
            </w:r>
          </w:p>
        </w:tc>
        <w:tc>
          <w:tcPr>
            <w:tcW w:w="2055" w:type="dxa"/>
            <w:shd w:val="clear" w:color="auto" w:fill="auto"/>
            <w:noWrap/>
            <w:vAlign w:val="bottom"/>
            <w:hideMark/>
          </w:tcPr>
          <w:p w:rsidR="00ED4333" w:rsidRPr="00FC66CF" w:rsidRDefault="00ED4333" w:rsidP="00EB5A47">
            <w:pPr>
              <w:pStyle w:val="TableText0"/>
              <w:jc w:val="right"/>
              <w:rPr>
                <w:b/>
                <w:bCs/>
                <w:lang w:val="en-US"/>
              </w:rPr>
            </w:pPr>
            <w:r w:rsidRPr="000F3C8B">
              <w:rPr>
                <w:b/>
                <w:bCs/>
                <w:lang w:val="en-AU"/>
              </w:rPr>
              <w:t>$1,039,237</w:t>
            </w:r>
          </w:p>
        </w:tc>
      </w:tr>
      <w:tr w:rsidR="00ED4333" w:rsidRPr="00FC66CF" w:rsidTr="00CB5216">
        <w:trPr>
          <w:trHeight w:val="300"/>
        </w:trPr>
        <w:tc>
          <w:tcPr>
            <w:tcW w:w="3870" w:type="dxa"/>
            <w:shd w:val="clear" w:color="auto" w:fill="auto"/>
            <w:noWrap/>
            <w:vAlign w:val="bottom"/>
            <w:hideMark/>
          </w:tcPr>
          <w:p w:rsidR="00ED4333" w:rsidRPr="00FC66CF" w:rsidRDefault="00EB5A47" w:rsidP="00EB5A47">
            <w:pPr>
              <w:pStyle w:val="TableText0"/>
              <w:rPr>
                <w:i/>
                <w:iCs/>
                <w:lang w:val="en-US"/>
              </w:rPr>
            </w:pPr>
            <w:r>
              <w:rPr>
                <w:i/>
                <w:iCs/>
                <w:lang w:val="en-US"/>
              </w:rPr>
              <w:t>Incremental costs</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 </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 </w:t>
            </w:r>
          </w:p>
        </w:tc>
      </w:tr>
      <w:tr w:rsidR="00ED4333" w:rsidRPr="00FC66CF" w:rsidTr="00CB5216">
        <w:trPr>
          <w:trHeight w:val="300"/>
        </w:trPr>
        <w:tc>
          <w:tcPr>
            <w:tcW w:w="3870" w:type="dxa"/>
            <w:shd w:val="clear" w:color="auto" w:fill="auto"/>
            <w:noWrap/>
            <w:vAlign w:val="bottom"/>
            <w:hideMark/>
          </w:tcPr>
          <w:p w:rsidR="00ED4333" w:rsidRPr="00FC66CF" w:rsidRDefault="00ED4333" w:rsidP="00EB5A47">
            <w:pPr>
              <w:pStyle w:val="TableText0"/>
              <w:rPr>
                <w:lang w:val="en-US"/>
              </w:rPr>
            </w:pPr>
            <w:r w:rsidRPr="00FC66CF">
              <w:rPr>
                <w:lang w:val="en-US"/>
              </w:rPr>
              <w:t>Consumables</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 </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$473,690</w:t>
            </w:r>
          </w:p>
        </w:tc>
      </w:tr>
      <w:tr w:rsidR="00ED4333" w:rsidRPr="00FC66CF" w:rsidTr="00CB5216">
        <w:trPr>
          <w:trHeight w:val="315"/>
        </w:trPr>
        <w:tc>
          <w:tcPr>
            <w:tcW w:w="3870" w:type="dxa"/>
            <w:shd w:val="clear" w:color="auto" w:fill="auto"/>
            <w:noWrap/>
            <w:vAlign w:val="bottom"/>
            <w:hideMark/>
          </w:tcPr>
          <w:p w:rsidR="00ED4333" w:rsidRPr="00FC66CF" w:rsidRDefault="00ED4333" w:rsidP="008E23F5">
            <w:pPr>
              <w:pStyle w:val="TableText0"/>
              <w:rPr>
                <w:lang w:val="en-US"/>
              </w:rPr>
            </w:pPr>
            <w:r w:rsidRPr="00FC66CF">
              <w:rPr>
                <w:lang w:val="en-US"/>
              </w:rPr>
              <w:t xml:space="preserve">MBS </w:t>
            </w:r>
            <w:r w:rsidR="008E23F5">
              <w:rPr>
                <w:lang w:val="en-US"/>
              </w:rPr>
              <w:t>i</w:t>
            </w:r>
            <w:r w:rsidRPr="00FC66CF">
              <w:rPr>
                <w:lang w:val="en-US"/>
              </w:rPr>
              <w:t>tems &amp; hospital fees</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 </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$271,343</w:t>
            </w:r>
          </w:p>
        </w:tc>
      </w:tr>
      <w:tr w:rsidR="00ED4333" w:rsidRPr="00FC66CF" w:rsidTr="00CB5216">
        <w:trPr>
          <w:trHeight w:val="315"/>
        </w:trPr>
        <w:tc>
          <w:tcPr>
            <w:tcW w:w="3870" w:type="dxa"/>
            <w:shd w:val="clear" w:color="auto" w:fill="auto"/>
            <w:noWrap/>
            <w:vAlign w:val="bottom"/>
            <w:hideMark/>
          </w:tcPr>
          <w:p w:rsidR="00ED4333" w:rsidRPr="00FC66CF" w:rsidRDefault="00ED4333" w:rsidP="00EB5A47">
            <w:pPr>
              <w:pStyle w:val="TableText0"/>
              <w:rPr>
                <w:lang w:val="en-US"/>
              </w:rPr>
            </w:pPr>
            <w:r w:rsidRPr="00FC66CF">
              <w:rPr>
                <w:lang w:val="en-US"/>
              </w:rPr>
              <w:t>Patient out-of-pocket</w:t>
            </w:r>
          </w:p>
        </w:tc>
        <w:tc>
          <w:tcPr>
            <w:tcW w:w="1630"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 </w:t>
            </w:r>
          </w:p>
        </w:tc>
        <w:tc>
          <w:tcPr>
            <w:tcW w:w="2055" w:type="dxa"/>
            <w:shd w:val="clear" w:color="auto" w:fill="auto"/>
            <w:noWrap/>
            <w:vAlign w:val="bottom"/>
            <w:hideMark/>
          </w:tcPr>
          <w:p w:rsidR="00ED4333" w:rsidRPr="00FC66CF" w:rsidRDefault="00ED4333" w:rsidP="00EB5A47">
            <w:pPr>
              <w:pStyle w:val="TableText0"/>
              <w:jc w:val="right"/>
              <w:rPr>
                <w:lang w:val="en-US"/>
              </w:rPr>
            </w:pPr>
            <w:r w:rsidRPr="000F3C8B">
              <w:rPr>
                <w:lang w:val="en-AU"/>
              </w:rPr>
              <w:t>$549,071</w:t>
            </w:r>
          </w:p>
        </w:tc>
      </w:tr>
      <w:tr w:rsidR="00ED4333" w:rsidRPr="00FC66CF" w:rsidTr="00CB5216">
        <w:trPr>
          <w:trHeight w:val="315"/>
        </w:trPr>
        <w:tc>
          <w:tcPr>
            <w:tcW w:w="3870" w:type="dxa"/>
            <w:shd w:val="clear" w:color="auto" w:fill="auto"/>
            <w:noWrap/>
            <w:vAlign w:val="bottom"/>
            <w:hideMark/>
          </w:tcPr>
          <w:p w:rsidR="00ED4333" w:rsidRPr="00FC66CF" w:rsidRDefault="00ED4333" w:rsidP="00EB5A47">
            <w:pPr>
              <w:pStyle w:val="TableText0"/>
              <w:rPr>
                <w:b/>
                <w:bCs/>
                <w:lang w:val="en-US"/>
              </w:rPr>
            </w:pPr>
            <w:r w:rsidRPr="00FC66CF">
              <w:rPr>
                <w:b/>
                <w:bCs/>
                <w:lang w:val="en-US"/>
              </w:rPr>
              <w:t xml:space="preserve">Total cost </w:t>
            </w:r>
          </w:p>
        </w:tc>
        <w:tc>
          <w:tcPr>
            <w:tcW w:w="1630" w:type="dxa"/>
            <w:shd w:val="clear" w:color="auto" w:fill="auto"/>
            <w:noWrap/>
            <w:vAlign w:val="bottom"/>
            <w:hideMark/>
          </w:tcPr>
          <w:p w:rsidR="00ED4333" w:rsidRPr="00FC66CF" w:rsidRDefault="00ED4333" w:rsidP="00EB5A47">
            <w:pPr>
              <w:pStyle w:val="TableText0"/>
              <w:jc w:val="right"/>
              <w:rPr>
                <w:b/>
                <w:bCs/>
                <w:lang w:val="en-US"/>
              </w:rPr>
            </w:pPr>
            <w:r w:rsidRPr="000F3C8B">
              <w:rPr>
                <w:b/>
                <w:bCs/>
                <w:lang w:val="en-AU"/>
              </w:rPr>
              <w:t> </w:t>
            </w:r>
          </w:p>
        </w:tc>
        <w:tc>
          <w:tcPr>
            <w:tcW w:w="2055" w:type="dxa"/>
            <w:shd w:val="clear" w:color="auto" w:fill="auto"/>
            <w:noWrap/>
            <w:vAlign w:val="bottom"/>
            <w:hideMark/>
          </w:tcPr>
          <w:p w:rsidR="00ED4333" w:rsidRPr="00FC66CF" w:rsidRDefault="00ED4333" w:rsidP="00AA69D5">
            <w:pPr>
              <w:pStyle w:val="TableText0"/>
              <w:jc w:val="right"/>
              <w:rPr>
                <w:b/>
                <w:bCs/>
                <w:lang w:val="en-US"/>
              </w:rPr>
            </w:pPr>
            <w:r w:rsidRPr="000F3C8B">
              <w:rPr>
                <w:b/>
                <w:bCs/>
                <w:lang w:val="en-AU"/>
              </w:rPr>
              <w:t>$1,294,10</w:t>
            </w:r>
            <w:r w:rsidR="00AA69D5" w:rsidRPr="000F3C8B">
              <w:rPr>
                <w:b/>
                <w:bCs/>
                <w:lang w:val="en-AU"/>
              </w:rPr>
              <w:t>4</w:t>
            </w:r>
          </w:p>
        </w:tc>
      </w:tr>
    </w:tbl>
    <w:p w:rsidR="001F7E3E" w:rsidRDefault="00AA69D5" w:rsidP="001F7E3E">
      <w:pPr>
        <w:pStyle w:val="TableNotes"/>
        <w:rPr>
          <w:lang w:val="en-AU"/>
        </w:rPr>
      </w:pPr>
      <w:r w:rsidRPr="00AA69D5">
        <w:t xml:space="preserve">SEMS: </w:t>
      </w:r>
      <w:r w:rsidR="002F764D" w:rsidRPr="00AA69D5">
        <w:t>S</w:t>
      </w:r>
      <w:r w:rsidRPr="00AA69D5">
        <w:t>elf-expanding metallic stent</w:t>
      </w:r>
      <w:r>
        <w:t>;</w:t>
      </w:r>
      <w:r w:rsidRPr="00AA69D5">
        <w:t xml:space="preserve"> </w:t>
      </w:r>
      <w:r w:rsidR="00ED4333" w:rsidRPr="009A6B8C">
        <w:t xml:space="preserve">BSC: </w:t>
      </w:r>
      <w:r w:rsidR="002F764D" w:rsidRPr="009A6B8C">
        <w:t>B</w:t>
      </w:r>
      <w:r w:rsidR="00ED4333" w:rsidRPr="009A6B8C">
        <w:t>est supportive care</w:t>
      </w:r>
      <w:r w:rsidRPr="00AA69D5">
        <w:t>; MBS: Medicare Benefits Schedule</w:t>
      </w:r>
      <w:r w:rsidR="0026112F">
        <w:t>.</w:t>
      </w:r>
    </w:p>
    <w:p w:rsidR="00483FB1" w:rsidRDefault="001F7E3E" w:rsidP="00483FB1">
      <w:pPr>
        <w:pStyle w:val="TableNotes"/>
        <w:rPr>
          <w:lang w:val="en-AU"/>
        </w:rPr>
      </w:pPr>
      <w:r>
        <w:rPr>
          <w:lang w:val="en-AU"/>
        </w:rPr>
        <w:t>Note: N</w:t>
      </w:r>
      <w:r>
        <w:t xml:space="preserve">umbers may not </w:t>
      </w:r>
      <w:r>
        <w:rPr>
          <w:lang w:val="en-AU"/>
        </w:rPr>
        <w:t>sum to total</w:t>
      </w:r>
      <w:r>
        <w:t xml:space="preserve"> due to rounding</w:t>
      </w:r>
      <w:r>
        <w:rPr>
          <w:lang w:val="en-AU"/>
        </w:rPr>
        <w:t>.</w:t>
      </w:r>
      <w:bookmarkStart w:id="50" w:name="_Ref324940483"/>
    </w:p>
    <w:p w:rsidR="00ED4333" w:rsidRPr="00FC66CF" w:rsidRDefault="0082017C" w:rsidP="00483FB1">
      <w:pPr>
        <w:pStyle w:val="Caption"/>
      </w:pPr>
      <w:bookmarkStart w:id="51" w:name="_Toc327522060"/>
      <w:r>
        <w:t xml:space="preserve">Table </w:t>
      </w:r>
      <w:fldSimple w:instr=" SEQ Table \* ARABIC ">
        <w:r w:rsidR="0071544A">
          <w:rPr>
            <w:noProof/>
          </w:rPr>
          <w:t>16</w:t>
        </w:r>
      </w:fldSimple>
      <w:bookmarkEnd w:id="50"/>
      <w:r w:rsidR="00ED4333" w:rsidRPr="00FC66CF">
        <w:tab/>
        <w:t>Estimated total costs of SEMS versus BSC (upper limit)</w:t>
      </w:r>
      <w:bookmarkEnd w:id="51"/>
    </w:p>
    <w:tbl>
      <w:tblPr>
        <w:tblW w:w="7480" w:type="dxa"/>
        <w:tblInd w:w="720" w:type="dxa"/>
        <w:tblBorders>
          <w:top w:val="single" w:sz="12" w:space="0" w:color="auto"/>
          <w:bottom w:val="single" w:sz="12" w:space="0" w:color="auto"/>
        </w:tblBorders>
        <w:tblLook w:val="04A0" w:firstRow="1" w:lastRow="0" w:firstColumn="1" w:lastColumn="0" w:noHBand="0" w:noVBand="1"/>
      </w:tblPr>
      <w:tblGrid>
        <w:gridCol w:w="3795"/>
        <w:gridCol w:w="1559"/>
        <w:gridCol w:w="2126"/>
      </w:tblGrid>
      <w:tr w:rsidR="00ED4333" w:rsidRPr="00FC66CF" w:rsidTr="00CB5216">
        <w:trPr>
          <w:trHeight w:val="315"/>
        </w:trPr>
        <w:tc>
          <w:tcPr>
            <w:tcW w:w="3795" w:type="dxa"/>
            <w:tcBorders>
              <w:top w:val="single" w:sz="12" w:space="0" w:color="auto"/>
              <w:bottom w:val="single" w:sz="4" w:space="0" w:color="auto"/>
            </w:tcBorders>
            <w:shd w:val="clear" w:color="auto" w:fill="auto"/>
            <w:noWrap/>
            <w:vAlign w:val="bottom"/>
            <w:hideMark/>
          </w:tcPr>
          <w:p w:rsidR="00ED4333" w:rsidRPr="00FC66CF" w:rsidRDefault="00ED4333" w:rsidP="00ED4333">
            <w:pPr>
              <w:keepNext/>
              <w:spacing w:after="0"/>
              <w:ind w:left="0"/>
              <w:rPr>
                <w:rFonts w:ascii="Arial Narrow" w:hAnsi="Arial Narrow"/>
                <w:color w:val="000000"/>
                <w:sz w:val="18"/>
                <w:szCs w:val="18"/>
                <w:lang w:val="en-US" w:eastAsia="en-US"/>
              </w:rPr>
            </w:pPr>
            <w:r w:rsidRPr="00FC66CF">
              <w:rPr>
                <w:rFonts w:ascii="Arial Narrow" w:hAnsi="Arial Narrow"/>
                <w:color w:val="000000"/>
                <w:sz w:val="18"/>
                <w:szCs w:val="18"/>
                <w:lang w:val="en-US" w:eastAsia="en-US"/>
              </w:rPr>
              <w:t> </w:t>
            </w:r>
          </w:p>
        </w:tc>
        <w:tc>
          <w:tcPr>
            <w:tcW w:w="1559" w:type="dxa"/>
            <w:tcBorders>
              <w:top w:val="single" w:sz="12" w:space="0" w:color="auto"/>
              <w:bottom w:val="single" w:sz="4" w:space="0" w:color="auto"/>
            </w:tcBorders>
            <w:shd w:val="clear" w:color="auto" w:fill="auto"/>
            <w:noWrap/>
            <w:vAlign w:val="bottom"/>
            <w:hideMark/>
          </w:tcPr>
          <w:p w:rsidR="00ED4333" w:rsidRPr="00FC66CF" w:rsidRDefault="00ED4333" w:rsidP="0086624F">
            <w:pPr>
              <w:pStyle w:val="TableHeading0"/>
              <w:jc w:val="right"/>
            </w:pPr>
            <w:r w:rsidRPr="00FC66CF">
              <w:t xml:space="preserve">SEMS </w:t>
            </w:r>
          </w:p>
        </w:tc>
        <w:tc>
          <w:tcPr>
            <w:tcW w:w="2126" w:type="dxa"/>
            <w:tcBorders>
              <w:top w:val="single" w:sz="12" w:space="0" w:color="auto"/>
              <w:bottom w:val="single" w:sz="4" w:space="0" w:color="auto"/>
            </w:tcBorders>
            <w:shd w:val="clear" w:color="auto" w:fill="auto"/>
            <w:noWrap/>
            <w:vAlign w:val="bottom"/>
            <w:hideMark/>
          </w:tcPr>
          <w:p w:rsidR="00ED4333" w:rsidRPr="00FC66CF" w:rsidRDefault="00ED4333" w:rsidP="0086624F">
            <w:pPr>
              <w:pStyle w:val="TableHeading0"/>
              <w:jc w:val="right"/>
            </w:pPr>
            <w:r>
              <w:t>Palliation only (</w:t>
            </w:r>
            <w:r w:rsidRPr="00FC66CF">
              <w:t>BSC</w:t>
            </w:r>
            <w:r>
              <w:t>)</w:t>
            </w:r>
          </w:p>
        </w:tc>
      </w:tr>
      <w:tr w:rsidR="00ED4333" w:rsidRPr="00FC66CF" w:rsidTr="00CB5216">
        <w:trPr>
          <w:trHeight w:val="300"/>
        </w:trPr>
        <w:tc>
          <w:tcPr>
            <w:tcW w:w="3795" w:type="dxa"/>
            <w:tcBorders>
              <w:top w:val="single" w:sz="4" w:space="0" w:color="auto"/>
            </w:tcBorders>
            <w:shd w:val="clear" w:color="auto" w:fill="auto"/>
            <w:noWrap/>
            <w:vAlign w:val="bottom"/>
            <w:hideMark/>
          </w:tcPr>
          <w:p w:rsidR="00ED4333" w:rsidRPr="00FC66CF" w:rsidRDefault="00ED4333" w:rsidP="0086624F">
            <w:pPr>
              <w:pStyle w:val="TableText0"/>
              <w:rPr>
                <w:lang w:val="en-US"/>
              </w:rPr>
            </w:pPr>
            <w:r w:rsidRPr="00FC66CF">
              <w:rPr>
                <w:lang w:val="en-US"/>
              </w:rPr>
              <w:t>Total cost per patient</w:t>
            </w:r>
          </w:p>
        </w:tc>
        <w:tc>
          <w:tcPr>
            <w:tcW w:w="1559" w:type="dxa"/>
            <w:tcBorders>
              <w:top w:val="single" w:sz="4" w:space="0" w:color="auto"/>
            </w:tcBorders>
            <w:shd w:val="clear" w:color="auto" w:fill="auto"/>
            <w:noWrap/>
            <w:vAlign w:val="bottom"/>
            <w:hideMark/>
          </w:tcPr>
          <w:p w:rsidR="00ED4333" w:rsidRPr="00FC66CF" w:rsidRDefault="00ED4333" w:rsidP="0086624F">
            <w:pPr>
              <w:pStyle w:val="TableText0"/>
              <w:jc w:val="right"/>
              <w:rPr>
                <w:lang w:val="en-US"/>
              </w:rPr>
            </w:pPr>
            <w:r w:rsidRPr="000F3C8B">
              <w:rPr>
                <w:lang w:val="en-AU"/>
              </w:rPr>
              <w:t>$17,413</w:t>
            </w:r>
          </w:p>
        </w:tc>
        <w:tc>
          <w:tcPr>
            <w:tcW w:w="2126" w:type="dxa"/>
            <w:tcBorders>
              <w:top w:val="single" w:sz="4" w:space="0" w:color="auto"/>
            </w:tcBorders>
            <w:shd w:val="clear" w:color="auto" w:fill="auto"/>
            <w:noWrap/>
            <w:vAlign w:val="bottom"/>
            <w:hideMark/>
          </w:tcPr>
          <w:p w:rsidR="00ED4333" w:rsidRPr="00FC66CF" w:rsidRDefault="00ED4333" w:rsidP="0086624F">
            <w:pPr>
              <w:pStyle w:val="TableText0"/>
              <w:jc w:val="right"/>
              <w:rPr>
                <w:lang w:val="en-US"/>
              </w:rPr>
            </w:pPr>
            <w:r w:rsidRPr="000F3C8B">
              <w:rPr>
                <w:lang w:val="en-AU"/>
              </w:rPr>
              <w:t>$7,756</w:t>
            </w:r>
          </w:p>
        </w:tc>
      </w:tr>
      <w:tr w:rsidR="00ED4333" w:rsidRPr="00FC66CF" w:rsidTr="00CB5216">
        <w:trPr>
          <w:trHeight w:val="300"/>
        </w:trPr>
        <w:tc>
          <w:tcPr>
            <w:tcW w:w="3795" w:type="dxa"/>
            <w:shd w:val="clear" w:color="auto" w:fill="auto"/>
            <w:noWrap/>
            <w:vAlign w:val="bottom"/>
            <w:hideMark/>
          </w:tcPr>
          <w:p w:rsidR="00ED4333" w:rsidRPr="00FC66CF" w:rsidRDefault="00ED4333" w:rsidP="0086624F">
            <w:pPr>
              <w:pStyle w:val="TableText0"/>
              <w:rPr>
                <w:lang w:val="en-US"/>
              </w:rPr>
            </w:pPr>
            <w:r w:rsidRPr="00FC66CF">
              <w:rPr>
                <w:lang w:val="en-US"/>
              </w:rPr>
              <w:t>Number of patients</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487</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487</w:t>
            </w:r>
          </w:p>
        </w:tc>
      </w:tr>
      <w:tr w:rsidR="00ED4333" w:rsidRPr="00FC66CF" w:rsidTr="00CB5216">
        <w:trPr>
          <w:trHeight w:val="300"/>
        </w:trPr>
        <w:tc>
          <w:tcPr>
            <w:tcW w:w="3795" w:type="dxa"/>
            <w:shd w:val="clear" w:color="auto" w:fill="auto"/>
            <w:noWrap/>
            <w:vAlign w:val="bottom"/>
            <w:hideMark/>
          </w:tcPr>
          <w:p w:rsidR="00ED4333" w:rsidRPr="00FC66CF" w:rsidRDefault="00ED4333" w:rsidP="0086624F">
            <w:pPr>
              <w:pStyle w:val="TableText0"/>
              <w:rPr>
                <w:i/>
                <w:iCs/>
                <w:lang w:val="en-US"/>
              </w:rPr>
            </w:pPr>
            <w:r w:rsidRPr="00FC66CF">
              <w:rPr>
                <w:i/>
                <w:iCs/>
                <w:lang w:val="en-US"/>
              </w:rPr>
              <w:t>Breakdown of financial implicati</w:t>
            </w:r>
            <w:r w:rsidR="0086624F">
              <w:rPr>
                <w:i/>
                <w:iCs/>
                <w:lang w:val="en-US"/>
              </w:rPr>
              <w:t>ons</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 </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 </w:t>
            </w:r>
          </w:p>
        </w:tc>
      </w:tr>
      <w:tr w:rsidR="00ED4333" w:rsidRPr="00FC66CF" w:rsidTr="00CB5216">
        <w:trPr>
          <w:trHeight w:val="315"/>
        </w:trPr>
        <w:tc>
          <w:tcPr>
            <w:tcW w:w="3795" w:type="dxa"/>
            <w:shd w:val="clear" w:color="auto" w:fill="auto"/>
            <w:noWrap/>
            <w:vAlign w:val="bottom"/>
            <w:hideMark/>
          </w:tcPr>
          <w:p w:rsidR="00ED4333" w:rsidRPr="00FC66CF" w:rsidRDefault="00ED4333" w:rsidP="0086624F">
            <w:pPr>
              <w:pStyle w:val="TableText0"/>
              <w:rPr>
                <w:lang w:val="en-US"/>
              </w:rPr>
            </w:pPr>
            <w:r w:rsidRPr="00FC66CF">
              <w:rPr>
                <w:lang w:val="en-US"/>
              </w:rPr>
              <w:t>Consumables</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$1,721,545</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$0</w:t>
            </w:r>
          </w:p>
        </w:tc>
      </w:tr>
      <w:tr w:rsidR="00ED4333" w:rsidRPr="00FC66CF" w:rsidTr="00CB5216">
        <w:trPr>
          <w:trHeight w:val="315"/>
        </w:trPr>
        <w:tc>
          <w:tcPr>
            <w:tcW w:w="3795" w:type="dxa"/>
            <w:shd w:val="clear" w:color="auto" w:fill="auto"/>
            <w:noWrap/>
            <w:vAlign w:val="bottom"/>
            <w:hideMark/>
          </w:tcPr>
          <w:p w:rsidR="00ED4333" w:rsidRPr="00FC66CF" w:rsidRDefault="00ED4333" w:rsidP="00AA69D5">
            <w:pPr>
              <w:pStyle w:val="TableText0"/>
              <w:rPr>
                <w:lang w:val="en-US"/>
              </w:rPr>
            </w:pPr>
            <w:r w:rsidRPr="00FC66CF">
              <w:rPr>
                <w:lang w:val="en-US"/>
              </w:rPr>
              <w:t xml:space="preserve">MBS </w:t>
            </w:r>
            <w:r w:rsidR="00AA69D5">
              <w:rPr>
                <w:lang w:val="en-US"/>
              </w:rPr>
              <w:t>i</w:t>
            </w:r>
            <w:r w:rsidRPr="00FC66CF">
              <w:rPr>
                <w:lang w:val="en-US"/>
              </w:rPr>
              <w:t>tems &amp; hospital fees</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$4,412,707</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$3,426,556</w:t>
            </w:r>
          </w:p>
        </w:tc>
      </w:tr>
      <w:tr w:rsidR="00ED4333" w:rsidRPr="00FC66CF" w:rsidTr="00CB5216">
        <w:trPr>
          <w:trHeight w:val="315"/>
        </w:trPr>
        <w:tc>
          <w:tcPr>
            <w:tcW w:w="3795" w:type="dxa"/>
            <w:shd w:val="clear" w:color="auto" w:fill="auto"/>
            <w:noWrap/>
            <w:vAlign w:val="bottom"/>
            <w:hideMark/>
          </w:tcPr>
          <w:p w:rsidR="00ED4333" w:rsidRPr="00FC66CF" w:rsidRDefault="00ED4333" w:rsidP="0086624F">
            <w:pPr>
              <w:pStyle w:val="TableText0"/>
              <w:rPr>
                <w:lang w:val="en-US"/>
              </w:rPr>
            </w:pPr>
            <w:r w:rsidRPr="00FC66CF">
              <w:rPr>
                <w:lang w:val="en-US"/>
              </w:rPr>
              <w:t>Patient out-of-pocket</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$2,345,879</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$350,374</w:t>
            </w:r>
          </w:p>
        </w:tc>
      </w:tr>
      <w:tr w:rsidR="00ED4333" w:rsidRPr="00FC66CF" w:rsidTr="00CB5216">
        <w:trPr>
          <w:trHeight w:val="315"/>
        </w:trPr>
        <w:tc>
          <w:tcPr>
            <w:tcW w:w="3795" w:type="dxa"/>
            <w:shd w:val="clear" w:color="auto" w:fill="auto"/>
            <w:noWrap/>
            <w:vAlign w:val="bottom"/>
            <w:hideMark/>
          </w:tcPr>
          <w:p w:rsidR="00ED4333" w:rsidRPr="00FC66CF" w:rsidRDefault="00ED4333" w:rsidP="0086624F">
            <w:pPr>
              <w:pStyle w:val="TableText0"/>
              <w:rPr>
                <w:b/>
                <w:bCs/>
                <w:lang w:val="en-US"/>
              </w:rPr>
            </w:pPr>
            <w:r w:rsidRPr="00FC66CF">
              <w:rPr>
                <w:b/>
                <w:bCs/>
                <w:lang w:val="en-US"/>
              </w:rPr>
              <w:t>Total financial implications</w:t>
            </w:r>
          </w:p>
        </w:tc>
        <w:tc>
          <w:tcPr>
            <w:tcW w:w="1559" w:type="dxa"/>
            <w:shd w:val="clear" w:color="auto" w:fill="auto"/>
            <w:noWrap/>
            <w:vAlign w:val="bottom"/>
            <w:hideMark/>
          </w:tcPr>
          <w:p w:rsidR="00ED4333" w:rsidRPr="00FC66CF" w:rsidRDefault="00ED4333" w:rsidP="0086624F">
            <w:pPr>
              <w:pStyle w:val="TableText0"/>
              <w:jc w:val="right"/>
              <w:rPr>
                <w:b/>
                <w:bCs/>
                <w:lang w:val="en-US"/>
              </w:rPr>
            </w:pPr>
            <w:r w:rsidRPr="000F3C8B">
              <w:rPr>
                <w:b/>
                <w:bCs/>
                <w:lang w:val="en-AU"/>
              </w:rPr>
              <w:t>$8,480,131</w:t>
            </w:r>
          </w:p>
        </w:tc>
        <w:tc>
          <w:tcPr>
            <w:tcW w:w="2126" w:type="dxa"/>
            <w:shd w:val="clear" w:color="auto" w:fill="auto"/>
            <w:noWrap/>
            <w:vAlign w:val="bottom"/>
            <w:hideMark/>
          </w:tcPr>
          <w:p w:rsidR="00ED4333" w:rsidRPr="00FC66CF" w:rsidRDefault="00ED4333" w:rsidP="0086624F">
            <w:pPr>
              <w:pStyle w:val="TableText0"/>
              <w:jc w:val="right"/>
              <w:rPr>
                <w:b/>
                <w:bCs/>
                <w:lang w:val="en-US"/>
              </w:rPr>
            </w:pPr>
            <w:r w:rsidRPr="000F3C8B">
              <w:rPr>
                <w:b/>
                <w:bCs/>
                <w:lang w:val="en-AU"/>
              </w:rPr>
              <w:t>$3,776,930</w:t>
            </w:r>
          </w:p>
        </w:tc>
      </w:tr>
      <w:tr w:rsidR="00ED4333" w:rsidRPr="00FC66CF" w:rsidTr="00CB5216">
        <w:trPr>
          <w:trHeight w:val="300"/>
        </w:trPr>
        <w:tc>
          <w:tcPr>
            <w:tcW w:w="3795" w:type="dxa"/>
            <w:shd w:val="clear" w:color="auto" w:fill="auto"/>
            <w:noWrap/>
            <w:vAlign w:val="bottom"/>
            <w:hideMark/>
          </w:tcPr>
          <w:p w:rsidR="00ED4333" w:rsidRPr="00FC66CF" w:rsidRDefault="0086624F" w:rsidP="0086624F">
            <w:pPr>
              <w:pStyle w:val="TableText0"/>
              <w:rPr>
                <w:i/>
                <w:iCs/>
                <w:lang w:val="en-US"/>
              </w:rPr>
            </w:pPr>
            <w:r>
              <w:rPr>
                <w:i/>
                <w:iCs/>
                <w:lang w:val="en-US"/>
              </w:rPr>
              <w:t>Incremental costs</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 </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 </w:t>
            </w:r>
          </w:p>
        </w:tc>
      </w:tr>
      <w:tr w:rsidR="00ED4333" w:rsidRPr="00FC66CF" w:rsidTr="00CB5216">
        <w:trPr>
          <w:trHeight w:val="300"/>
        </w:trPr>
        <w:tc>
          <w:tcPr>
            <w:tcW w:w="3795" w:type="dxa"/>
            <w:shd w:val="clear" w:color="auto" w:fill="auto"/>
            <w:noWrap/>
            <w:vAlign w:val="bottom"/>
            <w:hideMark/>
          </w:tcPr>
          <w:p w:rsidR="00ED4333" w:rsidRPr="00FC66CF" w:rsidRDefault="00ED4333" w:rsidP="0086624F">
            <w:pPr>
              <w:pStyle w:val="TableText0"/>
              <w:rPr>
                <w:lang w:val="en-US"/>
              </w:rPr>
            </w:pPr>
            <w:r w:rsidRPr="00FC66CF">
              <w:rPr>
                <w:lang w:val="en-US"/>
              </w:rPr>
              <w:t>Consumables</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 </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$1,721,545</w:t>
            </w:r>
          </w:p>
        </w:tc>
      </w:tr>
      <w:tr w:rsidR="00ED4333" w:rsidRPr="00FC66CF" w:rsidTr="00CB5216">
        <w:trPr>
          <w:trHeight w:val="300"/>
        </w:trPr>
        <w:tc>
          <w:tcPr>
            <w:tcW w:w="3795" w:type="dxa"/>
            <w:shd w:val="clear" w:color="auto" w:fill="auto"/>
            <w:noWrap/>
            <w:vAlign w:val="bottom"/>
            <w:hideMark/>
          </w:tcPr>
          <w:p w:rsidR="00ED4333" w:rsidRPr="00FC66CF" w:rsidRDefault="00ED4333" w:rsidP="00AA69D5">
            <w:pPr>
              <w:pStyle w:val="TableText0"/>
              <w:rPr>
                <w:lang w:val="en-US"/>
              </w:rPr>
            </w:pPr>
            <w:r w:rsidRPr="00FC66CF">
              <w:rPr>
                <w:lang w:val="en-US"/>
              </w:rPr>
              <w:t xml:space="preserve">MBS </w:t>
            </w:r>
            <w:r w:rsidR="00AA69D5">
              <w:rPr>
                <w:lang w:val="en-US"/>
              </w:rPr>
              <w:t>i</w:t>
            </w:r>
            <w:r w:rsidRPr="00FC66CF">
              <w:rPr>
                <w:lang w:val="en-US"/>
              </w:rPr>
              <w:t>tems &amp; hospital fees</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 </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$986,151</w:t>
            </w:r>
          </w:p>
        </w:tc>
      </w:tr>
      <w:tr w:rsidR="00ED4333" w:rsidRPr="00FC66CF" w:rsidTr="00CB5216">
        <w:trPr>
          <w:trHeight w:val="300"/>
        </w:trPr>
        <w:tc>
          <w:tcPr>
            <w:tcW w:w="3795" w:type="dxa"/>
            <w:shd w:val="clear" w:color="auto" w:fill="auto"/>
            <w:noWrap/>
            <w:vAlign w:val="bottom"/>
            <w:hideMark/>
          </w:tcPr>
          <w:p w:rsidR="00ED4333" w:rsidRPr="00FC66CF" w:rsidRDefault="00ED4333" w:rsidP="0086624F">
            <w:pPr>
              <w:pStyle w:val="TableText0"/>
              <w:rPr>
                <w:lang w:val="en-US"/>
              </w:rPr>
            </w:pPr>
            <w:r w:rsidRPr="00FC66CF">
              <w:rPr>
                <w:lang w:val="en-US"/>
              </w:rPr>
              <w:t>Patient out-of-pocket</w:t>
            </w:r>
          </w:p>
        </w:tc>
        <w:tc>
          <w:tcPr>
            <w:tcW w:w="1559"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 </w:t>
            </w:r>
          </w:p>
        </w:tc>
        <w:tc>
          <w:tcPr>
            <w:tcW w:w="2126" w:type="dxa"/>
            <w:shd w:val="clear" w:color="auto" w:fill="auto"/>
            <w:noWrap/>
            <w:vAlign w:val="bottom"/>
            <w:hideMark/>
          </w:tcPr>
          <w:p w:rsidR="00ED4333" w:rsidRPr="00FC66CF" w:rsidRDefault="00ED4333" w:rsidP="0086624F">
            <w:pPr>
              <w:pStyle w:val="TableText0"/>
              <w:jc w:val="right"/>
              <w:rPr>
                <w:lang w:val="en-US"/>
              </w:rPr>
            </w:pPr>
            <w:r w:rsidRPr="000F3C8B">
              <w:rPr>
                <w:lang w:val="en-AU"/>
              </w:rPr>
              <w:t>$1,995,505</w:t>
            </w:r>
          </w:p>
        </w:tc>
      </w:tr>
      <w:tr w:rsidR="00ED4333" w:rsidRPr="00FC66CF" w:rsidTr="00CB5216">
        <w:trPr>
          <w:trHeight w:val="315"/>
        </w:trPr>
        <w:tc>
          <w:tcPr>
            <w:tcW w:w="3795" w:type="dxa"/>
            <w:shd w:val="clear" w:color="auto" w:fill="auto"/>
            <w:noWrap/>
            <w:vAlign w:val="bottom"/>
            <w:hideMark/>
          </w:tcPr>
          <w:p w:rsidR="00ED4333" w:rsidRPr="00FC66CF" w:rsidRDefault="00ED4333" w:rsidP="0086624F">
            <w:pPr>
              <w:pStyle w:val="TableText0"/>
              <w:rPr>
                <w:b/>
                <w:bCs/>
                <w:lang w:val="en-US"/>
              </w:rPr>
            </w:pPr>
            <w:r w:rsidRPr="00FC66CF">
              <w:rPr>
                <w:b/>
                <w:bCs/>
                <w:lang w:val="en-US"/>
              </w:rPr>
              <w:t xml:space="preserve">Total cost </w:t>
            </w:r>
          </w:p>
        </w:tc>
        <w:tc>
          <w:tcPr>
            <w:tcW w:w="1559" w:type="dxa"/>
            <w:shd w:val="clear" w:color="auto" w:fill="auto"/>
            <w:noWrap/>
            <w:vAlign w:val="bottom"/>
            <w:hideMark/>
          </w:tcPr>
          <w:p w:rsidR="00ED4333" w:rsidRPr="00FC66CF" w:rsidRDefault="00ED4333" w:rsidP="0086624F">
            <w:pPr>
              <w:pStyle w:val="TableText0"/>
              <w:jc w:val="right"/>
              <w:rPr>
                <w:b/>
                <w:bCs/>
                <w:lang w:val="en-US"/>
              </w:rPr>
            </w:pPr>
            <w:r w:rsidRPr="000F3C8B">
              <w:rPr>
                <w:b/>
                <w:bCs/>
                <w:lang w:val="en-AU"/>
              </w:rPr>
              <w:t> </w:t>
            </w:r>
          </w:p>
        </w:tc>
        <w:tc>
          <w:tcPr>
            <w:tcW w:w="2126" w:type="dxa"/>
            <w:shd w:val="clear" w:color="auto" w:fill="auto"/>
            <w:noWrap/>
            <w:vAlign w:val="bottom"/>
            <w:hideMark/>
          </w:tcPr>
          <w:p w:rsidR="00ED4333" w:rsidRPr="00FC66CF" w:rsidRDefault="00ED4333" w:rsidP="0086624F">
            <w:pPr>
              <w:pStyle w:val="TableText0"/>
              <w:jc w:val="right"/>
              <w:rPr>
                <w:b/>
                <w:bCs/>
                <w:lang w:val="en-US"/>
              </w:rPr>
            </w:pPr>
            <w:r w:rsidRPr="000F3C8B">
              <w:rPr>
                <w:b/>
                <w:bCs/>
                <w:lang w:val="en-AU"/>
              </w:rPr>
              <w:t>$4,703,201</w:t>
            </w:r>
          </w:p>
        </w:tc>
      </w:tr>
    </w:tbl>
    <w:p w:rsidR="001F7E3E" w:rsidRDefault="00AA69D5" w:rsidP="001F7E3E">
      <w:pPr>
        <w:pStyle w:val="TableNotes"/>
        <w:rPr>
          <w:lang w:val="en-AU"/>
        </w:rPr>
      </w:pPr>
      <w:r w:rsidRPr="00AA69D5">
        <w:t xml:space="preserve">SEMS: </w:t>
      </w:r>
      <w:r w:rsidR="002F764D" w:rsidRPr="00AA69D5">
        <w:t>S</w:t>
      </w:r>
      <w:r w:rsidRPr="00AA69D5">
        <w:t>elf-expanding metallic stent</w:t>
      </w:r>
      <w:r>
        <w:t>;</w:t>
      </w:r>
      <w:r w:rsidRPr="00AA69D5">
        <w:t xml:space="preserve"> </w:t>
      </w:r>
      <w:r w:rsidR="00ED4333" w:rsidRPr="009A6B8C">
        <w:t xml:space="preserve">BSC: </w:t>
      </w:r>
      <w:r w:rsidR="00D3398A" w:rsidRPr="009A6B8C">
        <w:t>B</w:t>
      </w:r>
      <w:r w:rsidR="00ED4333" w:rsidRPr="009A6B8C">
        <w:t>est supportive care</w:t>
      </w:r>
      <w:r>
        <w:t>; MBS: Medicare Benefits Schedule</w:t>
      </w:r>
      <w:r w:rsidR="0026112F">
        <w:t>.</w:t>
      </w:r>
    </w:p>
    <w:p w:rsidR="00ED4333" w:rsidRPr="007B1A0B" w:rsidRDefault="001F7E3E" w:rsidP="00CB5216">
      <w:pPr>
        <w:pStyle w:val="TableNotes"/>
        <w:rPr>
          <w:lang w:val="en-AU"/>
        </w:rPr>
      </w:pPr>
      <w:r>
        <w:rPr>
          <w:lang w:val="en-AU"/>
        </w:rPr>
        <w:t>Note: N</w:t>
      </w:r>
      <w:r>
        <w:t xml:space="preserve">umbers may not </w:t>
      </w:r>
      <w:r>
        <w:rPr>
          <w:lang w:val="en-AU"/>
        </w:rPr>
        <w:t>sum to total</w:t>
      </w:r>
      <w:r>
        <w:t xml:space="preserve"> due to rounding</w:t>
      </w:r>
      <w:r>
        <w:rPr>
          <w:lang w:val="en-AU"/>
        </w:rPr>
        <w:t>.</w:t>
      </w:r>
    </w:p>
    <w:p w:rsidR="00ED4333" w:rsidRDefault="00ED4333" w:rsidP="00ED4333">
      <w:pPr>
        <w:rPr>
          <w:iCs/>
          <w:szCs w:val="24"/>
        </w:rPr>
      </w:pPr>
      <w:r w:rsidRPr="00FC66CF">
        <w:rPr>
          <w:iCs/>
          <w:szCs w:val="24"/>
        </w:rPr>
        <w:t xml:space="preserve">If MBS funding is granted for SEMS </w:t>
      </w:r>
      <w:r w:rsidR="00E81BA6">
        <w:rPr>
          <w:iCs/>
          <w:szCs w:val="24"/>
        </w:rPr>
        <w:t>insertion to manage</w:t>
      </w:r>
      <w:r w:rsidRPr="00FC66CF">
        <w:rPr>
          <w:iCs/>
          <w:szCs w:val="24"/>
        </w:rPr>
        <w:t xml:space="preserve"> </w:t>
      </w:r>
      <w:r w:rsidR="00E81BA6" w:rsidRPr="00FC66CF">
        <w:rPr>
          <w:iCs/>
          <w:szCs w:val="24"/>
        </w:rPr>
        <w:t>colo</w:t>
      </w:r>
      <w:r w:rsidR="00E81BA6">
        <w:rPr>
          <w:iCs/>
          <w:szCs w:val="24"/>
        </w:rPr>
        <w:t>rectal</w:t>
      </w:r>
      <w:r w:rsidR="00E81BA6" w:rsidRPr="00FC66CF">
        <w:rPr>
          <w:iCs/>
          <w:szCs w:val="24"/>
        </w:rPr>
        <w:t xml:space="preserve"> </w:t>
      </w:r>
      <w:r w:rsidRPr="00FC66CF">
        <w:rPr>
          <w:iCs/>
          <w:szCs w:val="24"/>
        </w:rPr>
        <w:t xml:space="preserve">obstruction it is unlikely to impact the extended Medicare safety net. This is because </w:t>
      </w:r>
      <w:r w:rsidR="00E81BA6">
        <w:rPr>
          <w:iCs/>
          <w:szCs w:val="24"/>
        </w:rPr>
        <w:t>the majority</w:t>
      </w:r>
      <w:r w:rsidR="00E81BA6" w:rsidRPr="00FC66CF">
        <w:rPr>
          <w:iCs/>
          <w:szCs w:val="24"/>
        </w:rPr>
        <w:t xml:space="preserve"> </w:t>
      </w:r>
      <w:r w:rsidRPr="00FC66CF">
        <w:rPr>
          <w:iCs/>
          <w:szCs w:val="24"/>
        </w:rPr>
        <w:t xml:space="preserve">of MBS services are provided in the inpatient setting. </w:t>
      </w:r>
    </w:p>
    <w:p w:rsidR="00ED4333" w:rsidRPr="0086624F" w:rsidRDefault="00ED4333" w:rsidP="00ED4333">
      <w:pPr>
        <w:pStyle w:val="Heading3"/>
      </w:pPr>
      <w:r w:rsidRPr="0086624F">
        <w:t>Overall conclusion with respect to comparative cost-effectiveness</w:t>
      </w:r>
    </w:p>
    <w:p w:rsidR="00ED4333" w:rsidRPr="00FC66CF" w:rsidRDefault="00ED4333" w:rsidP="0086624F">
      <w:pPr>
        <w:pStyle w:val="Heading4"/>
      </w:pPr>
      <w:r w:rsidRPr="0086624F">
        <w:t xml:space="preserve">Patients fit for </w:t>
      </w:r>
      <w:r w:rsidR="00DF03CC">
        <w:t>multi-stage</w:t>
      </w:r>
      <w:r w:rsidRPr="0086624F">
        <w:t xml:space="preserve"> surgery</w:t>
      </w:r>
    </w:p>
    <w:p w:rsidR="00ED4333" w:rsidRPr="00FC66CF" w:rsidRDefault="00ED4333" w:rsidP="00ED4333">
      <w:r w:rsidRPr="00FC66CF">
        <w:t xml:space="preserve">The results of the economic evaluation demonstrated that: </w:t>
      </w:r>
    </w:p>
    <w:p w:rsidR="00ED4333" w:rsidRPr="00FC66CF" w:rsidRDefault="00ED4333" w:rsidP="00ED4333">
      <w:pPr>
        <w:pStyle w:val="ListParagraph"/>
        <w:numPr>
          <w:ilvl w:val="0"/>
          <w:numId w:val="34"/>
        </w:numPr>
      </w:pPr>
      <w:r w:rsidRPr="00FC66CF">
        <w:rPr>
          <w:i/>
        </w:rPr>
        <w:t>For patients requiring palliative SEMS v</w:t>
      </w:r>
      <w:r w:rsidR="00B5447B">
        <w:rPr>
          <w:i/>
        </w:rPr>
        <w:t>ersu</w:t>
      </w:r>
      <w:r w:rsidRPr="00FC66CF">
        <w:rPr>
          <w:i/>
        </w:rPr>
        <w:t xml:space="preserve">s palliative colostomy: </w:t>
      </w:r>
      <w:r w:rsidRPr="00FC66CF">
        <w:t>SEMS placement dominate</w:t>
      </w:r>
      <w:r w:rsidR="00B5447B">
        <w:t>d</w:t>
      </w:r>
      <w:r w:rsidRPr="00FC66CF">
        <w:t xml:space="preserve"> colostomy (more effective and less costly)</w:t>
      </w:r>
      <w:r w:rsidR="00B5447B">
        <w:t>.</w:t>
      </w:r>
      <w:r w:rsidRPr="00FC66CF">
        <w:t xml:space="preserve"> </w:t>
      </w:r>
    </w:p>
    <w:p w:rsidR="00ED4333" w:rsidRPr="00FC66CF" w:rsidRDefault="00ED4333" w:rsidP="00ED4333">
      <w:pPr>
        <w:pStyle w:val="ListParagraph"/>
        <w:numPr>
          <w:ilvl w:val="0"/>
          <w:numId w:val="34"/>
        </w:numPr>
      </w:pPr>
      <w:r w:rsidRPr="00FC66CF">
        <w:rPr>
          <w:i/>
        </w:rPr>
        <w:lastRenderedPageBreak/>
        <w:t xml:space="preserve">For patients requiring SEMS as </w:t>
      </w:r>
      <w:r w:rsidR="003617AD">
        <w:rPr>
          <w:i/>
        </w:rPr>
        <w:t>bridge to surgery</w:t>
      </w:r>
      <w:r w:rsidRPr="00FC66CF">
        <w:rPr>
          <w:i/>
        </w:rPr>
        <w:t xml:space="preserve"> v</w:t>
      </w:r>
      <w:r w:rsidR="00B5447B">
        <w:rPr>
          <w:i/>
        </w:rPr>
        <w:t>ersu</w:t>
      </w:r>
      <w:r w:rsidRPr="00FC66CF">
        <w:rPr>
          <w:i/>
        </w:rPr>
        <w:t xml:space="preserve">s </w:t>
      </w:r>
      <w:r w:rsidR="00DF03CC">
        <w:rPr>
          <w:i/>
        </w:rPr>
        <w:t>multi-stage</w:t>
      </w:r>
      <w:r w:rsidRPr="00FC66CF">
        <w:rPr>
          <w:i/>
        </w:rPr>
        <w:t xml:space="preserve"> resection: </w:t>
      </w:r>
      <w:r w:rsidRPr="00FC66CF">
        <w:t xml:space="preserve"> SEMS placement dominate</w:t>
      </w:r>
      <w:r w:rsidR="00B5447B">
        <w:t>d</w:t>
      </w:r>
      <w:r w:rsidRPr="00FC66CF">
        <w:t xml:space="preserve"> colostomy or Hartmann’s procedure (more effective and less costly)</w:t>
      </w:r>
      <w:r w:rsidR="00B5447B">
        <w:t>.</w:t>
      </w:r>
      <w:r w:rsidRPr="00FC66CF">
        <w:t xml:space="preserve"> </w:t>
      </w:r>
    </w:p>
    <w:p w:rsidR="00ED4333" w:rsidRPr="00FC66CF" w:rsidRDefault="00ED4333" w:rsidP="00ED4333">
      <w:r w:rsidRPr="00FC66CF">
        <w:t>The sensitivity analysis demonstrated that:</w:t>
      </w:r>
    </w:p>
    <w:p w:rsidR="00ED4333" w:rsidRPr="00FC66CF" w:rsidRDefault="00ED4333" w:rsidP="00ED4333">
      <w:pPr>
        <w:pStyle w:val="ListParagraph"/>
        <w:numPr>
          <w:ilvl w:val="0"/>
          <w:numId w:val="35"/>
        </w:numPr>
      </w:pPr>
      <w:r w:rsidRPr="00FC66CF">
        <w:t xml:space="preserve">The main drivers of both models were the technical and clinical success of the SEMS insertion, and length of hospital stay following the procedures.  </w:t>
      </w:r>
    </w:p>
    <w:p w:rsidR="00ED4333" w:rsidRDefault="00ED4333" w:rsidP="00ED4333">
      <w:pPr>
        <w:pStyle w:val="ListParagraph"/>
        <w:numPr>
          <w:ilvl w:val="0"/>
          <w:numId w:val="35"/>
        </w:numPr>
      </w:pPr>
      <w:r w:rsidRPr="00FC66CF">
        <w:t>The probability of a resection with primary anastomosis after insertion of a SEMS and the cost of stenting were also drivers in the bridge to surgery model.</w:t>
      </w:r>
    </w:p>
    <w:p w:rsidR="00ED4333" w:rsidRDefault="00ED4333" w:rsidP="00ED4333">
      <w:r>
        <w:t>Financial implications</w:t>
      </w:r>
      <w:r w:rsidR="00B5447B">
        <w:t xml:space="preserve"> suggested that</w:t>
      </w:r>
      <w:r>
        <w:t>:</w:t>
      </w:r>
    </w:p>
    <w:p w:rsidR="00ED4333" w:rsidRDefault="00ED4333" w:rsidP="00ED4333">
      <w:pPr>
        <w:pStyle w:val="ListParagraph"/>
        <w:numPr>
          <w:ilvl w:val="0"/>
          <w:numId w:val="38"/>
        </w:numPr>
      </w:pPr>
      <w:r w:rsidRPr="00944045">
        <w:rPr>
          <w:bCs/>
        </w:rPr>
        <w:t xml:space="preserve">SEMS insertion </w:t>
      </w:r>
      <w:r w:rsidR="002C0C67">
        <w:rPr>
          <w:bCs/>
        </w:rPr>
        <w:t>would be</w:t>
      </w:r>
      <w:r w:rsidR="002C0C67" w:rsidRPr="00944045">
        <w:rPr>
          <w:bCs/>
        </w:rPr>
        <w:t xml:space="preserve"> </w:t>
      </w:r>
      <w:r w:rsidRPr="00944045">
        <w:rPr>
          <w:bCs/>
        </w:rPr>
        <w:t>a cost savings versus the comparators for both palliation and bridge</w:t>
      </w:r>
      <w:r w:rsidR="00197117">
        <w:rPr>
          <w:bCs/>
        </w:rPr>
        <w:t xml:space="preserve"> </w:t>
      </w:r>
      <w:r w:rsidRPr="00944045">
        <w:rPr>
          <w:bCs/>
        </w:rPr>
        <w:t>to</w:t>
      </w:r>
      <w:r w:rsidR="00197117">
        <w:rPr>
          <w:bCs/>
        </w:rPr>
        <w:t xml:space="preserve"> </w:t>
      </w:r>
      <w:r w:rsidRPr="00944045">
        <w:rPr>
          <w:bCs/>
        </w:rPr>
        <w:t>surgery. An estimated cost savings ranges from $363,98</w:t>
      </w:r>
      <w:r w:rsidR="00E81BA6">
        <w:rPr>
          <w:bCs/>
        </w:rPr>
        <w:t>1</w:t>
      </w:r>
      <w:r w:rsidRPr="00944045">
        <w:rPr>
          <w:bCs/>
        </w:rPr>
        <w:t xml:space="preserve"> to $1,319,430 in the palliation group and $138,045 to $500,41</w:t>
      </w:r>
      <w:r w:rsidR="00E81BA6">
        <w:rPr>
          <w:bCs/>
        </w:rPr>
        <w:t>2</w:t>
      </w:r>
      <w:r w:rsidRPr="00944045">
        <w:rPr>
          <w:bCs/>
        </w:rPr>
        <w:t xml:space="preserve"> in the </w:t>
      </w:r>
      <w:r w:rsidR="003617AD">
        <w:rPr>
          <w:bCs/>
        </w:rPr>
        <w:t>bridge to surgery</w:t>
      </w:r>
      <w:r w:rsidRPr="00944045">
        <w:rPr>
          <w:bCs/>
        </w:rPr>
        <w:t xml:space="preserve"> group based on the lowest and highest estimate of the number of patients eligible to be treated with SEMS for malignant bowel obstruction. </w:t>
      </w:r>
    </w:p>
    <w:p w:rsidR="00ED4333" w:rsidRPr="0086624F" w:rsidRDefault="00ED4333" w:rsidP="0086624F">
      <w:pPr>
        <w:pStyle w:val="Heading4"/>
      </w:pPr>
      <w:r w:rsidRPr="0086624F">
        <w:t>Patien</w:t>
      </w:r>
      <w:r w:rsidR="0086624F">
        <w:t xml:space="preserve">ts unfit for </w:t>
      </w:r>
      <w:r w:rsidR="00DF03CC">
        <w:t>multi-stage</w:t>
      </w:r>
      <w:r w:rsidR="0086624F">
        <w:t xml:space="preserve"> surgery</w:t>
      </w:r>
    </w:p>
    <w:p w:rsidR="0086624F" w:rsidRPr="0086624F" w:rsidRDefault="0086624F" w:rsidP="0086624F">
      <w:r w:rsidRPr="00FC66CF">
        <w:t>The results of the economic</w:t>
      </w:r>
      <w:r>
        <w:t xml:space="preserve"> evaluation demonstrated that: </w:t>
      </w:r>
    </w:p>
    <w:p w:rsidR="00ED4333" w:rsidRDefault="00ED4333" w:rsidP="00ED4333">
      <w:pPr>
        <w:pStyle w:val="ListParagraph"/>
        <w:numPr>
          <w:ilvl w:val="0"/>
          <w:numId w:val="36"/>
        </w:numPr>
      </w:pPr>
      <w:r w:rsidRPr="00FC66CF">
        <w:rPr>
          <w:i/>
        </w:rPr>
        <w:t xml:space="preserve">For patients requiring definitive SEMS: </w:t>
      </w:r>
      <w:r w:rsidRPr="00FC66CF">
        <w:t>SEMS placement instead of palliation (best supportive care) ha</w:t>
      </w:r>
      <w:r w:rsidR="00024813">
        <w:t>d</w:t>
      </w:r>
      <w:r w:rsidRPr="00FC66CF">
        <w:t xml:space="preserve"> an incremental cost of $9,659.</w:t>
      </w:r>
    </w:p>
    <w:p w:rsidR="00ED4333" w:rsidRDefault="00ED4333" w:rsidP="00ED4333">
      <w:r>
        <w:t>Financial implications</w:t>
      </w:r>
      <w:r w:rsidR="002C0C67">
        <w:t xml:space="preserve"> suggested that</w:t>
      </w:r>
      <w:r>
        <w:t>:</w:t>
      </w:r>
    </w:p>
    <w:p w:rsidR="00ED4333" w:rsidRDefault="002C0C67" w:rsidP="00ED4333">
      <w:pPr>
        <w:pStyle w:val="ListParagraph"/>
        <w:numPr>
          <w:ilvl w:val="0"/>
          <w:numId w:val="38"/>
        </w:numPr>
        <w:rPr>
          <w:b/>
          <w:iCs/>
          <w:szCs w:val="24"/>
        </w:rPr>
      </w:pPr>
      <w:r>
        <w:rPr>
          <w:iCs/>
        </w:rPr>
        <w:t>I</w:t>
      </w:r>
      <w:r w:rsidR="00ED4333" w:rsidRPr="00C605D6">
        <w:t xml:space="preserve">f all patients </w:t>
      </w:r>
      <w:r w:rsidR="00ED4333" w:rsidRPr="00DD35C6">
        <w:rPr>
          <w:iCs/>
        </w:rPr>
        <w:t xml:space="preserve">received SEMS rather than </w:t>
      </w:r>
      <w:r w:rsidR="00ED4333">
        <w:rPr>
          <w:iCs/>
        </w:rPr>
        <w:t>palliation alone (</w:t>
      </w:r>
      <w:r w:rsidR="00ED4333" w:rsidRPr="00DD35C6">
        <w:rPr>
          <w:iCs/>
        </w:rPr>
        <w:t>best supportive care</w:t>
      </w:r>
      <w:r w:rsidR="00ED4333">
        <w:rPr>
          <w:iCs/>
        </w:rPr>
        <w:t>)</w:t>
      </w:r>
      <w:r w:rsidR="00ED4333" w:rsidRPr="00DD35C6">
        <w:rPr>
          <w:iCs/>
        </w:rPr>
        <w:t>, the overall additional cost would be between $1,</w:t>
      </w:r>
      <w:r w:rsidR="00ED4333" w:rsidRPr="004A5599">
        <w:rPr>
          <w:iCs/>
        </w:rPr>
        <w:t>294,10</w:t>
      </w:r>
      <w:r w:rsidR="00CF1FED">
        <w:rPr>
          <w:iCs/>
        </w:rPr>
        <w:t>4</w:t>
      </w:r>
      <w:r w:rsidR="00ED4333" w:rsidRPr="004A5599">
        <w:rPr>
          <w:iCs/>
        </w:rPr>
        <w:t xml:space="preserve"> (lower limit) and $4,703,201 (upper limit)</w:t>
      </w:r>
      <w:r w:rsidR="00897A27">
        <w:rPr>
          <w:iCs/>
        </w:rPr>
        <w:t>.</w:t>
      </w:r>
    </w:p>
    <w:p w:rsidR="00ED4333" w:rsidRDefault="00ED4333" w:rsidP="00ED4333">
      <w:pPr>
        <w:ind w:left="709"/>
        <w:rPr>
          <w:iCs/>
          <w:szCs w:val="24"/>
        </w:rPr>
      </w:pPr>
      <w:r>
        <w:rPr>
          <w:iCs/>
          <w:szCs w:val="24"/>
        </w:rPr>
        <w:t>Overall, the economic evaluation demonstrate</w:t>
      </w:r>
      <w:r w:rsidR="002C64B5">
        <w:rPr>
          <w:iCs/>
          <w:szCs w:val="24"/>
        </w:rPr>
        <w:t>d</w:t>
      </w:r>
      <w:r>
        <w:rPr>
          <w:iCs/>
          <w:szCs w:val="24"/>
        </w:rPr>
        <w:t xml:space="preserve"> that if SEMS </w:t>
      </w:r>
      <w:r w:rsidR="002C0C67">
        <w:rPr>
          <w:iCs/>
          <w:szCs w:val="24"/>
        </w:rPr>
        <w:t>were</w:t>
      </w:r>
      <w:r>
        <w:rPr>
          <w:iCs/>
          <w:szCs w:val="24"/>
        </w:rPr>
        <w:t xml:space="preserve"> used in lieu of a colostomy for patients requiring palliation, SEMS </w:t>
      </w:r>
      <w:r w:rsidR="002C64B5">
        <w:rPr>
          <w:iCs/>
          <w:szCs w:val="24"/>
        </w:rPr>
        <w:t>would result in</w:t>
      </w:r>
      <w:r>
        <w:rPr>
          <w:iCs/>
          <w:szCs w:val="24"/>
        </w:rPr>
        <w:t xml:space="preserve"> cost savings. If the majority of these patients were treated with palliation alone (standard best supportive care), there would be an incremental cost in providing SEMS. The results for those patients who receive</w:t>
      </w:r>
      <w:r w:rsidR="002C64B5">
        <w:rPr>
          <w:iCs/>
          <w:szCs w:val="24"/>
        </w:rPr>
        <w:t>d</w:t>
      </w:r>
      <w:r>
        <w:rPr>
          <w:iCs/>
          <w:szCs w:val="24"/>
        </w:rPr>
        <w:t xml:space="preserve"> SEMS as a </w:t>
      </w:r>
      <w:r w:rsidR="003617AD">
        <w:rPr>
          <w:iCs/>
          <w:szCs w:val="24"/>
        </w:rPr>
        <w:t>bridge to surgery</w:t>
      </w:r>
      <w:r>
        <w:rPr>
          <w:iCs/>
          <w:szCs w:val="24"/>
        </w:rPr>
        <w:t xml:space="preserve"> in lieu of a diverting colostomy or Hartmann’s procedure also show</w:t>
      </w:r>
      <w:r w:rsidR="002C64B5">
        <w:rPr>
          <w:iCs/>
          <w:szCs w:val="24"/>
        </w:rPr>
        <w:t>ed</w:t>
      </w:r>
      <w:r>
        <w:rPr>
          <w:iCs/>
          <w:szCs w:val="24"/>
        </w:rPr>
        <w:t xml:space="preserve"> that a SEMS </w:t>
      </w:r>
      <w:r w:rsidR="002C0C67">
        <w:rPr>
          <w:iCs/>
          <w:szCs w:val="24"/>
        </w:rPr>
        <w:t xml:space="preserve">would </w:t>
      </w:r>
      <w:r w:rsidR="002C64B5">
        <w:rPr>
          <w:iCs/>
          <w:szCs w:val="24"/>
        </w:rPr>
        <w:t>r</w:t>
      </w:r>
      <w:r w:rsidR="002C0C67">
        <w:rPr>
          <w:iCs/>
          <w:szCs w:val="24"/>
        </w:rPr>
        <w:t>esult</w:t>
      </w:r>
      <w:r w:rsidR="002C64B5">
        <w:rPr>
          <w:iCs/>
          <w:szCs w:val="24"/>
        </w:rPr>
        <w:t xml:space="preserve"> in</w:t>
      </w:r>
      <w:r>
        <w:rPr>
          <w:iCs/>
          <w:szCs w:val="24"/>
        </w:rPr>
        <w:t xml:space="preserve"> cost</w:t>
      </w:r>
      <w:r w:rsidR="002C64B5">
        <w:rPr>
          <w:iCs/>
          <w:szCs w:val="24"/>
        </w:rPr>
        <w:t xml:space="preserve"> </w:t>
      </w:r>
      <w:r>
        <w:rPr>
          <w:iCs/>
          <w:szCs w:val="24"/>
        </w:rPr>
        <w:t xml:space="preserve">savings. </w:t>
      </w:r>
    </w:p>
    <w:p w:rsidR="00ED4333" w:rsidRPr="00FB3374" w:rsidRDefault="00ED4333" w:rsidP="00ED4333">
      <w:pPr>
        <w:tabs>
          <w:tab w:val="left" w:pos="720"/>
        </w:tabs>
        <w:spacing w:before="120" w:after="0"/>
        <w:rPr>
          <w:rFonts w:ascii="Arial" w:hAnsi="Arial" w:cs="Arial"/>
          <w:szCs w:val="24"/>
        </w:rPr>
      </w:pPr>
    </w:p>
    <w:p w:rsidR="00AC773F" w:rsidRDefault="00AC773F" w:rsidP="00027046">
      <w:pPr>
        <w:ind w:left="0"/>
        <w:sectPr w:rsidR="00AC773F" w:rsidSect="00AC773F">
          <w:pgSz w:w="11909" w:h="16834" w:code="9"/>
          <w:pgMar w:top="1440" w:right="1440" w:bottom="1440" w:left="1440" w:header="709" w:footer="709" w:gutter="0"/>
          <w:cols w:space="720"/>
          <w:docGrid w:linePitch="326"/>
        </w:sectPr>
      </w:pPr>
    </w:p>
    <w:p w:rsidR="008F59A8" w:rsidRPr="0055406F" w:rsidRDefault="008F59A8" w:rsidP="00776777">
      <w:pPr>
        <w:pStyle w:val="Heading1"/>
      </w:pPr>
      <w:bookmarkStart w:id="52" w:name="_Toc451749499"/>
      <w:bookmarkStart w:id="53" w:name="_Toc214339158"/>
      <w:bookmarkStart w:id="54" w:name="_Toc352924400"/>
      <w:r w:rsidRPr="0055406F">
        <w:lastRenderedPageBreak/>
        <w:t>Introduction</w:t>
      </w:r>
      <w:bookmarkEnd w:id="52"/>
      <w:bookmarkEnd w:id="53"/>
      <w:bookmarkEnd w:id="54"/>
    </w:p>
    <w:p w:rsidR="001C3A68" w:rsidRPr="0052787F" w:rsidRDefault="001C3A68" w:rsidP="001C3A68">
      <w:r w:rsidRPr="0055406F">
        <w:t xml:space="preserve">The </w:t>
      </w:r>
      <w:r w:rsidRPr="0055406F">
        <w:rPr>
          <w:szCs w:val="24"/>
        </w:rPr>
        <w:t xml:space="preserve">Medical Services Advisory Committee (MSAC) has reviewed the use of </w:t>
      </w:r>
      <w:r w:rsidR="009E05E3" w:rsidRPr="004C658D">
        <w:rPr>
          <w:szCs w:val="24"/>
        </w:rPr>
        <w:t>colonic stents</w:t>
      </w:r>
      <w:r w:rsidRPr="001949E9">
        <w:rPr>
          <w:szCs w:val="24"/>
        </w:rPr>
        <w:t>, a therapeutic</w:t>
      </w:r>
      <w:r w:rsidR="007C4EFF" w:rsidRPr="001949E9">
        <w:rPr>
          <w:szCs w:val="24"/>
        </w:rPr>
        <w:t xml:space="preserve"> </w:t>
      </w:r>
      <w:r w:rsidRPr="00286445">
        <w:rPr>
          <w:szCs w:val="24"/>
        </w:rPr>
        <w:t xml:space="preserve">device for </w:t>
      </w:r>
      <w:r w:rsidR="009E05E3" w:rsidRPr="00CD21F6">
        <w:rPr>
          <w:szCs w:val="24"/>
        </w:rPr>
        <w:t>the management of malignant large bowel obstructi</w:t>
      </w:r>
      <w:r w:rsidR="009E05E3" w:rsidRPr="0086082D">
        <w:rPr>
          <w:szCs w:val="24"/>
        </w:rPr>
        <w:t>on</w:t>
      </w:r>
      <w:r w:rsidRPr="0072092E">
        <w:rPr>
          <w:szCs w:val="24"/>
        </w:rPr>
        <w:t xml:space="preserve">. MSAC evaluates new and existing health technologies and procedures for which funding is sought under the Medicare Benefits </w:t>
      </w:r>
      <w:r w:rsidR="00597F7E">
        <w:rPr>
          <w:szCs w:val="24"/>
        </w:rPr>
        <w:t>Schedule (MBS)</w:t>
      </w:r>
      <w:r w:rsidR="00597F7E" w:rsidRPr="0072092E">
        <w:rPr>
          <w:szCs w:val="24"/>
        </w:rPr>
        <w:t xml:space="preserve"> </w:t>
      </w:r>
      <w:r w:rsidRPr="0072092E">
        <w:rPr>
          <w:szCs w:val="24"/>
        </w:rPr>
        <w:t xml:space="preserve">in terms of their safety, effectiveness and cost-effectiveness, while taking into account other issues such as access and </w:t>
      </w:r>
      <w:r w:rsidRPr="0052787F">
        <w:rPr>
          <w:szCs w:val="24"/>
        </w:rPr>
        <w:t>equity. MSAC adopts an evidence</w:t>
      </w:r>
      <w:r w:rsidRPr="0052787F">
        <w:t>-based approach to its assessments, based on reviews of the scientific literature and other information sources, including clinical expertise.</w:t>
      </w:r>
    </w:p>
    <w:p w:rsidR="001C3A68" w:rsidRPr="00E2422F" w:rsidRDefault="001C3A68" w:rsidP="00030FB4">
      <w:r w:rsidRPr="009E5C53">
        <w:t>MSAC is a multidisciplinary expert body, comprising members drawn from such disciplines as diagnostic imaging, pathology, surgery, internal medicine and general practice, clinical epidemiology, health economics, consum</w:t>
      </w:r>
      <w:r w:rsidRPr="00E2422F">
        <w:t>er health and health administration.</w:t>
      </w:r>
    </w:p>
    <w:p w:rsidR="009E05E3" w:rsidRPr="008978EE" w:rsidRDefault="001C3A68" w:rsidP="001C3A68">
      <w:r w:rsidRPr="00892811">
        <w:t xml:space="preserve">This report </w:t>
      </w:r>
      <w:r w:rsidR="002B6978">
        <w:t xml:space="preserve">for MSAC consideration </w:t>
      </w:r>
      <w:r w:rsidRPr="00892811">
        <w:t xml:space="preserve">summarises </w:t>
      </w:r>
      <w:r w:rsidR="00115FCC">
        <w:t xml:space="preserve">the assessment </w:t>
      </w:r>
      <w:r w:rsidR="00115FCC" w:rsidRPr="00115FCC">
        <w:rPr>
          <w:szCs w:val="24"/>
        </w:rPr>
        <w:t xml:space="preserve">by </w:t>
      </w:r>
      <w:r w:rsidR="00115FCC" w:rsidRPr="003914B6">
        <w:rPr>
          <w:szCs w:val="24"/>
        </w:rPr>
        <w:t>the Australian Safety and Efficacy Register of New Interventional Procedures – Surgical (ASERNIP-S)</w:t>
      </w:r>
      <w:r w:rsidR="00115FCC">
        <w:rPr>
          <w:szCs w:val="24"/>
        </w:rPr>
        <w:t xml:space="preserve"> of </w:t>
      </w:r>
      <w:r w:rsidRPr="00892811">
        <w:t xml:space="preserve">the </w:t>
      </w:r>
      <w:r w:rsidR="002B6978">
        <w:t>available clinical</w:t>
      </w:r>
      <w:r w:rsidR="002B6978" w:rsidRPr="00892811">
        <w:t xml:space="preserve"> </w:t>
      </w:r>
      <w:r w:rsidRPr="00892811">
        <w:t xml:space="preserve">evidence </w:t>
      </w:r>
      <w:r w:rsidR="002B6978">
        <w:t xml:space="preserve">at the time of the assessment </w:t>
      </w:r>
      <w:r w:rsidRPr="00892811">
        <w:t xml:space="preserve">for </w:t>
      </w:r>
      <w:r w:rsidR="009E05E3" w:rsidRPr="00892811">
        <w:t>insertion of colonic stents</w:t>
      </w:r>
      <w:r w:rsidRPr="00892811">
        <w:t xml:space="preserve"> </w:t>
      </w:r>
      <w:r w:rsidR="009E05E3" w:rsidRPr="008978EE">
        <w:t xml:space="preserve">for the management of malignant large bowel obstruction. </w:t>
      </w:r>
    </w:p>
    <w:p w:rsidR="001C3A68" w:rsidRPr="007D5B7C" w:rsidRDefault="001C3A68" w:rsidP="00007456"/>
    <w:p w:rsidR="008F59A8" w:rsidRPr="007D5B7C" w:rsidRDefault="008F59A8" w:rsidP="00964333">
      <w:pPr>
        <w:pStyle w:val="Heading1"/>
      </w:pPr>
      <w:bookmarkStart w:id="55" w:name="_Toc451749500"/>
      <w:bookmarkStart w:id="56" w:name="_Toc214339159"/>
      <w:bookmarkStart w:id="57" w:name="_Toc352924401"/>
      <w:r w:rsidRPr="007D5B7C">
        <w:lastRenderedPageBreak/>
        <w:t>Background</w:t>
      </w:r>
      <w:bookmarkEnd w:id="55"/>
      <w:bookmarkEnd w:id="56"/>
      <w:bookmarkEnd w:id="57"/>
    </w:p>
    <w:p w:rsidR="00C201CE" w:rsidRPr="003A67FE" w:rsidRDefault="00C201CE" w:rsidP="00F85E97">
      <w:bookmarkStart w:id="58" w:name="_Toc188861162"/>
      <w:bookmarkStart w:id="59" w:name="_Toc214339160"/>
      <w:r w:rsidRPr="00960A9E">
        <w:t>Colorectal cancer (ICD-10:C18</w:t>
      </w:r>
      <w:r w:rsidR="00041D22">
        <w:t>-</w:t>
      </w:r>
      <w:r w:rsidRPr="00960A9E">
        <w:t>C20), also known as large bowel cancer, is one of the most common cancers in the world. The large bowel consists of the ascending colon, transverse colon, descending colon, sigmoid colon and rectum. In the</w:t>
      </w:r>
      <w:r w:rsidRPr="00EA2600">
        <w:t xml:space="preserve"> U</w:t>
      </w:r>
      <w:r w:rsidR="00041D22">
        <w:t xml:space="preserve">nited </w:t>
      </w:r>
      <w:r w:rsidRPr="00EA2600">
        <w:t>K</w:t>
      </w:r>
      <w:r w:rsidR="00041D22">
        <w:t>ingdom</w:t>
      </w:r>
      <w:r w:rsidRPr="00EA2600">
        <w:t>, colorectal cancer is the third most common cau</w:t>
      </w:r>
      <w:r w:rsidRPr="00EC591E">
        <w:t xml:space="preserve">se </w:t>
      </w:r>
      <w:r w:rsidR="00041D22">
        <w:t xml:space="preserve">of </w:t>
      </w:r>
      <w:r w:rsidRPr="00EC591E">
        <w:t>deaths</w:t>
      </w:r>
      <w:r w:rsidR="00041D22">
        <w:t xml:space="preserve"> related to cancer</w:t>
      </w:r>
      <w:r w:rsidRPr="00EC591E">
        <w:t xml:space="preserve"> and the Association of Colo-</w:t>
      </w:r>
      <w:r w:rsidR="00041D22">
        <w:t>p</w:t>
      </w:r>
      <w:r w:rsidRPr="00EC591E">
        <w:t>roctology of Great Britain and Ireland states that approximately 100 new cases are diagnosed each day in the U</w:t>
      </w:r>
      <w:r w:rsidR="00041D22">
        <w:t xml:space="preserve">nited </w:t>
      </w:r>
      <w:r w:rsidRPr="00EC591E">
        <w:t>K</w:t>
      </w:r>
      <w:r w:rsidR="00041D22">
        <w:t>ingdom</w:t>
      </w:r>
      <w:r w:rsidRPr="00EC591E">
        <w:t xml:space="preserve"> (ACPGBI 2007). According to the National Institute for Health and Clinical Excellence in the </w:t>
      </w:r>
      <w:r w:rsidRPr="00430AA8">
        <w:t>U</w:t>
      </w:r>
      <w:r w:rsidR="00041D22">
        <w:t xml:space="preserve">nited </w:t>
      </w:r>
      <w:r w:rsidRPr="00430AA8">
        <w:t>K</w:t>
      </w:r>
      <w:r w:rsidR="00041D22">
        <w:t>ingdom</w:t>
      </w:r>
      <w:r w:rsidR="00CD74B4">
        <w:t>,</w:t>
      </w:r>
      <w:r w:rsidRPr="00430AA8">
        <w:t xml:space="preserve"> the five</w:t>
      </w:r>
      <w:r w:rsidR="002E4AD1">
        <w:t>-</w:t>
      </w:r>
      <w:r w:rsidRPr="00430AA8">
        <w:t>year survival rate after diagnosis of colorectal cancer is about 45</w:t>
      </w:r>
      <w:r w:rsidR="00041D22">
        <w:t xml:space="preserve"> per cent, while</w:t>
      </w:r>
      <w:r w:rsidRPr="00430AA8">
        <w:t xml:space="preserve"> the remaining 50</w:t>
      </w:r>
      <w:r w:rsidR="00041D22">
        <w:t xml:space="preserve"> to</w:t>
      </w:r>
      <w:r w:rsidR="00CD74B4">
        <w:t xml:space="preserve"> </w:t>
      </w:r>
      <w:r w:rsidRPr="00430AA8">
        <w:t xml:space="preserve">60 </w:t>
      </w:r>
      <w:r w:rsidR="00041D22">
        <w:t>per cent</w:t>
      </w:r>
      <w:r w:rsidRPr="00430AA8">
        <w:t xml:space="preserve"> of patients eventually</w:t>
      </w:r>
      <w:r w:rsidR="007C4EFF" w:rsidRPr="003A67FE">
        <w:t xml:space="preserve"> </w:t>
      </w:r>
      <w:r w:rsidRPr="003A67FE">
        <w:t>develop metastases (NICE 2004</w:t>
      </w:r>
      <w:r w:rsidR="005435E1">
        <w:t>a</w:t>
      </w:r>
      <w:r w:rsidRPr="003A67FE">
        <w:t xml:space="preserve">; NCCN 2011). </w:t>
      </w:r>
    </w:p>
    <w:p w:rsidR="00C71740" w:rsidRPr="00361416" w:rsidRDefault="00041D22" w:rsidP="00C71740">
      <w:r>
        <w:t>Although there</w:t>
      </w:r>
      <w:r w:rsidRPr="00347DAA">
        <w:t xml:space="preserve"> </w:t>
      </w:r>
      <w:r w:rsidR="00E3500C" w:rsidRPr="00347DAA">
        <w:t>is no definitive cause for the disease</w:t>
      </w:r>
      <w:r>
        <w:t>,</w:t>
      </w:r>
      <w:r w:rsidR="005A4EEB" w:rsidRPr="009672A9">
        <w:t xml:space="preserve"> </w:t>
      </w:r>
      <w:r w:rsidR="00E3500C" w:rsidRPr="00584C29">
        <w:t>a</w:t>
      </w:r>
      <w:r w:rsidR="00C71740" w:rsidRPr="00584C29">
        <w:t xml:space="preserve">pproximately </w:t>
      </w:r>
      <w:r w:rsidR="00C71740" w:rsidRPr="00DA0155">
        <w:t>20</w:t>
      </w:r>
      <w:r>
        <w:t xml:space="preserve"> per cent</w:t>
      </w:r>
      <w:r w:rsidR="00C71740" w:rsidRPr="00DA0155">
        <w:t xml:space="preserve"> of patients diagnosed with colorectal cancer have a familial association. Genetic abnormalities such as Lynch syndrome, hereditary non-polyposis colorectal cancer, familial adenomatous polyposis syndromes, and </w:t>
      </w:r>
      <w:r w:rsidR="00CD74B4" w:rsidRPr="00DA0155">
        <w:t>MYH</w:t>
      </w:r>
      <w:r w:rsidR="00CD74B4">
        <w:t>-</w:t>
      </w:r>
      <w:r w:rsidR="00C71740" w:rsidRPr="00DA0155">
        <w:t>associ</w:t>
      </w:r>
      <w:r w:rsidR="00C71740" w:rsidRPr="00CF31D5">
        <w:t xml:space="preserve">ated polyposis can lead to familial colorectal malignancy (Longmore et al 2004). The disease </w:t>
      </w:r>
      <w:r w:rsidR="00CD74B4">
        <w:t>is also associated with</w:t>
      </w:r>
      <w:r w:rsidR="00C71740" w:rsidRPr="00CF31D5">
        <w:t xml:space="preserve"> risk factors such as previous colonic polyps, diabetes</w:t>
      </w:r>
      <w:r w:rsidR="0076309D" w:rsidRPr="00A550ED">
        <w:t xml:space="preserve"> mellitus, </w:t>
      </w:r>
      <w:r w:rsidR="00CD74B4">
        <w:t xml:space="preserve">an </w:t>
      </w:r>
      <w:r w:rsidR="0076309D" w:rsidRPr="00A550ED">
        <w:t>unbalanced diet (</w:t>
      </w:r>
      <w:r w:rsidR="00CE0D06">
        <w:t>eg</w:t>
      </w:r>
      <w:r w:rsidR="00C71740" w:rsidRPr="0055406F">
        <w:t xml:space="preserve"> red meat, high-fat diet, </w:t>
      </w:r>
      <w:proofErr w:type="gramStart"/>
      <w:r w:rsidR="00C71740" w:rsidRPr="0055406F">
        <w:t>inadequate</w:t>
      </w:r>
      <w:proofErr w:type="gramEnd"/>
      <w:r w:rsidR="00C71740" w:rsidRPr="0055406F">
        <w:t xml:space="preserve"> </w:t>
      </w:r>
      <w:r>
        <w:t xml:space="preserve">fibre </w:t>
      </w:r>
      <w:r w:rsidR="00C71740" w:rsidRPr="0055406F">
        <w:t xml:space="preserve">intake), obesity, sedentary lifestyle, smoking and </w:t>
      </w:r>
      <w:r>
        <w:t>excessive</w:t>
      </w:r>
      <w:r w:rsidRPr="0055406F">
        <w:t xml:space="preserve"> </w:t>
      </w:r>
      <w:r w:rsidR="00C71740" w:rsidRPr="0055406F">
        <w:t xml:space="preserve">consumption of alcohol (Amersi et al 2005). </w:t>
      </w:r>
      <w:r>
        <w:t>Colorectal cancer is also more</w:t>
      </w:r>
      <w:r w:rsidR="00C71740" w:rsidRPr="0055406F">
        <w:t xml:space="preserve"> common</w:t>
      </w:r>
      <w:r>
        <w:t xml:space="preserve"> in </w:t>
      </w:r>
      <w:r w:rsidR="00C71740" w:rsidRPr="0055406F">
        <w:t xml:space="preserve">patients with </w:t>
      </w:r>
      <w:r w:rsidR="00C71740" w:rsidRPr="001949E9">
        <w:t xml:space="preserve">ulcerative colitis </w:t>
      </w:r>
      <w:r w:rsidR="00CD74B4">
        <w:t>or</w:t>
      </w:r>
      <w:r w:rsidR="00CD74B4" w:rsidRPr="001949E9">
        <w:t xml:space="preserve"> </w:t>
      </w:r>
      <w:r>
        <w:t>C</w:t>
      </w:r>
      <w:r w:rsidR="00C71740" w:rsidRPr="001949E9">
        <w:t>rohn's disease (Eaden et al 2001; Itzkowitz and Harpaz 2004;</w:t>
      </w:r>
      <w:r w:rsidR="00C71740" w:rsidRPr="00CD21F6">
        <w:t xml:space="preserve"> </w:t>
      </w:r>
      <w:r w:rsidR="00C71740" w:rsidRPr="00361416">
        <w:t xml:space="preserve">von Roon et al 2007).  </w:t>
      </w:r>
    </w:p>
    <w:p w:rsidR="005A4EEB" w:rsidRPr="008978EE" w:rsidRDefault="00C201CE" w:rsidP="00964333">
      <w:r w:rsidRPr="0086082D">
        <w:t xml:space="preserve">Intestinal obstruction is a common complication and medical emergency among patients </w:t>
      </w:r>
      <w:r w:rsidR="00041D22">
        <w:t>with</w:t>
      </w:r>
      <w:r w:rsidRPr="0086082D">
        <w:t xml:space="preserve"> colorectal cancer.</w:t>
      </w:r>
      <w:r w:rsidR="00E3500C" w:rsidRPr="0072092E">
        <w:t xml:space="preserve"> </w:t>
      </w:r>
      <w:r w:rsidR="00041D22">
        <w:t xml:space="preserve">Obstruction is usually </w:t>
      </w:r>
      <w:r w:rsidR="00E3500C" w:rsidRPr="0072092E">
        <w:t>accompanied by colic</w:t>
      </w:r>
      <w:r w:rsidR="00B17EF2">
        <w:t>,</w:t>
      </w:r>
      <w:r w:rsidR="00E3500C" w:rsidRPr="0052787F">
        <w:t xml:space="preserve"> abdominal pain </w:t>
      </w:r>
      <w:r w:rsidR="00041D22">
        <w:t>and</w:t>
      </w:r>
      <w:r w:rsidR="00E3500C" w:rsidRPr="0052787F">
        <w:t xml:space="preserve"> symptoms such as constipation,</w:t>
      </w:r>
      <w:r w:rsidR="007752A4" w:rsidRPr="00A84480">
        <w:t xml:space="preserve"> </w:t>
      </w:r>
      <w:r w:rsidR="005A4EEB" w:rsidRPr="00186148">
        <w:t>distension</w:t>
      </w:r>
      <w:r w:rsidR="007752A4" w:rsidRPr="00A32225">
        <w:t xml:space="preserve">, </w:t>
      </w:r>
      <w:r w:rsidR="00E3500C" w:rsidRPr="005C214B">
        <w:t>anorexia, nausea and vomiting.</w:t>
      </w:r>
      <w:r w:rsidR="002D19DB" w:rsidRPr="00C27C1E">
        <w:t xml:space="preserve"> </w:t>
      </w:r>
      <w:r w:rsidR="00041D22">
        <w:t>C</w:t>
      </w:r>
      <w:r w:rsidR="004F164A" w:rsidRPr="00C27C1E">
        <w:t>onstipation</w:t>
      </w:r>
      <w:r w:rsidR="002D19DB" w:rsidRPr="00027046">
        <w:t xml:space="preserve"> is absolute if the obstruction is complete</w:t>
      </w:r>
      <w:r w:rsidR="00041D22">
        <w:t>, whereas fl</w:t>
      </w:r>
      <w:r w:rsidR="002D19DB" w:rsidRPr="00027046">
        <w:t>atus or fae</w:t>
      </w:r>
      <w:r w:rsidR="00041D22">
        <w:t>c</w:t>
      </w:r>
      <w:r w:rsidR="004F164A" w:rsidRPr="00027046">
        <w:t>es may pass</w:t>
      </w:r>
      <w:r w:rsidR="00041D22">
        <w:t xml:space="preserve"> when</w:t>
      </w:r>
      <w:r w:rsidR="002D19DB" w:rsidRPr="00027046">
        <w:t xml:space="preserve"> the obstruction is</w:t>
      </w:r>
      <w:r w:rsidR="00041D22">
        <w:t xml:space="preserve"> only</w:t>
      </w:r>
      <w:r w:rsidR="002D19DB" w:rsidRPr="00027046">
        <w:t xml:space="preserve"> partial</w:t>
      </w:r>
      <w:r w:rsidR="005A4EEB" w:rsidRPr="00027046">
        <w:t xml:space="preserve"> or </w:t>
      </w:r>
      <w:r w:rsidR="002D19DB" w:rsidRPr="00027046">
        <w:t>incomplete.</w:t>
      </w:r>
      <w:r w:rsidR="00B002CF" w:rsidRPr="00027046">
        <w:t xml:space="preserve"> If</w:t>
      </w:r>
      <w:r w:rsidR="00041D22">
        <w:t xml:space="preserve"> colonic</w:t>
      </w:r>
      <w:r w:rsidR="00B002CF" w:rsidRPr="00027046">
        <w:t xml:space="preserve"> </w:t>
      </w:r>
      <w:r w:rsidR="003D1B91" w:rsidRPr="00027046">
        <w:t xml:space="preserve">obstruction </w:t>
      </w:r>
      <w:r w:rsidR="003D1B91">
        <w:t>is</w:t>
      </w:r>
      <w:r w:rsidR="00041D22">
        <w:t xml:space="preserve"> not </w:t>
      </w:r>
      <w:r w:rsidR="00CD74B4">
        <w:t>treated</w:t>
      </w:r>
      <w:r w:rsidR="00CD74B4" w:rsidRPr="00027046">
        <w:t xml:space="preserve"> </w:t>
      </w:r>
      <w:r w:rsidR="004F164A" w:rsidRPr="00027046">
        <w:t xml:space="preserve">early, </w:t>
      </w:r>
      <w:r w:rsidR="003D1B91">
        <w:t>it can</w:t>
      </w:r>
      <w:r w:rsidR="00B002CF" w:rsidRPr="00027046">
        <w:t xml:space="preserve"> lead to intestinal strangulation, paralysis, isch</w:t>
      </w:r>
      <w:r w:rsidR="00101567">
        <w:t>a</w:t>
      </w:r>
      <w:r w:rsidR="00B002CF" w:rsidRPr="00027046">
        <w:t>emia, perforation,</w:t>
      </w:r>
      <w:r w:rsidR="00943CCE" w:rsidRPr="00027046">
        <w:t xml:space="preserve"> peritonitis and </w:t>
      </w:r>
      <w:r w:rsidR="008978EE">
        <w:t xml:space="preserve">even </w:t>
      </w:r>
      <w:r w:rsidR="00943CCE" w:rsidRPr="008978EE">
        <w:t>death (</w:t>
      </w:r>
      <w:r w:rsidR="005C55C9">
        <w:t xml:space="preserve">Winslet </w:t>
      </w:r>
      <w:r w:rsidR="005F33E4" w:rsidRPr="008978EE">
        <w:t xml:space="preserve">2004). </w:t>
      </w:r>
    </w:p>
    <w:p w:rsidR="00C201CE" w:rsidRPr="008F42F9" w:rsidRDefault="00C201CE" w:rsidP="00964333">
      <w:r w:rsidRPr="00A30BA9">
        <w:t xml:space="preserve">Cancer is the second most common cause of intestinal obstruction in adults </w:t>
      </w:r>
      <w:r w:rsidR="00101567">
        <w:t>after</w:t>
      </w:r>
      <w:r w:rsidR="00101567" w:rsidRPr="00A30BA9">
        <w:t xml:space="preserve"> </w:t>
      </w:r>
      <w:r w:rsidRPr="00A30BA9">
        <w:t xml:space="preserve">adhesions </w:t>
      </w:r>
      <w:r w:rsidR="00101567">
        <w:t>resulting from</w:t>
      </w:r>
      <w:r w:rsidRPr="00A30BA9">
        <w:t xml:space="preserve"> prior laparoto</w:t>
      </w:r>
      <w:r w:rsidRPr="00A87C52">
        <w:t>my</w:t>
      </w:r>
      <w:r w:rsidR="00CD74B4">
        <w:t>.</w:t>
      </w:r>
      <w:r w:rsidR="00CD74B4" w:rsidRPr="00A87C52">
        <w:t xml:space="preserve"> </w:t>
      </w:r>
      <w:r w:rsidR="00CD74B4">
        <w:t>C</w:t>
      </w:r>
      <w:r w:rsidRPr="00A87C52">
        <w:t xml:space="preserve">olorectal and ovarian cancers are the most common causes of malignant colorectal obstructions (Davis </w:t>
      </w:r>
      <w:r w:rsidR="00101567">
        <w:t>and</w:t>
      </w:r>
      <w:r w:rsidRPr="00A87C52">
        <w:t xml:space="preserve"> Nouneh 2001; Watt et al 2007). Intestinal obstructions may also be caused by non-malignant conditions such as Crohn</w:t>
      </w:r>
      <w:r w:rsidR="00101567">
        <w:t>’s</w:t>
      </w:r>
      <w:r w:rsidRPr="00A87C52">
        <w:t xml:space="preserve"> disease and d</w:t>
      </w:r>
      <w:r w:rsidRPr="00F13A5A">
        <w:t>iverticulitis. The incidence of intestinal obstructions due to primary intestinal malignanc</w:t>
      </w:r>
      <w:r w:rsidR="00101567">
        <w:t>y</w:t>
      </w:r>
      <w:r w:rsidRPr="00F13A5A">
        <w:t xml:space="preserve"> ranges from 10 </w:t>
      </w:r>
      <w:r w:rsidR="00101567">
        <w:t>to</w:t>
      </w:r>
      <w:r w:rsidRPr="00F13A5A">
        <w:t xml:space="preserve"> 28</w:t>
      </w:r>
      <w:r w:rsidR="00101567">
        <w:t xml:space="preserve"> per cent</w:t>
      </w:r>
      <w:r w:rsidRPr="00F13A5A">
        <w:t xml:space="preserve"> (Davis </w:t>
      </w:r>
      <w:r w:rsidR="00101567">
        <w:t>and</w:t>
      </w:r>
      <w:r w:rsidRPr="00F13A5A">
        <w:t xml:space="preserve"> Nouneh 2001; Tilney et al 2007). Mandava et al (1996) stated that about 30</w:t>
      </w:r>
      <w:r w:rsidR="00101567">
        <w:t xml:space="preserve"> per cent</w:t>
      </w:r>
      <w:r w:rsidRPr="00F13A5A">
        <w:t xml:space="preserve"> of </w:t>
      </w:r>
      <w:r w:rsidR="00101567">
        <w:t xml:space="preserve">patients with </w:t>
      </w:r>
      <w:r w:rsidRPr="00F13A5A">
        <w:t>colon cancer and 10</w:t>
      </w:r>
      <w:r w:rsidR="00101567">
        <w:t xml:space="preserve"> per cent</w:t>
      </w:r>
      <w:r w:rsidRPr="00F13A5A">
        <w:t xml:space="preserve"> of</w:t>
      </w:r>
      <w:r w:rsidR="00101567">
        <w:t xml:space="preserve"> patients with </w:t>
      </w:r>
      <w:r w:rsidR="003D1B91">
        <w:t>rectal cancer</w:t>
      </w:r>
      <w:r w:rsidRPr="00E767D0">
        <w:t xml:space="preserve"> present as emergencies and 80</w:t>
      </w:r>
      <w:r w:rsidR="00101567">
        <w:t xml:space="preserve"> per cent</w:t>
      </w:r>
      <w:r w:rsidRPr="00E767D0">
        <w:t xml:space="preserve"> of </w:t>
      </w:r>
      <w:r w:rsidR="00101567">
        <w:t>these</w:t>
      </w:r>
      <w:r w:rsidRPr="00E767D0">
        <w:t xml:space="preserve"> </w:t>
      </w:r>
      <w:r w:rsidR="00963155" w:rsidRPr="00BE3EA8">
        <w:t xml:space="preserve">episodes </w:t>
      </w:r>
      <w:r w:rsidR="00101567">
        <w:t>are</w:t>
      </w:r>
      <w:r w:rsidRPr="00BE3EA8">
        <w:t xml:space="preserve"> related to colorectal obstruction. Xinopoulos et al (2004) </w:t>
      </w:r>
      <w:r w:rsidR="00101567">
        <w:t xml:space="preserve">observed </w:t>
      </w:r>
      <w:r w:rsidRPr="00BE3EA8">
        <w:t>that 10</w:t>
      </w:r>
      <w:r w:rsidR="00101567">
        <w:t xml:space="preserve"> to </w:t>
      </w:r>
      <w:r w:rsidRPr="00BE3EA8">
        <w:t>20</w:t>
      </w:r>
      <w:r w:rsidR="00101567">
        <w:t xml:space="preserve"> per cent</w:t>
      </w:r>
      <w:r w:rsidRPr="00BE3EA8">
        <w:t xml:space="preserve"> of</w:t>
      </w:r>
      <w:r w:rsidR="00963155" w:rsidRPr="00BE3EA8">
        <w:t xml:space="preserve"> patients with</w:t>
      </w:r>
      <w:r w:rsidRPr="00BE3EA8">
        <w:t xml:space="preserve"> colorectal cancer develop partial colonic obstruction</w:t>
      </w:r>
      <w:r w:rsidR="006204F5" w:rsidRPr="00A3741F">
        <w:t>,</w:t>
      </w:r>
      <w:r w:rsidRPr="00F2707B">
        <w:t xml:space="preserve"> </w:t>
      </w:r>
      <w:r w:rsidR="009678DE" w:rsidRPr="00F2707B">
        <w:t xml:space="preserve">and a further </w:t>
      </w:r>
      <w:r w:rsidRPr="008F42F9">
        <w:t>8</w:t>
      </w:r>
      <w:r w:rsidR="00101567">
        <w:t xml:space="preserve"> to </w:t>
      </w:r>
      <w:r w:rsidRPr="008F42F9">
        <w:t>29</w:t>
      </w:r>
      <w:r w:rsidR="00101567">
        <w:t xml:space="preserve"> per cent</w:t>
      </w:r>
      <w:r w:rsidRPr="008F42F9">
        <w:t xml:space="preserve"> </w:t>
      </w:r>
      <w:r w:rsidR="003D1B91">
        <w:t>progress to</w:t>
      </w:r>
      <w:r w:rsidRPr="008F42F9">
        <w:t xml:space="preserve"> complete obstruction. </w:t>
      </w:r>
      <w:r w:rsidR="00101567">
        <w:t>A</w:t>
      </w:r>
      <w:r w:rsidR="00FC7F9A" w:rsidRPr="008F42F9">
        <w:t>t least 70</w:t>
      </w:r>
      <w:r w:rsidR="00101567">
        <w:t xml:space="preserve"> per cent</w:t>
      </w:r>
      <w:r w:rsidR="00FC7F9A" w:rsidRPr="008F42F9">
        <w:t xml:space="preserve"> </w:t>
      </w:r>
      <w:r w:rsidRPr="008F42F9">
        <w:t>of such obstructions</w:t>
      </w:r>
      <w:r w:rsidR="00101567">
        <w:t xml:space="preserve"> occur</w:t>
      </w:r>
      <w:r w:rsidRPr="008F42F9">
        <w:t xml:space="preserve"> in the left side of the colon, </w:t>
      </w:r>
      <w:r w:rsidR="00101567">
        <w:t xml:space="preserve">the </w:t>
      </w:r>
      <w:r w:rsidRPr="008F42F9">
        <w:t>descending colon and the recto-sigmoid region</w:t>
      </w:r>
      <w:r w:rsidR="00101567">
        <w:t>,</w:t>
      </w:r>
      <w:r w:rsidRPr="008F42F9">
        <w:t xml:space="preserve"> making them accessible by </w:t>
      </w:r>
      <w:r w:rsidR="00951485" w:rsidRPr="008F42F9">
        <w:t xml:space="preserve">endoscopic </w:t>
      </w:r>
      <w:r w:rsidRPr="008F42F9">
        <w:t>means (</w:t>
      </w:r>
      <w:r w:rsidR="002E1B61" w:rsidRPr="008F42F9">
        <w:t>Sebastian et al 2004</w:t>
      </w:r>
      <w:r w:rsidRPr="008F42F9">
        <w:t>).</w:t>
      </w:r>
    </w:p>
    <w:p w:rsidR="001C3A68" w:rsidRPr="00325C69" w:rsidRDefault="00C201CE" w:rsidP="00964333">
      <w:pPr>
        <w:pStyle w:val="Heading2"/>
      </w:pPr>
      <w:bookmarkStart w:id="60" w:name="_Toc352924402"/>
      <w:bookmarkEnd w:id="58"/>
      <w:bookmarkEnd w:id="59"/>
      <w:r w:rsidRPr="008F42F9">
        <w:lastRenderedPageBreak/>
        <w:t>Colonic stents</w:t>
      </w:r>
      <w:bookmarkEnd w:id="60"/>
    </w:p>
    <w:p w:rsidR="00AE3DCA" w:rsidRPr="007D5B7C" w:rsidRDefault="00F965A7" w:rsidP="00964333">
      <w:r w:rsidRPr="007D5B7C">
        <w:t xml:space="preserve">The first use of colonic stents was reported in </w:t>
      </w:r>
      <w:r w:rsidR="00FD5031" w:rsidRPr="007D5B7C">
        <w:t>1991</w:t>
      </w:r>
      <w:r w:rsidR="00663117" w:rsidRPr="007D5B7C">
        <w:t xml:space="preserve"> in </w:t>
      </w:r>
      <w:r w:rsidRPr="007D5B7C">
        <w:t>Japan (Dohmoto et al 1991)</w:t>
      </w:r>
      <w:r w:rsidR="00D3705D">
        <w:t xml:space="preserve">, </w:t>
      </w:r>
      <w:r w:rsidR="00CD74B4">
        <w:t xml:space="preserve">and </w:t>
      </w:r>
      <w:r w:rsidR="00D3705D">
        <w:t>co</w:t>
      </w:r>
      <w:r w:rsidR="003D1B91">
        <w:t xml:space="preserve">lonic stents have been used to </w:t>
      </w:r>
      <w:r w:rsidR="00D3705D">
        <w:t>manage</w:t>
      </w:r>
      <w:r w:rsidR="00D3705D" w:rsidRPr="007D5B7C">
        <w:t xml:space="preserve"> colorectal obstruction since the last decade.</w:t>
      </w:r>
    </w:p>
    <w:p w:rsidR="00FC65B4" w:rsidRPr="0052787F" w:rsidRDefault="004B132B" w:rsidP="00F41970">
      <w:r w:rsidRPr="00960A9E">
        <w:t xml:space="preserve">Colonic stents </w:t>
      </w:r>
      <w:r w:rsidR="00F41970" w:rsidRPr="00EA2600">
        <w:t>are</w:t>
      </w:r>
      <w:r w:rsidRPr="00EA2600">
        <w:t xml:space="preserve"> classified as metallic or non-</w:t>
      </w:r>
      <w:r w:rsidR="004003A3" w:rsidRPr="00EA2600">
        <w:t>metallic (</w:t>
      </w:r>
      <w:r w:rsidR="00CE0D06">
        <w:t>eg</w:t>
      </w:r>
      <w:r w:rsidR="00943CCE" w:rsidRPr="00EA2600">
        <w:t xml:space="preserve"> plastic stents)</w:t>
      </w:r>
      <w:r w:rsidRPr="00EA2600">
        <w:t xml:space="preserve">. </w:t>
      </w:r>
      <w:r w:rsidR="00D3705D">
        <w:t>Generally, i</w:t>
      </w:r>
      <w:r w:rsidRPr="00EA2600">
        <w:t>n Australia</w:t>
      </w:r>
      <w:r w:rsidR="00F35DC9" w:rsidRPr="00EC591E">
        <w:t xml:space="preserve"> only metallic stents are used, </w:t>
      </w:r>
      <w:r w:rsidR="00523434" w:rsidRPr="00EC591E">
        <w:t>particularly</w:t>
      </w:r>
      <w:r w:rsidR="00F35DC9" w:rsidRPr="00430AA8">
        <w:t xml:space="preserve"> the </w:t>
      </w:r>
      <w:r w:rsidR="006204F5" w:rsidRPr="003A67FE">
        <w:t>s</w:t>
      </w:r>
      <w:r w:rsidR="00F35DC9" w:rsidRPr="003A67FE">
        <w:t>elf-expanding metallic stent (SEMS). SEMS</w:t>
      </w:r>
      <w:r w:rsidRPr="00347DAA">
        <w:t xml:space="preserve"> </w:t>
      </w:r>
      <w:r w:rsidR="00D3705D">
        <w:t xml:space="preserve">are expandable metal mesh tubes. Different types of metals or alloys are used, which </w:t>
      </w:r>
      <w:r w:rsidRPr="00347DAA">
        <w:t>can be</w:t>
      </w:r>
      <w:r w:rsidR="00D3705D">
        <w:t xml:space="preserve"> either</w:t>
      </w:r>
      <w:r w:rsidRPr="00347DAA">
        <w:t xml:space="preserve"> covered or uncovered. </w:t>
      </w:r>
      <w:r w:rsidR="00D3705D">
        <w:t>Covered SEMS are fully or partially covered with c</w:t>
      </w:r>
      <w:r w:rsidR="001C307C" w:rsidRPr="009672A9">
        <w:t>hemical compounds such as polyethylene</w:t>
      </w:r>
      <w:r w:rsidR="00F41970" w:rsidRPr="00584C29">
        <w:t>, polytetrafluoroethylene</w:t>
      </w:r>
      <w:r w:rsidR="001C307C" w:rsidRPr="00584C29">
        <w:t xml:space="preserve"> and polyurethane</w:t>
      </w:r>
      <w:r w:rsidR="00D3705D">
        <w:t xml:space="preserve"> </w:t>
      </w:r>
      <w:r w:rsidR="007B4B44" w:rsidRPr="0055406F">
        <w:t>(</w:t>
      </w:r>
      <w:r w:rsidR="00F41970" w:rsidRPr="0055406F">
        <w:t>Park et al 2010</w:t>
      </w:r>
      <w:r w:rsidR="00D3705D">
        <w:t>;</w:t>
      </w:r>
      <w:r w:rsidR="00F41970" w:rsidRPr="0055406F">
        <w:t xml:space="preserve"> </w:t>
      </w:r>
      <w:r w:rsidR="00D06AF9">
        <w:t>Repici</w:t>
      </w:r>
      <w:r w:rsidR="00D06AF9" w:rsidRPr="0055406F">
        <w:t xml:space="preserve"> </w:t>
      </w:r>
      <w:r w:rsidR="00F41970" w:rsidRPr="0055406F">
        <w:t>et al 200</w:t>
      </w:r>
      <w:r w:rsidR="005435E1">
        <w:t>0</w:t>
      </w:r>
      <w:r w:rsidR="00256A0B">
        <w:t>)</w:t>
      </w:r>
      <w:r w:rsidR="001C307C" w:rsidRPr="0055406F">
        <w:t>.</w:t>
      </w:r>
      <w:r w:rsidR="00CD74B4">
        <w:t xml:space="preserve"> </w:t>
      </w:r>
      <w:r w:rsidR="00D3705D">
        <w:t>T</w:t>
      </w:r>
      <w:r w:rsidRPr="001949E9">
        <w:t xml:space="preserve">he majority of stents used in Australia are of the uncovered type.  </w:t>
      </w:r>
    </w:p>
    <w:p w:rsidR="00C201CE" w:rsidRPr="0055406F" w:rsidRDefault="00C201CE" w:rsidP="00964333">
      <w:r w:rsidRPr="00A84480">
        <w:t>Stent migration, obs</w:t>
      </w:r>
      <w:r w:rsidRPr="00186148">
        <w:t xml:space="preserve">truction, tissue ingrowth and bowel perforation are adverse events </w:t>
      </w:r>
      <w:r w:rsidR="00317666">
        <w:t>that</w:t>
      </w:r>
      <w:r w:rsidRPr="00186148">
        <w:t xml:space="preserve"> may be associated with stent deployment. According to expert clinician input</w:t>
      </w:r>
      <w:r w:rsidR="00CD74B4">
        <w:t>,</w:t>
      </w:r>
      <w:r w:rsidRPr="00186148">
        <w:t xml:space="preserve"> uncovered SEMS may reduce </w:t>
      </w:r>
      <w:r w:rsidR="00D06AF9">
        <w:t>post-operative</w:t>
      </w:r>
      <w:r w:rsidRPr="00186148">
        <w:t xml:space="preserve"> complications</w:t>
      </w:r>
      <w:r w:rsidR="00317666">
        <w:t>,</w:t>
      </w:r>
      <w:r w:rsidRPr="00186148">
        <w:t xml:space="preserve"> s</w:t>
      </w:r>
      <w:r w:rsidRPr="00A32225">
        <w:t>uch as tissue reactions</w:t>
      </w:r>
      <w:r w:rsidR="00CD74B4">
        <w:t>,</w:t>
      </w:r>
      <w:r w:rsidR="00317666">
        <w:t xml:space="preserve"> and therefore</w:t>
      </w:r>
      <w:r w:rsidRPr="00A32225">
        <w:t xml:space="preserve"> minimis</w:t>
      </w:r>
      <w:r w:rsidR="00317666">
        <w:t>e</w:t>
      </w:r>
      <w:r w:rsidRPr="00A32225">
        <w:t xml:space="preserve"> the risk of stent migration</w:t>
      </w:r>
      <w:r w:rsidR="00317666">
        <w:t>.</w:t>
      </w:r>
      <w:r w:rsidRPr="00A32225">
        <w:t xml:space="preserve"> </w:t>
      </w:r>
      <w:r w:rsidR="00317666">
        <w:t xml:space="preserve">In contrast, tissue </w:t>
      </w:r>
      <w:r w:rsidRPr="00A32225">
        <w:t xml:space="preserve">granulation </w:t>
      </w:r>
      <w:r w:rsidR="00317666">
        <w:t xml:space="preserve">and </w:t>
      </w:r>
      <w:r w:rsidRPr="00A32225">
        <w:t>tumour ingrowth may be less common with covered SEMS</w:t>
      </w:r>
      <w:r w:rsidR="0055406F">
        <w:t xml:space="preserve"> </w:t>
      </w:r>
      <w:r w:rsidR="009C302E" w:rsidRPr="0055406F">
        <w:t>(Watt et al 2007)</w:t>
      </w:r>
      <w:r w:rsidRPr="0055406F">
        <w:t xml:space="preserve">.  </w:t>
      </w:r>
    </w:p>
    <w:p w:rsidR="004B132B" w:rsidRPr="00361416" w:rsidRDefault="00CD74B4" w:rsidP="00964333">
      <w:r>
        <w:t>Recently, a</w:t>
      </w:r>
      <w:r w:rsidR="004B132B" w:rsidRPr="001949E9">
        <w:t xml:space="preserve">bsorbable stents are </w:t>
      </w:r>
      <w:r>
        <w:t>being</w:t>
      </w:r>
      <w:r w:rsidR="004B132B" w:rsidRPr="001949E9">
        <w:t xml:space="preserve"> used for colonic indications. These have the benefit of reduced migration </w:t>
      </w:r>
      <w:r w:rsidR="00317666">
        <w:t>because</w:t>
      </w:r>
      <w:r w:rsidR="004B132B" w:rsidRPr="001949E9">
        <w:t xml:space="preserve"> they are absorbed within approximately one month</w:t>
      </w:r>
      <w:r w:rsidR="00317666">
        <w:t xml:space="preserve"> of insertion</w:t>
      </w:r>
      <w:r w:rsidR="00260809" w:rsidRPr="00CD21F6">
        <w:t xml:space="preserve"> (McLoughlin and Byrne 2008)</w:t>
      </w:r>
      <w:r w:rsidR="004B132B" w:rsidRPr="00361416">
        <w:t>.</w:t>
      </w:r>
    </w:p>
    <w:p w:rsidR="004F3970" w:rsidRPr="0086082D" w:rsidRDefault="004F3970" w:rsidP="00964333">
      <w:pPr>
        <w:pStyle w:val="Heading2"/>
      </w:pPr>
      <w:bookmarkStart w:id="61" w:name="_Toc214339161"/>
      <w:bookmarkStart w:id="62" w:name="_Toc352924403"/>
      <w:r w:rsidRPr="0086082D">
        <w:t>The procedure</w:t>
      </w:r>
      <w:bookmarkEnd w:id="61"/>
      <w:bookmarkEnd w:id="62"/>
    </w:p>
    <w:p w:rsidR="003241B5" w:rsidRPr="00A84480" w:rsidRDefault="00317666" w:rsidP="00964333">
      <w:r>
        <w:t>Firstly, a</w:t>
      </w:r>
      <w:r w:rsidR="003241B5" w:rsidRPr="0072092E">
        <w:t xml:space="preserve"> clinical diagnosis of bowel obstruction </w:t>
      </w:r>
      <w:r>
        <w:t>should</w:t>
      </w:r>
      <w:r w:rsidR="003241B5" w:rsidRPr="0072092E">
        <w:t xml:space="preserve"> be confirmed by either</w:t>
      </w:r>
      <w:r>
        <w:t xml:space="preserve"> a</w:t>
      </w:r>
      <w:r w:rsidR="003241B5" w:rsidRPr="0072092E">
        <w:t xml:space="preserve"> </w:t>
      </w:r>
      <w:r w:rsidR="006204F5" w:rsidRPr="0072092E">
        <w:t>computed tomography</w:t>
      </w:r>
      <w:r w:rsidR="003241B5" w:rsidRPr="0099516A">
        <w:t xml:space="preserve"> scan or an abdominal radiograph. </w:t>
      </w:r>
      <w:r>
        <w:t>Contrast enema or endoscopic examination</w:t>
      </w:r>
      <w:r w:rsidRPr="00A84480">
        <w:t xml:space="preserve"> (sigmoidoscopy) may be useful </w:t>
      </w:r>
      <w:r>
        <w:t>for e</w:t>
      </w:r>
      <w:r w:rsidR="003241B5" w:rsidRPr="0099516A">
        <w:t>xcluding pseudo-obstruction</w:t>
      </w:r>
      <w:r>
        <w:t>.</w:t>
      </w:r>
      <w:r w:rsidR="003241B5" w:rsidRPr="0099516A">
        <w:t xml:space="preserve"> </w:t>
      </w:r>
    </w:p>
    <w:p w:rsidR="00C25154" w:rsidRPr="00BB3C05" w:rsidRDefault="003F27C1" w:rsidP="00C25154">
      <w:r w:rsidRPr="00186148">
        <w:t xml:space="preserve">Once </w:t>
      </w:r>
      <w:r w:rsidR="00317666">
        <w:t>bowel obstruction</w:t>
      </w:r>
      <w:r w:rsidRPr="00186148">
        <w:t xml:space="preserve"> is confirmed</w:t>
      </w:r>
      <w:r w:rsidR="00A90409" w:rsidRPr="00A32225">
        <w:t xml:space="preserve">, </w:t>
      </w:r>
      <w:r w:rsidR="00317666">
        <w:t>the bowel is prepared using rectal cleansing enemas</w:t>
      </w:r>
      <w:r w:rsidR="00A90409" w:rsidRPr="00532070">
        <w:t>, esp</w:t>
      </w:r>
      <w:r w:rsidR="00A90409" w:rsidRPr="00C27C1E">
        <w:t xml:space="preserve">ecially </w:t>
      </w:r>
      <w:r w:rsidR="001F0B51" w:rsidRPr="00C27C1E">
        <w:t>if</w:t>
      </w:r>
      <w:r w:rsidR="00A90409" w:rsidRPr="00027046">
        <w:t xml:space="preserve"> the obstruction is complete and no bowel movement </w:t>
      </w:r>
      <w:r w:rsidR="00317666">
        <w:t xml:space="preserve">has been </w:t>
      </w:r>
      <w:r w:rsidR="00A90409" w:rsidRPr="00027046">
        <w:t xml:space="preserve">recorded </w:t>
      </w:r>
      <w:r w:rsidR="003D1B91">
        <w:t xml:space="preserve">in the </w:t>
      </w:r>
      <w:r w:rsidR="00317666">
        <w:t xml:space="preserve">previous </w:t>
      </w:r>
      <w:r w:rsidR="00A90409" w:rsidRPr="00EA5A32">
        <w:t xml:space="preserve">few days. </w:t>
      </w:r>
      <w:r w:rsidR="00317666">
        <w:t>I</w:t>
      </w:r>
      <w:r w:rsidR="00A90409" w:rsidRPr="00083501">
        <w:t xml:space="preserve">n </w:t>
      </w:r>
      <w:r w:rsidR="00317666">
        <w:t xml:space="preserve">cases </w:t>
      </w:r>
      <w:r w:rsidR="003C1D4E">
        <w:t>of</w:t>
      </w:r>
      <w:r w:rsidR="003C1D4E" w:rsidRPr="00BD7D49">
        <w:t xml:space="preserve"> </w:t>
      </w:r>
      <w:r w:rsidR="000D12A1" w:rsidRPr="00BD7D49">
        <w:t>incomplete distal obstruc</w:t>
      </w:r>
      <w:r w:rsidR="000D12A1" w:rsidRPr="00367FF6">
        <w:t>tion,</w:t>
      </w:r>
      <w:r w:rsidR="00A90409" w:rsidRPr="00367FF6">
        <w:t xml:space="preserve"> </w:t>
      </w:r>
      <w:r w:rsidR="00317666">
        <w:t xml:space="preserve">bowel </w:t>
      </w:r>
      <w:r w:rsidR="00A90409" w:rsidRPr="00367FF6">
        <w:t xml:space="preserve">preparation </w:t>
      </w:r>
      <w:r w:rsidR="00317666">
        <w:t>can</w:t>
      </w:r>
      <w:r w:rsidR="00317666" w:rsidRPr="00367FF6">
        <w:t xml:space="preserve"> </w:t>
      </w:r>
      <w:r w:rsidR="00A90409" w:rsidRPr="00367FF6">
        <w:t xml:space="preserve">be </w:t>
      </w:r>
      <w:r w:rsidR="00317666">
        <w:t>achieved</w:t>
      </w:r>
      <w:r w:rsidR="00317666" w:rsidRPr="00367FF6">
        <w:t xml:space="preserve"> </w:t>
      </w:r>
      <w:r w:rsidR="00A90409" w:rsidRPr="00367FF6">
        <w:t>by</w:t>
      </w:r>
      <w:r w:rsidR="003C1D4E">
        <w:t xml:space="preserve"> oral</w:t>
      </w:r>
      <w:r w:rsidR="00A90409" w:rsidRPr="00367FF6">
        <w:t xml:space="preserve"> </w:t>
      </w:r>
      <w:r w:rsidR="003C1D4E" w:rsidRPr="00367FF6">
        <w:t>administrati</w:t>
      </w:r>
      <w:r w:rsidR="003C1D4E">
        <w:t>on</w:t>
      </w:r>
      <w:r w:rsidR="003C1D4E" w:rsidRPr="00367FF6">
        <w:t xml:space="preserve"> </w:t>
      </w:r>
      <w:r w:rsidR="003C1D4E">
        <w:t xml:space="preserve">of </w:t>
      </w:r>
      <w:r w:rsidR="00A90409" w:rsidRPr="00367FF6">
        <w:t>polyethylene glycol</w:t>
      </w:r>
      <w:r w:rsidR="00F25BA0" w:rsidRPr="00367FF6">
        <w:t xml:space="preserve"> (Cho et al 2011; Garcia-Cano et al 2006)</w:t>
      </w:r>
      <w:r w:rsidR="00A90409" w:rsidRPr="00C71844">
        <w:t xml:space="preserve">. </w:t>
      </w:r>
      <w:r w:rsidR="00317666">
        <w:t>Administration of p</w:t>
      </w:r>
      <w:r w:rsidR="000D12A1" w:rsidRPr="00C71844">
        <w:t xml:space="preserve">rophylactic antibiotics </w:t>
      </w:r>
      <w:r w:rsidR="00317666">
        <w:t xml:space="preserve">is </w:t>
      </w:r>
      <w:r w:rsidR="000D12A1" w:rsidRPr="00C71844">
        <w:t>recommended when the obstruction is complete and sever</w:t>
      </w:r>
      <w:r w:rsidR="00317666">
        <w:t>e</w:t>
      </w:r>
      <w:r w:rsidR="000D12A1" w:rsidRPr="00C71844">
        <w:t xml:space="preserve">, </w:t>
      </w:r>
      <w:r w:rsidR="003D1B91" w:rsidRPr="00C71844">
        <w:t>because</w:t>
      </w:r>
      <w:r w:rsidR="003D1B91">
        <w:t xml:space="preserve"> </w:t>
      </w:r>
      <w:r w:rsidR="009D3E3F">
        <w:t>‘</w:t>
      </w:r>
      <w:r w:rsidR="000D12A1" w:rsidRPr="00C71844">
        <w:t>the introduction of air during the pr</w:t>
      </w:r>
      <w:r w:rsidR="000D12A1" w:rsidRPr="001166E9">
        <w:t xml:space="preserve">ocedure may lead to </w:t>
      </w:r>
      <w:r w:rsidR="003C1D4E" w:rsidRPr="001166E9">
        <w:t>micro</w:t>
      </w:r>
      <w:r w:rsidR="003C1D4E">
        <w:t>-</w:t>
      </w:r>
      <w:r w:rsidR="000D12A1" w:rsidRPr="001166E9">
        <w:t>perforation and bacter</w:t>
      </w:r>
      <w:r w:rsidR="00317666">
        <w:t>a</w:t>
      </w:r>
      <w:r w:rsidR="000D12A1" w:rsidRPr="001166E9">
        <w:t>emia</w:t>
      </w:r>
      <w:r w:rsidR="009D3E3F">
        <w:t>’</w:t>
      </w:r>
      <w:r w:rsidR="005B0E0D" w:rsidRPr="001166E9">
        <w:t xml:space="preserve"> (Reza et al 2009</w:t>
      </w:r>
      <w:r w:rsidR="000D12A1" w:rsidRPr="001166E9">
        <w:t>)</w:t>
      </w:r>
      <w:r w:rsidR="00C25154" w:rsidRPr="00BB3C05">
        <w:t xml:space="preserve">. </w:t>
      </w:r>
    </w:p>
    <w:p w:rsidR="000D1026" w:rsidRPr="008978EE" w:rsidRDefault="00C25154" w:rsidP="000D1026">
      <w:r w:rsidRPr="00BB3C05">
        <w:t>S</w:t>
      </w:r>
      <w:r w:rsidR="003241B5" w:rsidRPr="00BB3C05">
        <w:t>tent</w:t>
      </w:r>
      <w:r w:rsidR="00317666">
        <w:t xml:space="preserve">s are deployed </w:t>
      </w:r>
      <w:r w:rsidR="003C1D4E">
        <w:t>with a delivery catheter or wire that is positioned using</w:t>
      </w:r>
      <w:r w:rsidR="003241B5" w:rsidRPr="00BB3C05">
        <w:t xml:space="preserve"> fluoroscopic</w:t>
      </w:r>
      <w:r w:rsidR="003C1D4E">
        <w:t xml:space="preserve"> or endoscopic</w:t>
      </w:r>
      <w:r w:rsidR="003241B5" w:rsidRPr="00BB3C05">
        <w:t xml:space="preserve"> </w:t>
      </w:r>
      <w:r w:rsidR="00317666">
        <w:t>visualisation techniques</w:t>
      </w:r>
      <w:r w:rsidR="00714E49">
        <w:t>,</w:t>
      </w:r>
      <w:r w:rsidRPr="00BB3C05">
        <w:t xml:space="preserve"> </w:t>
      </w:r>
      <w:r w:rsidR="003241B5" w:rsidRPr="00BB3C05">
        <w:t>or both (</w:t>
      </w:r>
      <w:r w:rsidR="00714E49" w:rsidRPr="00BB3C05">
        <w:t>Boorman et al 1999</w:t>
      </w:r>
      <w:r w:rsidR="00714E49">
        <w:t xml:space="preserve">; </w:t>
      </w:r>
      <w:r w:rsidR="00714E49" w:rsidRPr="00BB3C05">
        <w:t>Camunez et al 2000</w:t>
      </w:r>
      <w:r w:rsidR="00714E49">
        <w:t xml:space="preserve">; </w:t>
      </w:r>
      <w:r w:rsidR="003241B5" w:rsidRPr="00BB3C05">
        <w:t>Liberman et al 2000;</w:t>
      </w:r>
      <w:r w:rsidRPr="00BB3C05">
        <w:t xml:space="preserve"> </w:t>
      </w:r>
      <w:r w:rsidR="003241B5" w:rsidRPr="00BB3C05">
        <w:t xml:space="preserve">Saida 1996). </w:t>
      </w:r>
      <w:r w:rsidR="00714E49">
        <w:t xml:space="preserve">Radial force causes the </w:t>
      </w:r>
      <w:r w:rsidR="0023432D">
        <w:t xml:space="preserve">stent </w:t>
      </w:r>
      <w:r w:rsidR="00714E49">
        <w:t xml:space="preserve">to </w:t>
      </w:r>
      <w:r w:rsidR="0023432D">
        <w:t xml:space="preserve">self </w:t>
      </w:r>
      <w:r w:rsidR="00714E49">
        <w:t>expand once it is released (Small and Baron 2008; Watt et al 2007). Two</w:t>
      </w:r>
      <w:r w:rsidR="000D1026" w:rsidRPr="00BB3C05">
        <w:t xml:space="preserve"> methods</w:t>
      </w:r>
      <w:r w:rsidRPr="00BB3C05">
        <w:t xml:space="preserve"> </w:t>
      </w:r>
      <w:r w:rsidR="00714E49">
        <w:t xml:space="preserve">of </w:t>
      </w:r>
      <w:r w:rsidRPr="00BB3C05">
        <w:t xml:space="preserve">stent deployment are </w:t>
      </w:r>
      <w:r w:rsidR="00714E49">
        <w:t>used:</w:t>
      </w:r>
      <w:r w:rsidRPr="00BB3C05">
        <w:t xml:space="preserve"> through the scope and over the wire</w:t>
      </w:r>
      <w:r w:rsidR="00714E49">
        <w:t>. The through the scope method is used in less severe cases of obstruction, whereas the over the wire technique is used, often with fluoroscopic guidance, for severe lesions that do not permit the passage of an endoscope</w:t>
      </w:r>
      <w:r w:rsidRPr="008978EE">
        <w:t xml:space="preserve"> (Reza et al 2009). </w:t>
      </w:r>
    </w:p>
    <w:p w:rsidR="00D744B7" w:rsidRPr="007D5B7C" w:rsidRDefault="00714E49" w:rsidP="001643E4">
      <w:r>
        <w:t>M</w:t>
      </w:r>
      <w:r w:rsidR="004003A3" w:rsidRPr="00A87C52">
        <w:t>anual</w:t>
      </w:r>
      <w:r w:rsidR="00C25154" w:rsidRPr="00A87C52">
        <w:t xml:space="preserve"> dilation of the colon </w:t>
      </w:r>
      <w:r>
        <w:t xml:space="preserve">using a balloon dilator may be required to facilitate </w:t>
      </w:r>
      <w:r w:rsidR="00960FD6" w:rsidRPr="00F2707B">
        <w:t xml:space="preserve">stent deployment when the </w:t>
      </w:r>
      <w:r w:rsidR="000D4E88">
        <w:t>lesion does</w:t>
      </w:r>
      <w:r w:rsidR="00960FD6" w:rsidRPr="00F2707B">
        <w:t xml:space="preserve"> not allow passage of</w:t>
      </w:r>
      <w:r w:rsidR="000D4E88">
        <w:t xml:space="preserve"> the</w:t>
      </w:r>
      <w:r w:rsidR="00960FD6" w:rsidRPr="00F2707B">
        <w:t xml:space="preserve"> </w:t>
      </w:r>
      <w:r w:rsidR="0023432D">
        <w:t>stent deployment</w:t>
      </w:r>
      <w:r w:rsidR="00960FD6" w:rsidRPr="00F2707B">
        <w:t xml:space="preserve"> system or adequate st</w:t>
      </w:r>
      <w:r w:rsidR="003D1B91">
        <w:t>ent expansion immediately after</w:t>
      </w:r>
      <w:r w:rsidR="00960FD6" w:rsidRPr="00F2707B">
        <w:t xml:space="preserve"> placement (</w:t>
      </w:r>
      <w:r w:rsidR="000D4E88">
        <w:t xml:space="preserve">Jost et al 2007; </w:t>
      </w:r>
      <w:r w:rsidR="00785AD7">
        <w:t>Small and Baron</w:t>
      </w:r>
      <w:r w:rsidR="00960FD6" w:rsidRPr="008F42F9">
        <w:t xml:space="preserve"> </w:t>
      </w:r>
      <w:r w:rsidR="00FB0907">
        <w:t>2008</w:t>
      </w:r>
      <w:r w:rsidR="00960FD6" w:rsidRPr="008F42F9">
        <w:t xml:space="preserve">). </w:t>
      </w:r>
      <w:r w:rsidR="000D4E88">
        <w:t xml:space="preserve">However, </w:t>
      </w:r>
      <w:r w:rsidR="00C25154" w:rsidRPr="008F42F9">
        <w:t xml:space="preserve">peri-interventional dilation </w:t>
      </w:r>
      <w:r w:rsidR="000D4E88">
        <w:t>may be</w:t>
      </w:r>
      <w:r w:rsidR="000D4E88" w:rsidRPr="008F42F9">
        <w:t xml:space="preserve"> </w:t>
      </w:r>
      <w:r w:rsidR="00C25154" w:rsidRPr="008F42F9">
        <w:t xml:space="preserve">associated with </w:t>
      </w:r>
      <w:r w:rsidR="000D4E88">
        <w:t>an increased risk of</w:t>
      </w:r>
      <w:r w:rsidR="00C25154" w:rsidRPr="008F42F9">
        <w:t xml:space="preserve"> bowel perforation (</w:t>
      </w:r>
      <w:r w:rsidR="00960FD6" w:rsidRPr="008F42F9">
        <w:t xml:space="preserve">Garcia Cano et al 2006; </w:t>
      </w:r>
      <w:r w:rsidR="000D4E88">
        <w:t xml:space="preserve">Khot et al 2002; </w:t>
      </w:r>
      <w:r w:rsidR="00C25154" w:rsidRPr="008F42F9">
        <w:t>Sebasti</w:t>
      </w:r>
      <w:r w:rsidR="00C25154" w:rsidRPr="00325C69">
        <w:t>a</w:t>
      </w:r>
      <w:r w:rsidR="00FB0907">
        <w:t>n</w:t>
      </w:r>
      <w:r w:rsidR="00C25154" w:rsidRPr="00325C69">
        <w:t xml:space="preserve"> et al 2004)</w:t>
      </w:r>
      <w:r w:rsidR="001643E4" w:rsidRPr="007D5B7C">
        <w:t>.</w:t>
      </w:r>
    </w:p>
    <w:p w:rsidR="00DC4DB1" w:rsidRDefault="003241B5" w:rsidP="00964333">
      <w:r w:rsidRPr="007D5B7C">
        <w:lastRenderedPageBreak/>
        <w:t xml:space="preserve">Stenting of malignant colonic strictures is a minimally invasive endoscopic procedure </w:t>
      </w:r>
      <w:r w:rsidR="000D4E88">
        <w:t xml:space="preserve">that does not </w:t>
      </w:r>
      <w:r w:rsidRPr="007D5B7C">
        <w:t>requir</w:t>
      </w:r>
      <w:r w:rsidR="000D4E88">
        <w:t>e an</w:t>
      </w:r>
      <w:r w:rsidRPr="007D5B7C">
        <w:t xml:space="preserve"> incision.</w:t>
      </w:r>
      <w:r w:rsidR="000D4E88">
        <w:t xml:space="preserve"> Usually, </w:t>
      </w:r>
      <w:r w:rsidR="003D1B91">
        <w:t>colorectal stenting is</w:t>
      </w:r>
      <w:r w:rsidRPr="007D5B7C">
        <w:t xml:space="preserve"> carried out under conscious sedation without general anaesthesia</w:t>
      </w:r>
      <w:r w:rsidR="000D4E88">
        <w:t xml:space="preserve"> and takes between 30 and 90 minutes</w:t>
      </w:r>
      <w:r w:rsidRPr="007D5B7C">
        <w:t xml:space="preserve"> (Watt et al 2007). Stent insertion </w:t>
      </w:r>
      <w:r w:rsidR="000D4E88">
        <w:t xml:space="preserve">is not </w:t>
      </w:r>
      <w:r w:rsidRPr="007D5B7C">
        <w:t>suitable for obstructions of the most proximal large bowel</w:t>
      </w:r>
      <w:r w:rsidR="000D4E88">
        <w:t>. D</w:t>
      </w:r>
      <w:r w:rsidRPr="007D5B7C">
        <w:t>eployment of the stent</w:t>
      </w:r>
      <w:r w:rsidR="000D4E88">
        <w:t>s</w:t>
      </w:r>
      <w:r w:rsidRPr="007D5B7C">
        <w:t xml:space="preserve"> in </w:t>
      </w:r>
      <w:r w:rsidR="000D4E88">
        <w:t>other</w:t>
      </w:r>
      <w:r w:rsidRPr="007D5B7C">
        <w:t xml:space="preserve"> parts of the colon is </w:t>
      </w:r>
      <w:r w:rsidR="000D4E88">
        <w:t xml:space="preserve">usually </w:t>
      </w:r>
      <w:r w:rsidRPr="007D5B7C">
        <w:t>performed at hospitals equipped with r</w:t>
      </w:r>
      <w:r w:rsidRPr="00960A9E">
        <w:t xml:space="preserve">esources </w:t>
      </w:r>
      <w:r w:rsidR="0023432D">
        <w:t>for</w:t>
      </w:r>
      <w:r w:rsidR="0023432D" w:rsidRPr="00960A9E">
        <w:t xml:space="preserve"> </w:t>
      </w:r>
      <w:r w:rsidRPr="00960A9E">
        <w:t xml:space="preserve">managing bowel obstructions. </w:t>
      </w:r>
      <w:r w:rsidR="00DC4DB1">
        <w:t>In Australia, the</w:t>
      </w:r>
      <w:r w:rsidRPr="00960A9E">
        <w:t xml:space="preserve"> procedure is undertaken by a colorectal surgeon or gastroenterologist approp</w:t>
      </w:r>
      <w:r w:rsidRPr="00EA2600">
        <w:t xml:space="preserve">riately trained and certified by the Conjoint Committee for Recognition of Training in Gastrointestinal Endoscopy . </w:t>
      </w:r>
      <w:r w:rsidR="00DC4DB1" w:rsidRPr="00960A9E">
        <w:t xml:space="preserve">Thus, </w:t>
      </w:r>
      <w:r w:rsidR="00DC4DB1">
        <w:t xml:space="preserve">colonic stenting should only </w:t>
      </w:r>
      <w:r w:rsidR="003D1B91">
        <w:t>occur</w:t>
      </w:r>
      <w:r w:rsidR="00DC4DB1">
        <w:t xml:space="preserve"> in </w:t>
      </w:r>
      <w:r w:rsidR="00DC4DB1" w:rsidRPr="00960A9E">
        <w:t>facilities with appropriately trained endoscopists, operating theatres, anaesthetists and radiology services.</w:t>
      </w:r>
    </w:p>
    <w:p w:rsidR="003241B5" w:rsidRPr="003A67FE" w:rsidRDefault="00511134" w:rsidP="00964333">
      <w:r>
        <w:t>The</w:t>
      </w:r>
      <w:r w:rsidR="00FB0907">
        <w:t xml:space="preserve"> </w:t>
      </w:r>
      <w:r w:rsidR="003241B5" w:rsidRPr="00EA2600">
        <w:t>SEMS require</w:t>
      </w:r>
      <w:r w:rsidR="00FB0907">
        <w:t>s</w:t>
      </w:r>
      <w:r w:rsidR="003241B5" w:rsidRPr="00EA2600">
        <w:t xml:space="preserve"> an obstruction to hold </w:t>
      </w:r>
      <w:r w:rsidR="00FB0907">
        <w:t>it</w:t>
      </w:r>
      <w:r w:rsidR="00FB0907" w:rsidRPr="00EA2600">
        <w:t xml:space="preserve"> </w:t>
      </w:r>
      <w:r w:rsidR="003241B5" w:rsidRPr="00EA2600">
        <w:t>in place; if the obstruction becomes reduced as a result of medical ma</w:t>
      </w:r>
      <w:r w:rsidR="003241B5" w:rsidRPr="00EC591E">
        <w:t>nagement</w:t>
      </w:r>
      <w:r w:rsidR="006204F5" w:rsidRPr="00EC591E">
        <w:t>,</w:t>
      </w:r>
      <w:r w:rsidR="003241B5" w:rsidRPr="00EC591E">
        <w:t xml:space="preserve"> then the stent is likely to fall out</w:t>
      </w:r>
      <w:r w:rsidR="00AE4E0F" w:rsidRPr="00430AA8">
        <w:t xml:space="preserve"> (Camunez et al 2000</w:t>
      </w:r>
      <w:r w:rsidR="004F4CCD" w:rsidRPr="003A67FE">
        <w:t>)</w:t>
      </w:r>
      <w:r w:rsidR="003241B5" w:rsidRPr="003A67FE">
        <w:t>.</w:t>
      </w:r>
    </w:p>
    <w:p w:rsidR="000D1026" w:rsidRPr="009672A9" w:rsidRDefault="000D1026" w:rsidP="000D1026">
      <w:r w:rsidRPr="00347DAA">
        <w:t xml:space="preserve">Abdominal radiography may be used at intervals in the first few days after stent placement to ascertain </w:t>
      </w:r>
      <w:r w:rsidR="00DC4DB1">
        <w:t>whether</w:t>
      </w:r>
      <w:r w:rsidR="00DC4DB1" w:rsidRPr="00347DAA">
        <w:t xml:space="preserve"> </w:t>
      </w:r>
      <w:r w:rsidRPr="00347DAA">
        <w:t>the stent remain</w:t>
      </w:r>
      <w:r w:rsidR="00DC4DB1">
        <w:t>s</w:t>
      </w:r>
      <w:r w:rsidR="003D1B91">
        <w:t xml:space="preserve"> correctly placed and</w:t>
      </w:r>
      <w:r w:rsidRPr="00347DAA">
        <w:t xml:space="preserve"> the obstructing lesion</w:t>
      </w:r>
      <w:r w:rsidRPr="009672A9">
        <w:t xml:space="preserve"> is patent.</w:t>
      </w:r>
      <w:r w:rsidR="00DC4DB1" w:rsidRPr="00DC4DB1">
        <w:t xml:space="preserve"> </w:t>
      </w:r>
      <w:r w:rsidR="00DC4DB1" w:rsidRPr="0055406F">
        <w:t xml:space="preserve">In case of </w:t>
      </w:r>
      <w:r w:rsidR="00DC4DB1">
        <w:t xml:space="preserve">migration, the </w:t>
      </w:r>
      <w:r w:rsidR="00DC4DB1" w:rsidRPr="0055406F">
        <w:t xml:space="preserve">stent would be removed, and a new stent </w:t>
      </w:r>
      <w:r w:rsidR="00DC4DB1">
        <w:t>is</w:t>
      </w:r>
      <w:r w:rsidR="00DC4DB1" w:rsidRPr="0055406F">
        <w:t xml:space="preserve"> </w:t>
      </w:r>
      <w:r w:rsidR="0023432D">
        <w:t>inserted</w:t>
      </w:r>
      <w:r w:rsidR="0023432D" w:rsidRPr="0055406F">
        <w:t xml:space="preserve"> </w:t>
      </w:r>
      <w:r w:rsidR="00DC4DB1" w:rsidRPr="0055406F">
        <w:t xml:space="preserve">across the obstructed part of the bowel. Placing one stent </w:t>
      </w:r>
      <w:r w:rsidR="00DC4DB1">
        <w:t>within</w:t>
      </w:r>
      <w:r w:rsidR="00DC4DB1" w:rsidRPr="0055406F">
        <w:t xml:space="preserve"> another</w:t>
      </w:r>
      <w:r w:rsidR="00DC4DB1" w:rsidRPr="001949E9">
        <w:t xml:space="preserve"> (re-stenting) is also possible, if the initial stent becomes obstructed by granulation or tumour</w:t>
      </w:r>
      <w:r w:rsidR="00DC4DB1" w:rsidRPr="00DC4DB1">
        <w:t xml:space="preserve"> </w:t>
      </w:r>
      <w:r w:rsidR="00DC4DB1" w:rsidRPr="001949E9">
        <w:t>tissue.</w:t>
      </w:r>
      <w:r w:rsidR="00DC4DB1" w:rsidRPr="00CD21F6">
        <w:t xml:space="preserve"> R</w:t>
      </w:r>
      <w:r w:rsidR="00DC4DB1" w:rsidRPr="00361416">
        <w:t>e-stenting is</w:t>
      </w:r>
      <w:r w:rsidR="00DC4DB1" w:rsidRPr="0086082D">
        <w:t xml:space="preserve"> usually attempted </w:t>
      </w:r>
      <w:r w:rsidR="00DC4DB1" w:rsidRPr="0072092E">
        <w:t>only twice</w:t>
      </w:r>
      <w:r w:rsidR="00DC4DB1">
        <w:t>: a third attempt</w:t>
      </w:r>
      <w:r w:rsidR="00DC4DB1" w:rsidRPr="0072092E">
        <w:t xml:space="preserve"> </w:t>
      </w:r>
      <w:r w:rsidR="00DC4DB1">
        <w:t>is</w:t>
      </w:r>
      <w:r w:rsidR="00DC4DB1" w:rsidRPr="0052787F">
        <w:t xml:space="preserve"> unlikely if the initial two attempts are unsuccessful.</w:t>
      </w:r>
    </w:p>
    <w:p w:rsidR="003241B5" w:rsidRPr="00A550ED" w:rsidRDefault="00DC4DB1" w:rsidP="00964333">
      <w:r>
        <w:t>Following the insertion of a colonic stent, p</w:t>
      </w:r>
      <w:r w:rsidR="003241B5" w:rsidRPr="009672A9">
        <w:t xml:space="preserve">atients are likely to receive ongoing active medical management </w:t>
      </w:r>
      <w:r w:rsidR="0023432D">
        <w:t xml:space="preserve">for curative or palliative purposes </w:t>
      </w:r>
      <w:r w:rsidR="003241B5" w:rsidRPr="009672A9">
        <w:t>consist</w:t>
      </w:r>
      <w:r>
        <w:t>ing</w:t>
      </w:r>
      <w:r w:rsidR="003241B5" w:rsidRPr="009672A9">
        <w:t xml:space="preserve"> of chemotherapy, radiotherapy or </w:t>
      </w:r>
      <w:r>
        <w:t>both</w:t>
      </w:r>
      <w:r w:rsidR="003241B5" w:rsidRPr="009672A9">
        <w:t xml:space="preserve"> </w:t>
      </w:r>
      <w:r w:rsidR="004F4CCD" w:rsidRPr="00584C29">
        <w:t>(</w:t>
      </w:r>
      <w:r w:rsidR="00AE4E0F" w:rsidRPr="00584C29">
        <w:t xml:space="preserve">Harrisa et </w:t>
      </w:r>
      <w:r w:rsidR="00AE4E0F" w:rsidRPr="00DA0155">
        <w:t>al 2001)</w:t>
      </w:r>
      <w:r w:rsidR="003241B5" w:rsidRPr="00DA0155">
        <w:t xml:space="preserve">. </w:t>
      </w:r>
      <w:r w:rsidR="004F4CCD" w:rsidRPr="00CF31D5">
        <w:t>T</w:t>
      </w:r>
      <w:r w:rsidR="003241B5" w:rsidRPr="00A550ED">
        <w:t xml:space="preserve">he exact type or combination of medical management received </w:t>
      </w:r>
      <w:r>
        <w:t xml:space="preserve">is individually tailored </w:t>
      </w:r>
      <w:r w:rsidR="0023432D">
        <w:t xml:space="preserve">to </w:t>
      </w:r>
      <w:r w:rsidR="003241B5" w:rsidRPr="00A550ED">
        <w:t>the patient</w:t>
      </w:r>
      <w:r>
        <w:t>’</w:t>
      </w:r>
      <w:r w:rsidR="003241B5" w:rsidRPr="00A550ED">
        <w:t>s</w:t>
      </w:r>
      <w:r>
        <w:t xml:space="preserve"> disease</w:t>
      </w:r>
      <w:r w:rsidR="003241B5" w:rsidRPr="00A550ED">
        <w:t xml:space="preserve"> status. </w:t>
      </w:r>
    </w:p>
    <w:p w:rsidR="009F02F7" w:rsidRPr="00A32225" w:rsidRDefault="004F3970" w:rsidP="00964333">
      <w:pPr>
        <w:pStyle w:val="Heading2"/>
      </w:pPr>
      <w:bookmarkStart w:id="63" w:name="_Toc214339162"/>
      <w:bookmarkStart w:id="64" w:name="_Toc352924404"/>
      <w:r w:rsidRPr="00A84480">
        <w:t>Intended purpose</w:t>
      </w:r>
      <w:bookmarkEnd w:id="63"/>
      <w:bookmarkEnd w:id="64"/>
      <w:r w:rsidR="006B7C8A" w:rsidRPr="00186148">
        <w:t xml:space="preserve"> </w:t>
      </w:r>
    </w:p>
    <w:p w:rsidR="0029636F" w:rsidRPr="00083501" w:rsidRDefault="009C302E" w:rsidP="009C302E">
      <w:r w:rsidRPr="005C214B">
        <w:t xml:space="preserve">SEMS are </w:t>
      </w:r>
      <w:r w:rsidR="00DC4DB1">
        <w:t xml:space="preserve">a minimally invasive alternative to open surgical technique </w:t>
      </w:r>
      <w:r w:rsidRPr="005C214B">
        <w:t xml:space="preserve">for </w:t>
      </w:r>
      <w:r w:rsidR="00DC4DB1">
        <w:t xml:space="preserve">patients with </w:t>
      </w:r>
      <w:r w:rsidRPr="005C214B">
        <w:t>malignant colorectal obstruction</w:t>
      </w:r>
      <w:r w:rsidRPr="00C27C1E">
        <w:t xml:space="preserve"> (Watt</w:t>
      </w:r>
      <w:r w:rsidR="0059195F">
        <w:t xml:space="preserve"> et al</w:t>
      </w:r>
      <w:r w:rsidRPr="00C27C1E">
        <w:t xml:space="preserve"> 2007). Plac</w:t>
      </w:r>
      <w:r w:rsidR="0059195F">
        <w:t>ing</w:t>
      </w:r>
      <w:r w:rsidRPr="00C27C1E">
        <w:t xml:space="preserve"> a stent at the obstructed part of the colon </w:t>
      </w:r>
      <w:r w:rsidR="003D1B91">
        <w:t>serves</w:t>
      </w:r>
      <w:r w:rsidRPr="00C27C1E">
        <w:t xml:space="preserve"> as a ‘bridge to surgery’</w:t>
      </w:r>
      <w:r w:rsidR="0059195F">
        <w:t xml:space="preserve">, allowing time to manage the emergency </w:t>
      </w:r>
      <w:r w:rsidR="00304D52">
        <w:t xml:space="preserve">situation </w:t>
      </w:r>
      <w:r w:rsidR="0059195F">
        <w:t>and plan for elective surgery</w:t>
      </w:r>
      <w:r w:rsidRPr="00C27C1E">
        <w:t xml:space="preserve">. </w:t>
      </w:r>
      <w:r w:rsidR="0029636F" w:rsidRPr="00027046">
        <w:t>Emergency resection c</w:t>
      </w:r>
      <w:r w:rsidR="0059195F">
        <w:t>an</w:t>
      </w:r>
      <w:r w:rsidR="0029636F" w:rsidRPr="00027046">
        <w:t xml:space="preserve"> lead to serious complications </w:t>
      </w:r>
      <w:r w:rsidR="0059195F">
        <w:t>when</w:t>
      </w:r>
      <w:r w:rsidR="0029636F" w:rsidRPr="00027046">
        <w:t xml:space="preserve"> performed in patients who are already frail and suffering from significant </w:t>
      </w:r>
      <w:r w:rsidR="009E5EA6">
        <w:t>comorbidit</w:t>
      </w:r>
      <w:r w:rsidR="0029636F" w:rsidRPr="00027046">
        <w:t>ies (NICE 2004</w:t>
      </w:r>
      <w:r w:rsidR="00256A0B">
        <w:t>a</w:t>
      </w:r>
      <w:r w:rsidR="0029636F" w:rsidRPr="00027046">
        <w:t xml:space="preserve">). </w:t>
      </w:r>
      <w:r w:rsidRPr="00EA5A32">
        <w:t>In addition</w:t>
      </w:r>
      <w:r w:rsidR="0059195F">
        <w:t>,</w:t>
      </w:r>
      <w:r w:rsidRPr="00EA5A32">
        <w:t xml:space="preserve"> </w:t>
      </w:r>
      <w:r w:rsidR="0059195F">
        <w:t>SEMS</w:t>
      </w:r>
      <w:r w:rsidRPr="00EA5A32">
        <w:t xml:space="preserve"> can be used for</w:t>
      </w:r>
      <w:r w:rsidR="0059195F">
        <w:t xml:space="preserve"> the</w:t>
      </w:r>
      <w:r w:rsidRPr="00EA5A32">
        <w:t xml:space="preserve"> palliative management of bowel obstruction </w:t>
      </w:r>
      <w:r w:rsidR="0059195F">
        <w:t>in</w:t>
      </w:r>
      <w:r w:rsidR="0059195F" w:rsidRPr="00EA5A32">
        <w:t xml:space="preserve"> </w:t>
      </w:r>
      <w:r w:rsidRPr="00EA5A32">
        <w:t xml:space="preserve">patients </w:t>
      </w:r>
      <w:r w:rsidR="00304D52">
        <w:t>with</w:t>
      </w:r>
      <w:r w:rsidRPr="00EA5A32">
        <w:t xml:space="preserve"> incurable metastatic disease </w:t>
      </w:r>
      <w:r w:rsidR="0029636F" w:rsidRPr="00EA5A32">
        <w:t xml:space="preserve">or </w:t>
      </w:r>
      <w:r w:rsidR="00304D52">
        <w:t xml:space="preserve">those who </w:t>
      </w:r>
      <w:r w:rsidR="0029636F" w:rsidRPr="00EA5A32">
        <w:t>are medically unfit for major resection (</w:t>
      </w:r>
      <w:r w:rsidR="00CE0D06">
        <w:t>eg</w:t>
      </w:r>
      <w:r w:rsidR="0029636F" w:rsidRPr="00EA5A32">
        <w:t xml:space="preserve"> patients who are unable to receive anaesthesia) (ACPGBI 2007). A stent can obviate the need for </w:t>
      </w:r>
      <w:r w:rsidR="00304D52">
        <w:t>surgery</w:t>
      </w:r>
      <w:r w:rsidR="0059195F">
        <w:t xml:space="preserve"> </w:t>
      </w:r>
      <w:r w:rsidR="0029636F" w:rsidRPr="00083501">
        <w:t>and may be effective for over a year, potentially providing palliation until death.</w:t>
      </w:r>
    </w:p>
    <w:p w:rsidR="00697D1A" w:rsidRPr="001166E9" w:rsidRDefault="0059195F" w:rsidP="001643E4">
      <w:r>
        <w:t>Colonic</w:t>
      </w:r>
      <w:r w:rsidR="009C302E" w:rsidRPr="00367FF6">
        <w:t xml:space="preserve"> stenting can also be used to treat benign obstructions caused by conditions such as diverticular and Crohn</w:t>
      </w:r>
      <w:r>
        <w:t>’s</w:t>
      </w:r>
      <w:r w:rsidR="009C302E" w:rsidRPr="00367FF6">
        <w:t xml:space="preserve"> disease, </w:t>
      </w:r>
      <w:r>
        <w:t>even though colonic stents are</w:t>
      </w:r>
      <w:r w:rsidR="009C302E" w:rsidRPr="00367FF6">
        <w:t xml:space="preserve"> not li</w:t>
      </w:r>
      <w:r w:rsidR="009C302E" w:rsidRPr="00C71844">
        <w:t>sted on the Australian Register of Therapeutic Goods (ARTG) for these conditions.</w:t>
      </w:r>
      <w:r w:rsidR="0029636F" w:rsidRPr="00C71844">
        <w:t xml:space="preserve"> </w:t>
      </w:r>
    </w:p>
    <w:p w:rsidR="00205254" w:rsidRPr="00BB3C05" w:rsidRDefault="0059195F" w:rsidP="00205254">
      <w:r>
        <w:t>C</w:t>
      </w:r>
      <w:r w:rsidR="00205254" w:rsidRPr="00BB3C05">
        <w:t xml:space="preserve">olonic stents </w:t>
      </w:r>
      <w:r>
        <w:t>are</w:t>
      </w:r>
      <w:r w:rsidR="00205254" w:rsidRPr="00BB3C05">
        <w:t xml:space="preserve"> proposed for</w:t>
      </w:r>
      <w:r>
        <w:t xml:space="preserve"> the</w:t>
      </w:r>
      <w:r w:rsidR="00205254" w:rsidRPr="00BB3C05">
        <w:t xml:space="preserve"> treatment of large bowel obstruction, stricture or stenosis in the following patient populations:</w:t>
      </w:r>
    </w:p>
    <w:p w:rsidR="00205254" w:rsidRPr="00BB3C05" w:rsidRDefault="00205254" w:rsidP="00F33E3C">
      <w:pPr>
        <w:numPr>
          <w:ilvl w:val="0"/>
          <w:numId w:val="44"/>
        </w:numPr>
        <w:ind w:hanging="11"/>
      </w:pPr>
      <w:r w:rsidRPr="00BB3C05">
        <w:t>Patients diagnosed with colorectal cancer or cancer of an organ adjacent to the bowel</w:t>
      </w:r>
      <w:r w:rsidR="0059195F">
        <w:t>:</w:t>
      </w:r>
      <w:r w:rsidRPr="00BB3C05">
        <w:t xml:space="preserve"> </w:t>
      </w:r>
    </w:p>
    <w:p w:rsidR="00205254" w:rsidRPr="00BB3C05" w:rsidRDefault="00F33E3C" w:rsidP="00F33E3C">
      <w:pPr>
        <w:numPr>
          <w:ilvl w:val="1"/>
          <w:numId w:val="46"/>
        </w:numPr>
      </w:pPr>
      <w:r>
        <w:lastRenderedPageBreak/>
        <w:t>s</w:t>
      </w:r>
      <w:r w:rsidR="00205254" w:rsidRPr="00BB3C05">
        <w:t>tent</w:t>
      </w:r>
      <w:r w:rsidR="0059195F">
        <w:t xml:space="preserve"> used</w:t>
      </w:r>
      <w:r w:rsidR="00205254" w:rsidRPr="00BB3C05">
        <w:t xml:space="preserve"> as a palliative measure for patients with incurable malignant large bowel obstruction </w:t>
      </w:r>
      <w:r w:rsidR="00304D52">
        <w:t>and</w:t>
      </w:r>
      <w:r w:rsidR="00304D52" w:rsidRPr="00BB3C05">
        <w:t xml:space="preserve"> </w:t>
      </w:r>
      <w:r w:rsidR="00205254" w:rsidRPr="00BB3C05">
        <w:t xml:space="preserve">either </w:t>
      </w:r>
      <w:r w:rsidR="0059195F">
        <w:t xml:space="preserve">acute or </w:t>
      </w:r>
      <w:r w:rsidR="00205254" w:rsidRPr="00BB3C05">
        <w:t>chronic comorbidities, with or without metastasis</w:t>
      </w:r>
      <w:r>
        <w:t>;</w:t>
      </w:r>
    </w:p>
    <w:p w:rsidR="00205254" w:rsidRPr="00BB3C05" w:rsidRDefault="00F33E3C" w:rsidP="00F33E3C">
      <w:pPr>
        <w:numPr>
          <w:ilvl w:val="1"/>
          <w:numId w:val="46"/>
        </w:numPr>
      </w:pPr>
      <w:proofErr w:type="gramStart"/>
      <w:r>
        <w:t>s</w:t>
      </w:r>
      <w:r w:rsidR="00205254" w:rsidRPr="00BB3C05">
        <w:t>tent</w:t>
      </w:r>
      <w:proofErr w:type="gramEnd"/>
      <w:r w:rsidR="0059195F">
        <w:t xml:space="preserve"> used</w:t>
      </w:r>
      <w:r w:rsidR="00205254" w:rsidRPr="00BB3C05">
        <w:t xml:space="preserve"> as a bridge</w:t>
      </w:r>
      <w:r w:rsidR="0059195F">
        <w:t xml:space="preserve"> </w:t>
      </w:r>
      <w:r w:rsidR="00205254" w:rsidRPr="00BB3C05">
        <w:t>to</w:t>
      </w:r>
      <w:r w:rsidR="0059195F">
        <w:t xml:space="preserve"> </w:t>
      </w:r>
      <w:r w:rsidR="00205254" w:rsidRPr="00BB3C05">
        <w:t>surgery in case</w:t>
      </w:r>
      <w:r w:rsidR="0059195F">
        <w:t>s where</w:t>
      </w:r>
      <w:r w:rsidR="00205254" w:rsidRPr="00BB3C05">
        <w:t xml:space="preserve"> the patient’s condition improves after insertion of a stent and subsequent surgical management is indicated.</w:t>
      </w:r>
    </w:p>
    <w:p w:rsidR="00205254" w:rsidRPr="00BB3C05" w:rsidRDefault="00205254" w:rsidP="00F33E3C">
      <w:pPr>
        <w:numPr>
          <w:ilvl w:val="0"/>
          <w:numId w:val="44"/>
        </w:numPr>
        <w:ind w:hanging="11"/>
      </w:pPr>
      <w:r w:rsidRPr="00BB3C05">
        <w:t xml:space="preserve">Patients with large bowel obstruction of unknown diagnosis. This group of patients may not always be known to have cancer at the time of the bowel obstruction. </w:t>
      </w:r>
      <w:r w:rsidR="0059195F">
        <w:t>Thus, p</w:t>
      </w:r>
      <w:r w:rsidRPr="00BB3C05">
        <w:t>atients with non-malignant causes of obstruction such as Crohn</w:t>
      </w:r>
      <w:r w:rsidR="0059195F">
        <w:t>’s</w:t>
      </w:r>
      <w:r w:rsidRPr="00BB3C05">
        <w:t xml:space="preserve"> disease and diverticulitis may also </w:t>
      </w:r>
      <w:r w:rsidR="0059195F">
        <w:t>f</w:t>
      </w:r>
      <w:r w:rsidR="00F33E3C">
        <w:t>or</w:t>
      </w:r>
      <w:r w:rsidR="0059195F">
        <w:t>m</w:t>
      </w:r>
      <w:r w:rsidRPr="00BB3C05">
        <w:t xml:space="preserve"> part of this population</w:t>
      </w:r>
      <w:r w:rsidR="00F33E3C">
        <w:t>;</w:t>
      </w:r>
      <w:r w:rsidRPr="00BB3C05">
        <w:t xml:space="preserve">  </w:t>
      </w:r>
    </w:p>
    <w:p w:rsidR="00205254" w:rsidRPr="00BB3C05" w:rsidRDefault="00F33E3C" w:rsidP="00F33E3C">
      <w:pPr>
        <w:numPr>
          <w:ilvl w:val="1"/>
          <w:numId w:val="47"/>
        </w:numPr>
      </w:pPr>
      <w:r>
        <w:t>s</w:t>
      </w:r>
      <w:r w:rsidR="00205254" w:rsidRPr="00BB3C05">
        <w:t xml:space="preserve">tent </w:t>
      </w:r>
      <w:r w:rsidR="0059195F">
        <w:t xml:space="preserve">used </w:t>
      </w:r>
      <w:r w:rsidR="00205254" w:rsidRPr="00BB3C05">
        <w:t xml:space="preserve">as a palliative measure for patients with incurable malignant or non-malignant obstruction with either </w:t>
      </w:r>
      <w:r w:rsidR="0059195F">
        <w:t xml:space="preserve">acute or </w:t>
      </w:r>
      <w:r w:rsidR="00205254" w:rsidRPr="00BB3C05">
        <w:t>chronic comorbidities, with or without metastasis</w:t>
      </w:r>
      <w:r>
        <w:t>;</w:t>
      </w:r>
    </w:p>
    <w:p w:rsidR="00205254" w:rsidRPr="00BB3C05" w:rsidRDefault="00F33E3C" w:rsidP="00F33E3C">
      <w:pPr>
        <w:numPr>
          <w:ilvl w:val="1"/>
          <w:numId w:val="47"/>
        </w:numPr>
      </w:pPr>
      <w:proofErr w:type="gramStart"/>
      <w:r>
        <w:t>s</w:t>
      </w:r>
      <w:r w:rsidR="00205254" w:rsidRPr="00BB3C05">
        <w:t>tent</w:t>
      </w:r>
      <w:proofErr w:type="gramEnd"/>
      <w:r w:rsidR="00205254" w:rsidRPr="00BB3C05">
        <w:t xml:space="preserve"> </w:t>
      </w:r>
      <w:r w:rsidR="0059195F">
        <w:t xml:space="preserve">used </w:t>
      </w:r>
      <w:r w:rsidR="00205254" w:rsidRPr="00BB3C05">
        <w:t>as a bridge</w:t>
      </w:r>
      <w:r w:rsidR="0059195F">
        <w:t xml:space="preserve"> </w:t>
      </w:r>
      <w:r w:rsidR="00205254" w:rsidRPr="00BB3C05">
        <w:t>to</w:t>
      </w:r>
      <w:r w:rsidR="0059195F">
        <w:t xml:space="preserve"> </w:t>
      </w:r>
      <w:r w:rsidR="00205254" w:rsidRPr="00BB3C05">
        <w:t>surgery, in case</w:t>
      </w:r>
      <w:r w:rsidR="0059195F">
        <w:t>s where</w:t>
      </w:r>
      <w:r w:rsidR="00205254" w:rsidRPr="00BB3C05">
        <w:t xml:space="preserve"> the patient’s condition improves after insertion of a stent and subsequent surgical management is indicated. </w:t>
      </w:r>
    </w:p>
    <w:p w:rsidR="00205254" w:rsidRPr="00BB3C05" w:rsidRDefault="00205254" w:rsidP="00205254">
      <w:r w:rsidRPr="00BB3C05">
        <w:t>The subseq</w:t>
      </w:r>
      <w:r w:rsidR="003D1B91">
        <w:t>uent surgical management of any</w:t>
      </w:r>
      <w:r w:rsidRPr="00BB3C05">
        <w:t xml:space="preserve"> patient </w:t>
      </w:r>
      <w:r w:rsidR="0059195F">
        <w:t xml:space="preserve">receiving a colonic stent </w:t>
      </w:r>
      <w:r w:rsidRPr="00BB3C05">
        <w:t xml:space="preserve">may </w:t>
      </w:r>
      <w:r w:rsidR="00304D52" w:rsidRPr="00BB3C05">
        <w:t>includ</w:t>
      </w:r>
      <w:r w:rsidR="00304D52">
        <w:t>e</w:t>
      </w:r>
      <w:r w:rsidR="00304D52" w:rsidRPr="00BB3C05">
        <w:t xml:space="preserve"> </w:t>
      </w:r>
      <w:r w:rsidRPr="00BB3C05">
        <w:t>curative surgery</w:t>
      </w:r>
      <w:r w:rsidR="00304D52">
        <w:t>,</w:t>
      </w:r>
      <w:r w:rsidRPr="00BB3C05">
        <w:t xml:space="preserve"> non-curative surgery</w:t>
      </w:r>
      <w:r w:rsidR="00304D52">
        <w:t>,</w:t>
      </w:r>
      <w:r w:rsidR="0059195F">
        <w:t xml:space="preserve"> </w:t>
      </w:r>
      <w:r w:rsidRPr="00BB3C05">
        <w:t xml:space="preserve">single-stage resection or a </w:t>
      </w:r>
      <w:r w:rsidR="00DF03CC">
        <w:t>multi-stage</w:t>
      </w:r>
      <w:r w:rsidRPr="00BB3C05">
        <w:t xml:space="preserve"> procedure.</w:t>
      </w:r>
    </w:p>
    <w:p w:rsidR="00205254" w:rsidRPr="00BB3C05" w:rsidRDefault="00205254" w:rsidP="00205254">
      <w:r w:rsidRPr="00BB3C05">
        <w:t>For the purposes of th</w:t>
      </w:r>
      <w:r w:rsidR="0059195F">
        <w:t>is</w:t>
      </w:r>
      <w:r w:rsidRPr="00BB3C05">
        <w:t xml:space="preserve"> assessment, patients who </w:t>
      </w:r>
      <w:r w:rsidR="0059195F">
        <w:t>are eligible for</w:t>
      </w:r>
      <w:r w:rsidRPr="00BB3C05">
        <w:t xml:space="preserve"> single</w:t>
      </w:r>
      <w:r w:rsidR="00511134">
        <w:t>-</w:t>
      </w:r>
      <w:r w:rsidRPr="00BB3C05">
        <w:t>stage colorectal resection should receive this option</w:t>
      </w:r>
      <w:r w:rsidR="0059195F">
        <w:t>,</w:t>
      </w:r>
      <w:r w:rsidRPr="00BB3C05">
        <w:t xml:space="preserve"> where appropriate; therefore</w:t>
      </w:r>
      <w:r w:rsidR="00511134">
        <w:t>,</w:t>
      </w:r>
      <w:r w:rsidRPr="00BB3C05">
        <w:t xml:space="preserve"> the use of stents is not indicated in this population.</w:t>
      </w:r>
    </w:p>
    <w:p w:rsidR="0038576A" w:rsidRPr="00BB3C05" w:rsidRDefault="00B02575" w:rsidP="00964333">
      <w:pPr>
        <w:pStyle w:val="Heading2"/>
      </w:pPr>
      <w:bookmarkStart w:id="65" w:name="_Toc214339163"/>
      <w:bookmarkStart w:id="66" w:name="_Toc352924405"/>
      <w:r w:rsidRPr="00BB3C05">
        <w:t xml:space="preserve">Clinical </w:t>
      </w:r>
      <w:r w:rsidR="00AC51EA">
        <w:t>n</w:t>
      </w:r>
      <w:r w:rsidRPr="00BB3C05">
        <w:t>eed</w:t>
      </w:r>
      <w:bookmarkEnd w:id="65"/>
      <w:bookmarkEnd w:id="66"/>
      <w:r w:rsidRPr="00BB3C05">
        <w:t xml:space="preserve"> </w:t>
      </w:r>
    </w:p>
    <w:p w:rsidR="00B167C7" w:rsidRPr="00BB3C05" w:rsidRDefault="0059195F" w:rsidP="00B167C7">
      <w:r>
        <w:t>C</w:t>
      </w:r>
      <w:r w:rsidR="00B167C7" w:rsidRPr="00BB3C05">
        <w:t>olorectal cancer is the second most common cancer</w:t>
      </w:r>
      <w:r>
        <w:t xml:space="preserve"> in Australia</w:t>
      </w:r>
      <w:r w:rsidR="00B167C7" w:rsidRPr="00BB3C05">
        <w:t xml:space="preserve">. In </w:t>
      </w:r>
      <w:r w:rsidR="00CF1FED">
        <w:t>2007,</w:t>
      </w:r>
      <w:r w:rsidR="00B167C7" w:rsidRPr="00BB3C05">
        <w:t xml:space="preserve"> prostate cancer was </w:t>
      </w:r>
      <w:r w:rsidR="003D1B91">
        <w:t>the most common cancer reported</w:t>
      </w:r>
      <w:r w:rsidR="00B167C7" w:rsidRPr="00BB3C05">
        <w:t xml:space="preserve"> </w:t>
      </w:r>
      <w:r>
        <w:t>(</w:t>
      </w:r>
      <w:r w:rsidR="00B167C7" w:rsidRPr="00BB3C05">
        <w:t>19,403 new cases</w:t>
      </w:r>
      <w:r>
        <w:t>)</w:t>
      </w:r>
      <w:r w:rsidR="00B167C7" w:rsidRPr="00BB3C05">
        <w:t xml:space="preserve">, followed by bowel cancer (14,234 new cases) and breast cancer (12,670 new cases) (AIHW 2010). In the same year, lung cancer was the </w:t>
      </w:r>
      <w:r>
        <w:t>leading</w:t>
      </w:r>
      <w:r w:rsidR="00B167C7" w:rsidRPr="00BB3C05">
        <w:t xml:space="preserve"> cause of death from cancer in Australia</w:t>
      </w:r>
      <w:r>
        <w:t>,</w:t>
      </w:r>
      <w:r w:rsidR="00B167C7" w:rsidRPr="00BB3C05">
        <w:t xml:space="preserve"> causing 7,626 deaths, while colorectal cancer took the lives of 4,047 Australians. The incidence of colorectal cancer </w:t>
      </w:r>
      <w:r w:rsidR="00C0257F">
        <w:t xml:space="preserve">in 2007 </w:t>
      </w:r>
      <w:r w:rsidR="00B167C7" w:rsidRPr="00BB3C05">
        <w:t>was 13.1</w:t>
      </w:r>
      <w:r w:rsidR="00C0257F">
        <w:t xml:space="preserve"> per cent</w:t>
      </w:r>
      <w:r w:rsidR="00B167C7" w:rsidRPr="00BB3C05">
        <w:t xml:space="preserve"> (12.6%</w:t>
      </w:r>
      <w:r w:rsidR="00355AED">
        <w:t xml:space="preserve"> for men and 13.9% for</w:t>
      </w:r>
      <w:r w:rsidR="00B167C7" w:rsidRPr="00BB3C05">
        <w:t xml:space="preserve"> </w:t>
      </w:r>
      <w:r w:rsidR="00C0257F">
        <w:t>women</w:t>
      </w:r>
      <w:r w:rsidR="00B167C7" w:rsidRPr="00BB3C05">
        <w:t xml:space="preserve">) of </w:t>
      </w:r>
      <w:r w:rsidR="00C0257F">
        <w:t xml:space="preserve">the </w:t>
      </w:r>
      <w:r w:rsidR="00B167C7" w:rsidRPr="00BB3C05">
        <w:t>overall cancer incidences. According to the Australian Institute of Health and Welfare</w:t>
      </w:r>
      <w:r w:rsidR="00511134">
        <w:t xml:space="preserve"> (AIHW)</w:t>
      </w:r>
      <w:r w:rsidR="00B167C7" w:rsidRPr="00BB3C05">
        <w:t xml:space="preserve">, the incidence of colorectal cancer increased from 67 to 75 cases per 100,000 </w:t>
      </w:r>
      <w:r w:rsidR="00C0257F">
        <w:t xml:space="preserve">in men </w:t>
      </w:r>
      <w:r w:rsidR="00B167C7" w:rsidRPr="00BB3C05">
        <w:t>and from 50 to 55 cases per 100,000</w:t>
      </w:r>
      <w:r w:rsidR="00C0257F">
        <w:t xml:space="preserve"> in women</w:t>
      </w:r>
      <w:r w:rsidR="00B167C7" w:rsidRPr="00BB3C05">
        <w:t xml:space="preserve"> during the period from 1982 to 2007</w:t>
      </w:r>
      <w:r w:rsidR="00355AED">
        <w:t xml:space="preserve"> </w:t>
      </w:r>
      <w:r w:rsidR="00B167C7" w:rsidRPr="00BB3C05">
        <w:t>(AIHW 2010). The Interactive National Hospital Morbidity Data confirms the utili</w:t>
      </w:r>
      <w:r w:rsidR="00C0257F">
        <w:t>s</w:t>
      </w:r>
      <w:r w:rsidR="00B167C7" w:rsidRPr="00BB3C05">
        <w:t xml:space="preserve">ation of 12,919 patient days </w:t>
      </w:r>
      <w:r w:rsidR="00C0257F">
        <w:t>for</w:t>
      </w:r>
      <w:r w:rsidR="00B167C7" w:rsidRPr="00BB3C05">
        <w:t xml:space="preserve"> malignant neoplasm of the colon during </w:t>
      </w:r>
      <w:r w:rsidR="00C0257F">
        <w:t xml:space="preserve">the </w:t>
      </w:r>
      <w:r w:rsidR="00B167C7" w:rsidRPr="00BB3C05">
        <w:t>1998</w:t>
      </w:r>
      <w:r w:rsidR="00C0257F">
        <w:t xml:space="preserve"> to</w:t>
      </w:r>
      <w:r w:rsidR="00355AED">
        <w:t xml:space="preserve"> 19</w:t>
      </w:r>
      <w:r w:rsidR="00B167C7" w:rsidRPr="00BB3C05">
        <w:t>99</w:t>
      </w:r>
      <w:r w:rsidR="00C0257F">
        <w:t xml:space="preserve"> period. This has increased </w:t>
      </w:r>
      <w:r w:rsidR="00B167C7" w:rsidRPr="00BB3C05">
        <w:t xml:space="preserve">annually </w:t>
      </w:r>
      <w:r w:rsidR="00355AED">
        <w:t xml:space="preserve">to </w:t>
      </w:r>
      <w:r w:rsidR="00B167C7" w:rsidRPr="00BB3C05">
        <w:t xml:space="preserve">19,037 patient days </w:t>
      </w:r>
      <w:r w:rsidR="00C0257F">
        <w:t>during the</w:t>
      </w:r>
      <w:r w:rsidR="00C0257F" w:rsidRPr="00BB3C05">
        <w:t xml:space="preserve"> </w:t>
      </w:r>
      <w:r w:rsidR="00B167C7" w:rsidRPr="00BB3C05">
        <w:t>2007</w:t>
      </w:r>
      <w:r w:rsidR="00C0257F">
        <w:t xml:space="preserve"> to 20</w:t>
      </w:r>
      <w:r w:rsidR="00B167C7" w:rsidRPr="00BB3C05">
        <w:t>08</w:t>
      </w:r>
      <w:r w:rsidR="00C0257F">
        <w:t xml:space="preserve"> period</w:t>
      </w:r>
      <w:r w:rsidR="00B167C7" w:rsidRPr="00BB3C05">
        <w:t xml:space="preserve"> (</w:t>
      </w:r>
      <w:r w:rsidR="00256A0B">
        <w:t>AIHW 2011)</w:t>
      </w:r>
      <w:r w:rsidR="00B167C7" w:rsidRPr="00BB3C05">
        <w:t xml:space="preserve">. </w:t>
      </w:r>
    </w:p>
    <w:p w:rsidR="001461D2" w:rsidRPr="00BB3C05" w:rsidRDefault="001461D2" w:rsidP="00FC35F9">
      <w:pPr>
        <w:pStyle w:val="Heading3"/>
      </w:pPr>
      <w:r w:rsidRPr="00BB3C05">
        <w:t xml:space="preserve">Potential </w:t>
      </w:r>
      <w:r w:rsidR="00AC51EA">
        <w:t>u</w:t>
      </w:r>
      <w:r w:rsidRPr="00BB3C05">
        <w:t xml:space="preserve">tilisation </w:t>
      </w:r>
    </w:p>
    <w:p w:rsidR="00205254" w:rsidRPr="00BB3C05" w:rsidRDefault="00205254" w:rsidP="00205254">
      <w:r w:rsidRPr="00BB3C05">
        <w:t xml:space="preserve">The </w:t>
      </w:r>
      <w:r w:rsidR="00344547" w:rsidRPr="00BB3C05">
        <w:t>Colorectal Surgical Society of Australia and New Zealand (the applicant)</w:t>
      </w:r>
      <w:r w:rsidRPr="00BB3C05">
        <w:t xml:space="preserve"> has </w:t>
      </w:r>
      <w:r w:rsidR="00C0257F">
        <w:t>calculated an</w:t>
      </w:r>
      <w:r w:rsidR="00C0257F" w:rsidRPr="00BB3C05">
        <w:t xml:space="preserve"> </w:t>
      </w:r>
      <w:r w:rsidRPr="00BB3C05">
        <w:t xml:space="preserve">annual </w:t>
      </w:r>
      <w:r w:rsidR="00C0257F">
        <w:t xml:space="preserve">rate of </w:t>
      </w:r>
      <w:r w:rsidRPr="00BB3C05">
        <w:t>stent deployment using data from the Australia</w:t>
      </w:r>
      <w:r w:rsidR="00344547" w:rsidRPr="00BB3C05">
        <w:t>n Cancer Registry (AIHW 2004)</w:t>
      </w:r>
      <w:r w:rsidR="00C0257F">
        <w:t>. A</w:t>
      </w:r>
      <w:r w:rsidRPr="00BB3C05">
        <w:t>ccordingly</w:t>
      </w:r>
      <w:r w:rsidR="00C0257F">
        <w:t>,</w:t>
      </w:r>
      <w:r w:rsidRPr="00BB3C05">
        <w:t xml:space="preserve"> out of the 14,000 new cases of colorectal cancer</w:t>
      </w:r>
      <w:r w:rsidR="00C0257F">
        <w:t xml:space="preserve"> diagnosed annually</w:t>
      </w:r>
      <w:r w:rsidRPr="00BB3C05">
        <w:t xml:space="preserve">, approximately </w:t>
      </w:r>
      <w:r w:rsidR="00C0257F">
        <w:t>2,800</w:t>
      </w:r>
      <w:r w:rsidR="00355AED">
        <w:t xml:space="preserve"> </w:t>
      </w:r>
      <w:r w:rsidRPr="00BB3C05">
        <w:t>(about 20</w:t>
      </w:r>
      <w:r w:rsidR="00C0257F">
        <w:t>%</w:t>
      </w:r>
      <w:r w:rsidRPr="00BB3C05">
        <w:t xml:space="preserve">) are estimated to present with obstruction. Nearly </w:t>
      </w:r>
      <w:r w:rsidR="00C0257F">
        <w:t xml:space="preserve">2,100 (approximately </w:t>
      </w:r>
      <w:r w:rsidRPr="00BB3C05">
        <w:t>75%</w:t>
      </w:r>
      <w:r w:rsidR="00C0257F">
        <w:t xml:space="preserve">) </w:t>
      </w:r>
      <w:r w:rsidRPr="00BB3C05">
        <w:t xml:space="preserve">of these patients will have </w:t>
      </w:r>
      <w:r w:rsidR="00C0257F">
        <w:t xml:space="preserve">malignancies in the </w:t>
      </w:r>
      <w:r w:rsidRPr="00BB3C05">
        <w:t xml:space="preserve">left </w:t>
      </w:r>
      <w:r w:rsidR="00C0257F">
        <w:t>colon, which are</w:t>
      </w:r>
      <w:r w:rsidRPr="00BB3C05">
        <w:t xml:space="preserve"> amenable to endoscopic management. </w:t>
      </w:r>
      <w:r w:rsidR="00C0257F">
        <w:t xml:space="preserve">Among this group of patients, approximately 700 </w:t>
      </w:r>
      <w:r w:rsidRPr="00BB3C05">
        <w:t xml:space="preserve">would have metastatic disease and another 400 would be medically unfit for </w:t>
      </w:r>
      <w:r w:rsidR="00355AED" w:rsidRPr="00BB3C05">
        <w:t>single</w:t>
      </w:r>
      <w:r w:rsidR="00355AED">
        <w:t>-</w:t>
      </w:r>
      <w:r w:rsidRPr="00BB3C05">
        <w:t xml:space="preserve">stage surgery. </w:t>
      </w:r>
      <w:r w:rsidR="00C0257F">
        <w:t>Thus</w:t>
      </w:r>
      <w:r w:rsidRPr="00BB3C05">
        <w:t xml:space="preserve">, approximately </w:t>
      </w:r>
      <w:r w:rsidR="00166D79">
        <w:t>1000</w:t>
      </w:r>
      <w:r w:rsidRPr="00BB3C05">
        <w:t xml:space="preserve"> patients would be </w:t>
      </w:r>
      <w:r w:rsidR="00C0257F">
        <w:lastRenderedPageBreak/>
        <w:t>eligible for colonic</w:t>
      </w:r>
      <w:r w:rsidRPr="00BB3C05">
        <w:t xml:space="preserve"> stenting</w:t>
      </w:r>
      <w:r w:rsidR="00325797">
        <w:t xml:space="preserve"> each year</w:t>
      </w:r>
      <w:r w:rsidRPr="00BB3C05">
        <w:t xml:space="preserve">. Allowing for local variability in expertise and facilities, as well as individual surgeon </w:t>
      </w:r>
      <w:r w:rsidR="00325797">
        <w:t>and</w:t>
      </w:r>
      <w:r w:rsidRPr="00BB3C05">
        <w:t xml:space="preserve"> patient </w:t>
      </w:r>
      <w:r w:rsidR="00325797">
        <w:t>preferences</w:t>
      </w:r>
      <w:r w:rsidRPr="00BB3C05">
        <w:t xml:space="preserve">, </w:t>
      </w:r>
      <w:r w:rsidR="003D1B91">
        <w:t>it is reasonable to assume</w:t>
      </w:r>
      <w:r w:rsidRPr="00BB3C05">
        <w:t xml:space="preserve"> an annual stent deployment rate of</w:t>
      </w:r>
      <w:r w:rsidR="00325797">
        <w:t xml:space="preserve"> between</w:t>
      </w:r>
      <w:r w:rsidRPr="00BB3C05">
        <w:t xml:space="preserve"> 575</w:t>
      </w:r>
      <w:r w:rsidR="00325797">
        <w:t xml:space="preserve"> and </w:t>
      </w:r>
      <w:r w:rsidRPr="00BB3C05">
        <w:t xml:space="preserve">625. </w:t>
      </w:r>
    </w:p>
    <w:p w:rsidR="00205254" w:rsidRPr="00BB3C05" w:rsidRDefault="00205254" w:rsidP="00205254">
      <w:r w:rsidRPr="00BB3C05">
        <w:t xml:space="preserve">According to the </w:t>
      </w:r>
      <w:r w:rsidR="0057052B" w:rsidRPr="00BB3C05">
        <w:t>Colorectal Surgical Society of Australia and New Zealand</w:t>
      </w:r>
      <w:r w:rsidRPr="00BB3C05">
        <w:t xml:space="preserve">, </w:t>
      </w:r>
      <w:r w:rsidR="00325797">
        <w:t>colonic</w:t>
      </w:r>
      <w:r w:rsidRPr="00BB3C05">
        <w:t xml:space="preserve"> stenting </w:t>
      </w:r>
      <w:r w:rsidR="0057052B" w:rsidRPr="00BB3C05">
        <w:t>would</w:t>
      </w:r>
      <w:r w:rsidRPr="00BB3C05">
        <w:t xml:space="preserve"> replace emergency abdominal surgery</w:t>
      </w:r>
      <w:r w:rsidR="00325797">
        <w:t xml:space="preserve"> in 90 per cent of cases</w:t>
      </w:r>
      <w:r w:rsidRPr="00BB3C05">
        <w:t xml:space="preserve">. </w:t>
      </w:r>
      <w:r w:rsidR="00325797">
        <w:t>After</w:t>
      </w:r>
      <w:r w:rsidR="00325797" w:rsidRPr="00BB3C05">
        <w:t xml:space="preserve"> </w:t>
      </w:r>
      <w:r w:rsidRPr="00BB3C05">
        <w:t>stenting, about 10</w:t>
      </w:r>
      <w:r w:rsidR="00325797">
        <w:t xml:space="preserve"> per cent</w:t>
      </w:r>
      <w:r w:rsidR="003D1B91">
        <w:t xml:space="preserve"> of</w:t>
      </w:r>
      <w:r w:rsidRPr="00BB3C05">
        <w:t xml:space="preserve"> patients </w:t>
      </w:r>
      <w:r w:rsidR="0057052B" w:rsidRPr="00BB3C05">
        <w:t>would</w:t>
      </w:r>
      <w:r w:rsidRPr="00BB3C05">
        <w:t xml:space="preserve"> require surgery for failed stent placement</w:t>
      </w:r>
      <w:r w:rsidR="00325797">
        <w:t xml:space="preserve">, while a </w:t>
      </w:r>
      <w:r w:rsidRPr="00BB3C05">
        <w:t>further 10</w:t>
      </w:r>
      <w:r w:rsidR="00325797">
        <w:t xml:space="preserve"> per cent</w:t>
      </w:r>
      <w:r w:rsidRPr="00BB3C05">
        <w:t xml:space="preserve"> will return for definitive surgery after initial decompression. Assuming </w:t>
      </w:r>
      <w:r w:rsidR="00325797">
        <w:t>a</w:t>
      </w:r>
      <w:r w:rsidRPr="00BB3C05">
        <w:t xml:space="preserve"> technical success</w:t>
      </w:r>
      <w:r w:rsidR="00325797">
        <w:t xml:space="preserve"> rate of 90 per cent</w:t>
      </w:r>
      <w:r w:rsidR="00355AED">
        <w:t>,</w:t>
      </w:r>
      <w:r w:rsidRPr="00BB3C05">
        <w:t xml:space="preserve"> </w:t>
      </w:r>
      <w:r w:rsidR="00355AED">
        <w:t>it is</w:t>
      </w:r>
      <w:r w:rsidR="00325797">
        <w:t xml:space="preserve"> estimated that there would be</w:t>
      </w:r>
      <w:r w:rsidRPr="00BB3C05">
        <w:t xml:space="preserve"> 550 fewer emergency abdominal procedures </w:t>
      </w:r>
      <w:r w:rsidR="00325797">
        <w:t xml:space="preserve">performed for large bowel obstruction </w:t>
      </w:r>
      <w:r w:rsidRPr="00BB3C05">
        <w:t>per year</w:t>
      </w:r>
      <w:r w:rsidR="00325797">
        <w:t xml:space="preserve">. </w:t>
      </w:r>
      <w:r w:rsidRPr="00BB3C05">
        <w:t>Approximately 10</w:t>
      </w:r>
      <w:r w:rsidR="00325797">
        <w:t xml:space="preserve"> per cent</w:t>
      </w:r>
      <w:r w:rsidRPr="00BB3C05">
        <w:t xml:space="preserve"> of</w:t>
      </w:r>
      <w:r w:rsidR="00325797">
        <w:t xml:space="preserve"> the</w:t>
      </w:r>
      <w:r w:rsidRPr="00BB3C05">
        <w:t xml:space="preserve"> stents currently </w:t>
      </w:r>
      <w:r w:rsidR="00325797">
        <w:t xml:space="preserve">deployed are </w:t>
      </w:r>
      <w:r w:rsidRPr="00BB3C05">
        <w:t xml:space="preserve">used as a bridge to surgery, </w:t>
      </w:r>
      <w:r w:rsidR="00325797">
        <w:t>these</w:t>
      </w:r>
      <w:r w:rsidRPr="00BB3C05">
        <w:t xml:space="preserve"> patients will ultimately return for </w:t>
      </w:r>
      <w:r w:rsidR="00355AED" w:rsidRPr="00BB3C05">
        <w:t>single</w:t>
      </w:r>
      <w:r w:rsidR="00355AED">
        <w:t>-</w:t>
      </w:r>
      <w:r w:rsidRPr="00BB3C05">
        <w:t>stage resection. Previously</w:t>
      </w:r>
      <w:r w:rsidR="00355AED">
        <w:t>,</w:t>
      </w:r>
      <w:r w:rsidRPr="00BB3C05">
        <w:t xml:space="preserve"> the majority of these patients would have required two </w:t>
      </w:r>
      <w:r w:rsidR="00325797">
        <w:t xml:space="preserve">separate </w:t>
      </w:r>
      <w:r w:rsidRPr="00BB3C05">
        <w:t>surger</w:t>
      </w:r>
      <w:r w:rsidR="00325797">
        <w:t>ies</w:t>
      </w:r>
      <w:r w:rsidRPr="00BB3C05">
        <w:t>.</w:t>
      </w:r>
    </w:p>
    <w:p w:rsidR="0038576A" w:rsidRPr="00BB3C05" w:rsidRDefault="004F3970" w:rsidP="000637F0">
      <w:pPr>
        <w:pStyle w:val="Heading2"/>
      </w:pPr>
      <w:bookmarkStart w:id="67" w:name="_Toc214339164"/>
      <w:bookmarkStart w:id="68" w:name="_Toc352924406"/>
      <w:r w:rsidRPr="00BB3C05">
        <w:t>Existing procedures</w:t>
      </w:r>
      <w:bookmarkEnd w:id="67"/>
      <w:bookmarkEnd w:id="68"/>
      <w:r w:rsidR="0038576A" w:rsidRPr="00BB3C05">
        <w:t xml:space="preserve"> </w:t>
      </w:r>
    </w:p>
    <w:p w:rsidR="00933D06" w:rsidRPr="00BB3C05" w:rsidRDefault="00933D06" w:rsidP="000637F0">
      <w:pPr>
        <w:pStyle w:val="Heading3"/>
      </w:pPr>
      <w:r w:rsidRPr="00BB3C05">
        <w:t>Surgical management</w:t>
      </w:r>
    </w:p>
    <w:p w:rsidR="00325797" w:rsidRDefault="001B3F34" w:rsidP="001B3F34">
      <w:r w:rsidRPr="00BB3C05">
        <w:t xml:space="preserve">Surgical resection is </w:t>
      </w:r>
      <w:r w:rsidR="00325797">
        <w:t xml:space="preserve">currently </w:t>
      </w:r>
      <w:r w:rsidRPr="00BB3C05">
        <w:t xml:space="preserve">the gold standard treatment </w:t>
      </w:r>
      <w:r w:rsidR="00355AED">
        <w:t>for</w:t>
      </w:r>
      <w:r w:rsidR="00355AED" w:rsidRPr="00BB3C05">
        <w:t xml:space="preserve"> </w:t>
      </w:r>
      <w:r w:rsidRPr="00BB3C05">
        <w:t>managing colorectal obstruction. It may be carried out as a one-stage, two-stage or even three-stage procedure. For right</w:t>
      </w:r>
      <w:r w:rsidR="00355AED">
        <w:t>-</w:t>
      </w:r>
      <w:r w:rsidRPr="00BB3C05">
        <w:t xml:space="preserve"> and </w:t>
      </w:r>
      <w:r w:rsidR="00355AED" w:rsidRPr="00BB3C05">
        <w:t>left</w:t>
      </w:r>
      <w:r w:rsidR="00355AED">
        <w:t>-</w:t>
      </w:r>
      <w:r w:rsidRPr="00BB3C05">
        <w:t>sided malignancies, a hemi-colectomy with primary anastomosis is preferably performed as a one-stage procedure: the diseased section of bowel is excised, and the free ends of the bowel are re-joined during the same procedure to restore bowel function</w:t>
      </w:r>
      <w:r w:rsidR="00432638" w:rsidRPr="00BB3C05">
        <w:t xml:space="preserve"> </w:t>
      </w:r>
      <w:r w:rsidRPr="00BB3C05">
        <w:t xml:space="preserve">(Breitenstein et al 2007). </w:t>
      </w:r>
    </w:p>
    <w:p w:rsidR="001B3F34" w:rsidRPr="005646B6" w:rsidRDefault="001B3F34" w:rsidP="001B3F34">
      <w:r w:rsidRPr="00BB3C05">
        <w:t>Single</w:t>
      </w:r>
      <w:r w:rsidR="00D918B6">
        <w:t>-</w:t>
      </w:r>
      <w:r w:rsidRPr="00BB3C05">
        <w:t>stage resection and anastomosis</w:t>
      </w:r>
      <w:r w:rsidR="00D918B6">
        <w:t xml:space="preserve"> (primary anastomosis)</w:t>
      </w:r>
      <w:r w:rsidRPr="00BB3C05">
        <w:t xml:space="preserve"> is the preferred </w:t>
      </w:r>
      <w:r w:rsidR="00D918B6">
        <w:t xml:space="preserve">treatment </w:t>
      </w:r>
      <w:r w:rsidRPr="00BB3C05">
        <w:t>option for large bowel obstruction, but not all patients or tumours are candidates for single</w:t>
      </w:r>
      <w:r w:rsidR="00D918B6">
        <w:t>-</w:t>
      </w:r>
      <w:r w:rsidRPr="00BB3C05">
        <w:t>stage surgery (Dauphine et al 2002). This may relate to various factors including patient comorbidity, tumour stage or size</w:t>
      </w:r>
      <w:r w:rsidR="00166D79">
        <w:t>,</w:t>
      </w:r>
      <w:r w:rsidR="00D918B6">
        <w:t xml:space="preserve"> and the expertise of the surgeon. </w:t>
      </w:r>
    </w:p>
    <w:p w:rsidR="00D918B6" w:rsidRDefault="00D918B6" w:rsidP="001B3F34">
      <w:r w:rsidRPr="00D918B6">
        <w:t>In general, a two-stage procedure involves resecting the diseased bowel (Hartmann’s resection) and creating a stoma, in which one end of the colon is drawn through the abdominal wall and sutured in place (colostomy). A second operation is then performed at a later date to restore bowel continuity. Hartmann’s resection is commonly performed when the obstruction is left-sided, the patient is comparatively fit for surgery or the cancer is not too advanced.</w:t>
      </w:r>
      <w:r w:rsidR="00CF1FED">
        <w:t xml:space="preserve"> </w:t>
      </w:r>
      <w:r w:rsidRPr="00D918B6">
        <w:t>Colostomy is generally performed when the obstruction is right-sided, the patient is unfit for single-stage resection due to severe comorbidities or the cancer is too advanced. Hartmann's resection and colostomy are usually employed as staged procedures for palliative purposes in patients with obstructive colonic lesions. Alternatively, the stoma may be closed during a third procedure (De Salvo et al 2002). The three-stage procedure involves diversion of faecal matter by colostomy to decompress the dilated bowel (isolated stoma formation), followed by colonic resection and, as a third step, closure of the colostomy (Breitenstein et al 2007).</w:t>
      </w:r>
    </w:p>
    <w:p w:rsidR="00D918B6" w:rsidRDefault="00355AED" w:rsidP="001B3F34">
      <w:r w:rsidRPr="00D918B6">
        <w:t>Single</w:t>
      </w:r>
      <w:r>
        <w:t>-</w:t>
      </w:r>
      <w:r w:rsidR="00D918B6" w:rsidRPr="00D918B6">
        <w:t>staged resection (</w:t>
      </w:r>
      <w:r w:rsidR="00F43C7C">
        <w:t>p</w:t>
      </w:r>
      <w:r w:rsidR="00D918B6" w:rsidRPr="00D918B6">
        <w:t>rimary anastomosis) is performed under general anaesthesia as open surgery (laparotomy)</w:t>
      </w:r>
      <w:r>
        <w:t>.</w:t>
      </w:r>
      <w:r w:rsidR="00D918B6" w:rsidRPr="00D918B6">
        <w:t xml:space="preserve"> Hartmann’s resection is performed under general anaesthesia, whereas stoma creation can be performed under general or regional anaesthesia. Hartmann’s resection and colostomy can be performed via laparotomy or laparoscopy.  </w:t>
      </w:r>
    </w:p>
    <w:p w:rsidR="001B3F34" w:rsidRPr="009E5C53" w:rsidRDefault="00B453EC" w:rsidP="001B3F34">
      <w:r>
        <w:t>Patients with</w:t>
      </w:r>
      <w:r w:rsidR="001B3F34" w:rsidRPr="00A87C52">
        <w:t xml:space="preserve"> colorectal obstruction</w:t>
      </w:r>
      <w:r>
        <w:t xml:space="preserve"> that is</w:t>
      </w:r>
      <w:r w:rsidR="001B3F34" w:rsidRPr="00A87C52">
        <w:t xml:space="preserve"> secondary to a malignancy </w:t>
      </w:r>
      <w:r>
        <w:t xml:space="preserve">usually present </w:t>
      </w:r>
      <w:r w:rsidR="001B3F34" w:rsidRPr="00A87C52">
        <w:t>a</w:t>
      </w:r>
      <w:r w:rsidR="0076309D" w:rsidRPr="00A87C52">
        <w:t>s a surgical emergency</w:t>
      </w:r>
      <w:r>
        <w:t>. Consequently</w:t>
      </w:r>
      <w:r w:rsidR="00355AED">
        <w:t>,</w:t>
      </w:r>
      <w:r>
        <w:t xml:space="preserve"> these</w:t>
      </w:r>
      <w:r w:rsidR="001B3F34" w:rsidRPr="00F13A5A">
        <w:t xml:space="preserve"> patient</w:t>
      </w:r>
      <w:r w:rsidR="003D1B91">
        <w:t>s</w:t>
      </w:r>
      <w:r w:rsidR="001B3F34" w:rsidRPr="00E767D0">
        <w:t xml:space="preserve"> are </w:t>
      </w:r>
      <w:r>
        <w:t xml:space="preserve">often </w:t>
      </w:r>
      <w:r w:rsidR="001B3F34" w:rsidRPr="00E767D0">
        <w:t xml:space="preserve">already frail </w:t>
      </w:r>
      <w:r>
        <w:t>as a result of</w:t>
      </w:r>
      <w:r w:rsidR="001B3F34" w:rsidRPr="00E767D0">
        <w:t xml:space="preserve"> their underlying disease </w:t>
      </w:r>
      <w:r>
        <w:t xml:space="preserve">and are </w:t>
      </w:r>
      <w:r w:rsidR="001B3F34" w:rsidRPr="00E767D0">
        <w:t xml:space="preserve">not eligible </w:t>
      </w:r>
      <w:r>
        <w:t xml:space="preserve">to undergo </w:t>
      </w:r>
      <w:r w:rsidR="001B3F34" w:rsidRPr="00E767D0">
        <w:t xml:space="preserve">an invasive single-stage procedure </w:t>
      </w:r>
      <w:r w:rsidR="001B3F34" w:rsidRPr="00E767D0">
        <w:lastRenderedPageBreak/>
        <w:t xml:space="preserve">without adequate bowel preparation. </w:t>
      </w:r>
      <w:r>
        <w:t>S</w:t>
      </w:r>
      <w:r w:rsidR="001B3F34" w:rsidRPr="00E767D0">
        <w:t>ingle</w:t>
      </w:r>
      <w:r>
        <w:t>-</w:t>
      </w:r>
      <w:r w:rsidR="001B3F34" w:rsidRPr="00E767D0">
        <w:t>stage resection</w:t>
      </w:r>
      <w:r>
        <w:t xml:space="preserve"> performed</w:t>
      </w:r>
      <w:r w:rsidR="001B3F34" w:rsidRPr="00E767D0">
        <w:t xml:space="preserve"> in an emergency setting </w:t>
      </w:r>
      <w:r w:rsidR="00355AED">
        <w:t xml:space="preserve">also </w:t>
      </w:r>
      <w:r>
        <w:t>carries a</w:t>
      </w:r>
      <w:r w:rsidR="001B3F34" w:rsidRPr="00E767D0">
        <w:t xml:space="preserve"> greater </w:t>
      </w:r>
      <w:r>
        <w:t xml:space="preserve">risk of </w:t>
      </w:r>
      <w:r w:rsidR="001B3F34" w:rsidRPr="00E767D0">
        <w:t>morbidit</w:t>
      </w:r>
      <w:r w:rsidR="001B3F34" w:rsidRPr="00BE3EA8">
        <w:t xml:space="preserve">y </w:t>
      </w:r>
      <w:r w:rsidRPr="00B453EC">
        <w:t xml:space="preserve">than an elective procedure (De Salvo et al 2002; McArdle and Hole 2004). </w:t>
      </w:r>
      <w:r>
        <w:t>T</w:t>
      </w:r>
      <w:r w:rsidR="00DC03B4" w:rsidRPr="00BE3EA8">
        <w:t>herefore</w:t>
      </w:r>
      <w:r>
        <w:t>,</w:t>
      </w:r>
      <w:r w:rsidR="00DC03B4" w:rsidRPr="00BE3EA8">
        <w:t xml:space="preserve"> surg</w:t>
      </w:r>
      <w:r>
        <w:t>ery to relieve colonic o</w:t>
      </w:r>
      <w:r w:rsidR="003D1B91">
        <w:t>bstruction is usually performed</w:t>
      </w:r>
      <w:r w:rsidR="001B3F34" w:rsidRPr="00BE3EA8">
        <w:t xml:space="preserve"> in two or three stages</w:t>
      </w:r>
      <w:r w:rsidR="00355AED">
        <w:t xml:space="preserve"> when possible</w:t>
      </w:r>
      <w:r>
        <w:t xml:space="preserve">, particularly for </w:t>
      </w:r>
      <w:r w:rsidR="001B3F34" w:rsidRPr="00BE3EA8">
        <w:t xml:space="preserve">patients </w:t>
      </w:r>
      <w:r>
        <w:t xml:space="preserve">who have </w:t>
      </w:r>
      <w:r w:rsidR="001B3F34" w:rsidRPr="00BE3EA8">
        <w:t xml:space="preserve">non-resectable metastatic disease </w:t>
      </w:r>
      <w:r>
        <w:t>o</w:t>
      </w:r>
      <w:r w:rsidR="001B3F34" w:rsidRPr="00BE3EA8">
        <w:t>r</w:t>
      </w:r>
      <w:r>
        <w:t xml:space="preserve"> are</w:t>
      </w:r>
      <w:r w:rsidR="001B3F34" w:rsidRPr="00BE3EA8">
        <w:t xml:space="preserve"> unfit for single</w:t>
      </w:r>
      <w:r>
        <w:t>-</w:t>
      </w:r>
      <w:r w:rsidR="001B3F34" w:rsidRPr="00BE3EA8">
        <w:t>stage resection (Gainant 201</w:t>
      </w:r>
      <w:r w:rsidR="004A556E">
        <w:t>2</w:t>
      </w:r>
      <w:r w:rsidR="001B3F34" w:rsidRPr="00BE3EA8">
        <w:t xml:space="preserve">). </w:t>
      </w:r>
    </w:p>
    <w:p w:rsidR="001B3F34" w:rsidRPr="00325C69" w:rsidRDefault="001B3F34" w:rsidP="003D1B91">
      <w:r w:rsidRPr="00BE3EA8">
        <w:t xml:space="preserve">Most patients who are in the terminal stage of </w:t>
      </w:r>
      <w:r w:rsidR="00B453EC">
        <w:t>cancer</w:t>
      </w:r>
      <w:r w:rsidRPr="00BE3EA8">
        <w:t xml:space="preserve"> and </w:t>
      </w:r>
      <w:r w:rsidR="00B453EC">
        <w:t xml:space="preserve">have </w:t>
      </w:r>
      <w:r w:rsidRPr="00BE3EA8">
        <w:t>receiv</w:t>
      </w:r>
      <w:r w:rsidR="00B453EC">
        <w:t>ed</w:t>
      </w:r>
      <w:r w:rsidRPr="00BE3EA8">
        <w:t xml:space="preserve"> a staged resection never </w:t>
      </w:r>
      <w:r w:rsidR="00B453EC">
        <w:t>have the</w:t>
      </w:r>
      <w:r w:rsidRPr="00BE3EA8">
        <w:t xml:space="preserve"> colostomy </w:t>
      </w:r>
      <w:r w:rsidR="00B453EC">
        <w:t>reversed</w:t>
      </w:r>
      <w:r w:rsidRPr="00BE3EA8">
        <w:t xml:space="preserve"> (Mauro et al 2000). </w:t>
      </w:r>
      <w:r w:rsidR="00B453EC">
        <w:t>Nonetheless, s</w:t>
      </w:r>
      <w:r w:rsidRPr="00BE3EA8">
        <w:t xml:space="preserve">toma creation has a </w:t>
      </w:r>
      <w:r w:rsidR="00B453EC">
        <w:t>deleterious effect</w:t>
      </w:r>
      <w:r w:rsidRPr="00BE3EA8">
        <w:t xml:space="preserve"> on </w:t>
      </w:r>
      <w:r w:rsidR="00B453EC">
        <w:t xml:space="preserve">the </w:t>
      </w:r>
      <w:r w:rsidRPr="008F42F9">
        <w:t xml:space="preserve">psychological wellbeing </w:t>
      </w:r>
      <w:r w:rsidR="00B453EC">
        <w:t xml:space="preserve">of patients </w:t>
      </w:r>
      <w:r w:rsidRPr="008F42F9">
        <w:t>and c</w:t>
      </w:r>
      <w:r w:rsidR="00B453EC">
        <w:t>an</w:t>
      </w:r>
      <w:r w:rsidRPr="008F42F9">
        <w:t xml:space="preserve"> be a burden to </w:t>
      </w:r>
      <w:r w:rsidR="00B453EC">
        <w:t xml:space="preserve">patients, as well as their </w:t>
      </w:r>
      <w:r w:rsidRPr="008F42F9">
        <w:t xml:space="preserve">carers, </w:t>
      </w:r>
      <w:r w:rsidR="003D1B91">
        <w:t xml:space="preserve">during the final months of life (Karadag et al 2003). </w:t>
      </w:r>
    </w:p>
    <w:p w:rsidR="00FD48E2" w:rsidRPr="00A3741F" w:rsidRDefault="00D918B6" w:rsidP="00F332E9">
      <w:r>
        <w:t>Common adverse events associated with surgical resection include b</w:t>
      </w:r>
      <w:r w:rsidR="001B3F34" w:rsidRPr="007D5B7C">
        <w:t>leeding, leakage, wound dehiscence, infection, abscess, peritonitis, parastomal hernia, paralytic ileus, fistuli</w:t>
      </w:r>
      <w:r w:rsidR="005646B6">
        <w:t>s</w:t>
      </w:r>
      <w:r w:rsidR="001B3F34" w:rsidRPr="005646B6">
        <w:t>ation, prolapse, necrosis, stoma</w:t>
      </w:r>
      <w:r w:rsidRPr="00D918B6">
        <w:t xml:space="preserve"> </w:t>
      </w:r>
      <w:r w:rsidRPr="005646B6">
        <w:t>retraction</w:t>
      </w:r>
      <w:r w:rsidR="001B3F34" w:rsidRPr="005646B6">
        <w:t xml:space="preserve">, skin irritation around </w:t>
      </w:r>
      <w:r>
        <w:t xml:space="preserve">the </w:t>
      </w:r>
      <w:r w:rsidR="001B3F34" w:rsidRPr="005646B6">
        <w:t xml:space="preserve">stoma </w:t>
      </w:r>
      <w:r>
        <w:t xml:space="preserve">and </w:t>
      </w:r>
      <w:r w:rsidR="001B3F34" w:rsidRPr="005646B6">
        <w:t>damage to neighbo</w:t>
      </w:r>
      <w:r w:rsidR="005646B6">
        <w:t>u</w:t>
      </w:r>
      <w:r w:rsidR="001B3F34" w:rsidRPr="005646B6">
        <w:t>ring organs (</w:t>
      </w:r>
      <w:r w:rsidR="00CE0D06">
        <w:t>eg</w:t>
      </w:r>
      <w:r w:rsidR="001B3F34" w:rsidRPr="005646B6">
        <w:t xml:space="preserve"> urethral injury)</w:t>
      </w:r>
      <w:r w:rsidR="001B3F34" w:rsidRPr="00A87C52">
        <w:t xml:space="preserve">. Stoma creation has a mortality risk of </w:t>
      </w:r>
      <w:r w:rsidR="00F779A9" w:rsidRPr="00F13A5A">
        <w:t>up to 24</w:t>
      </w:r>
      <w:r>
        <w:t xml:space="preserve"> per cent</w:t>
      </w:r>
      <w:r w:rsidR="0076309D" w:rsidRPr="00E767D0">
        <w:t xml:space="preserve"> </w:t>
      </w:r>
      <w:r w:rsidR="00F779A9" w:rsidRPr="00BE3EA8">
        <w:t>(</w:t>
      </w:r>
      <w:r w:rsidRPr="00BE3EA8">
        <w:t>Deans et al 1994</w:t>
      </w:r>
      <w:r>
        <w:t xml:space="preserve">; </w:t>
      </w:r>
      <w:r w:rsidR="00F779A9" w:rsidRPr="00BE3EA8">
        <w:t>Martinez-Santos</w:t>
      </w:r>
      <w:r w:rsidR="00F43C7C">
        <w:t xml:space="preserve"> </w:t>
      </w:r>
      <w:r w:rsidR="00F779A9" w:rsidRPr="00BE3EA8">
        <w:t xml:space="preserve">et al 2002). </w:t>
      </w:r>
      <w:r w:rsidR="0076309D" w:rsidRPr="00BE3EA8">
        <w:t xml:space="preserve"> </w:t>
      </w:r>
      <w:r w:rsidR="001B3F34" w:rsidRPr="00BE3EA8">
        <w:t xml:space="preserve"> </w:t>
      </w:r>
    </w:p>
    <w:p w:rsidR="00933D06" w:rsidRPr="008F42F9" w:rsidRDefault="00933D06" w:rsidP="000637F0">
      <w:pPr>
        <w:pStyle w:val="Heading3"/>
      </w:pPr>
      <w:r w:rsidRPr="008F42F9">
        <w:t xml:space="preserve">Best supportive care  </w:t>
      </w:r>
    </w:p>
    <w:p w:rsidR="00933D06" w:rsidRPr="00584C29" w:rsidRDefault="00933D06" w:rsidP="000637F0">
      <w:r w:rsidRPr="008F42F9">
        <w:t xml:space="preserve">While the majority of patients </w:t>
      </w:r>
      <w:r w:rsidR="00A02CEB">
        <w:t>with malignant colonic obstruction are</w:t>
      </w:r>
      <w:r w:rsidRPr="008F42F9">
        <w:t xml:space="preserve"> eligible for </w:t>
      </w:r>
      <w:r w:rsidR="00A02CEB">
        <w:t>surgical intervention</w:t>
      </w:r>
      <w:r w:rsidRPr="008F42F9">
        <w:t xml:space="preserve">, patients </w:t>
      </w:r>
      <w:r w:rsidR="00A02CEB">
        <w:t xml:space="preserve">who are </w:t>
      </w:r>
      <w:r w:rsidRPr="008F42F9">
        <w:t xml:space="preserve">medically unfit for </w:t>
      </w:r>
      <w:r w:rsidR="00A02CEB">
        <w:t>surgery</w:t>
      </w:r>
      <w:r w:rsidRPr="008F42F9">
        <w:t xml:space="preserve"> would receive best supportive care. </w:t>
      </w:r>
      <w:r w:rsidR="00A02CEB">
        <w:t>S</w:t>
      </w:r>
      <w:r w:rsidRPr="008F42F9">
        <w:t>upportive care for cancer patients</w:t>
      </w:r>
      <w:r w:rsidR="00A02CEB">
        <w:t xml:space="preserve"> comprises</w:t>
      </w:r>
      <w:r w:rsidRPr="008F42F9">
        <w:t xml:space="preserve"> </w:t>
      </w:r>
      <w:r w:rsidR="00873907" w:rsidRPr="008F42F9">
        <w:t>multidisciplinary attention</w:t>
      </w:r>
      <w:r w:rsidRPr="00325C69">
        <w:t xml:space="preserve"> to </w:t>
      </w:r>
      <w:r w:rsidR="00A02CEB">
        <w:t>a</w:t>
      </w:r>
      <w:r w:rsidRPr="00325C69">
        <w:t xml:space="preserve"> patien</w:t>
      </w:r>
      <w:r w:rsidRPr="007D5B7C">
        <w:t>t’s overall physical, social, psychosocial, spiritual and cultural needs</w:t>
      </w:r>
      <w:r w:rsidR="00A02CEB">
        <w:t xml:space="preserve"> </w:t>
      </w:r>
      <w:r w:rsidRPr="007D5B7C">
        <w:t>regardless of</w:t>
      </w:r>
      <w:r w:rsidR="00A02CEB">
        <w:t xml:space="preserve"> whether</w:t>
      </w:r>
      <w:r w:rsidRPr="007D5B7C">
        <w:t xml:space="preserve"> the anti-cancer treatment</w:t>
      </w:r>
      <w:r w:rsidR="00A02CEB">
        <w:t xml:space="preserve"> being administered </w:t>
      </w:r>
      <w:r w:rsidR="00682CBC">
        <w:t>as</w:t>
      </w:r>
      <w:r w:rsidR="00A02CEB">
        <w:t xml:space="preserve"> curative or palliative</w:t>
      </w:r>
      <w:r w:rsidRPr="007D5B7C">
        <w:t xml:space="preserve">. </w:t>
      </w:r>
      <w:r w:rsidR="00A02CEB">
        <w:t>This</w:t>
      </w:r>
      <w:r w:rsidRPr="007D5B7C">
        <w:t xml:space="preserve"> helps patient</w:t>
      </w:r>
      <w:r w:rsidR="00A02CEB">
        <w:t>s</w:t>
      </w:r>
      <w:r w:rsidRPr="007D5B7C">
        <w:t xml:space="preserve"> to maximi</w:t>
      </w:r>
      <w:r w:rsidR="00A02CEB">
        <w:t>s</w:t>
      </w:r>
      <w:r w:rsidRPr="007D5B7C">
        <w:t xml:space="preserve">e the benefits of </w:t>
      </w:r>
      <w:r w:rsidR="00A02CEB">
        <w:t xml:space="preserve">their </w:t>
      </w:r>
      <w:r w:rsidRPr="007D5B7C">
        <w:t>treatment and to live as comfortabl</w:t>
      </w:r>
      <w:r w:rsidR="00FE21F6" w:rsidRPr="007D5B7C">
        <w:t>y</w:t>
      </w:r>
      <w:r w:rsidRPr="007D5B7C">
        <w:t xml:space="preserve"> as possible (</w:t>
      </w:r>
      <w:r w:rsidR="00A02CEB" w:rsidRPr="007D5B7C">
        <w:t>Ahmedzai et al 2001</w:t>
      </w:r>
      <w:r w:rsidR="00A02CEB">
        <w:t xml:space="preserve">; </w:t>
      </w:r>
      <w:r w:rsidRPr="007D5B7C">
        <w:t>NICE 2004</w:t>
      </w:r>
      <w:r w:rsidR="00256A0B">
        <w:t>a; NICE 2004b</w:t>
      </w:r>
      <w:r w:rsidRPr="007D5B7C">
        <w:t xml:space="preserve">). </w:t>
      </w:r>
      <w:r w:rsidR="00A02CEB">
        <w:t>F</w:t>
      </w:r>
      <w:r w:rsidRPr="007D5B7C">
        <w:t xml:space="preserve">or patients </w:t>
      </w:r>
      <w:r w:rsidR="00A02CEB">
        <w:t>with</w:t>
      </w:r>
      <w:r w:rsidRPr="007D5B7C">
        <w:t xml:space="preserve"> advanced gastrointestinal cancer</w:t>
      </w:r>
      <w:r w:rsidR="00A02CEB">
        <w:t>, be</w:t>
      </w:r>
      <w:r w:rsidR="00A02CEB" w:rsidRPr="007D5B7C">
        <w:t xml:space="preserve">st supportive care </w:t>
      </w:r>
      <w:r w:rsidR="00FE21F6" w:rsidRPr="007D5B7C">
        <w:t>aims to prolong</w:t>
      </w:r>
      <w:r w:rsidRPr="007D5B7C">
        <w:t xml:space="preserve"> survival and </w:t>
      </w:r>
      <w:r w:rsidR="00FE21F6" w:rsidRPr="007D5B7C">
        <w:t xml:space="preserve">improve </w:t>
      </w:r>
      <w:r w:rsidRPr="00960A9E">
        <w:t xml:space="preserve">quality of life </w:t>
      </w:r>
      <w:r w:rsidR="00873907" w:rsidRPr="00EA2600">
        <w:t xml:space="preserve">through </w:t>
      </w:r>
      <w:r w:rsidR="00A02CEB">
        <w:t xml:space="preserve">a </w:t>
      </w:r>
      <w:r w:rsidR="00873907" w:rsidRPr="00EA2600">
        <w:t>combination</w:t>
      </w:r>
      <w:r w:rsidRPr="00EA2600">
        <w:t xml:space="preserve"> of chemotherapy</w:t>
      </w:r>
      <w:r w:rsidR="00FE21F6" w:rsidRPr="00EA2600">
        <w:t>, radiotherapy, palliation</w:t>
      </w:r>
      <w:r w:rsidRPr="00EA2600">
        <w:t xml:space="preserve"> and </w:t>
      </w:r>
      <w:r w:rsidR="00FE21F6" w:rsidRPr="00EC591E">
        <w:t>ongoing medical management</w:t>
      </w:r>
      <w:r w:rsidRPr="00EC591E">
        <w:t xml:space="preserve"> (Ahmed et al 2004</w:t>
      </w:r>
      <w:r w:rsidR="00256A0B">
        <w:t>; NICE 2004b</w:t>
      </w:r>
      <w:r w:rsidRPr="00EC591E">
        <w:t>)</w:t>
      </w:r>
      <w:r w:rsidR="00FE21F6" w:rsidRPr="00EC591E">
        <w:t xml:space="preserve"> that is ba</w:t>
      </w:r>
      <w:r w:rsidR="00FE21F6" w:rsidRPr="00430AA8">
        <w:t>sed on individual needs</w:t>
      </w:r>
      <w:r w:rsidRPr="003A67FE">
        <w:t xml:space="preserve">. </w:t>
      </w:r>
      <w:r w:rsidR="00A02CEB">
        <w:t xml:space="preserve">Thus, it is possible for some </w:t>
      </w:r>
      <w:r w:rsidRPr="003A67FE">
        <w:t>patient</w:t>
      </w:r>
      <w:r w:rsidR="00FE21F6" w:rsidRPr="003A67FE">
        <w:t xml:space="preserve">s </w:t>
      </w:r>
      <w:r w:rsidRPr="003A67FE">
        <w:t>receiv</w:t>
      </w:r>
      <w:r w:rsidR="00FE21F6" w:rsidRPr="00347DAA">
        <w:t>ing</w:t>
      </w:r>
      <w:r w:rsidRPr="009672A9">
        <w:t xml:space="preserve"> best supportive care </w:t>
      </w:r>
      <w:r w:rsidR="00A02CEB">
        <w:t>to</w:t>
      </w:r>
      <w:r w:rsidR="00A02CEB" w:rsidRPr="009672A9">
        <w:t xml:space="preserve"> </w:t>
      </w:r>
      <w:r w:rsidRPr="009672A9">
        <w:t xml:space="preserve">improve </w:t>
      </w:r>
      <w:r w:rsidR="00FE21F6" w:rsidRPr="009672A9">
        <w:t>during this treatment</w:t>
      </w:r>
      <w:r w:rsidR="006E5020" w:rsidRPr="00584C29">
        <w:t xml:space="preserve">. </w:t>
      </w:r>
    </w:p>
    <w:p w:rsidR="00933D06" w:rsidRPr="00DA0155" w:rsidRDefault="00933D06" w:rsidP="000637F0">
      <w:pPr>
        <w:pStyle w:val="Heading3"/>
      </w:pPr>
      <w:r w:rsidRPr="00DA0155">
        <w:t xml:space="preserve">Other management </w:t>
      </w:r>
    </w:p>
    <w:p w:rsidR="006E5020" w:rsidRPr="008F42F9" w:rsidRDefault="00A02CEB" w:rsidP="000637F0">
      <w:r>
        <w:t>E</w:t>
      </w:r>
      <w:r w:rsidR="00933D06" w:rsidRPr="00CF31D5">
        <w:t>ndoscopic ablation techniques</w:t>
      </w:r>
      <w:r>
        <w:t>,</w:t>
      </w:r>
      <w:r w:rsidR="00933D06" w:rsidRPr="00CF31D5">
        <w:t xml:space="preserve"> such as cryotherapy, electrocoagulation, argon plasma coagulation</w:t>
      </w:r>
      <w:r>
        <w:t>,</w:t>
      </w:r>
      <w:r w:rsidR="00933D06" w:rsidRPr="00CF31D5">
        <w:t xml:space="preserve"> photody</w:t>
      </w:r>
      <w:r w:rsidR="00933D06" w:rsidRPr="00A550ED">
        <w:t>namic therapy</w:t>
      </w:r>
      <w:r>
        <w:t xml:space="preserve"> and</w:t>
      </w:r>
      <w:r w:rsidR="00933D06" w:rsidRPr="00A550ED">
        <w:t xml:space="preserve"> </w:t>
      </w:r>
      <w:r w:rsidR="006204F5" w:rsidRPr="0055406F">
        <w:t>n</w:t>
      </w:r>
      <w:r w:rsidR="00933D06" w:rsidRPr="0055406F">
        <w:t>eodymium</w:t>
      </w:r>
      <w:r>
        <w:t>-</w:t>
      </w:r>
      <w:r w:rsidR="00933D06" w:rsidRPr="0055406F">
        <w:t>yttrium</w:t>
      </w:r>
      <w:r>
        <w:t>-</w:t>
      </w:r>
      <w:r w:rsidR="00933D06" w:rsidRPr="0055406F">
        <w:t>argon</w:t>
      </w:r>
      <w:r>
        <w:t>-</w:t>
      </w:r>
      <w:r w:rsidR="00933D06" w:rsidRPr="0055406F">
        <w:t>garnet</w:t>
      </w:r>
      <w:r w:rsidR="00933D06" w:rsidRPr="004C658D">
        <w:t xml:space="preserve"> laser therapy have also been used </w:t>
      </w:r>
      <w:r>
        <w:t>to treat</w:t>
      </w:r>
      <w:r w:rsidR="00933D06" w:rsidRPr="004C658D">
        <w:t xml:space="preserve"> colorectal obstruction</w:t>
      </w:r>
      <w:r w:rsidR="00003831">
        <w:t xml:space="preserve"> </w:t>
      </w:r>
      <w:r w:rsidR="00933D06" w:rsidRPr="00003831">
        <w:t xml:space="preserve">(Kimmey 2004). Laser therapy </w:t>
      </w:r>
      <w:r>
        <w:t>can</w:t>
      </w:r>
      <w:r w:rsidR="00933D06" w:rsidRPr="00003831">
        <w:t xml:space="preserve"> restore </w:t>
      </w:r>
      <w:r>
        <w:t xml:space="preserve">bowel </w:t>
      </w:r>
      <w:r w:rsidR="00933D06" w:rsidRPr="00003831">
        <w:t>patency when used on its own</w:t>
      </w:r>
      <w:r>
        <w:t xml:space="preserve">, but </w:t>
      </w:r>
      <w:r w:rsidR="00933D06" w:rsidRPr="00003831">
        <w:t xml:space="preserve">obstruction usually </w:t>
      </w:r>
      <w:r>
        <w:t>re</w:t>
      </w:r>
      <w:r w:rsidR="00933D06" w:rsidRPr="00003831">
        <w:t xml:space="preserve">occurs quite rapidly. </w:t>
      </w:r>
      <w:r w:rsidR="00933D06" w:rsidRPr="00A87C52">
        <w:t xml:space="preserve">Balloon dilation and decompression </w:t>
      </w:r>
      <w:r w:rsidR="002B635A" w:rsidRPr="00F13A5A">
        <w:t xml:space="preserve">drainage </w:t>
      </w:r>
      <w:r w:rsidR="00933D06" w:rsidRPr="00E767D0">
        <w:t xml:space="preserve">tubes are other alternative treatments </w:t>
      </w:r>
      <w:r>
        <w:t xml:space="preserve">for </w:t>
      </w:r>
      <w:r w:rsidR="00933D06" w:rsidRPr="00E767D0">
        <w:t>managing colorectal obstruction</w:t>
      </w:r>
      <w:r w:rsidR="00222939" w:rsidRPr="00BE3EA8">
        <w:t xml:space="preserve"> (Tanaka et al 2001</w:t>
      </w:r>
      <w:r w:rsidR="00177230" w:rsidRPr="00BE3EA8">
        <w:t>)</w:t>
      </w:r>
      <w:r w:rsidR="00933D06" w:rsidRPr="00BE3EA8">
        <w:t xml:space="preserve">. </w:t>
      </w:r>
      <w:r>
        <w:t xml:space="preserve">However, the </w:t>
      </w:r>
      <w:r w:rsidR="00177230" w:rsidRPr="00A3741F">
        <w:t xml:space="preserve">Protocol Advisory Sub-Committee (PASC) and </w:t>
      </w:r>
      <w:r w:rsidR="004D7505">
        <w:t>Health</w:t>
      </w:r>
      <w:r w:rsidR="004D7505" w:rsidRPr="00A3741F">
        <w:t xml:space="preserve"> </w:t>
      </w:r>
      <w:r w:rsidR="00177230" w:rsidRPr="00A3741F">
        <w:t>Expert S</w:t>
      </w:r>
      <w:r w:rsidR="00177230" w:rsidRPr="00F2707B">
        <w:t xml:space="preserve">tanding Panel </w:t>
      </w:r>
      <w:r w:rsidR="004D7505">
        <w:t xml:space="preserve">(HESP) </w:t>
      </w:r>
      <w:r w:rsidR="00177230" w:rsidRPr="00F2707B">
        <w:t xml:space="preserve">confirmed </w:t>
      </w:r>
      <w:r w:rsidR="00682CBC">
        <w:t xml:space="preserve">that </w:t>
      </w:r>
      <w:r w:rsidR="00933D06" w:rsidRPr="008F42F9">
        <w:t xml:space="preserve">these </w:t>
      </w:r>
      <w:r>
        <w:t>treatment options</w:t>
      </w:r>
      <w:r w:rsidR="00933D06" w:rsidRPr="008F42F9">
        <w:t xml:space="preserve"> are rarely used in Australia,</w:t>
      </w:r>
      <w:r>
        <w:t xml:space="preserve"> and,</w:t>
      </w:r>
      <w:r w:rsidR="00933D06" w:rsidRPr="008F42F9">
        <w:t xml:space="preserve"> hence</w:t>
      </w:r>
      <w:r>
        <w:t>,</w:t>
      </w:r>
      <w:r w:rsidR="00933D06" w:rsidRPr="008F42F9">
        <w:t xml:space="preserve"> </w:t>
      </w:r>
      <w:r>
        <w:t>were</w:t>
      </w:r>
      <w:r w:rsidRPr="008F42F9">
        <w:t xml:space="preserve"> </w:t>
      </w:r>
      <w:r w:rsidR="00933D06" w:rsidRPr="008F42F9">
        <w:t xml:space="preserve">not considered as comparators </w:t>
      </w:r>
      <w:r>
        <w:t>for</w:t>
      </w:r>
      <w:r w:rsidR="00933D06" w:rsidRPr="008F42F9">
        <w:t xml:space="preserve"> this review.</w:t>
      </w:r>
      <w:bookmarkStart w:id="69" w:name="_Toc214339165"/>
    </w:p>
    <w:p w:rsidR="004F3970" w:rsidRPr="007D5B7C" w:rsidRDefault="004F3970" w:rsidP="004F3970">
      <w:pPr>
        <w:pStyle w:val="Heading2"/>
      </w:pPr>
      <w:bookmarkStart w:id="70" w:name="_Toc352924407"/>
      <w:r w:rsidRPr="008F42F9">
        <w:rPr>
          <w:bCs/>
        </w:rPr>
        <w:t>Marketing status</w:t>
      </w:r>
      <w:r w:rsidR="006B7C8A" w:rsidRPr="008F42F9">
        <w:rPr>
          <w:bCs/>
        </w:rPr>
        <w:t xml:space="preserve"> of </w:t>
      </w:r>
      <w:bookmarkEnd w:id="69"/>
      <w:r w:rsidR="00C24474">
        <w:rPr>
          <w:bCs/>
        </w:rPr>
        <w:t>metallic</w:t>
      </w:r>
      <w:r w:rsidR="003D1B91">
        <w:rPr>
          <w:bCs/>
        </w:rPr>
        <w:t xml:space="preserve"> </w:t>
      </w:r>
      <w:r w:rsidR="006E5020" w:rsidRPr="008F42F9">
        <w:rPr>
          <w:bCs/>
        </w:rPr>
        <w:t>stents</w:t>
      </w:r>
      <w:bookmarkEnd w:id="70"/>
    </w:p>
    <w:p w:rsidR="00C201CE" w:rsidRPr="005646B6" w:rsidRDefault="00C201CE" w:rsidP="000637F0">
      <w:r w:rsidRPr="007D5B7C">
        <w:t xml:space="preserve">The metallic stents approved for use in Australia </w:t>
      </w:r>
      <w:r w:rsidR="00C24474">
        <w:t>are listed</w:t>
      </w:r>
      <w:r w:rsidR="00C24474" w:rsidRPr="007D5B7C">
        <w:t xml:space="preserve"> </w:t>
      </w:r>
      <w:r w:rsidRPr="007D5B7C">
        <w:t>in</w:t>
      </w:r>
      <w:r w:rsidR="00CA3FB9">
        <w:rPr>
          <w:color w:val="FF0000"/>
        </w:rPr>
        <w:t xml:space="preserve"> </w:t>
      </w:r>
      <w:r w:rsidR="0082017C">
        <w:rPr>
          <w:color w:val="FF0000"/>
        </w:rPr>
        <w:fldChar w:fldCharType="begin"/>
      </w:r>
      <w:r w:rsidR="0082017C">
        <w:rPr>
          <w:color w:val="FF0000"/>
        </w:rPr>
        <w:instrText xml:space="preserve"> REF _Ref324940537 \h </w:instrText>
      </w:r>
      <w:r w:rsidR="0082017C">
        <w:rPr>
          <w:color w:val="FF0000"/>
        </w:rPr>
      </w:r>
      <w:r w:rsidR="0082017C">
        <w:rPr>
          <w:color w:val="FF0000"/>
        </w:rPr>
        <w:fldChar w:fldCharType="separate"/>
      </w:r>
      <w:r w:rsidR="0071544A">
        <w:t xml:space="preserve">Table </w:t>
      </w:r>
      <w:r w:rsidR="0071544A">
        <w:rPr>
          <w:noProof/>
        </w:rPr>
        <w:t>17</w:t>
      </w:r>
      <w:r w:rsidR="0082017C">
        <w:rPr>
          <w:color w:val="FF0000"/>
        </w:rPr>
        <w:fldChar w:fldCharType="end"/>
      </w:r>
      <w:r w:rsidRPr="009E5C53">
        <w:t xml:space="preserve">. The stent </w:t>
      </w:r>
      <w:r w:rsidR="00C24474">
        <w:t>that was</w:t>
      </w:r>
      <w:r w:rsidRPr="009E5C53">
        <w:t xml:space="preserve"> named as part of the current submission is ARTG 119517, which is estimated to have </w:t>
      </w:r>
      <w:r w:rsidR="00C24474">
        <w:t xml:space="preserve">an </w:t>
      </w:r>
      <w:r w:rsidRPr="009E5C53">
        <w:t>85</w:t>
      </w:r>
      <w:r w:rsidR="00C24474">
        <w:t xml:space="preserve"> per cent</w:t>
      </w:r>
      <w:r w:rsidRPr="009E5C53">
        <w:t xml:space="preserve"> </w:t>
      </w:r>
      <w:r w:rsidR="00746A86">
        <w:t xml:space="preserve">share of the </w:t>
      </w:r>
      <w:r w:rsidRPr="009E5C53">
        <w:t>Australian market. Expert clinical opinion suggests that there is little clinical difference betwe</w:t>
      </w:r>
      <w:r w:rsidRPr="00E2422F">
        <w:t xml:space="preserve">en the stents currently available in Australia. </w:t>
      </w:r>
      <w:r w:rsidRPr="00E2422F">
        <w:lastRenderedPageBreak/>
        <w:t xml:space="preserve">However, while some of the listed stents may be used for obstruction caused </w:t>
      </w:r>
      <w:r w:rsidR="003D1B91">
        <w:t>by unspecified malignancy (ARTG</w:t>
      </w:r>
      <w:r w:rsidRPr="00E2422F">
        <w:t xml:space="preserve"> 119517</w:t>
      </w:r>
      <w:r w:rsidR="00746A86">
        <w:t xml:space="preserve"> and</w:t>
      </w:r>
      <w:r w:rsidR="00CF1FED">
        <w:t xml:space="preserve"> </w:t>
      </w:r>
      <w:r w:rsidRPr="00E2422F">
        <w:t>157191), other stents are restricted to use in the case of obstruct</w:t>
      </w:r>
      <w:r w:rsidRPr="00892811">
        <w:t>ions caused specifically by colorectal cancer (ARTG 139317, 144564</w:t>
      </w:r>
      <w:r w:rsidR="00746A86">
        <w:t xml:space="preserve"> and</w:t>
      </w:r>
      <w:r w:rsidRPr="00892811">
        <w:t xml:space="preserve"> 167223). Duodenal stents are also listed on the ARTG</w:t>
      </w:r>
      <w:r w:rsidR="00746A86">
        <w:t xml:space="preserve">, but </w:t>
      </w:r>
      <w:r w:rsidR="00B8548E" w:rsidRPr="008978EE">
        <w:t>these are not</w:t>
      </w:r>
      <w:r w:rsidRPr="008978EE">
        <w:t xml:space="preserve"> appropriate </w:t>
      </w:r>
      <w:r w:rsidR="00B8548E" w:rsidRPr="00A30BA9">
        <w:t>for</w:t>
      </w:r>
      <w:r w:rsidRPr="005646B6">
        <w:t xml:space="preserve"> use in the treatment of colorectal obstructions.</w:t>
      </w:r>
    </w:p>
    <w:p w:rsidR="00470163" w:rsidRDefault="0082017C" w:rsidP="0082017C">
      <w:pPr>
        <w:pStyle w:val="Caption"/>
        <w:rPr>
          <w:rFonts w:eastAsia="SimSun" w:cs="Arial"/>
          <w:szCs w:val="24"/>
          <w:lang w:eastAsia="zh-CN"/>
        </w:rPr>
      </w:pPr>
      <w:bookmarkStart w:id="71" w:name="_Ref324940537"/>
      <w:bookmarkStart w:id="72" w:name="_Toc314226729"/>
      <w:bookmarkStart w:id="73" w:name="_Toc327522061"/>
      <w:r>
        <w:t xml:space="preserve">Table </w:t>
      </w:r>
      <w:fldSimple w:instr=" SEQ Table \* ARABIC ">
        <w:r w:rsidR="0071544A">
          <w:rPr>
            <w:noProof/>
          </w:rPr>
          <w:t>17</w:t>
        </w:r>
      </w:fldSimple>
      <w:bookmarkEnd w:id="71"/>
      <w:r w:rsidR="009A71A5" w:rsidRPr="00361416">
        <w:tab/>
      </w:r>
      <w:r w:rsidR="00470163" w:rsidRPr="00361416">
        <w:rPr>
          <w:rFonts w:eastAsia="SimSun" w:cs="Arial"/>
          <w:szCs w:val="24"/>
          <w:lang w:eastAsia="zh-CN"/>
        </w:rPr>
        <w:t>TGA approved st</w:t>
      </w:r>
      <w:r w:rsidR="00470163" w:rsidRPr="0086082D">
        <w:rPr>
          <w:rFonts w:eastAsia="SimSun" w:cs="Arial"/>
          <w:szCs w:val="24"/>
          <w:lang w:eastAsia="zh-CN"/>
        </w:rPr>
        <w:t>enting devices and systems for treating colorectal obstruction</w:t>
      </w:r>
      <w:bookmarkEnd w:id="72"/>
      <w:bookmarkEnd w:id="73"/>
    </w:p>
    <w:tbl>
      <w:tblPr>
        <w:tblW w:w="0" w:type="auto"/>
        <w:tblInd w:w="817" w:type="dxa"/>
        <w:tblLook w:val="0000" w:firstRow="0" w:lastRow="0" w:firstColumn="0" w:lastColumn="0" w:noHBand="0" w:noVBand="0"/>
      </w:tblPr>
      <w:tblGrid>
        <w:gridCol w:w="710"/>
        <w:gridCol w:w="1983"/>
        <w:gridCol w:w="1879"/>
        <w:gridCol w:w="1240"/>
        <w:gridCol w:w="2616"/>
      </w:tblGrid>
      <w:tr w:rsidR="00746A86" w:rsidRPr="00951774" w:rsidTr="00AF1794">
        <w:trPr>
          <w:trHeight w:val="215"/>
        </w:trPr>
        <w:tc>
          <w:tcPr>
            <w:tcW w:w="710" w:type="dxa"/>
            <w:tcBorders>
              <w:top w:val="single" w:sz="12" w:space="0" w:color="auto"/>
              <w:bottom w:val="single" w:sz="4" w:space="0" w:color="auto"/>
            </w:tcBorders>
          </w:tcPr>
          <w:p w:rsidR="00746A86" w:rsidRPr="00951774" w:rsidRDefault="00746A86" w:rsidP="0082017C">
            <w:pPr>
              <w:pStyle w:val="TableHeading"/>
              <w:rPr>
                <w:rFonts w:eastAsia="SimSun"/>
                <w:lang w:eastAsia="zh-CN"/>
              </w:rPr>
            </w:pPr>
            <w:r w:rsidRPr="00951774">
              <w:rPr>
                <w:rFonts w:eastAsia="SimSun"/>
                <w:lang w:eastAsia="zh-CN"/>
              </w:rPr>
              <w:t>ARTG No.</w:t>
            </w:r>
          </w:p>
        </w:tc>
        <w:tc>
          <w:tcPr>
            <w:tcW w:w="1983" w:type="dxa"/>
            <w:tcBorders>
              <w:top w:val="single" w:sz="12" w:space="0" w:color="auto"/>
              <w:bottom w:val="single" w:sz="4" w:space="0" w:color="auto"/>
            </w:tcBorders>
          </w:tcPr>
          <w:p w:rsidR="00746A86" w:rsidRPr="00951774" w:rsidRDefault="00746A86" w:rsidP="0026112F">
            <w:pPr>
              <w:pStyle w:val="TableHeading"/>
              <w:rPr>
                <w:rFonts w:eastAsia="SimSun"/>
                <w:lang w:eastAsia="zh-CN"/>
              </w:rPr>
            </w:pPr>
            <w:r w:rsidRPr="00951774">
              <w:rPr>
                <w:rFonts w:eastAsia="SimSun"/>
                <w:lang w:eastAsia="zh-CN"/>
              </w:rPr>
              <w:t>Manufacture</w:t>
            </w:r>
            <w:r>
              <w:rPr>
                <w:rFonts w:eastAsia="SimSun"/>
                <w:lang w:eastAsia="zh-CN"/>
              </w:rPr>
              <w:t>r</w:t>
            </w:r>
            <w:r w:rsidRPr="00951774">
              <w:rPr>
                <w:rFonts w:eastAsia="SimSun"/>
                <w:lang w:eastAsia="zh-CN"/>
              </w:rPr>
              <w:t>/</w:t>
            </w:r>
            <w:r w:rsidRPr="00951774">
              <w:rPr>
                <w:rFonts w:eastAsia="SimSun"/>
                <w:lang w:eastAsia="zh-CN"/>
              </w:rPr>
              <w:br/>
            </w:r>
            <w:r w:rsidR="0026112F">
              <w:rPr>
                <w:rFonts w:eastAsia="SimSun"/>
                <w:lang w:eastAsia="zh-CN"/>
              </w:rPr>
              <w:t>i</w:t>
            </w:r>
            <w:r w:rsidRPr="00951774">
              <w:rPr>
                <w:rFonts w:eastAsia="SimSun"/>
                <w:lang w:eastAsia="zh-CN"/>
              </w:rPr>
              <w:t>mporter/</w:t>
            </w:r>
            <w:r w:rsidR="0026112F">
              <w:rPr>
                <w:rFonts w:eastAsia="SimSun"/>
                <w:lang w:eastAsia="zh-CN"/>
              </w:rPr>
              <w:t>s</w:t>
            </w:r>
            <w:r w:rsidRPr="00951774">
              <w:rPr>
                <w:rFonts w:eastAsia="SimSun"/>
                <w:lang w:eastAsia="zh-CN"/>
              </w:rPr>
              <w:t>ponsor</w:t>
            </w:r>
          </w:p>
        </w:tc>
        <w:tc>
          <w:tcPr>
            <w:tcW w:w="1879" w:type="dxa"/>
            <w:tcBorders>
              <w:top w:val="single" w:sz="12" w:space="0" w:color="auto"/>
              <w:bottom w:val="single" w:sz="4" w:space="0" w:color="auto"/>
            </w:tcBorders>
          </w:tcPr>
          <w:p w:rsidR="00746A86" w:rsidRPr="00951774" w:rsidRDefault="00746A86" w:rsidP="0082017C">
            <w:pPr>
              <w:pStyle w:val="TableHeading"/>
              <w:rPr>
                <w:rFonts w:eastAsia="SimSun"/>
                <w:lang w:eastAsia="zh-CN"/>
              </w:rPr>
            </w:pPr>
            <w:r w:rsidRPr="00951774">
              <w:rPr>
                <w:rFonts w:eastAsia="SimSun"/>
                <w:lang w:eastAsia="zh-CN"/>
              </w:rPr>
              <w:t xml:space="preserve">Device </w:t>
            </w:r>
            <w:r>
              <w:rPr>
                <w:rFonts w:eastAsia="SimSun"/>
                <w:lang w:eastAsia="zh-CN"/>
              </w:rPr>
              <w:t>n</w:t>
            </w:r>
            <w:r w:rsidRPr="00951774">
              <w:rPr>
                <w:rFonts w:eastAsia="SimSun"/>
                <w:lang w:eastAsia="zh-CN"/>
              </w:rPr>
              <w:t>ame</w:t>
            </w:r>
            <w:r w:rsidRPr="00951774">
              <w:rPr>
                <w:rFonts w:eastAsia="SimSun"/>
                <w:vertAlign w:val="superscript"/>
                <w:lang w:eastAsia="zh-CN"/>
              </w:rPr>
              <w:t>b</w:t>
            </w:r>
          </w:p>
        </w:tc>
        <w:tc>
          <w:tcPr>
            <w:tcW w:w="1240" w:type="dxa"/>
            <w:tcBorders>
              <w:top w:val="single" w:sz="12" w:space="0" w:color="auto"/>
              <w:bottom w:val="single" w:sz="4" w:space="0" w:color="auto"/>
            </w:tcBorders>
          </w:tcPr>
          <w:p w:rsidR="00746A86" w:rsidRPr="00951774" w:rsidRDefault="00746A86" w:rsidP="0082017C">
            <w:pPr>
              <w:pStyle w:val="TableHeading"/>
              <w:rPr>
                <w:rFonts w:eastAsia="SimSun"/>
                <w:lang w:eastAsia="zh-CN"/>
              </w:rPr>
            </w:pPr>
            <w:r w:rsidRPr="00951774">
              <w:rPr>
                <w:rFonts w:eastAsia="SimSun"/>
                <w:lang w:eastAsia="zh-CN"/>
              </w:rPr>
              <w:t>GMDN</w:t>
            </w:r>
          </w:p>
        </w:tc>
        <w:tc>
          <w:tcPr>
            <w:tcW w:w="2616" w:type="dxa"/>
            <w:tcBorders>
              <w:top w:val="single" w:sz="12" w:space="0" w:color="auto"/>
              <w:bottom w:val="single" w:sz="4" w:space="0" w:color="auto"/>
            </w:tcBorders>
          </w:tcPr>
          <w:p w:rsidR="00746A86" w:rsidRPr="00951774" w:rsidRDefault="00746A86" w:rsidP="0082017C">
            <w:pPr>
              <w:pStyle w:val="TableHeading"/>
              <w:rPr>
                <w:rFonts w:eastAsia="SimSun"/>
                <w:lang w:eastAsia="zh-CN"/>
              </w:rPr>
            </w:pPr>
            <w:r w:rsidRPr="00951774">
              <w:rPr>
                <w:rFonts w:eastAsia="SimSun"/>
                <w:lang w:eastAsia="zh-CN"/>
              </w:rPr>
              <w:t xml:space="preserve">Intended </w:t>
            </w:r>
            <w:r>
              <w:rPr>
                <w:rFonts w:eastAsia="SimSun"/>
                <w:lang w:eastAsia="zh-CN"/>
              </w:rPr>
              <w:t>p</w:t>
            </w:r>
            <w:r w:rsidRPr="00951774">
              <w:rPr>
                <w:rFonts w:eastAsia="SimSun"/>
                <w:lang w:eastAsia="zh-CN"/>
              </w:rPr>
              <w:t>urpose</w:t>
            </w:r>
          </w:p>
        </w:tc>
      </w:tr>
      <w:tr w:rsidR="00746A86" w:rsidRPr="00951774" w:rsidTr="00746A86">
        <w:trPr>
          <w:trHeight w:val="531"/>
        </w:trPr>
        <w:tc>
          <w:tcPr>
            <w:tcW w:w="710" w:type="dxa"/>
            <w:tcBorders>
              <w:top w:val="single" w:sz="4" w:space="0" w:color="auto"/>
            </w:tcBorders>
          </w:tcPr>
          <w:p w:rsidR="00746A86" w:rsidRPr="000F3C8B" w:rsidRDefault="00746A86" w:rsidP="0082017C">
            <w:pPr>
              <w:pStyle w:val="TableText0"/>
              <w:rPr>
                <w:rFonts w:eastAsia="SimSun"/>
                <w:lang w:val="en-AU"/>
              </w:rPr>
            </w:pPr>
            <w:r w:rsidRPr="000F3C8B">
              <w:rPr>
                <w:rFonts w:eastAsia="SimSun"/>
                <w:lang w:val="en-AU"/>
              </w:rPr>
              <w:t xml:space="preserve">119517 </w:t>
            </w:r>
          </w:p>
        </w:tc>
        <w:tc>
          <w:tcPr>
            <w:tcW w:w="1983" w:type="dxa"/>
            <w:tcBorders>
              <w:top w:val="single" w:sz="4" w:space="0" w:color="auto"/>
            </w:tcBorders>
          </w:tcPr>
          <w:p w:rsidR="00746A86" w:rsidRPr="000F3C8B" w:rsidRDefault="00746A86" w:rsidP="0082017C">
            <w:pPr>
              <w:pStyle w:val="TableText0"/>
              <w:rPr>
                <w:rFonts w:eastAsia="SimSun"/>
                <w:lang w:val="en-AU"/>
              </w:rPr>
            </w:pPr>
            <w:r w:rsidRPr="000F3C8B">
              <w:rPr>
                <w:rFonts w:eastAsia="SimSun"/>
                <w:lang w:val="en-AU"/>
              </w:rPr>
              <w:t xml:space="preserve">Boston Scientific </w:t>
            </w:r>
            <w:r w:rsidR="00DC433D" w:rsidRPr="000F3C8B">
              <w:rPr>
                <w:rFonts w:eastAsia="SimSun"/>
                <w:lang w:val="en-AU"/>
              </w:rPr>
              <w:t>Pty Ltd</w:t>
            </w:r>
            <w:r w:rsidR="00DC433D" w:rsidRPr="00DC433D">
              <w:rPr>
                <w:rFonts w:eastAsia="SimSun"/>
                <w:vertAlign w:val="superscript"/>
                <w:lang w:val="en-AU"/>
              </w:rPr>
              <w:t>a</w:t>
            </w:r>
          </w:p>
        </w:tc>
        <w:tc>
          <w:tcPr>
            <w:tcW w:w="1879" w:type="dxa"/>
            <w:tcBorders>
              <w:top w:val="single" w:sz="4" w:space="0" w:color="auto"/>
            </w:tcBorders>
          </w:tcPr>
          <w:p w:rsidR="00746A86" w:rsidRPr="000F3C8B" w:rsidRDefault="00746A86" w:rsidP="0082017C">
            <w:pPr>
              <w:pStyle w:val="TableText0"/>
              <w:rPr>
                <w:rFonts w:eastAsia="SimSun"/>
                <w:lang w:val="en-AU"/>
              </w:rPr>
            </w:pPr>
            <w:r w:rsidRPr="000F3C8B">
              <w:rPr>
                <w:rFonts w:eastAsia="SimSun"/>
                <w:lang w:val="en-AU"/>
              </w:rPr>
              <w:t>Ultraflex™ Precision Colonic Stent System</w:t>
            </w:r>
          </w:p>
        </w:tc>
        <w:tc>
          <w:tcPr>
            <w:tcW w:w="1240" w:type="dxa"/>
            <w:tcBorders>
              <w:top w:val="single" w:sz="4" w:space="0" w:color="auto"/>
            </w:tcBorders>
          </w:tcPr>
          <w:p w:rsidR="00746A86" w:rsidRPr="000F3C8B" w:rsidRDefault="00746A86" w:rsidP="0082017C">
            <w:pPr>
              <w:pStyle w:val="TableText0"/>
              <w:rPr>
                <w:rFonts w:eastAsia="SimSun"/>
                <w:lang w:val="en-AU"/>
              </w:rPr>
            </w:pPr>
            <w:r w:rsidRPr="000F3C8B">
              <w:rPr>
                <w:rFonts w:eastAsia="SimSun"/>
                <w:lang w:val="en-AU"/>
              </w:rPr>
              <w:t>38442 Unclassified</w:t>
            </w:r>
          </w:p>
          <w:p w:rsidR="00746A86" w:rsidRPr="000F3C8B" w:rsidRDefault="00746A86" w:rsidP="0082017C">
            <w:pPr>
              <w:pStyle w:val="TableText0"/>
              <w:rPr>
                <w:rFonts w:eastAsia="SimSun"/>
                <w:lang w:val="en-AU"/>
              </w:rPr>
            </w:pPr>
          </w:p>
        </w:tc>
        <w:tc>
          <w:tcPr>
            <w:tcW w:w="2616" w:type="dxa"/>
            <w:vMerge w:val="restart"/>
            <w:tcBorders>
              <w:top w:val="single" w:sz="4" w:space="0" w:color="auto"/>
            </w:tcBorders>
          </w:tcPr>
          <w:p w:rsidR="00746A86" w:rsidRPr="000F3C8B" w:rsidRDefault="00746A86" w:rsidP="0082017C">
            <w:pPr>
              <w:pStyle w:val="TableText0"/>
              <w:rPr>
                <w:rFonts w:eastAsia="SimSun"/>
                <w:lang w:val="en-AU"/>
              </w:rPr>
            </w:pPr>
            <w:r w:rsidRPr="000F3C8B">
              <w:rPr>
                <w:rFonts w:eastAsia="SimSun"/>
                <w:lang w:val="en-AU"/>
              </w:rPr>
              <w:t xml:space="preserve">Palliative treatment of gastro-duodenal obstructions and colonic strictures produced by malignancy. </w:t>
            </w:r>
          </w:p>
        </w:tc>
      </w:tr>
      <w:tr w:rsidR="00746A86" w:rsidRPr="00951774" w:rsidTr="00746A86">
        <w:trPr>
          <w:trHeight w:val="449"/>
        </w:trPr>
        <w:tc>
          <w:tcPr>
            <w:tcW w:w="710" w:type="dxa"/>
          </w:tcPr>
          <w:p w:rsidR="00746A86" w:rsidRPr="000F3C8B" w:rsidRDefault="00746A86" w:rsidP="0082017C">
            <w:pPr>
              <w:pStyle w:val="TableText0"/>
              <w:rPr>
                <w:rFonts w:eastAsia="SimSun"/>
                <w:lang w:val="en-AU"/>
              </w:rPr>
            </w:pPr>
            <w:r w:rsidRPr="000F3C8B">
              <w:rPr>
                <w:rFonts w:eastAsia="SimSun"/>
                <w:lang w:val="en-AU"/>
              </w:rPr>
              <w:t xml:space="preserve">119517 </w:t>
            </w:r>
          </w:p>
        </w:tc>
        <w:tc>
          <w:tcPr>
            <w:tcW w:w="1983" w:type="dxa"/>
          </w:tcPr>
          <w:p w:rsidR="00746A86" w:rsidRPr="000F3C8B" w:rsidRDefault="00746A86" w:rsidP="0082017C">
            <w:pPr>
              <w:pStyle w:val="TableText0"/>
              <w:rPr>
                <w:rFonts w:eastAsia="SimSun"/>
                <w:lang w:val="en-AU"/>
              </w:rPr>
            </w:pPr>
            <w:r w:rsidRPr="000F3C8B">
              <w:rPr>
                <w:rFonts w:eastAsia="SimSun"/>
                <w:lang w:val="en-AU"/>
              </w:rPr>
              <w:t xml:space="preserve">Boston Scientific </w:t>
            </w:r>
            <w:r w:rsidR="00DC433D" w:rsidRPr="000F3C8B">
              <w:rPr>
                <w:rFonts w:eastAsia="SimSun"/>
                <w:lang w:val="en-AU"/>
              </w:rPr>
              <w:t>Pty Ltd</w:t>
            </w:r>
            <w:r w:rsidR="00DC433D" w:rsidRPr="00DC433D">
              <w:rPr>
                <w:rFonts w:eastAsia="SimSun"/>
                <w:vertAlign w:val="superscript"/>
                <w:lang w:val="en-AU"/>
              </w:rPr>
              <w:t>a</w:t>
            </w:r>
          </w:p>
          <w:p w:rsidR="00746A86" w:rsidRPr="000F3C8B" w:rsidRDefault="00746A86" w:rsidP="0082017C">
            <w:pPr>
              <w:pStyle w:val="TableText0"/>
              <w:rPr>
                <w:rFonts w:eastAsia="SimSun"/>
                <w:lang w:val="en-AU"/>
              </w:rPr>
            </w:pPr>
          </w:p>
        </w:tc>
        <w:tc>
          <w:tcPr>
            <w:tcW w:w="1879" w:type="dxa"/>
          </w:tcPr>
          <w:p w:rsidR="00746A86" w:rsidRPr="000F3C8B" w:rsidRDefault="00746A86" w:rsidP="0082017C">
            <w:pPr>
              <w:pStyle w:val="TableText0"/>
              <w:rPr>
                <w:rFonts w:eastAsia="SimSun"/>
                <w:lang w:val="en-AU"/>
              </w:rPr>
            </w:pPr>
            <w:r w:rsidRPr="000F3C8B">
              <w:rPr>
                <w:rFonts w:eastAsia="SimSun"/>
                <w:lang w:val="en-AU"/>
              </w:rPr>
              <w:t xml:space="preserve">Wallstent® Colonic Endoprosthesis </w:t>
            </w:r>
          </w:p>
        </w:tc>
        <w:tc>
          <w:tcPr>
            <w:tcW w:w="1240" w:type="dxa"/>
          </w:tcPr>
          <w:p w:rsidR="00746A86" w:rsidRPr="000F3C8B" w:rsidRDefault="00746A86" w:rsidP="0082017C">
            <w:pPr>
              <w:pStyle w:val="TableText0"/>
              <w:rPr>
                <w:rFonts w:eastAsia="SimSun"/>
                <w:lang w:val="en-AU"/>
              </w:rPr>
            </w:pPr>
          </w:p>
        </w:tc>
        <w:tc>
          <w:tcPr>
            <w:tcW w:w="2616" w:type="dxa"/>
            <w:vMerge/>
          </w:tcPr>
          <w:p w:rsidR="00746A86" w:rsidRPr="000F3C8B" w:rsidRDefault="00746A86" w:rsidP="0082017C">
            <w:pPr>
              <w:pStyle w:val="TableText0"/>
              <w:rPr>
                <w:rFonts w:eastAsia="SimSun"/>
                <w:lang w:val="en-AU"/>
              </w:rPr>
            </w:pPr>
          </w:p>
        </w:tc>
      </w:tr>
      <w:tr w:rsidR="00746A86" w:rsidRPr="00951774" w:rsidTr="00746A86">
        <w:trPr>
          <w:trHeight w:val="257"/>
        </w:trPr>
        <w:tc>
          <w:tcPr>
            <w:tcW w:w="710" w:type="dxa"/>
          </w:tcPr>
          <w:p w:rsidR="00746A86" w:rsidRPr="000F3C8B" w:rsidRDefault="00746A86" w:rsidP="0082017C">
            <w:pPr>
              <w:pStyle w:val="TableText0"/>
              <w:rPr>
                <w:rFonts w:eastAsia="SimSun"/>
                <w:lang w:val="en-AU"/>
              </w:rPr>
            </w:pPr>
            <w:r w:rsidRPr="000F3C8B">
              <w:rPr>
                <w:rFonts w:eastAsia="SimSun"/>
                <w:lang w:val="en-AU"/>
              </w:rPr>
              <w:t>119517</w:t>
            </w:r>
          </w:p>
        </w:tc>
        <w:tc>
          <w:tcPr>
            <w:tcW w:w="1983" w:type="dxa"/>
          </w:tcPr>
          <w:p w:rsidR="00746A86" w:rsidRPr="000F3C8B" w:rsidRDefault="00746A86" w:rsidP="0082017C">
            <w:pPr>
              <w:pStyle w:val="TableText0"/>
              <w:rPr>
                <w:rFonts w:eastAsia="SimSun"/>
                <w:lang w:val="en-AU"/>
              </w:rPr>
            </w:pPr>
            <w:r w:rsidRPr="000F3C8B">
              <w:rPr>
                <w:rFonts w:eastAsia="SimSun"/>
                <w:lang w:val="en-AU"/>
              </w:rPr>
              <w:t>Boston Scientific Pty Ltd</w:t>
            </w:r>
            <w:r w:rsidR="00DC433D" w:rsidRPr="00DC433D">
              <w:rPr>
                <w:rFonts w:eastAsia="SimSun"/>
                <w:vertAlign w:val="superscript"/>
                <w:lang w:val="en-AU"/>
              </w:rPr>
              <w:t>a</w:t>
            </w:r>
          </w:p>
        </w:tc>
        <w:tc>
          <w:tcPr>
            <w:tcW w:w="1879" w:type="dxa"/>
          </w:tcPr>
          <w:p w:rsidR="00746A86" w:rsidRPr="000F3C8B" w:rsidRDefault="00746A86" w:rsidP="0082017C">
            <w:pPr>
              <w:pStyle w:val="TableText0"/>
              <w:rPr>
                <w:rFonts w:eastAsia="SimSun"/>
                <w:lang w:val="en-AU"/>
              </w:rPr>
            </w:pPr>
            <w:r w:rsidRPr="000F3C8B">
              <w:rPr>
                <w:rFonts w:eastAsia="SimSun"/>
                <w:lang w:val="en-AU"/>
              </w:rPr>
              <w:t>WallFlex™ Colonic Stent</w:t>
            </w:r>
          </w:p>
        </w:tc>
        <w:tc>
          <w:tcPr>
            <w:tcW w:w="1240" w:type="dxa"/>
          </w:tcPr>
          <w:p w:rsidR="00746A86" w:rsidRPr="000F3C8B" w:rsidRDefault="00746A86" w:rsidP="0082017C">
            <w:pPr>
              <w:pStyle w:val="TableText0"/>
              <w:rPr>
                <w:rFonts w:eastAsia="SimSun"/>
                <w:lang w:val="en-AU"/>
              </w:rPr>
            </w:pPr>
          </w:p>
        </w:tc>
        <w:tc>
          <w:tcPr>
            <w:tcW w:w="2616" w:type="dxa"/>
            <w:vMerge/>
          </w:tcPr>
          <w:p w:rsidR="00746A86" w:rsidRPr="000F3C8B" w:rsidRDefault="00746A86" w:rsidP="0082017C">
            <w:pPr>
              <w:pStyle w:val="TableText0"/>
              <w:rPr>
                <w:rFonts w:eastAsia="SimSun"/>
                <w:lang w:val="en-AU"/>
              </w:rPr>
            </w:pPr>
          </w:p>
        </w:tc>
      </w:tr>
      <w:tr w:rsidR="00746A86" w:rsidRPr="00951774" w:rsidTr="00746A86">
        <w:trPr>
          <w:trHeight w:val="581"/>
        </w:trPr>
        <w:tc>
          <w:tcPr>
            <w:tcW w:w="710" w:type="dxa"/>
          </w:tcPr>
          <w:p w:rsidR="00746A86" w:rsidRPr="000F3C8B" w:rsidRDefault="00746A86" w:rsidP="0082017C">
            <w:pPr>
              <w:pStyle w:val="TableText0"/>
              <w:rPr>
                <w:rFonts w:eastAsia="SimSun"/>
                <w:lang w:val="en-AU"/>
              </w:rPr>
            </w:pPr>
            <w:r w:rsidRPr="000F3C8B">
              <w:rPr>
                <w:rFonts w:eastAsia="SimSun"/>
                <w:lang w:val="en-AU"/>
              </w:rPr>
              <w:t>157191</w:t>
            </w:r>
          </w:p>
          <w:p w:rsidR="00746A86" w:rsidRPr="000F3C8B" w:rsidRDefault="00746A86" w:rsidP="0082017C">
            <w:pPr>
              <w:pStyle w:val="TableText0"/>
              <w:rPr>
                <w:rFonts w:eastAsia="SimSun"/>
                <w:lang w:val="en-AU"/>
              </w:rPr>
            </w:pPr>
          </w:p>
        </w:tc>
        <w:tc>
          <w:tcPr>
            <w:tcW w:w="1983" w:type="dxa"/>
          </w:tcPr>
          <w:p w:rsidR="00746A86" w:rsidRPr="000F3C8B" w:rsidRDefault="00746A86" w:rsidP="0082017C">
            <w:pPr>
              <w:pStyle w:val="TableText0"/>
              <w:rPr>
                <w:rFonts w:eastAsia="SimSun"/>
                <w:lang w:val="en-AU"/>
              </w:rPr>
            </w:pPr>
            <w:r w:rsidRPr="000F3C8B">
              <w:rPr>
                <w:rFonts w:eastAsia="SimSun"/>
                <w:lang w:val="en-AU"/>
              </w:rPr>
              <w:t>William A. Cook Australia Pty Ltd</w:t>
            </w:r>
          </w:p>
        </w:tc>
        <w:tc>
          <w:tcPr>
            <w:tcW w:w="1879" w:type="dxa"/>
          </w:tcPr>
          <w:p w:rsidR="00746A86" w:rsidRPr="000F3C8B" w:rsidRDefault="00746A86" w:rsidP="0082017C">
            <w:pPr>
              <w:pStyle w:val="TableText0"/>
              <w:rPr>
                <w:rFonts w:eastAsia="SimSun"/>
                <w:lang w:val="en-AU"/>
              </w:rPr>
            </w:pPr>
            <w:r w:rsidRPr="000F3C8B">
              <w:rPr>
                <w:rFonts w:eastAsia="SimSun"/>
                <w:lang w:val="en-AU"/>
              </w:rPr>
              <w:t>Cook Colonic Z-Stent® with induction system</w:t>
            </w:r>
          </w:p>
        </w:tc>
        <w:tc>
          <w:tcPr>
            <w:tcW w:w="1240" w:type="dxa"/>
          </w:tcPr>
          <w:p w:rsidR="00746A86" w:rsidRPr="000F3C8B" w:rsidRDefault="00746A86" w:rsidP="0082017C">
            <w:pPr>
              <w:pStyle w:val="TableText0"/>
              <w:rPr>
                <w:rFonts w:eastAsia="SimSun"/>
                <w:lang w:val="en-AU"/>
              </w:rPr>
            </w:pPr>
            <w:r w:rsidRPr="000F3C8B">
              <w:rPr>
                <w:rFonts w:eastAsia="SimSun"/>
                <w:lang w:val="en-AU"/>
              </w:rPr>
              <w:t>37847 Colonic stent</w:t>
            </w:r>
          </w:p>
          <w:p w:rsidR="00746A86" w:rsidRPr="000F3C8B" w:rsidRDefault="00746A86" w:rsidP="0082017C">
            <w:pPr>
              <w:pStyle w:val="TableText0"/>
              <w:rPr>
                <w:rFonts w:eastAsia="SimSun"/>
                <w:lang w:val="en-AU"/>
              </w:rPr>
            </w:pPr>
          </w:p>
          <w:p w:rsidR="00746A86" w:rsidRPr="000F3C8B" w:rsidRDefault="00746A86" w:rsidP="0082017C">
            <w:pPr>
              <w:pStyle w:val="TableText0"/>
              <w:rPr>
                <w:rFonts w:eastAsia="SimSun"/>
                <w:lang w:val="en-AU"/>
              </w:rPr>
            </w:pPr>
          </w:p>
        </w:tc>
        <w:tc>
          <w:tcPr>
            <w:tcW w:w="2616" w:type="dxa"/>
          </w:tcPr>
          <w:p w:rsidR="00746A86" w:rsidRPr="000F3C8B" w:rsidRDefault="00746A86" w:rsidP="0082017C">
            <w:pPr>
              <w:pStyle w:val="TableText0"/>
              <w:rPr>
                <w:rFonts w:eastAsia="SimSun"/>
                <w:lang w:val="en-AU"/>
              </w:rPr>
            </w:pPr>
            <w:r w:rsidRPr="000F3C8B">
              <w:rPr>
                <w:rFonts w:eastAsia="SimSun"/>
                <w:lang w:val="en-AU"/>
              </w:rPr>
              <w:t xml:space="preserve">Palliative treatment for colonic, duodenal or gastric obstruction, or strictures caused by malignant neoplasm, and to relieve large bowel obstruction prior to colectomy in patients with malignant strictures. </w:t>
            </w:r>
          </w:p>
        </w:tc>
      </w:tr>
      <w:tr w:rsidR="00746A86" w:rsidRPr="00951774" w:rsidTr="00746A86">
        <w:trPr>
          <w:trHeight w:val="195"/>
        </w:trPr>
        <w:tc>
          <w:tcPr>
            <w:tcW w:w="710" w:type="dxa"/>
          </w:tcPr>
          <w:p w:rsidR="00746A86" w:rsidRPr="000F3C8B" w:rsidRDefault="00746A86" w:rsidP="0082017C">
            <w:pPr>
              <w:pStyle w:val="TableText0"/>
              <w:rPr>
                <w:rFonts w:eastAsia="SimSun"/>
                <w:lang w:val="en-AU"/>
              </w:rPr>
            </w:pPr>
            <w:r w:rsidRPr="000F3C8B">
              <w:rPr>
                <w:rFonts w:eastAsia="SimSun"/>
                <w:lang w:val="en-AU"/>
              </w:rPr>
              <w:t>139317</w:t>
            </w:r>
          </w:p>
        </w:tc>
        <w:tc>
          <w:tcPr>
            <w:tcW w:w="1983" w:type="dxa"/>
          </w:tcPr>
          <w:p w:rsidR="00746A86" w:rsidRPr="000F3C8B" w:rsidRDefault="00746A86" w:rsidP="0082017C">
            <w:pPr>
              <w:pStyle w:val="TableText0"/>
              <w:rPr>
                <w:rFonts w:eastAsia="SimSun"/>
                <w:lang w:val="en-AU"/>
              </w:rPr>
            </w:pPr>
            <w:r w:rsidRPr="000F3C8B">
              <w:rPr>
                <w:rFonts w:eastAsia="SimSun"/>
                <w:lang w:val="en-AU"/>
              </w:rPr>
              <w:t>William A. Cook Australia Pty Ltd</w:t>
            </w:r>
          </w:p>
        </w:tc>
        <w:tc>
          <w:tcPr>
            <w:tcW w:w="1879" w:type="dxa"/>
          </w:tcPr>
          <w:p w:rsidR="00746A86" w:rsidRPr="000F3C8B" w:rsidRDefault="00746A86" w:rsidP="0082017C">
            <w:pPr>
              <w:pStyle w:val="TableText0"/>
              <w:rPr>
                <w:rFonts w:eastAsia="SimSun"/>
                <w:lang w:val="en-AU"/>
              </w:rPr>
            </w:pPr>
            <w:r w:rsidRPr="000F3C8B">
              <w:rPr>
                <w:rFonts w:eastAsia="SimSun"/>
                <w:lang w:val="en-AU"/>
              </w:rPr>
              <w:t>N/R</w:t>
            </w:r>
          </w:p>
        </w:tc>
        <w:tc>
          <w:tcPr>
            <w:tcW w:w="1240" w:type="dxa"/>
          </w:tcPr>
          <w:p w:rsidR="00746A86" w:rsidRPr="000F3C8B" w:rsidRDefault="00746A86" w:rsidP="0082017C">
            <w:pPr>
              <w:pStyle w:val="TableText0"/>
              <w:rPr>
                <w:rFonts w:eastAsia="SimSun"/>
                <w:lang w:val="en-AU"/>
              </w:rPr>
            </w:pPr>
            <w:r w:rsidRPr="000F3C8B">
              <w:rPr>
                <w:rFonts w:eastAsia="SimSun"/>
                <w:lang w:val="en-AU"/>
              </w:rPr>
              <w:t>37847 Colonic stent</w:t>
            </w:r>
          </w:p>
        </w:tc>
        <w:tc>
          <w:tcPr>
            <w:tcW w:w="2616" w:type="dxa"/>
          </w:tcPr>
          <w:p w:rsidR="00746A86" w:rsidRPr="000F3C8B" w:rsidRDefault="00746A86" w:rsidP="0082017C">
            <w:pPr>
              <w:pStyle w:val="TableText0"/>
              <w:rPr>
                <w:rFonts w:eastAsia="SimSun"/>
                <w:lang w:val="en-AU"/>
              </w:rPr>
            </w:pPr>
            <w:r w:rsidRPr="000F3C8B">
              <w:rPr>
                <w:rFonts w:eastAsia="SimSun"/>
                <w:lang w:val="en-AU"/>
              </w:rPr>
              <w:t xml:space="preserve">Maintain patency of malignant colonic strictures. </w:t>
            </w:r>
          </w:p>
        </w:tc>
      </w:tr>
      <w:tr w:rsidR="00746A86" w:rsidRPr="00951774" w:rsidTr="00746A86">
        <w:trPr>
          <w:trHeight w:val="345"/>
        </w:trPr>
        <w:tc>
          <w:tcPr>
            <w:tcW w:w="710" w:type="dxa"/>
          </w:tcPr>
          <w:p w:rsidR="00746A86" w:rsidRPr="000F3C8B" w:rsidRDefault="00746A86" w:rsidP="0082017C">
            <w:pPr>
              <w:pStyle w:val="TableText0"/>
              <w:rPr>
                <w:rFonts w:eastAsia="SimSun"/>
                <w:lang w:val="en-AU"/>
              </w:rPr>
            </w:pPr>
            <w:r w:rsidRPr="000F3C8B">
              <w:rPr>
                <w:rFonts w:eastAsia="SimSun"/>
                <w:lang w:val="en-AU"/>
              </w:rPr>
              <w:t>144564</w:t>
            </w:r>
          </w:p>
        </w:tc>
        <w:tc>
          <w:tcPr>
            <w:tcW w:w="1983" w:type="dxa"/>
          </w:tcPr>
          <w:p w:rsidR="00746A86" w:rsidRPr="000F3C8B" w:rsidRDefault="00746A86" w:rsidP="0082017C">
            <w:pPr>
              <w:pStyle w:val="TableText0"/>
              <w:rPr>
                <w:rFonts w:eastAsia="SimSun"/>
                <w:lang w:val="en-AU"/>
              </w:rPr>
            </w:pPr>
            <w:r w:rsidRPr="000F3C8B">
              <w:rPr>
                <w:rFonts w:eastAsia="SimSun"/>
                <w:lang w:val="en-AU"/>
              </w:rPr>
              <w:t>Endotherapeutics Pty Ltd</w:t>
            </w:r>
          </w:p>
        </w:tc>
        <w:tc>
          <w:tcPr>
            <w:tcW w:w="1879" w:type="dxa"/>
          </w:tcPr>
          <w:p w:rsidR="00746A86" w:rsidRPr="000F3C8B" w:rsidRDefault="00746A86" w:rsidP="0082017C">
            <w:pPr>
              <w:pStyle w:val="TableText0"/>
              <w:rPr>
                <w:rFonts w:eastAsia="SimSun"/>
                <w:lang w:val="en-AU"/>
              </w:rPr>
            </w:pPr>
            <w:r w:rsidRPr="000F3C8B">
              <w:rPr>
                <w:rFonts w:eastAsia="SimSun"/>
                <w:lang w:val="en-AU"/>
              </w:rPr>
              <w:t>N/R</w:t>
            </w:r>
          </w:p>
        </w:tc>
        <w:tc>
          <w:tcPr>
            <w:tcW w:w="1240" w:type="dxa"/>
          </w:tcPr>
          <w:p w:rsidR="00746A86" w:rsidRPr="000F3C8B" w:rsidRDefault="00746A86" w:rsidP="0082017C">
            <w:pPr>
              <w:pStyle w:val="TableText0"/>
              <w:rPr>
                <w:rFonts w:eastAsia="SimSun"/>
                <w:lang w:val="en-AU"/>
              </w:rPr>
            </w:pPr>
            <w:r w:rsidRPr="000F3C8B">
              <w:rPr>
                <w:rFonts w:eastAsia="SimSun"/>
                <w:lang w:val="en-AU"/>
              </w:rPr>
              <w:t>37847 Colonic stent</w:t>
            </w:r>
          </w:p>
        </w:tc>
        <w:tc>
          <w:tcPr>
            <w:tcW w:w="2616" w:type="dxa"/>
          </w:tcPr>
          <w:p w:rsidR="00746A86" w:rsidRPr="000F3C8B" w:rsidRDefault="00746A86" w:rsidP="0082017C">
            <w:pPr>
              <w:pStyle w:val="TableText0"/>
              <w:rPr>
                <w:rFonts w:eastAsia="SimSun"/>
                <w:lang w:val="en-AU"/>
              </w:rPr>
            </w:pPr>
            <w:r w:rsidRPr="000F3C8B">
              <w:rPr>
                <w:rFonts w:eastAsia="SimSun"/>
                <w:lang w:val="en-AU"/>
              </w:rPr>
              <w:t xml:space="preserve">Palliative treatment of colonic strictures caused by malignant neoplasm in the rectum, sigmoid colon and descending colon. </w:t>
            </w:r>
          </w:p>
        </w:tc>
      </w:tr>
      <w:tr w:rsidR="00746A86" w:rsidRPr="00951774" w:rsidTr="00AF1794">
        <w:trPr>
          <w:trHeight w:val="345"/>
        </w:trPr>
        <w:tc>
          <w:tcPr>
            <w:tcW w:w="710" w:type="dxa"/>
            <w:tcBorders>
              <w:bottom w:val="single" w:sz="12" w:space="0" w:color="auto"/>
            </w:tcBorders>
          </w:tcPr>
          <w:p w:rsidR="00746A86" w:rsidRPr="000F3C8B" w:rsidRDefault="00746A86" w:rsidP="0082017C">
            <w:pPr>
              <w:pStyle w:val="TableText0"/>
              <w:rPr>
                <w:rFonts w:eastAsia="SimSun"/>
                <w:lang w:val="en-AU"/>
              </w:rPr>
            </w:pPr>
            <w:r w:rsidRPr="000F3C8B">
              <w:rPr>
                <w:rFonts w:eastAsia="SimSun"/>
                <w:lang w:val="en-AU"/>
              </w:rPr>
              <w:t>167223</w:t>
            </w:r>
          </w:p>
        </w:tc>
        <w:tc>
          <w:tcPr>
            <w:tcW w:w="1983" w:type="dxa"/>
            <w:tcBorders>
              <w:bottom w:val="single" w:sz="12" w:space="0" w:color="auto"/>
            </w:tcBorders>
          </w:tcPr>
          <w:p w:rsidR="00746A86" w:rsidRPr="00951774" w:rsidRDefault="00746A86" w:rsidP="0082017C">
            <w:pPr>
              <w:pStyle w:val="TableText0"/>
              <w:rPr>
                <w:rFonts w:eastAsia="SimSun"/>
                <w:lang w:val="fr-FR"/>
              </w:rPr>
            </w:pPr>
            <w:r w:rsidRPr="00951774">
              <w:rPr>
                <w:rFonts w:eastAsia="SimSun"/>
                <w:lang w:val="fr-FR"/>
              </w:rPr>
              <w:t>Device Technologies Australia Pty Ltd</w:t>
            </w:r>
          </w:p>
        </w:tc>
        <w:tc>
          <w:tcPr>
            <w:tcW w:w="1879" w:type="dxa"/>
            <w:tcBorders>
              <w:bottom w:val="single" w:sz="12" w:space="0" w:color="auto"/>
            </w:tcBorders>
          </w:tcPr>
          <w:p w:rsidR="00746A86" w:rsidRPr="00951774" w:rsidRDefault="00746A86" w:rsidP="0082017C">
            <w:pPr>
              <w:pStyle w:val="TableText0"/>
              <w:rPr>
                <w:rFonts w:eastAsia="SimSun"/>
                <w:lang w:val="fr-FR"/>
              </w:rPr>
            </w:pPr>
            <w:r>
              <w:rPr>
                <w:rFonts w:eastAsia="SimSun"/>
                <w:lang w:val="fr-FR"/>
              </w:rPr>
              <w:t>N/R</w:t>
            </w:r>
          </w:p>
        </w:tc>
        <w:tc>
          <w:tcPr>
            <w:tcW w:w="1240" w:type="dxa"/>
            <w:tcBorders>
              <w:bottom w:val="single" w:sz="12" w:space="0" w:color="auto"/>
            </w:tcBorders>
          </w:tcPr>
          <w:p w:rsidR="00746A86" w:rsidRPr="000F3C8B" w:rsidRDefault="00746A86" w:rsidP="0082017C">
            <w:pPr>
              <w:pStyle w:val="TableText0"/>
              <w:rPr>
                <w:rFonts w:eastAsia="SimSun"/>
                <w:lang w:val="en-AU"/>
              </w:rPr>
            </w:pPr>
            <w:r w:rsidRPr="000F3C8B">
              <w:rPr>
                <w:rFonts w:eastAsia="SimSun"/>
                <w:lang w:val="en-AU"/>
              </w:rPr>
              <w:t>37847 Colonic stent</w:t>
            </w:r>
          </w:p>
        </w:tc>
        <w:tc>
          <w:tcPr>
            <w:tcW w:w="2616" w:type="dxa"/>
            <w:tcBorders>
              <w:bottom w:val="single" w:sz="12" w:space="0" w:color="auto"/>
            </w:tcBorders>
          </w:tcPr>
          <w:p w:rsidR="00746A86" w:rsidRPr="000F3C8B" w:rsidRDefault="00746A86" w:rsidP="0082017C">
            <w:pPr>
              <w:pStyle w:val="TableText0"/>
              <w:rPr>
                <w:rFonts w:eastAsia="SimSun"/>
                <w:lang w:val="en-AU"/>
              </w:rPr>
            </w:pPr>
            <w:r w:rsidRPr="000F3C8B">
              <w:rPr>
                <w:rFonts w:eastAsia="SimSun"/>
                <w:lang w:val="en-AU"/>
              </w:rPr>
              <w:t xml:space="preserve">Implanted for </w:t>
            </w:r>
            <w:r w:rsidR="00987ADE" w:rsidRPr="000F3C8B">
              <w:rPr>
                <w:rFonts w:eastAsia="SimSun"/>
                <w:lang w:val="en-AU"/>
              </w:rPr>
              <w:t>pre-operative</w:t>
            </w:r>
            <w:r w:rsidRPr="000F3C8B">
              <w:rPr>
                <w:rFonts w:eastAsia="SimSun"/>
                <w:lang w:val="en-AU"/>
              </w:rPr>
              <w:t xml:space="preserve"> obstruction relief prior to removal of colo-rectal carcinoma, designed to maintain the patency of colo-rectal strictures caused by malignant tumour. </w:t>
            </w:r>
          </w:p>
        </w:tc>
      </w:tr>
    </w:tbl>
    <w:p w:rsidR="00DC433D" w:rsidRDefault="00054E18" w:rsidP="0082017C">
      <w:pPr>
        <w:pStyle w:val="TableNotes"/>
        <w:rPr>
          <w:rFonts w:eastAsia="SimSun"/>
          <w:lang w:val="en-AU" w:eastAsia="zh-CN"/>
        </w:rPr>
      </w:pPr>
      <w:r w:rsidRPr="00054E18">
        <w:rPr>
          <w:rFonts w:eastAsia="SimSun" w:cs="Tahoma"/>
          <w:lang w:eastAsia="zh-CN"/>
        </w:rPr>
        <w:t>a</w:t>
      </w:r>
      <w:r>
        <w:rPr>
          <w:rFonts w:eastAsia="SimSun"/>
          <w:lang w:eastAsia="zh-CN"/>
        </w:rPr>
        <w:t xml:space="preserve">  </w:t>
      </w:r>
      <w:r w:rsidR="00746A86" w:rsidRPr="00951774">
        <w:rPr>
          <w:rFonts w:eastAsia="SimSun"/>
          <w:lang w:eastAsia="zh-CN"/>
        </w:rPr>
        <w:t>WallFlex</w:t>
      </w:r>
      <w:r w:rsidR="00746A86" w:rsidRPr="00EA2FD0">
        <w:rPr>
          <w:rFonts w:eastAsia="SimSun"/>
          <w:sz w:val="18"/>
          <w:szCs w:val="18"/>
          <w:lang w:eastAsia="zh-CN"/>
        </w:rPr>
        <w:t>™</w:t>
      </w:r>
      <w:r w:rsidR="00746A86" w:rsidRPr="00951774">
        <w:rPr>
          <w:rFonts w:eastAsia="SimSun"/>
          <w:lang w:eastAsia="zh-CN"/>
        </w:rPr>
        <w:t xml:space="preserve"> Colonic Stents are new generation stents and account for </w:t>
      </w:r>
      <w:r w:rsidR="00746A86" w:rsidRPr="00951774">
        <w:rPr>
          <w:rFonts w:eastAsia="SimSun" w:cs="Tahoma"/>
          <w:lang w:eastAsia="zh-CN"/>
        </w:rPr>
        <w:t>85% of</w:t>
      </w:r>
      <w:r w:rsidR="00746A86">
        <w:rPr>
          <w:rFonts w:eastAsia="SimSun" w:cs="Tahoma"/>
          <w:lang w:eastAsia="zh-CN"/>
        </w:rPr>
        <w:t xml:space="preserve"> the</w:t>
      </w:r>
      <w:r w:rsidR="00746A86" w:rsidRPr="00951774">
        <w:rPr>
          <w:rFonts w:eastAsia="SimSun" w:cs="Tahoma"/>
          <w:lang w:eastAsia="zh-CN"/>
        </w:rPr>
        <w:t xml:space="preserve"> Australian market share</w:t>
      </w:r>
      <w:r w:rsidR="00746A86" w:rsidRPr="00951774">
        <w:rPr>
          <w:rFonts w:eastAsia="SimSun"/>
          <w:lang w:eastAsia="zh-CN"/>
        </w:rPr>
        <w:t>. Ultraflex™ and Wallste</w:t>
      </w:r>
      <w:r w:rsidR="00DC433D">
        <w:rPr>
          <w:rFonts w:eastAsia="SimSun"/>
          <w:lang w:eastAsia="zh-CN"/>
        </w:rPr>
        <w:t>nt® are first generation stents</w:t>
      </w:r>
    </w:p>
    <w:p w:rsidR="00746A86" w:rsidRDefault="00746A86" w:rsidP="0082017C">
      <w:pPr>
        <w:pStyle w:val="TableNotes"/>
        <w:rPr>
          <w:rFonts w:eastAsia="SimSun"/>
          <w:lang w:val="en-AU" w:eastAsia="zh-CN"/>
        </w:rPr>
      </w:pPr>
      <w:r w:rsidRPr="0007443E">
        <w:rPr>
          <w:rFonts w:eastAsia="SimSun"/>
          <w:lang w:eastAsia="zh-CN"/>
        </w:rPr>
        <w:t>b</w:t>
      </w:r>
      <w:r w:rsidR="00054E18">
        <w:rPr>
          <w:rFonts w:eastAsia="SimSun"/>
          <w:lang w:eastAsia="zh-CN"/>
        </w:rPr>
        <w:t xml:space="preserve">  </w:t>
      </w:r>
      <w:r>
        <w:rPr>
          <w:rFonts w:eastAsia="SimSun"/>
          <w:lang w:eastAsia="zh-CN"/>
        </w:rPr>
        <w:t>A</w:t>
      </w:r>
      <w:r w:rsidRPr="00951774">
        <w:rPr>
          <w:rFonts w:eastAsia="SimSun"/>
          <w:lang w:eastAsia="zh-CN"/>
        </w:rPr>
        <w:t xml:space="preserve">ll the devices are metallic stents, mainly SEMS. They can be covered </w:t>
      </w:r>
      <w:r>
        <w:rPr>
          <w:rFonts w:eastAsia="SimSun"/>
          <w:lang w:eastAsia="zh-CN"/>
        </w:rPr>
        <w:t>or</w:t>
      </w:r>
      <w:r w:rsidRPr="00951774">
        <w:rPr>
          <w:rFonts w:eastAsia="SimSun"/>
          <w:lang w:eastAsia="zh-CN"/>
        </w:rPr>
        <w:t xml:space="preserve"> uncovered</w:t>
      </w:r>
      <w:r w:rsidR="00ED6295">
        <w:rPr>
          <w:rFonts w:eastAsia="SimSun"/>
          <w:lang w:val="en-AU" w:eastAsia="zh-CN"/>
        </w:rPr>
        <w:t>-</w:t>
      </w:r>
      <w:r w:rsidRPr="00951774">
        <w:rPr>
          <w:rFonts w:eastAsia="SimSun"/>
          <w:lang w:eastAsia="zh-CN"/>
        </w:rPr>
        <w:t xml:space="preserve">uncovered stents are most commonly </w:t>
      </w:r>
      <w:r>
        <w:rPr>
          <w:rFonts w:eastAsia="SimSun"/>
          <w:lang w:eastAsia="zh-CN"/>
        </w:rPr>
        <w:t>used</w:t>
      </w:r>
      <w:r w:rsidRPr="00951774">
        <w:rPr>
          <w:rFonts w:eastAsia="SimSun"/>
          <w:lang w:eastAsia="zh-CN"/>
        </w:rPr>
        <w:t xml:space="preserve"> in Australia.</w:t>
      </w:r>
      <w:r>
        <w:rPr>
          <w:rFonts w:eastAsia="SimSun"/>
          <w:lang w:eastAsia="zh-CN"/>
        </w:rPr>
        <w:t xml:space="preserve"> </w:t>
      </w:r>
      <w:r w:rsidR="00054E18">
        <w:rPr>
          <w:rFonts w:eastAsia="SimSun"/>
          <w:lang w:eastAsia="zh-CN"/>
        </w:rPr>
        <w:br/>
      </w:r>
      <w:r>
        <w:rPr>
          <w:rFonts w:eastAsia="SimSun"/>
          <w:lang w:eastAsia="zh-CN"/>
        </w:rPr>
        <w:t>GMDN:</w:t>
      </w:r>
      <w:r w:rsidRPr="00B57F51">
        <w:t xml:space="preserve"> </w:t>
      </w:r>
      <w:r w:rsidRPr="00B57F51">
        <w:rPr>
          <w:rFonts w:eastAsia="SimSun"/>
          <w:lang w:eastAsia="zh-CN"/>
        </w:rPr>
        <w:t>Global Medical Device Nomenclature</w:t>
      </w:r>
      <w:r>
        <w:rPr>
          <w:rFonts w:eastAsia="SimSun"/>
          <w:lang w:eastAsia="zh-CN"/>
        </w:rPr>
        <w:t>; N/R: not reported</w:t>
      </w:r>
      <w:r w:rsidR="0026112F">
        <w:rPr>
          <w:rFonts w:eastAsia="SimSun"/>
          <w:lang w:eastAsia="zh-CN"/>
        </w:rPr>
        <w:t>.</w:t>
      </w:r>
    </w:p>
    <w:p w:rsidR="008B59EC" w:rsidRPr="008B59EC" w:rsidRDefault="008B59EC" w:rsidP="0082017C">
      <w:pPr>
        <w:pStyle w:val="TableNotes"/>
        <w:rPr>
          <w:rFonts w:eastAsia="SimSun" w:cs="Tahoma"/>
          <w:lang w:val="en-AU" w:eastAsia="zh-CN"/>
        </w:rPr>
      </w:pPr>
      <w:r>
        <w:rPr>
          <w:rFonts w:eastAsia="SimSun"/>
          <w:lang w:val="en-AU" w:eastAsia="zh-CN"/>
        </w:rPr>
        <w:t xml:space="preserve">Source: </w:t>
      </w:r>
      <w:r>
        <w:rPr>
          <w:rFonts w:eastAsia="SimSun" w:cs="Arial"/>
          <w:szCs w:val="24"/>
          <w:lang w:eastAsia="zh-CN"/>
        </w:rPr>
        <w:t>Watt et al 2007</w:t>
      </w:r>
    </w:p>
    <w:p w:rsidR="003241B5" w:rsidRPr="008F42F9" w:rsidRDefault="004F3970" w:rsidP="000637F0">
      <w:pPr>
        <w:pStyle w:val="Heading2"/>
      </w:pPr>
      <w:bookmarkStart w:id="74" w:name="_Toc214339166"/>
      <w:bookmarkStart w:id="75" w:name="_Toc352924408"/>
      <w:r w:rsidRPr="008F42F9">
        <w:t>Current reimbursement arrangements</w:t>
      </w:r>
      <w:bookmarkEnd w:id="74"/>
      <w:bookmarkEnd w:id="75"/>
    </w:p>
    <w:p w:rsidR="006204F5" w:rsidRDefault="003241B5" w:rsidP="006204F5">
      <w:r w:rsidRPr="008F42F9">
        <w:t>Sur</w:t>
      </w:r>
      <w:r w:rsidRPr="00325C69">
        <w:t xml:space="preserve">gical resection is </w:t>
      </w:r>
      <w:r w:rsidR="00746A86">
        <w:t xml:space="preserve">currently </w:t>
      </w:r>
      <w:r w:rsidRPr="00325C69">
        <w:t xml:space="preserve">the standard treatment for </w:t>
      </w:r>
      <w:r w:rsidR="003D1B91">
        <w:t>managing colorectal obstruction</w:t>
      </w:r>
      <w:r w:rsidRPr="00325C69">
        <w:t>. Acute obstruction secondary to colorectal cancer is considered a surgical emergency</w:t>
      </w:r>
      <w:r w:rsidR="00746A86">
        <w:t xml:space="preserve">. When undertaken in the emergency setting, surgery for colorectal obstruction </w:t>
      </w:r>
      <w:r w:rsidRPr="00325C69">
        <w:t xml:space="preserve">is associated with a higher risk </w:t>
      </w:r>
      <w:r w:rsidR="00746A86">
        <w:t xml:space="preserve">to the patient </w:t>
      </w:r>
      <w:r w:rsidRPr="00325C69">
        <w:t xml:space="preserve">than comparable elective surgery (McArdle </w:t>
      </w:r>
      <w:r w:rsidR="00746A86">
        <w:t>and</w:t>
      </w:r>
      <w:r w:rsidRPr="00325C69">
        <w:t xml:space="preserve"> </w:t>
      </w:r>
      <w:r w:rsidRPr="007D5B7C">
        <w:t xml:space="preserve">Hole 2004). </w:t>
      </w:r>
      <w:r w:rsidR="00746A86">
        <w:t>Approximately</w:t>
      </w:r>
      <w:r w:rsidRPr="007D5B7C">
        <w:t xml:space="preserve"> 50</w:t>
      </w:r>
      <w:r w:rsidR="00746A86">
        <w:t xml:space="preserve"> per cent</w:t>
      </w:r>
      <w:r w:rsidRPr="007D5B7C">
        <w:t xml:space="preserve"> of patients with malignant colorectal obstruction are eligible for curative </w:t>
      </w:r>
      <w:r w:rsidR="00746A86">
        <w:t>surgical resection</w:t>
      </w:r>
      <w:r w:rsidR="00746A86" w:rsidRPr="00746A86">
        <w:t xml:space="preserve"> </w:t>
      </w:r>
      <w:r w:rsidR="00746A86">
        <w:t xml:space="preserve">(Xinopoulos et al </w:t>
      </w:r>
      <w:r w:rsidR="00746A86" w:rsidRPr="007D5B7C">
        <w:t>2004)</w:t>
      </w:r>
      <w:r w:rsidRPr="007D5B7C">
        <w:t xml:space="preserve">. </w:t>
      </w:r>
    </w:p>
    <w:p w:rsidR="004F3970" w:rsidRPr="00A30BA9" w:rsidRDefault="00746A86" w:rsidP="00041C5E">
      <w:pPr>
        <w:spacing w:after="0"/>
      </w:pPr>
      <w:r>
        <w:t xml:space="preserve">The </w:t>
      </w:r>
      <w:r w:rsidRPr="009E5C53">
        <w:t>current MBS item numbers related to resection and management of colorectal obstruction</w:t>
      </w:r>
      <w:r>
        <w:t xml:space="preserve"> are listed in</w:t>
      </w:r>
      <w:r w:rsidR="0082017C">
        <w:t xml:space="preserve"> </w:t>
      </w:r>
      <w:r w:rsidR="0082017C">
        <w:fldChar w:fldCharType="begin"/>
      </w:r>
      <w:r w:rsidR="0082017C">
        <w:instrText xml:space="preserve"> REF _Ref324940584 \h </w:instrText>
      </w:r>
      <w:r w:rsidR="0082017C">
        <w:fldChar w:fldCharType="separate"/>
      </w:r>
      <w:r w:rsidR="0071544A">
        <w:t xml:space="preserve">Table </w:t>
      </w:r>
      <w:r w:rsidR="0071544A">
        <w:rPr>
          <w:noProof/>
        </w:rPr>
        <w:t>18</w:t>
      </w:r>
      <w:r w:rsidR="0082017C">
        <w:fldChar w:fldCharType="end"/>
      </w:r>
      <w:r w:rsidR="005C55C9" w:rsidRPr="005C55C9">
        <w:t>;</w:t>
      </w:r>
      <w:r>
        <w:rPr>
          <w:color w:val="FF0000"/>
        </w:rPr>
        <w:t xml:space="preserve"> </w:t>
      </w:r>
      <w:r w:rsidR="00B1508A" w:rsidRPr="009E5C53">
        <w:t>the number of services claimed for each</w:t>
      </w:r>
      <w:r w:rsidR="00B1508A" w:rsidRPr="00E2422F">
        <w:t xml:space="preserve"> of these</w:t>
      </w:r>
      <w:r w:rsidR="00B1508A" w:rsidRPr="00892811">
        <w:t xml:space="preserve"> item</w:t>
      </w:r>
      <w:r w:rsidR="00367FF6">
        <w:t>s</w:t>
      </w:r>
      <w:r>
        <w:t xml:space="preserve"> </w:t>
      </w:r>
      <w:r w:rsidR="00DF522A">
        <w:t xml:space="preserve">is </w:t>
      </w:r>
      <w:r>
        <w:t>listed in</w:t>
      </w:r>
      <w:r w:rsidR="0082017C">
        <w:t xml:space="preserve"> </w:t>
      </w:r>
      <w:r w:rsidR="0082017C">
        <w:fldChar w:fldCharType="begin"/>
      </w:r>
      <w:r w:rsidR="0082017C">
        <w:instrText xml:space="preserve"> REF _Ref324940682 \h </w:instrText>
      </w:r>
      <w:r w:rsidR="0082017C">
        <w:fldChar w:fldCharType="separate"/>
      </w:r>
      <w:r w:rsidR="0071544A">
        <w:t xml:space="preserve">Table </w:t>
      </w:r>
      <w:r w:rsidR="0071544A">
        <w:rPr>
          <w:noProof/>
        </w:rPr>
        <w:t>19</w:t>
      </w:r>
      <w:r w:rsidR="0082017C">
        <w:fldChar w:fldCharType="end"/>
      </w:r>
      <w:r w:rsidR="00367FF6">
        <w:t>.</w:t>
      </w:r>
    </w:p>
    <w:p w:rsidR="00C768AC" w:rsidRPr="005646B6" w:rsidRDefault="00C768AC" w:rsidP="00C768AC"/>
    <w:p w:rsidR="00F85E97" w:rsidRDefault="0082017C" w:rsidP="0082017C">
      <w:pPr>
        <w:pStyle w:val="Caption"/>
        <w:rPr>
          <w:rFonts w:eastAsia="SimSun"/>
        </w:rPr>
      </w:pPr>
      <w:bookmarkStart w:id="76" w:name="_Ref324940584"/>
      <w:bookmarkStart w:id="77" w:name="_Toc314226730"/>
      <w:bookmarkStart w:id="78" w:name="_Toc327522062"/>
      <w:r>
        <w:lastRenderedPageBreak/>
        <w:t xml:space="preserve">Table </w:t>
      </w:r>
      <w:fldSimple w:instr=" SEQ Table \* ARABIC ">
        <w:r w:rsidR="0071544A">
          <w:rPr>
            <w:noProof/>
          </w:rPr>
          <w:t>18</w:t>
        </w:r>
      </w:fldSimple>
      <w:bookmarkEnd w:id="76"/>
      <w:r w:rsidR="009A71A5" w:rsidRPr="00B1508A">
        <w:rPr>
          <w:rFonts w:eastAsia="SimSun" w:cs="Arial"/>
          <w:b w:val="0"/>
          <w:sz w:val="18"/>
          <w:szCs w:val="18"/>
          <w:lang w:eastAsia="zh-CN"/>
        </w:rPr>
        <w:tab/>
      </w:r>
      <w:r w:rsidR="00F85E97" w:rsidRPr="00B1508A">
        <w:rPr>
          <w:rFonts w:eastAsia="SimSun"/>
        </w:rPr>
        <w:t>Types of resection procedures listed on the MBS for managing colorectal obstruction</w:t>
      </w:r>
      <w:bookmarkEnd w:id="77"/>
      <w:bookmarkEnd w:id="78"/>
    </w:p>
    <w:tbl>
      <w:tblPr>
        <w:tblW w:w="0" w:type="auto"/>
        <w:tblInd w:w="720" w:type="dxa"/>
        <w:tblBorders>
          <w:top w:val="single" w:sz="12" w:space="0" w:color="auto"/>
          <w:bottom w:val="single" w:sz="12" w:space="0" w:color="auto"/>
        </w:tblBorders>
        <w:tblLook w:val="0000" w:firstRow="0" w:lastRow="0" w:firstColumn="0" w:lastColumn="0" w:noHBand="0" w:noVBand="0"/>
      </w:tblPr>
      <w:tblGrid>
        <w:gridCol w:w="1000"/>
        <w:gridCol w:w="7525"/>
      </w:tblGrid>
      <w:tr w:rsidR="00007456" w:rsidRPr="002551BC" w:rsidTr="00013DF6">
        <w:trPr>
          <w:trHeight w:val="195"/>
        </w:trPr>
        <w:tc>
          <w:tcPr>
            <w:tcW w:w="1000" w:type="dxa"/>
            <w:tcBorders>
              <w:top w:val="single" w:sz="12" w:space="0" w:color="auto"/>
              <w:bottom w:val="single" w:sz="4" w:space="0" w:color="auto"/>
            </w:tcBorders>
          </w:tcPr>
          <w:p w:rsidR="00007456" w:rsidRPr="00007456" w:rsidRDefault="00007456" w:rsidP="006F29EC">
            <w:pPr>
              <w:pStyle w:val="TableHeading"/>
            </w:pPr>
            <w:r w:rsidRPr="00007456">
              <w:t>MBS item no</w:t>
            </w:r>
          </w:p>
        </w:tc>
        <w:tc>
          <w:tcPr>
            <w:tcW w:w="7525" w:type="dxa"/>
            <w:tcBorders>
              <w:top w:val="single" w:sz="12" w:space="0" w:color="auto"/>
              <w:bottom w:val="single" w:sz="4" w:space="0" w:color="auto"/>
            </w:tcBorders>
          </w:tcPr>
          <w:p w:rsidR="00007456" w:rsidRPr="00007456" w:rsidRDefault="00007456" w:rsidP="006F29EC">
            <w:pPr>
              <w:pStyle w:val="TableHeading"/>
            </w:pPr>
            <w:r w:rsidRPr="00007456">
              <w:t xml:space="preserve">Type of resection procedure </w:t>
            </w:r>
          </w:p>
        </w:tc>
      </w:tr>
      <w:tr w:rsidR="00007456" w:rsidRPr="002551BC" w:rsidTr="00013DF6">
        <w:trPr>
          <w:trHeight w:val="317"/>
        </w:trPr>
        <w:tc>
          <w:tcPr>
            <w:tcW w:w="1000" w:type="dxa"/>
            <w:tcBorders>
              <w:top w:val="single" w:sz="4" w:space="0" w:color="auto"/>
            </w:tcBorders>
          </w:tcPr>
          <w:p w:rsidR="00007456" w:rsidRPr="000F3C8B" w:rsidRDefault="00007456" w:rsidP="006F29EC">
            <w:pPr>
              <w:pStyle w:val="TableText0"/>
              <w:rPr>
                <w:rFonts w:eastAsia="SimSun"/>
                <w:lang w:val="en-AU"/>
              </w:rPr>
            </w:pPr>
            <w:r w:rsidRPr="000F3C8B">
              <w:rPr>
                <w:rFonts w:eastAsia="SimSun"/>
                <w:lang w:val="en-AU"/>
              </w:rPr>
              <w:t>30375</w:t>
            </w:r>
          </w:p>
        </w:tc>
        <w:tc>
          <w:tcPr>
            <w:tcW w:w="7525" w:type="dxa"/>
            <w:tcBorders>
              <w:top w:val="single" w:sz="4" w:space="0" w:color="auto"/>
            </w:tcBorders>
          </w:tcPr>
          <w:p w:rsidR="00007456" w:rsidRPr="000F3C8B" w:rsidRDefault="00007456" w:rsidP="006F29EC">
            <w:pPr>
              <w:pStyle w:val="TableText0"/>
              <w:rPr>
                <w:rFonts w:eastAsia="Calibri"/>
                <w:lang w:val="en-AU"/>
              </w:rPr>
            </w:pPr>
            <w:r w:rsidRPr="000F3C8B">
              <w:rPr>
                <w:rFonts w:eastAsia="Calibri"/>
                <w:lang w:val="en-AU"/>
              </w:rPr>
              <w:t>Caecostomy, Enterostomy, Colostomy, Enterotomy, Colotomy, Cholecystostomy, Gastrostomy, Gastrotomy, Reduction of intussusception, Removal of Meckel's diverticulum, Suture of perforated peptic ulcer, Simple repair of ruptured viscus, Reduction of volvulus, Pyloroplasty (adult) or Drainage of pancreas</w:t>
            </w:r>
          </w:p>
          <w:p w:rsidR="00007456" w:rsidRPr="000F3C8B" w:rsidRDefault="00007456" w:rsidP="006F29EC">
            <w:pPr>
              <w:pStyle w:val="TableText0"/>
              <w:rPr>
                <w:rFonts w:eastAsia="SimSun"/>
                <w:lang w:val="en-AU"/>
              </w:rPr>
            </w:pPr>
            <w:r w:rsidRPr="000F3C8B">
              <w:rPr>
                <w:rFonts w:eastAsia="Calibri"/>
                <w:lang w:val="en-AU"/>
              </w:rPr>
              <w:t xml:space="preserve">Fee: </w:t>
            </w:r>
            <w:r w:rsidRPr="000F3C8B">
              <w:rPr>
                <w:rFonts w:eastAsia="SimSun"/>
                <w:lang w:val="en-AU"/>
              </w:rPr>
              <w:t>$501.50 Benefit: 75% = $376.15</w:t>
            </w:r>
          </w:p>
        </w:tc>
      </w:tr>
      <w:tr w:rsidR="00007456" w:rsidRPr="002551BC" w:rsidTr="00013DF6">
        <w:trPr>
          <w:trHeight w:val="259"/>
        </w:trPr>
        <w:tc>
          <w:tcPr>
            <w:tcW w:w="1000" w:type="dxa"/>
          </w:tcPr>
          <w:p w:rsidR="00007456" w:rsidRPr="000F3C8B" w:rsidRDefault="00007456" w:rsidP="006F29EC">
            <w:pPr>
              <w:pStyle w:val="TableText0"/>
              <w:rPr>
                <w:rFonts w:eastAsia="SimSun"/>
                <w:lang w:val="en-AU"/>
              </w:rPr>
            </w:pPr>
            <w:r w:rsidRPr="000F3C8B">
              <w:rPr>
                <w:rFonts w:eastAsia="SimSun"/>
                <w:lang w:val="en-AU"/>
              </w:rPr>
              <w:t>32009</w:t>
            </w:r>
          </w:p>
        </w:tc>
        <w:tc>
          <w:tcPr>
            <w:tcW w:w="7525" w:type="dxa"/>
          </w:tcPr>
          <w:p w:rsidR="00007456" w:rsidRPr="000F3C8B" w:rsidRDefault="00007456" w:rsidP="006F29EC">
            <w:pPr>
              <w:pStyle w:val="TableText0"/>
              <w:rPr>
                <w:rFonts w:eastAsia="SimSun"/>
                <w:lang w:val="en-AU"/>
              </w:rPr>
            </w:pPr>
            <w:r w:rsidRPr="000F3C8B">
              <w:rPr>
                <w:rFonts w:eastAsia="SimSun"/>
                <w:lang w:val="en-AU"/>
              </w:rPr>
              <w:t>TOTAL COLECTOMY AND ILEOSTOMY</w:t>
            </w:r>
          </w:p>
          <w:p w:rsidR="00007456" w:rsidRPr="000F3C8B" w:rsidRDefault="00007456" w:rsidP="006F29EC">
            <w:pPr>
              <w:pStyle w:val="TableText0"/>
              <w:rPr>
                <w:rFonts w:eastAsia="SimSun"/>
                <w:lang w:val="en-AU"/>
              </w:rPr>
            </w:pPr>
            <w:r w:rsidRPr="000F3C8B">
              <w:rPr>
                <w:rFonts w:eastAsia="Calibri"/>
                <w:lang w:val="en-AU"/>
              </w:rPr>
              <w:t xml:space="preserve">Fee: </w:t>
            </w:r>
            <w:r w:rsidRPr="000F3C8B">
              <w:rPr>
                <w:rFonts w:eastAsia="SimSun"/>
                <w:lang w:val="en-AU"/>
              </w:rPr>
              <w:t>$1,312.90 Benefit: 75% = $984.70</w:t>
            </w:r>
          </w:p>
        </w:tc>
      </w:tr>
      <w:tr w:rsidR="00007456" w:rsidRPr="002551BC" w:rsidTr="00013DF6">
        <w:trPr>
          <w:trHeight w:val="258"/>
        </w:trPr>
        <w:tc>
          <w:tcPr>
            <w:tcW w:w="1000" w:type="dxa"/>
          </w:tcPr>
          <w:p w:rsidR="00007456" w:rsidRPr="000F3C8B" w:rsidRDefault="00007456" w:rsidP="006F29EC">
            <w:pPr>
              <w:pStyle w:val="TableText0"/>
              <w:rPr>
                <w:rFonts w:eastAsia="SimSun"/>
                <w:lang w:val="en-AU"/>
              </w:rPr>
            </w:pPr>
            <w:r w:rsidRPr="000F3C8B">
              <w:rPr>
                <w:rFonts w:eastAsia="SimSun"/>
                <w:lang w:val="en-AU"/>
              </w:rPr>
              <w:t>32024</w:t>
            </w:r>
          </w:p>
        </w:tc>
        <w:tc>
          <w:tcPr>
            <w:tcW w:w="7525" w:type="dxa"/>
          </w:tcPr>
          <w:p w:rsidR="00007456" w:rsidRPr="000F3C8B" w:rsidRDefault="00007456" w:rsidP="006F29EC">
            <w:pPr>
              <w:pStyle w:val="TableText0"/>
              <w:rPr>
                <w:rFonts w:eastAsia="SimSun"/>
                <w:lang w:val="en-AU"/>
              </w:rPr>
            </w:pPr>
            <w:r w:rsidRPr="000F3C8B">
              <w:rPr>
                <w:rFonts w:eastAsia="SimSun"/>
                <w:lang w:val="en-AU"/>
              </w:rPr>
              <w:t>RECTUM, HIGH RESTORATIVE ANTERIOR RESECTION WITH INTRAPERITONEAL ANASTOMOSIS (of the rectum) greater than 10 centimetres from the anal verge  excluding resection of sigmoid colon alone not being a service associated with a service to which item 32103, 32104 or 32106 applies</w:t>
            </w:r>
          </w:p>
          <w:p w:rsidR="00007456" w:rsidRPr="000F3C8B" w:rsidRDefault="00007456" w:rsidP="006F29EC">
            <w:pPr>
              <w:pStyle w:val="TableText0"/>
              <w:rPr>
                <w:rFonts w:eastAsia="SimSun"/>
                <w:lang w:val="en-AU"/>
              </w:rPr>
            </w:pPr>
            <w:r w:rsidRPr="000F3C8B">
              <w:rPr>
                <w:rFonts w:eastAsia="Calibri"/>
                <w:lang w:val="en-AU"/>
              </w:rPr>
              <w:t xml:space="preserve">Fee: </w:t>
            </w:r>
            <w:r w:rsidRPr="000F3C8B">
              <w:rPr>
                <w:rFonts w:eastAsia="SimSun"/>
                <w:lang w:val="en-AU"/>
              </w:rPr>
              <w:t>$1,312.90 Benefit: 75% = $984.70</w:t>
            </w:r>
          </w:p>
        </w:tc>
      </w:tr>
      <w:tr w:rsidR="00007456" w:rsidRPr="002551BC" w:rsidTr="00013DF6">
        <w:trPr>
          <w:trHeight w:val="268"/>
        </w:trPr>
        <w:tc>
          <w:tcPr>
            <w:tcW w:w="1000" w:type="dxa"/>
          </w:tcPr>
          <w:p w:rsidR="00007456" w:rsidRPr="000F3C8B" w:rsidRDefault="00007456" w:rsidP="006F29EC">
            <w:pPr>
              <w:pStyle w:val="TableText0"/>
              <w:rPr>
                <w:rFonts w:eastAsia="SimSun"/>
                <w:lang w:val="en-AU"/>
              </w:rPr>
            </w:pPr>
            <w:r w:rsidRPr="000F3C8B">
              <w:rPr>
                <w:rFonts w:eastAsia="SimSun"/>
                <w:lang w:val="en-AU"/>
              </w:rPr>
              <w:t>32025</w:t>
            </w:r>
          </w:p>
        </w:tc>
        <w:tc>
          <w:tcPr>
            <w:tcW w:w="7525" w:type="dxa"/>
          </w:tcPr>
          <w:p w:rsidR="00007456" w:rsidRPr="000F3C8B" w:rsidRDefault="00007456" w:rsidP="006F29EC">
            <w:pPr>
              <w:pStyle w:val="TableText0"/>
              <w:rPr>
                <w:rFonts w:eastAsia="SimSun" w:cs="Tahoma"/>
                <w:lang w:val="en-AU"/>
              </w:rPr>
            </w:pPr>
            <w:r w:rsidRPr="000F3C8B">
              <w:rPr>
                <w:rFonts w:eastAsia="SimSun" w:cs="Tahoma"/>
                <w:lang w:val="en-AU"/>
              </w:rPr>
              <w:t>RECTUM, LOW RESTORATIVE ANTERIOR RESECTION WITH EXTRAPERITONEAL ANASTOMOSIS (of the rectum) less than 10 centimetres from the anal verge, with or without covering stoma not being a service associated with a service to which item 32103, 32104 or 32106 applies</w:t>
            </w:r>
          </w:p>
          <w:p w:rsidR="00007456" w:rsidRPr="000F3C8B" w:rsidRDefault="00007456" w:rsidP="006F29EC">
            <w:pPr>
              <w:pStyle w:val="TableText0"/>
              <w:rPr>
                <w:rFonts w:eastAsia="SimSun"/>
                <w:lang w:val="en-AU"/>
              </w:rPr>
            </w:pPr>
            <w:r w:rsidRPr="000F3C8B">
              <w:rPr>
                <w:rFonts w:eastAsia="Calibri"/>
                <w:lang w:val="en-AU"/>
              </w:rPr>
              <w:t xml:space="preserve">Fee: </w:t>
            </w:r>
            <w:r w:rsidRPr="000F3C8B">
              <w:rPr>
                <w:rFonts w:eastAsia="SimSun"/>
                <w:lang w:val="en-AU"/>
              </w:rPr>
              <w:t>$1,756.15 Benefit: 75% = $1,317.15</w:t>
            </w:r>
          </w:p>
        </w:tc>
      </w:tr>
      <w:tr w:rsidR="00007456" w:rsidRPr="002551BC" w:rsidTr="00013DF6">
        <w:trPr>
          <w:trHeight w:val="279"/>
        </w:trPr>
        <w:tc>
          <w:tcPr>
            <w:tcW w:w="1000" w:type="dxa"/>
          </w:tcPr>
          <w:p w:rsidR="00007456" w:rsidRPr="000F3C8B" w:rsidRDefault="00007456" w:rsidP="006F29EC">
            <w:pPr>
              <w:pStyle w:val="TableText0"/>
              <w:rPr>
                <w:rFonts w:eastAsia="SimSun"/>
                <w:lang w:val="en-AU"/>
              </w:rPr>
            </w:pPr>
            <w:r w:rsidRPr="000F3C8B">
              <w:rPr>
                <w:rFonts w:eastAsia="SimSun"/>
                <w:lang w:val="en-AU"/>
              </w:rPr>
              <w:t>32026</w:t>
            </w:r>
          </w:p>
        </w:tc>
        <w:tc>
          <w:tcPr>
            <w:tcW w:w="7525" w:type="dxa"/>
          </w:tcPr>
          <w:p w:rsidR="00007456" w:rsidRPr="000F3C8B" w:rsidRDefault="00007456" w:rsidP="006F29EC">
            <w:pPr>
              <w:pStyle w:val="TableText0"/>
              <w:rPr>
                <w:lang w:val="en-AU"/>
              </w:rPr>
            </w:pPr>
            <w:r w:rsidRPr="000F3C8B">
              <w:rPr>
                <w:lang w:val="en-AU"/>
              </w:rPr>
              <w:t>RECTUM, ULTRA LOW RESTORATIVE RESECTION, with or without covering stoma, where the anastomosis is sited in the anorectal region and is 6cm or less from the anal verge</w:t>
            </w:r>
          </w:p>
          <w:p w:rsidR="00007456" w:rsidRPr="000F3C8B" w:rsidRDefault="00007456" w:rsidP="006F29EC">
            <w:pPr>
              <w:pStyle w:val="TableText0"/>
              <w:rPr>
                <w:rFonts w:eastAsia="SimSun"/>
                <w:lang w:val="en-AU"/>
              </w:rPr>
            </w:pPr>
            <w:r w:rsidRPr="000F3C8B">
              <w:rPr>
                <w:rFonts w:eastAsia="Calibri"/>
                <w:lang w:val="en-AU"/>
              </w:rPr>
              <w:t xml:space="preserve">Fee: </w:t>
            </w:r>
            <w:r w:rsidRPr="000F3C8B">
              <w:rPr>
                <w:rFonts w:eastAsia="SimSun"/>
                <w:lang w:val="en-AU"/>
              </w:rPr>
              <w:t>$1,891.20 Benefit: 75% = $1,418.40</w:t>
            </w:r>
          </w:p>
        </w:tc>
      </w:tr>
      <w:tr w:rsidR="00007456" w:rsidRPr="002551BC" w:rsidTr="00013DF6">
        <w:trPr>
          <w:trHeight w:val="288"/>
        </w:trPr>
        <w:tc>
          <w:tcPr>
            <w:tcW w:w="1000" w:type="dxa"/>
          </w:tcPr>
          <w:p w:rsidR="00007456" w:rsidRPr="000F3C8B" w:rsidRDefault="00007456" w:rsidP="006F29EC">
            <w:pPr>
              <w:pStyle w:val="TableText0"/>
              <w:rPr>
                <w:rFonts w:eastAsia="SimSun"/>
                <w:lang w:val="en-AU"/>
              </w:rPr>
            </w:pPr>
            <w:r w:rsidRPr="000F3C8B">
              <w:rPr>
                <w:rFonts w:eastAsia="SimSun"/>
                <w:lang w:val="en-AU"/>
              </w:rPr>
              <w:t>32033</w:t>
            </w:r>
          </w:p>
        </w:tc>
        <w:tc>
          <w:tcPr>
            <w:tcW w:w="7525" w:type="dxa"/>
          </w:tcPr>
          <w:p w:rsidR="00007456" w:rsidRPr="000F3C8B" w:rsidRDefault="00007456" w:rsidP="006F29EC">
            <w:pPr>
              <w:pStyle w:val="TableText0"/>
              <w:rPr>
                <w:rFonts w:eastAsia="SimSun"/>
                <w:lang w:val="en-AU"/>
              </w:rPr>
            </w:pPr>
            <w:r w:rsidRPr="000F3C8B">
              <w:rPr>
                <w:rFonts w:eastAsia="SimSun"/>
                <w:lang w:val="en-AU"/>
              </w:rPr>
              <w:t>RESTORATION OF BOWEL following Hartmann's or similar operation, including dismantling of the stoma</w:t>
            </w:r>
          </w:p>
          <w:p w:rsidR="00007456" w:rsidRPr="000F3C8B" w:rsidRDefault="00007456" w:rsidP="006F29EC">
            <w:pPr>
              <w:pStyle w:val="TableText0"/>
              <w:rPr>
                <w:rFonts w:eastAsia="SimSun"/>
                <w:lang w:val="en-AU"/>
              </w:rPr>
            </w:pPr>
            <w:r w:rsidRPr="000F3C8B">
              <w:rPr>
                <w:rFonts w:eastAsia="Calibri"/>
                <w:lang w:val="en-AU"/>
              </w:rPr>
              <w:t xml:space="preserve">Fee: </w:t>
            </w:r>
            <w:r w:rsidRPr="000F3C8B">
              <w:rPr>
                <w:rFonts w:eastAsia="SimSun"/>
                <w:lang w:val="en-AU"/>
              </w:rPr>
              <w:t>$1,450.30 Benefit: 75% = $1,087.75</w:t>
            </w:r>
          </w:p>
        </w:tc>
      </w:tr>
    </w:tbl>
    <w:p w:rsidR="00DC433D" w:rsidRPr="00FD6ED8" w:rsidRDefault="00DC433D" w:rsidP="00DC433D">
      <w:pPr>
        <w:pStyle w:val="TableNotes"/>
        <w:rPr>
          <w:rFonts w:eastAsia="SimSun"/>
          <w:lang w:eastAsia="zh-CN"/>
        </w:rPr>
      </w:pPr>
      <w:r w:rsidRPr="00AA69D5">
        <w:rPr>
          <w:rFonts w:eastAsia="SimSun"/>
          <w:lang w:eastAsia="zh-CN"/>
        </w:rPr>
        <w:t>MBS: Medicare Benefits Schedule</w:t>
      </w:r>
      <w:r>
        <w:rPr>
          <w:rFonts w:eastAsia="SimSun"/>
          <w:lang w:eastAsia="zh-CN"/>
        </w:rPr>
        <w:t>.</w:t>
      </w:r>
    </w:p>
    <w:p w:rsidR="00AA69D5" w:rsidRDefault="00951C3D" w:rsidP="00013DF6">
      <w:pPr>
        <w:pStyle w:val="TableNotes"/>
        <w:rPr>
          <w:rFonts w:eastAsia="SimSun"/>
          <w:lang w:eastAsia="zh-CN"/>
        </w:rPr>
      </w:pPr>
      <w:r>
        <w:rPr>
          <w:rFonts w:eastAsia="SimSun"/>
          <w:lang w:val="en-AU" w:eastAsia="zh-CN"/>
        </w:rPr>
        <w:t xml:space="preserve">Note: </w:t>
      </w:r>
      <w:r w:rsidR="00013DF6" w:rsidRPr="00FD6ED8">
        <w:rPr>
          <w:rFonts w:eastAsia="SimSun"/>
          <w:lang w:eastAsia="zh-CN"/>
        </w:rPr>
        <w:t>All fees</w:t>
      </w:r>
      <w:r w:rsidR="00013DF6">
        <w:rPr>
          <w:rFonts w:eastAsia="SimSun"/>
          <w:lang w:eastAsia="zh-CN"/>
        </w:rPr>
        <w:t xml:space="preserve"> </w:t>
      </w:r>
      <w:r w:rsidR="00013DF6" w:rsidRPr="00FD6ED8">
        <w:rPr>
          <w:rFonts w:eastAsia="SimSun"/>
          <w:lang w:eastAsia="zh-CN"/>
        </w:rPr>
        <w:t>as of April 2011.</w:t>
      </w:r>
      <w:r w:rsidR="00AA69D5">
        <w:rPr>
          <w:rFonts w:eastAsia="SimSun"/>
          <w:lang w:eastAsia="zh-CN"/>
        </w:rPr>
        <w:t xml:space="preserve"> </w:t>
      </w:r>
    </w:p>
    <w:p w:rsidR="008F0C66" w:rsidRPr="00BE3EA8" w:rsidRDefault="00041C5E" w:rsidP="00174468">
      <w:pPr>
        <w:tabs>
          <w:tab w:val="left" w:pos="1985"/>
        </w:tabs>
        <w:rPr>
          <w:noProof/>
        </w:rPr>
      </w:pPr>
      <w:r>
        <w:t xml:space="preserve">There has been an increase in </w:t>
      </w:r>
      <w:r w:rsidR="00121562">
        <w:t xml:space="preserve">the </w:t>
      </w:r>
      <w:r>
        <w:t>util</w:t>
      </w:r>
      <w:r w:rsidR="003241B5" w:rsidRPr="00892811">
        <w:t>i</w:t>
      </w:r>
      <w:r w:rsidR="0035553D" w:rsidRPr="008978EE">
        <w:t>s</w:t>
      </w:r>
      <w:r w:rsidR="003241B5" w:rsidRPr="008978EE">
        <w:t>ation</w:t>
      </w:r>
      <w:r w:rsidR="00AE4483">
        <w:t xml:space="preserve"> of services related to colonic obstruction</w:t>
      </w:r>
      <w:r w:rsidR="003241B5" w:rsidRPr="008978EE">
        <w:t xml:space="preserve"> from 1997 to 2010</w:t>
      </w:r>
      <w:r w:rsidR="0082017C">
        <w:t xml:space="preserve"> (</w:t>
      </w:r>
      <w:r w:rsidR="006F654A">
        <w:t xml:space="preserve">See </w:t>
      </w:r>
      <w:r w:rsidR="00007456">
        <w:fldChar w:fldCharType="begin"/>
      </w:r>
      <w:r w:rsidR="00007456">
        <w:instrText xml:space="preserve"> REF _Ref324940682 \h </w:instrText>
      </w:r>
      <w:r w:rsidR="00007456">
        <w:fldChar w:fldCharType="separate"/>
      </w:r>
      <w:r w:rsidR="0071544A">
        <w:t xml:space="preserve">Table </w:t>
      </w:r>
      <w:r w:rsidR="0071544A">
        <w:rPr>
          <w:noProof/>
        </w:rPr>
        <w:t>19</w:t>
      </w:r>
      <w:r w:rsidR="00007456">
        <w:fldChar w:fldCharType="end"/>
      </w:r>
      <w:r w:rsidR="00AE4483">
        <w:t>)</w:t>
      </w:r>
      <w:r w:rsidR="003241B5" w:rsidRPr="008978EE">
        <w:t>. However</w:t>
      </w:r>
      <w:r w:rsidR="00AE4483">
        <w:t>,</w:t>
      </w:r>
      <w:r w:rsidR="003D1B91">
        <w:t xml:space="preserve"> the</w:t>
      </w:r>
      <w:r w:rsidR="003241B5" w:rsidRPr="008978EE">
        <w:t xml:space="preserve"> MBS item numbers </w:t>
      </w:r>
      <w:r w:rsidR="00AE4483">
        <w:t xml:space="preserve">for these services </w:t>
      </w:r>
      <w:r w:rsidR="003241B5" w:rsidRPr="008978EE">
        <w:t xml:space="preserve">could also be used </w:t>
      </w:r>
      <w:r w:rsidR="00AE4483">
        <w:t>for</w:t>
      </w:r>
      <w:r w:rsidR="003241B5" w:rsidRPr="008978EE">
        <w:t xml:space="preserve"> other indications</w:t>
      </w:r>
      <w:r w:rsidR="00121562">
        <w:t>,</w:t>
      </w:r>
      <w:r w:rsidR="003241B5" w:rsidRPr="008978EE">
        <w:t xml:space="preserve"> including diverticular disease, pelvic abscess, Croh</w:t>
      </w:r>
      <w:r w:rsidR="003241B5" w:rsidRPr="00A30BA9">
        <w:t>n</w:t>
      </w:r>
      <w:r w:rsidR="00AE4483">
        <w:t>’s</w:t>
      </w:r>
      <w:r w:rsidR="003241B5" w:rsidRPr="00A30BA9">
        <w:t xml:space="preserve"> disease and trauma</w:t>
      </w:r>
      <w:r w:rsidR="00121562">
        <w:t>,</w:t>
      </w:r>
      <w:r w:rsidR="003241B5" w:rsidRPr="00A30BA9">
        <w:t xml:space="preserve"> in addition to malignant bowel obstructions. The </w:t>
      </w:r>
      <w:r w:rsidR="006204F5" w:rsidRPr="005646B6">
        <w:t xml:space="preserve">Colorectal Surgical Society of Australia and New Zealand (the applicant) </w:t>
      </w:r>
      <w:r w:rsidR="003241B5" w:rsidRPr="00003831">
        <w:t xml:space="preserve">has </w:t>
      </w:r>
      <w:r w:rsidR="00AE4483">
        <w:t>stated</w:t>
      </w:r>
      <w:r w:rsidR="003241B5" w:rsidRPr="00003831">
        <w:t xml:space="preserve"> that the vast majority of bowel resections are </w:t>
      </w:r>
      <w:r w:rsidR="00AE4483" w:rsidRPr="00003831">
        <w:t>performed</w:t>
      </w:r>
      <w:r w:rsidR="00AE4483">
        <w:t xml:space="preserve"> for</w:t>
      </w:r>
      <w:r w:rsidR="003A3FE9">
        <w:t xml:space="preserve"> </w:t>
      </w:r>
      <w:r w:rsidR="003241B5" w:rsidRPr="00A87C52">
        <w:t xml:space="preserve">elective resection of </w:t>
      </w:r>
      <w:r w:rsidR="00AE4483" w:rsidRPr="00003831">
        <w:t>non-</w:t>
      </w:r>
      <w:r w:rsidR="00121562" w:rsidRPr="00003831">
        <w:t>obstructi</w:t>
      </w:r>
      <w:r w:rsidR="00121562">
        <w:t>ve</w:t>
      </w:r>
      <w:r w:rsidR="00121562" w:rsidRPr="00A87C52">
        <w:t xml:space="preserve"> </w:t>
      </w:r>
      <w:r w:rsidR="003241B5" w:rsidRPr="00A87C52">
        <w:t>bowel cancer. As the same item numbers are used</w:t>
      </w:r>
      <w:r w:rsidR="00AE4483">
        <w:t xml:space="preserve"> for </w:t>
      </w:r>
      <w:r w:rsidR="003241B5" w:rsidRPr="00A87C52">
        <w:t xml:space="preserve">emergency </w:t>
      </w:r>
      <w:r w:rsidR="00AE4483">
        <w:t>procedures,</w:t>
      </w:r>
      <w:r w:rsidR="00AE4483" w:rsidRPr="00A87C52">
        <w:t xml:space="preserve"> </w:t>
      </w:r>
      <w:r w:rsidR="003241B5" w:rsidRPr="00A87C52">
        <w:t xml:space="preserve">there is no way </w:t>
      </w:r>
      <w:r w:rsidR="003A3FE9">
        <w:t>of</w:t>
      </w:r>
      <w:r w:rsidR="003241B5" w:rsidRPr="00A87C52">
        <w:t xml:space="preserve"> determin</w:t>
      </w:r>
      <w:r w:rsidR="003A3FE9">
        <w:t>ing</w:t>
      </w:r>
      <w:r w:rsidR="003241B5" w:rsidRPr="00A87C52">
        <w:t xml:space="preserve"> from these </w:t>
      </w:r>
      <w:r w:rsidR="003A3FE9">
        <w:t>data the specific number of bowel</w:t>
      </w:r>
      <w:r w:rsidR="003241B5" w:rsidRPr="00A87C52">
        <w:t xml:space="preserve"> resection</w:t>
      </w:r>
      <w:r w:rsidR="00CF1FED">
        <w:t>s</w:t>
      </w:r>
      <w:r w:rsidR="003241B5" w:rsidRPr="00A87C52">
        <w:t xml:space="preserve"> performed for </w:t>
      </w:r>
      <w:r w:rsidR="003A3FE9">
        <w:t xml:space="preserve">malignant </w:t>
      </w:r>
      <w:r w:rsidR="003241B5" w:rsidRPr="00A87C52">
        <w:t>colorectal obstruction</w:t>
      </w:r>
      <w:r w:rsidR="003A3FE9">
        <w:t>,</w:t>
      </w:r>
      <w:r w:rsidR="0035553D" w:rsidRPr="00F13A5A">
        <w:t xml:space="preserve"> or the proportion performed in </w:t>
      </w:r>
      <w:r w:rsidR="003A3FE9">
        <w:t>the emergency or elective</w:t>
      </w:r>
      <w:r w:rsidR="0035553D" w:rsidRPr="00E767D0">
        <w:t xml:space="preserve"> setting</w:t>
      </w:r>
      <w:r w:rsidR="003241B5" w:rsidRPr="00BE3EA8">
        <w:t>. Use of each item</w:t>
      </w:r>
      <w:r w:rsidR="003A3FE9">
        <w:t xml:space="preserve"> number</w:t>
      </w:r>
      <w:r w:rsidR="003241B5" w:rsidRPr="00BE3EA8">
        <w:t xml:space="preserve"> could also depend on the </w:t>
      </w:r>
      <w:r w:rsidR="003A3FE9">
        <w:t>degree</w:t>
      </w:r>
      <w:r w:rsidR="003241B5" w:rsidRPr="00BE3EA8">
        <w:t xml:space="preserve"> of obstruction</w:t>
      </w:r>
      <w:r w:rsidR="00CF1FED">
        <w:t xml:space="preserve"> and its cause</w:t>
      </w:r>
      <w:r w:rsidR="003241B5" w:rsidRPr="00BE3EA8">
        <w:t xml:space="preserve">, </w:t>
      </w:r>
      <w:r w:rsidR="003A3FE9">
        <w:t xml:space="preserve">the condition of </w:t>
      </w:r>
      <w:r w:rsidR="00121562">
        <w:t xml:space="preserve">the </w:t>
      </w:r>
      <w:r w:rsidR="003241B5" w:rsidRPr="00BE3EA8">
        <w:t xml:space="preserve">patient, </w:t>
      </w:r>
      <w:r w:rsidR="003A3FE9">
        <w:t xml:space="preserve">the </w:t>
      </w:r>
      <w:r w:rsidR="003241B5" w:rsidRPr="00BE3EA8">
        <w:t>severity of disease</w:t>
      </w:r>
      <w:r w:rsidR="003A3FE9">
        <w:t xml:space="preserve"> and</w:t>
      </w:r>
      <w:r w:rsidR="003241B5" w:rsidRPr="00BE3EA8">
        <w:t xml:space="preserve"> the </w:t>
      </w:r>
      <w:r w:rsidR="003A3FE9">
        <w:t xml:space="preserve">preferences and </w:t>
      </w:r>
      <w:r w:rsidR="003241B5" w:rsidRPr="00BE3EA8">
        <w:t>expertise</w:t>
      </w:r>
      <w:r w:rsidR="003A3FE9">
        <w:t xml:space="preserve"> of the surgeon.</w:t>
      </w:r>
    </w:p>
    <w:p w:rsidR="00E74441" w:rsidRPr="00286445" w:rsidRDefault="0082017C" w:rsidP="0082017C">
      <w:pPr>
        <w:pStyle w:val="Caption"/>
      </w:pPr>
      <w:bookmarkStart w:id="79" w:name="_Ref324940682"/>
      <w:bookmarkStart w:id="80" w:name="_Toc327522063"/>
      <w:r>
        <w:lastRenderedPageBreak/>
        <w:t xml:space="preserve">Table </w:t>
      </w:r>
      <w:fldSimple w:instr=" SEQ Table \* ARABIC ">
        <w:r w:rsidR="0071544A">
          <w:rPr>
            <w:noProof/>
          </w:rPr>
          <w:t>19</w:t>
        </w:r>
      </w:fldSimple>
      <w:bookmarkEnd w:id="79"/>
      <w:r w:rsidR="009A71A5" w:rsidRPr="001949E9">
        <w:tab/>
      </w:r>
      <w:r w:rsidR="008F0C66" w:rsidRPr="001949E9">
        <w:rPr>
          <w:rFonts w:eastAsia="SimSun" w:cs="Arial"/>
        </w:rPr>
        <w:t>The number of services claimed for each MBS item number</w:t>
      </w:r>
      <w:bookmarkEnd w:id="80"/>
    </w:p>
    <w:tbl>
      <w:tblPr>
        <w:tblW w:w="7371" w:type="dxa"/>
        <w:tblInd w:w="840"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337"/>
        <w:gridCol w:w="842"/>
        <w:gridCol w:w="740"/>
        <w:gridCol w:w="875"/>
        <w:gridCol w:w="992"/>
        <w:gridCol w:w="851"/>
        <w:gridCol w:w="850"/>
        <w:gridCol w:w="884"/>
      </w:tblGrid>
      <w:tr w:rsidR="00007456" w:rsidRPr="00BB3C05" w:rsidTr="00007456">
        <w:trPr>
          <w:trHeight w:val="227"/>
        </w:trPr>
        <w:tc>
          <w:tcPr>
            <w:tcW w:w="1337" w:type="dxa"/>
            <w:tcBorders>
              <w:top w:val="single" w:sz="12" w:space="0" w:color="auto"/>
              <w:bottom w:val="single" w:sz="4" w:space="0" w:color="auto"/>
            </w:tcBorders>
          </w:tcPr>
          <w:p w:rsidR="00007456" w:rsidRPr="00286445" w:rsidRDefault="00007456" w:rsidP="00C61E8D">
            <w:pPr>
              <w:pStyle w:val="TableHeading"/>
              <w:rPr>
                <w:rFonts w:eastAsia="SimSun"/>
              </w:rPr>
            </w:pPr>
            <w:r w:rsidRPr="00286445">
              <w:rPr>
                <w:rFonts w:eastAsia="SimSun"/>
              </w:rPr>
              <w:t>Financial year</w:t>
            </w:r>
          </w:p>
        </w:tc>
        <w:tc>
          <w:tcPr>
            <w:tcW w:w="842" w:type="dxa"/>
            <w:tcBorders>
              <w:top w:val="single" w:sz="12" w:space="0" w:color="auto"/>
              <w:bottom w:val="single" w:sz="4" w:space="0" w:color="auto"/>
            </w:tcBorders>
          </w:tcPr>
          <w:p w:rsidR="00007456" w:rsidRPr="00361416" w:rsidRDefault="00007456" w:rsidP="0082017C">
            <w:pPr>
              <w:pStyle w:val="TableHeading"/>
              <w:jc w:val="right"/>
              <w:rPr>
                <w:rFonts w:eastAsia="SimSun"/>
              </w:rPr>
            </w:pPr>
            <w:r w:rsidRPr="00CD21F6">
              <w:rPr>
                <w:rFonts w:eastAsia="SimSun"/>
                <w:lang w:eastAsia="zh-CN"/>
              </w:rPr>
              <w:t>30375</w:t>
            </w:r>
          </w:p>
        </w:tc>
        <w:tc>
          <w:tcPr>
            <w:tcW w:w="740" w:type="dxa"/>
            <w:tcBorders>
              <w:top w:val="single" w:sz="12" w:space="0" w:color="auto"/>
              <w:bottom w:val="single" w:sz="4" w:space="0" w:color="auto"/>
            </w:tcBorders>
          </w:tcPr>
          <w:p w:rsidR="00007456" w:rsidRPr="0072092E" w:rsidRDefault="00007456" w:rsidP="0082017C">
            <w:pPr>
              <w:pStyle w:val="TableHeading"/>
              <w:jc w:val="right"/>
              <w:rPr>
                <w:rFonts w:eastAsia="SimSun"/>
              </w:rPr>
            </w:pPr>
            <w:bookmarkStart w:id="81" w:name="OLE_LINK6"/>
            <w:bookmarkStart w:id="82" w:name="OLE_LINK7"/>
            <w:r w:rsidRPr="0086082D">
              <w:rPr>
                <w:rFonts w:eastAsia="SimSun"/>
                <w:lang w:eastAsia="zh-CN"/>
              </w:rPr>
              <w:t>32024</w:t>
            </w:r>
            <w:bookmarkEnd w:id="81"/>
            <w:bookmarkEnd w:id="82"/>
          </w:p>
        </w:tc>
        <w:tc>
          <w:tcPr>
            <w:tcW w:w="875" w:type="dxa"/>
            <w:tcBorders>
              <w:top w:val="single" w:sz="12" w:space="0" w:color="auto"/>
              <w:bottom w:val="single" w:sz="4" w:space="0" w:color="auto"/>
            </w:tcBorders>
          </w:tcPr>
          <w:p w:rsidR="00007456" w:rsidRPr="0052787F" w:rsidRDefault="00007456" w:rsidP="0082017C">
            <w:pPr>
              <w:pStyle w:val="TableHeading"/>
              <w:jc w:val="right"/>
              <w:rPr>
                <w:rFonts w:eastAsia="SimSun"/>
              </w:rPr>
            </w:pPr>
            <w:r w:rsidRPr="0052787F">
              <w:rPr>
                <w:rFonts w:eastAsia="SimSun"/>
                <w:lang w:eastAsia="zh-CN"/>
              </w:rPr>
              <w:t>32033</w:t>
            </w:r>
          </w:p>
        </w:tc>
        <w:tc>
          <w:tcPr>
            <w:tcW w:w="992" w:type="dxa"/>
            <w:tcBorders>
              <w:top w:val="single" w:sz="12" w:space="0" w:color="auto"/>
              <w:bottom w:val="single" w:sz="4" w:space="0" w:color="auto"/>
            </w:tcBorders>
          </w:tcPr>
          <w:p w:rsidR="00007456" w:rsidRPr="00186148" w:rsidRDefault="00007456" w:rsidP="0082017C">
            <w:pPr>
              <w:pStyle w:val="TableHeading"/>
              <w:jc w:val="right"/>
              <w:rPr>
                <w:rFonts w:eastAsia="SimSun"/>
              </w:rPr>
            </w:pPr>
            <w:r w:rsidRPr="00A84480">
              <w:rPr>
                <w:rFonts w:eastAsia="SimSun"/>
                <w:lang w:eastAsia="zh-CN"/>
              </w:rPr>
              <w:t>32009</w:t>
            </w:r>
          </w:p>
        </w:tc>
        <w:tc>
          <w:tcPr>
            <w:tcW w:w="851" w:type="dxa"/>
            <w:tcBorders>
              <w:top w:val="single" w:sz="12" w:space="0" w:color="auto"/>
              <w:bottom w:val="single" w:sz="4" w:space="0" w:color="auto"/>
            </w:tcBorders>
          </w:tcPr>
          <w:p w:rsidR="00007456" w:rsidRPr="005C214B" w:rsidRDefault="00007456" w:rsidP="0082017C">
            <w:pPr>
              <w:pStyle w:val="TableHeading"/>
              <w:jc w:val="right"/>
              <w:rPr>
                <w:rFonts w:eastAsia="SimSun"/>
              </w:rPr>
            </w:pPr>
            <w:r w:rsidRPr="00A32225">
              <w:rPr>
                <w:rFonts w:eastAsia="SimSun"/>
                <w:lang w:eastAsia="zh-CN"/>
              </w:rPr>
              <w:t>32025</w:t>
            </w:r>
          </w:p>
        </w:tc>
        <w:tc>
          <w:tcPr>
            <w:tcW w:w="850" w:type="dxa"/>
            <w:tcBorders>
              <w:top w:val="single" w:sz="12" w:space="0" w:color="auto"/>
              <w:bottom w:val="single" w:sz="4" w:space="0" w:color="auto"/>
            </w:tcBorders>
          </w:tcPr>
          <w:p w:rsidR="00007456" w:rsidRPr="00C27C1E" w:rsidRDefault="00007456" w:rsidP="0082017C">
            <w:pPr>
              <w:pStyle w:val="TableHeading"/>
              <w:jc w:val="right"/>
              <w:rPr>
                <w:rFonts w:eastAsia="SimSun"/>
              </w:rPr>
            </w:pPr>
            <w:r w:rsidRPr="00C27C1E">
              <w:rPr>
                <w:rFonts w:eastAsia="SimSun"/>
                <w:lang w:eastAsia="zh-CN"/>
              </w:rPr>
              <w:t>32026</w:t>
            </w:r>
          </w:p>
        </w:tc>
        <w:tc>
          <w:tcPr>
            <w:tcW w:w="884" w:type="dxa"/>
            <w:tcBorders>
              <w:top w:val="single" w:sz="12" w:space="0" w:color="auto"/>
              <w:bottom w:val="single" w:sz="4" w:space="0" w:color="auto"/>
            </w:tcBorders>
          </w:tcPr>
          <w:p w:rsidR="00007456" w:rsidRPr="00EA5A32" w:rsidRDefault="00007456" w:rsidP="0082017C">
            <w:pPr>
              <w:pStyle w:val="TableHeading"/>
              <w:jc w:val="right"/>
              <w:rPr>
                <w:rFonts w:eastAsia="SimSun"/>
              </w:rPr>
            </w:pPr>
            <w:r w:rsidRPr="00EA5A32">
              <w:rPr>
                <w:rFonts w:eastAsia="SimSun"/>
              </w:rPr>
              <w:t>Total</w:t>
            </w:r>
          </w:p>
        </w:tc>
      </w:tr>
      <w:tr w:rsidR="00007456" w:rsidRPr="00BB3C05" w:rsidTr="00007456">
        <w:tc>
          <w:tcPr>
            <w:tcW w:w="1337" w:type="dxa"/>
            <w:tcBorders>
              <w:top w:val="single" w:sz="4" w:space="0" w:color="auto"/>
              <w:bottom w:val="nil"/>
            </w:tcBorders>
          </w:tcPr>
          <w:p w:rsidR="00007456" w:rsidRPr="000F3C8B" w:rsidRDefault="00007456" w:rsidP="006D7861">
            <w:pPr>
              <w:pStyle w:val="TableText0"/>
              <w:rPr>
                <w:rFonts w:eastAsia="SimSun"/>
                <w:lang w:val="en-AU"/>
              </w:rPr>
            </w:pPr>
            <w:r w:rsidRPr="000F3C8B">
              <w:rPr>
                <w:rFonts w:eastAsia="SimSun"/>
                <w:lang w:val="en-AU"/>
              </w:rPr>
              <w:t>2009/10</w:t>
            </w:r>
          </w:p>
        </w:tc>
        <w:tc>
          <w:tcPr>
            <w:tcW w:w="842" w:type="dxa"/>
            <w:tcBorders>
              <w:top w:val="single" w:sz="4" w:space="0" w:color="auto"/>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2,316</w:t>
            </w:r>
          </w:p>
        </w:tc>
        <w:tc>
          <w:tcPr>
            <w:tcW w:w="740" w:type="dxa"/>
            <w:tcBorders>
              <w:top w:val="single" w:sz="4" w:space="0" w:color="auto"/>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1,698</w:t>
            </w:r>
          </w:p>
        </w:tc>
        <w:tc>
          <w:tcPr>
            <w:tcW w:w="875" w:type="dxa"/>
            <w:tcBorders>
              <w:top w:val="single" w:sz="4" w:space="0" w:color="auto"/>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324</w:t>
            </w:r>
          </w:p>
        </w:tc>
        <w:tc>
          <w:tcPr>
            <w:tcW w:w="992" w:type="dxa"/>
            <w:tcBorders>
              <w:top w:val="single" w:sz="4" w:space="0" w:color="auto"/>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128</w:t>
            </w:r>
          </w:p>
        </w:tc>
        <w:tc>
          <w:tcPr>
            <w:tcW w:w="851" w:type="dxa"/>
            <w:tcBorders>
              <w:top w:val="single" w:sz="4" w:space="0" w:color="auto"/>
              <w:bottom w:val="nil"/>
            </w:tcBorders>
          </w:tcPr>
          <w:p w:rsidR="00007456" w:rsidRPr="000F3C8B" w:rsidRDefault="00007456" w:rsidP="0082017C">
            <w:pPr>
              <w:pStyle w:val="TableText0"/>
              <w:jc w:val="right"/>
              <w:rPr>
                <w:rFonts w:eastAsia="SimSun"/>
                <w:lang w:val="en-AU"/>
              </w:rPr>
            </w:pPr>
            <w:r w:rsidRPr="000F3C8B">
              <w:rPr>
                <w:rFonts w:eastAsia="SimSun"/>
                <w:lang w:val="en-AU"/>
              </w:rPr>
              <w:t>1,032</w:t>
            </w:r>
          </w:p>
        </w:tc>
        <w:tc>
          <w:tcPr>
            <w:tcW w:w="850" w:type="dxa"/>
            <w:tcBorders>
              <w:top w:val="single" w:sz="4" w:space="0" w:color="auto"/>
              <w:bottom w:val="nil"/>
            </w:tcBorders>
          </w:tcPr>
          <w:p w:rsidR="00007456" w:rsidRPr="000F3C8B" w:rsidRDefault="00007456" w:rsidP="0082017C">
            <w:pPr>
              <w:pStyle w:val="TableText0"/>
              <w:jc w:val="right"/>
              <w:rPr>
                <w:rFonts w:eastAsia="SimSun"/>
                <w:lang w:val="en-AU"/>
              </w:rPr>
            </w:pPr>
            <w:r w:rsidRPr="000F3C8B">
              <w:rPr>
                <w:rFonts w:eastAsia="SimSun"/>
                <w:lang w:val="en-AU"/>
              </w:rPr>
              <w:t>821</w:t>
            </w:r>
          </w:p>
        </w:tc>
        <w:tc>
          <w:tcPr>
            <w:tcW w:w="884" w:type="dxa"/>
            <w:tcBorders>
              <w:top w:val="single" w:sz="4" w:space="0" w:color="auto"/>
              <w:bottom w:val="nil"/>
            </w:tcBorders>
          </w:tcPr>
          <w:p w:rsidR="00007456" w:rsidRPr="000F3C8B" w:rsidRDefault="00256A0B" w:rsidP="0082017C">
            <w:pPr>
              <w:pStyle w:val="TableText0"/>
              <w:jc w:val="right"/>
              <w:rPr>
                <w:rFonts w:eastAsia="SimSun"/>
                <w:lang w:val="en-AU"/>
              </w:rPr>
            </w:pPr>
            <w:r>
              <w:rPr>
                <w:rFonts w:eastAsia="SimSun"/>
                <w:lang w:val="en-AU"/>
              </w:rPr>
              <w:t>6,319</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2008/09</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2,196</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1,717</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332</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129</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995</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808</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6,177</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2007/08</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2,073</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1,793</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329</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107</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1,005</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885</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6,192</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2006/07</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1,987</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1,714</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291</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119</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988</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828</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5,927</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2005/06</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1,902</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1,692</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310</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108</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949</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753</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5,714</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2004/05</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1,931</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1,624</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298</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113</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964</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719</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5,649</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2003/04</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1,882</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1,541</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267</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110</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890</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668</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5,358</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2002/03</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1,934</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1,559</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281</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90</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879</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665</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5,408</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2001/02</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1,969</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1,502</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283</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98</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852</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641</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5,345</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2000/01</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2,041</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1,378</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220</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97</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836</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597</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5,169</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1999/2000</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2,032</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1,300</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233</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64</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686</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459</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4,774</w:t>
            </w:r>
          </w:p>
        </w:tc>
      </w:tr>
      <w:tr w:rsidR="00007456" w:rsidRPr="00BB3C05" w:rsidTr="00007456">
        <w:tc>
          <w:tcPr>
            <w:tcW w:w="1337" w:type="dxa"/>
            <w:tcBorders>
              <w:top w:val="nil"/>
              <w:bottom w:val="nil"/>
            </w:tcBorders>
          </w:tcPr>
          <w:p w:rsidR="00007456" w:rsidRPr="000F3C8B" w:rsidRDefault="00007456" w:rsidP="006D7861">
            <w:pPr>
              <w:pStyle w:val="TableText0"/>
              <w:rPr>
                <w:rFonts w:eastAsia="SimSun"/>
                <w:lang w:val="en-AU"/>
              </w:rPr>
            </w:pPr>
            <w:r w:rsidRPr="000F3C8B">
              <w:rPr>
                <w:rFonts w:eastAsia="SimSun"/>
                <w:lang w:val="en-AU"/>
              </w:rPr>
              <w:t>1998/99</w:t>
            </w:r>
          </w:p>
        </w:tc>
        <w:tc>
          <w:tcPr>
            <w:tcW w:w="84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1,948</w:t>
            </w:r>
          </w:p>
        </w:tc>
        <w:tc>
          <w:tcPr>
            <w:tcW w:w="74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1,249</w:t>
            </w:r>
          </w:p>
        </w:tc>
        <w:tc>
          <w:tcPr>
            <w:tcW w:w="875"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eastAsia="zh-CN"/>
              </w:rPr>
              <w:t>237</w:t>
            </w:r>
          </w:p>
        </w:tc>
        <w:tc>
          <w:tcPr>
            <w:tcW w:w="992"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80</w:t>
            </w:r>
          </w:p>
        </w:tc>
        <w:tc>
          <w:tcPr>
            <w:tcW w:w="851"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650</w:t>
            </w:r>
          </w:p>
        </w:tc>
        <w:tc>
          <w:tcPr>
            <w:tcW w:w="850" w:type="dxa"/>
            <w:tcBorders>
              <w:top w:val="nil"/>
              <w:bottom w:val="nil"/>
            </w:tcBorders>
          </w:tcPr>
          <w:p w:rsidR="00007456" w:rsidRPr="000F3C8B" w:rsidRDefault="00007456" w:rsidP="0082017C">
            <w:pPr>
              <w:pStyle w:val="TableText0"/>
              <w:jc w:val="right"/>
              <w:rPr>
                <w:rFonts w:eastAsia="SimSun"/>
                <w:lang w:val="en-AU"/>
              </w:rPr>
            </w:pPr>
            <w:r w:rsidRPr="000F3C8B">
              <w:rPr>
                <w:rFonts w:eastAsia="SimSun"/>
                <w:lang w:val="en-AU"/>
              </w:rPr>
              <w:t>516</w:t>
            </w:r>
          </w:p>
        </w:tc>
        <w:tc>
          <w:tcPr>
            <w:tcW w:w="884" w:type="dxa"/>
            <w:tcBorders>
              <w:top w:val="nil"/>
              <w:bottom w:val="nil"/>
            </w:tcBorders>
          </w:tcPr>
          <w:p w:rsidR="00007456" w:rsidRPr="000F3C8B" w:rsidRDefault="00256A0B" w:rsidP="0082017C">
            <w:pPr>
              <w:pStyle w:val="TableText0"/>
              <w:jc w:val="right"/>
              <w:rPr>
                <w:rFonts w:eastAsia="SimSun"/>
                <w:lang w:val="en-AU"/>
              </w:rPr>
            </w:pPr>
            <w:r>
              <w:rPr>
                <w:rFonts w:eastAsia="SimSun"/>
                <w:lang w:val="en-AU"/>
              </w:rPr>
              <w:t>4,680</w:t>
            </w:r>
          </w:p>
        </w:tc>
      </w:tr>
      <w:tr w:rsidR="00007456" w:rsidRPr="00BB3C05" w:rsidTr="00ED6295">
        <w:tc>
          <w:tcPr>
            <w:tcW w:w="1337" w:type="dxa"/>
            <w:tcBorders>
              <w:top w:val="nil"/>
              <w:bottom w:val="single" w:sz="12" w:space="0" w:color="auto"/>
            </w:tcBorders>
          </w:tcPr>
          <w:p w:rsidR="00007456" w:rsidRPr="000F3C8B" w:rsidRDefault="00007456" w:rsidP="006D7861">
            <w:pPr>
              <w:pStyle w:val="TableText0"/>
              <w:rPr>
                <w:rFonts w:eastAsia="SimSun"/>
                <w:lang w:val="en-AU"/>
              </w:rPr>
            </w:pPr>
            <w:r w:rsidRPr="000F3C8B">
              <w:rPr>
                <w:rFonts w:eastAsia="SimSun"/>
                <w:lang w:val="en-AU"/>
              </w:rPr>
              <w:t>1997/98</w:t>
            </w:r>
          </w:p>
        </w:tc>
        <w:tc>
          <w:tcPr>
            <w:tcW w:w="842" w:type="dxa"/>
            <w:tcBorders>
              <w:top w:val="nil"/>
              <w:bottom w:val="single" w:sz="12" w:space="0" w:color="auto"/>
            </w:tcBorders>
          </w:tcPr>
          <w:p w:rsidR="00007456" w:rsidRPr="000F3C8B" w:rsidRDefault="00007456" w:rsidP="0082017C">
            <w:pPr>
              <w:pStyle w:val="TableText0"/>
              <w:jc w:val="right"/>
              <w:rPr>
                <w:rFonts w:eastAsia="SimSun"/>
                <w:lang w:val="en-AU"/>
              </w:rPr>
            </w:pPr>
            <w:r w:rsidRPr="000F3C8B">
              <w:rPr>
                <w:rFonts w:eastAsia="SimSun"/>
                <w:lang w:val="en-AU" w:eastAsia="zh-CN"/>
              </w:rPr>
              <w:t>1,981</w:t>
            </w:r>
          </w:p>
        </w:tc>
        <w:tc>
          <w:tcPr>
            <w:tcW w:w="740" w:type="dxa"/>
            <w:tcBorders>
              <w:top w:val="nil"/>
              <w:bottom w:val="single" w:sz="12" w:space="0" w:color="auto"/>
            </w:tcBorders>
          </w:tcPr>
          <w:p w:rsidR="00007456" w:rsidRPr="000F3C8B" w:rsidRDefault="00007456" w:rsidP="0082017C">
            <w:pPr>
              <w:pStyle w:val="TableText0"/>
              <w:jc w:val="right"/>
              <w:rPr>
                <w:rFonts w:eastAsia="SimSun"/>
                <w:lang w:val="en-AU"/>
              </w:rPr>
            </w:pPr>
            <w:r w:rsidRPr="000F3C8B">
              <w:rPr>
                <w:rFonts w:eastAsia="SimSun"/>
                <w:lang w:val="en-AU" w:eastAsia="zh-CN"/>
              </w:rPr>
              <w:t>1,152</w:t>
            </w:r>
          </w:p>
        </w:tc>
        <w:tc>
          <w:tcPr>
            <w:tcW w:w="875" w:type="dxa"/>
            <w:tcBorders>
              <w:top w:val="nil"/>
              <w:bottom w:val="single" w:sz="12" w:space="0" w:color="auto"/>
            </w:tcBorders>
          </w:tcPr>
          <w:p w:rsidR="00007456" w:rsidRPr="000F3C8B" w:rsidRDefault="00007456" w:rsidP="0082017C">
            <w:pPr>
              <w:pStyle w:val="TableText0"/>
              <w:jc w:val="right"/>
              <w:rPr>
                <w:rFonts w:eastAsia="SimSun"/>
                <w:lang w:val="en-AU"/>
              </w:rPr>
            </w:pPr>
            <w:r w:rsidRPr="000F3C8B">
              <w:rPr>
                <w:rFonts w:eastAsia="SimSun"/>
                <w:lang w:val="en-AU" w:eastAsia="zh-CN"/>
              </w:rPr>
              <w:t>286</w:t>
            </w:r>
          </w:p>
        </w:tc>
        <w:tc>
          <w:tcPr>
            <w:tcW w:w="992" w:type="dxa"/>
            <w:tcBorders>
              <w:top w:val="nil"/>
              <w:bottom w:val="single" w:sz="12" w:space="0" w:color="auto"/>
            </w:tcBorders>
          </w:tcPr>
          <w:p w:rsidR="00007456" w:rsidRPr="000F3C8B" w:rsidRDefault="00007456" w:rsidP="0082017C">
            <w:pPr>
              <w:pStyle w:val="TableText0"/>
              <w:jc w:val="right"/>
              <w:rPr>
                <w:rFonts w:eastAsia="SimSun"/>
                <w:lang w:val="en-AU"/>
              </w:rPr>
            </w:pPr>
            <w:r w:rsidRPr="000F3C8B">
              <w:rPr>
                <w:rFonts w:eastAsia="SimSun"/>
                <w:lang w:val="en-AU" w:eastAsia="zh-CN"/>
              </w:rPr>
              <w:t>84</w:t>
            </w:r>
          </w:p>
        </w:tc>
        <w:tc>
          <w:tcPr>
            <w:tcW w:w="851" w:type="dxa"/>
            <w:tcBorders>
              <w:top w:val="nil"/>
              <w:bottom w:val="single" w:sz="12" w:space="0" w:color="auto"/>
            </w:tcBorders>
          </w:tcPr>
          <w:p w:rsidR="00007456" w:rsidRPr="000F3C8B" w:rsidRDefault="00007456" w:rsidP="0082017C">
            <w:pPr>
              <w:pStyle w:val="TableText0"/>
              <w:jc w:val="right"/>
              <w:rPr>
                <w:rFonts w:eastAsia="SimSun"/>
                <w:lang w:val="en-AU"/>
              </w:rPr>
            </w:pPr>
            <w:r w:rsidRPr="000F3C8B">
              <w:rPr>
                <w:rFonts w:eastAsia="SimSun"/>
                <w:lang w:val="en-AU"/>
              </w:rPr>
              <w:t>687</w:t>
            </w:r>
          </w:p>
        </w:tc>
        <w:tc>
          <w:tcPr>
            <w:tcW w:w="850" w:type="dxa"/>
            <w:tcBorders>
              <w:top w:val="nil"/>
              <w:bottom w:val="single" w:sz="12" w:space="0" w:color="auto"/>
            </w:tcBorders>
          </w:tcPr>
          <w:p w:rsidR="00007456" w:rsidRPr="000F3C8B" w:rsidRDefault="00007456" w:rsidP="0082017C">
            <w:pPr>
              <w:pStyle w:val="TableText0"/>
              <w:jc w:val="right"/>
              <w:rPr>
                <w:rFonts w:eastAsia="SimSun"/>
                <w:lang w:val="en-AU"/>
              </w:rPr>
            </w:pPr>
            <w:r w:rsidRPr="000F3C8B">
              <w:rPr>
                <w:rFonts w:eastAsia="SimSun"/>
                <w:lang w:val="en-AU"/>
              </w:rPr>
              <w:t>434</w:t>
            </w:r>
          </w:p>
        </w:tc>
        <w:tc>
          <w:tcPr>
            <w:tcW w:w="884" w:type="dxa"/>
            <w:tcBorders>
              <w:top w:val="nil"/>
              <w:bottom w:val="single" w:sz="12" w:space="0" w:color="auto"/>
            </w:tcBorders>
          </w:tcPr>
          <w:p w:rsidR="00007456" w:rsidRPr="000F3C8B" w:rsidRDefault="00256A0B" w:rsidP="0082017C">
            <w:pPr>
              <w:pStyle w:val="TableText0"/>
              <w:jc w:val="right"/>
              <w:rPr>
                <w:rFonts w:eastAsia="SimSun"/>
                <w:lang w:val="en-AU"/>
              </w:rPr>
            </w:pPr>
            <w:r>
              <w:rPr>
                <w:rFonts w:eastAsia="SimSun"/>
                <w:lang w:val="en-AU"/>
              </w:rPr>
              <w:t>4,624</w:t>
            </w:r>
          </w:p>
        </w:tc>
      </w:tr>
    </w:tbl>
    <w:p w:rsidR="004663D1" w:rsidRPr="00BB3C05" w:rsidRDefault="004663D1" w:rsidP="004663D1"/>
    <w:p w:rsidR="00566668" w:rsidRDefault="00566668" w:rsidP="004663D1"/>
    <w:p w:rsidR="00007456" w:rsidRPr="00BB3C05" w:rsidRDefault="00007456" w:rsidP="00007456">
      <w:pPr>
        <w:pStyle w:val="Heading1"/>
      </w:pPr>
      <w:bookmarkStart w:id="83" w:name="_Toc214339167"/>
      <w:bookmarkStart w:id="84" w:name="_Toc352924409"/>
      <w:r w:rsidRPr="00BB3C05">
        <w:lastRenderedPageBreak/>
        <w:t>Approach to assessment</w:t>
      </w:r>
      <w:bookmarkEnd w:id="83"/>
      <w:bookmarkEnd w:id="84"/>
      <w:r w:rsidRPr="00BB3C05">
        <w:t xml:space="preserve"> </w:t>
      </w:r>
    </w:p>
    <w:p w:rsidR="00007456" w:rsidRPr="00BB3C05" w:rsidRDefault="00007456" w:rsidP="00007456">
      <w:pPr>
        <w:pStyle w:val="Heading2"/>
      </w:pPr>
      <w:bookmarkStart w:id="85" w:name="_Toc214339168"/>
      <w:bookmarkStart w:id="86" w:name="_Toc352924410"/>
      <w:r w:rsidRPr="00BB3C05">
        <w:t>Objective</w:t>
      </w:r>
      <w:bookmarkEnd w:id="85"/>
      <w:bookmarkEnd w:id="86"/>
      <w:r w:rsidRPr="00BB3C05">
        <w:tab/>
      </w:r>
    </w:p>
    <w:p w:rsidR="00007456" w:rsidRPr="00BB3C05" w:rsidRDefault="00007456" w:rsidP="00007456">
      <w:r w:rsidRPr="00BB3C05">
        <w:t xml:space="preserve">The objective of this assessment is to determine whether there is sufficient evidence in relation to safety, effectiveness and economic considerations for the use of metallic colonic stents in patients </w:t>
      </w:r>
      <w:r w:rsidR="00121562">
        <w:t>with</w:t>
      </w:r>
      <w:r w:rsidRPr="00BB3C05">
        <w:t xml:space="preserve"> malignant colorectal obstruction. </w:t>
      </w:r>
    </w:p>
    <w:p w:rsidR="00007456" w:rsidRPr="00BB3C05" w:rsidRDefault="00007456" w:rsidP="00007456">
      <w:pPr>
        <w:pStyle w:val="Heading2"/>
      </w:pPr>
      <w:bookmarkStart w:id="87" w:name="_Toc214339169"/>
      <w:bookmarkStart w:id="88" w:name="_Toc352924411"/>
      <w:r w:rsidRPr="00BB3C05">
        <w:t>Clinical decision pathway</w:t>
      </w:r>
      <w:bookmarkEnd w:id="87"/>
      <w:bookmarkEnd w:id="88"/>
    </w:p>
    <w:p w:rsidR="00007456" w:rsidRPr="00892811" w:rsidRDefault="00007456" w:rsidP="00007456">
      <w:r>
        <w:t>The c</w:t>
      </w:r>
      <w:r w:rsidRPr="00BB3C05">
        <w:t>urrent clinical management</w:t>
      </w:r>
      <w:r>
        <w:t xml:space="preserve"> algorithm</w:t>
      </w:r>
      <w:r w:rsidRPr="00BB3C05">
        <w:t xml:space="preserve"> </w:t>
      </w:r>
      <w:r>
        <w:t>for patients with</w:t>
      </w:r>
      <w:r w:rsidRPr="00BB3C05">
        <w:t xml:space="preserve"> intestinal obstruction caused by colorectal cancer </w:t>
      </w:r>
      <w:r>
        <w:t>is shown</w:t>
      </w:r>
      <w:r w:rsidRPr="00BB3C05">
        <w:t xml:space="preserve"> in</w:t>
      </w:r>
      <w:r>
        <w:t xml:space="preserve"> </w:t>
      </w:r>
      <w:r>
        <w:fldChar w:fldCharType="begin"/>
      </w:r>
      <w:r>
        <w:instrText xml:space="preserve"> REF _Ref324941565 \h </w:instrText>
      </w:r>
      <w:r>
        <w:fldChar w:fldCharType="separate"/>
      </w:r>
      <w:r w:rsidR="0071544A">
        <w:t xml:space="preserve">Figure </w:t>
      </w:r>
      <w:r w:rsidR="0071544A">
        <w:rPr>
          <w:noProof/>
        </w:rPr>
        <w:t>5</w:t>
      </w:r>
      <w:r>
        <w:fldChar w:fldCharType="end"/>
      </w:r>
      <w:r>
        <w:rPr>
          <w:color w:val="FF0000"/>
        </w:rPr>
        <w:t>.</w:t>
      </w:r>
      <w:r w:rsidRPr="009E5C53">
        <w:t xml:space="preserve"> </w:t>
      </w:r>
      <w:r>
        <w:t>T</w:t>
      </w:r>
      <w:r w:rsidRPr="009E5C53">
        <w:t xml:space="preserve">he proposed clinical management algorithm </w:t>
      </w:r>
      <w:r w:rsidRPr="00E2422F">
        <w:t>with the addition of stenting follows in</w:t>
      </w:r>
      <w:r>
        <w:t xml:space="preserve"> </w:t>
      </w:r>
      <w:r>
        <w:fldChar w:fldCharType="begin"/>
      </w:r>
      <w:r>
        <w:instrText xml:space="preserve"> REF _Ref324941679 \h </w:instrText>
      </w:r>
      <w:r>
        <w:fldChar w:fldCharType="separate"/>
      </w:r>
      <w:r w:rsidR="0071544A">
        <w:t xml:space="preserve">Figure </w:t>
      </w:r>
      <w:r w:rsidR="0071544A">
        <w:rPr>
          <w:noProof/>
        </w:rPr>
        <w:t>6</w:t>
      </w:r>
      <w:r>
        <w:fldChar w:fldCharType="end"/>
      </w:r>
      <w:r w:rsidR="00CF1FED">
        <w:t>.</w:t>
      </w:r>
      <w:r>
        <w:t xml:space="preserve"> To make interpretation of the flowcharts meaningful, the</w:t>
      </w:r>
      <w:r w:rsidRPr="009E5C53">
        <w:t xml:space="preserve"> population with the relevant medical condition is divided into th</w:t>
      </w:r>
      <w:r>
        <w:t>ose with</w:t>
      </w:r>
      <w:r w:rsidRPr="009E5C53">
        <w:t xml:space="preserve"> colorectal obstruction (stricture or stenosis) due</w:t>
      </w:r>
      <w:r>
        <w:t xml:space="preserve"> to a</w:t>
      </w:r>
      <w:r w:rsidRPr="009E5C53">
        <w:t xml:space="preserve"> previous</w:t>
      </w:r>
      <w:r w:rsidRPr="00E2422F">
        <w:t>ly diagnosed cancer</w:t>
      </w:r>
      <w:r w:rsidR="00121562">
        <w:t>,</w:t>
      </w:r>
      <w:r w:rsidRPr="00E2422F">
        <w:t xml:space="preserve"> </w:t>
      </w:r>
      <w:r>
        <w:t xml:space="preserve">and those </w:t>
      </w:r>
      <w:r w:rsidR="00121562">
        <w:t xml:space="preserve">with </w:t>
      </w:r>
      <w:r>
        <w:t>obstruction (stricture or stenosis) due to an</w:t>
      </w:r>
      <w:r w:rsidRPr="00E2422F">
        <w:t xml:space="preserve"> unknown </w:t>
      </w:r>
      <w:r w:rsidR="00121562">
        <w:t>cause</w:t>
      </w:r>
      <w:r w:rsidRPr="00E2422F">
        <w:t xml:space="preserve">. Although the clinical management algorithms appear similar </w:t>
      </w:r>
      <w:r>
        <w:t>for these</w:t>
      </w:r>
      <w:r w:rsidRPr="00E2422F">
        <w:t xml:space="preserve"> two </w:t>
      </w:r>
      <w:r>
        <w:t>patient populations</w:t>
      </w:r>
      <w:r w:rsidRPr="00E2422F">
        <w:t xml:space="preserve">, this </w:t>
      </w:r>
      <w:r>
        <w:t xml:space="preserve">division </w:t>
      </w:r>
      <w:r w:rsidRPr="00E2422F">
        <w:t>helps reflect differences in the prop</w:t>
      </w:r>
      <w:r w:rsidRPr="00892811">
        <w:t>ortion of patients suitable for each individual pathway.</w:t>
      </w:r>
    </w:p>
    <w:p w:rsidR="00007456" w:rsidRPr="00003831" w:rsidRDefault="00007456" w:rsidP="00007456">
      <w:r>
        <w:t>In</w:t>
      </w:r>
      <w:r w:rsidRPr="008978EE">
        <w:t xml:space="preserve"> the flowchart</w:t>
      </w:r>
      <w:r>
        <w:t>s</w:t>
      </w:r>
      <w:r w:rsidRPr="008978EE">
        <w:t xml:space="preserve">, each population has been further </w:t>
      </w:r>
      <w:r w:rsidR="00121562">
        <w:t>divided</w:t>
      </w:r>
      <w:r w:rsidR="00121562" w:rsidRPr="008978EE">
        <w:t xml:space="preserve"> </w:t>
      </w:r>
      <w:r w:rsidRPr="008978EE">
        <w:t xml:space="preserve">into </w:t>
      </w:r>
      <w:r>
        <w:t xml:space="preserve">two </w:t>
      </w:r>
      <w:r w:rsidRPr="008978EE">
        <w:t>sub-populations</w:t>
      </w:r>
      <w:r>
        <w:t>:</w:t>
      </w:r>
      <w:r w:rsidRPr="008978EE">
        <w:t xml:space="preserve"> those </w:t>
      </w:r>
      <w:r>
        <w:t xml:space="preserve">who are </w:t>
      </w:r>
      <w:r w:rsidRPr="008978EE">
        <w:t>medically fit for surgery and tho</w:t>
      </w:r>
      <w:r>
        <w:t xml:space="preserve">se </w:t>
      </w:r>
      <w:r w:rsidR="00121562">
        <w:t>who are not</w:t>
      </w:r>
      <w:r>
        <w:t xml:space="preserve">. Among patients who are </w:t>
      </w:r>
      <w:r w:rsidRPr="00A30BA9">
        <w:t>medically fit for surgery</w:t>
      </w:r>
      <w:r>
        <w:t xml:space="preserve">, two groups have been identified: </w:t>
      </w:r>
      <w:proofErr w:type="gramStart"/>
      <w:r w:rsidRPr="00A30BA9">
        <w:t>patients</w:t>
      </w:r>
      <w:proofErr w:type="gramEnd"/>
      <w:r w:rsidRPr="00A30BA9">
        <w:t xml:space="preserve"> </w:t>
      </w:r>
      <w:r>
        <w:t>for</w:t>
      </w:r>
      <w:r w:rsidRPr="00A30BA9">
        <w:t xml:space="preserve"> whom single</w:t>
      </w:r>
      <w:r>
        <w:t>-</w:t>
      </w:r>
      <w:r w:rsidRPr="00A30BA9">
        <w:t xml:space="preserve">stage surgery (resection) is </w:t>
      </w:r>
      <w:r>
        <w:t>performed as a curative procedure</w:t>
      </w:r>
      <w:r w:rsidRPr="00A30BA9">
        <w:t xml:space="preserve"> and those </w:t>
      </w:r>
      <w:r w:rsidR="00121562">
        <w:t>for</w:t>
      </w:r>
      <w:r w:rsidR="00121562" w:rsidRPr="00A30BA9">
        <w:t xml:space="preserve"> </w:t>
      </w:r>
      <w:r w:rsidRPr="00A30BA9">
        <w:t>whom some other form of surgery is requ</w:t>
      </w:r>
      <w:r w:rsidRPr="005646B6">
        <w:t xml:space="preserve">ired. However, the </w:t>
      </w:r>
      <w:r>
        <w:t>algorithms</w:t>
      </w:r>
      <w:r w:rsidRPr="005646B6">
        <w:t xml:space="preserve"> include the possibility of movement to another form of surgery if the intended single-stage surgery needs to be changed for some reason during the procedure. </w:t>
      </w:r>
      <w:r>
        <w:t>I</w:t>
      </w:r>
      <w:r w:rsidRPr="00003831">
        <w:t xml:space="preserve">nsertion of a stent is not </w:t>
      </w:r>
      <w:r>
        <w:t>an</w:t>
      </w:r>
      <w:r w:rsidRPr="00003831">
        <w:t xml:space="preserve"> alternative </w:t>
      </w:r>
      <w:r>
        <w:t>for patients who are cured through single-stage surgery (</w:t>
      </w:r>
      <w:r w:rsidR="00623D14">
        <w:fldChar w:fldCharType="begin"/>
      </w:r>
      <w:r w:rsidR="00623D14">
        <w:instrText xml:space="preserve"> REF _Ref324941679 \h </w:instrText>
      </w:r>
      <w:r w:rsidR="00623D14">
        <w:fldChar w:fldCharType="separate"/>
      </w:r>
      <w:r w:rsidR="0071544A">
        <w:t xml:space="preserve">Figure </w:t>
      </w:r>
      <w:r w:rsidR="0071544A">
        <w:rPr>
          <w:noProof/>
        </w:rPr>
        <w:t>6</w:t>
      </w:r>
      <w:r w:rsidR="00623D14">
        <w:fldChar w:fldCharType="end"/>
      </w:r>
      <w:r>
        <w:t>)</w:t>
      </w:r>
      <w:r w:rsidRPr="00003831">
        <w:t>. Insertion of a stent is included as a relevant option for all other patients</w:t>
      </w:r>
      <w:r>
        <w:t xml:space="preserve"> who are</w:t>
      </w:r>
      <w:r w:rsidRPr="00003831">
        <w:t xml:space="preserve"> medically fit for surgery. </w:t>
      </w:r>
    </w:p>
    <w:p w:rsidR="00007456" w:rsidRPr="00E2422F" w:rsidRDefault="00007456" w:rsidP="00007456">
      <w:r>
        <w:t>B</w:t>
      </w:r>
      <w:r w:rsidRPr="00E767D0">
        <w:t>est supportive care (with any combination of chemotherapy, radiotherapy or palliation)</w:t>
      </w:r>
      <w:r>
        <w:t xml:space="preserve"> is</w:t>
      </w:r>
      <w:r w:rsidRPr="00E767D0">
        <w:t xml:space="preserve"> currently the only option</w:t>
      </w:r>
      <w:r>
        <w:t xml:space="preserve"> for patients who are medically unfit for surgery</w:t>
      </w:r>
      <w:r w:rsidRPr="00E767D0">
        <w:t>. I</w:t>
      </w:r>
      <w:r w:rsidRPr="009E5C53">
        <w:t xml:space="preserve">nsertion of a stent </w:t>
      </w:r>
      <w:r>
        <w:t>is an</w:t>
      </w:r>
      <w:r w:rsidRPr="009E5C53">
        <w:t xml:space="preserve"> alternative to best supportive care</w:t>
      </w:r>
      <w:r>
        <w:t xml:space="preserve"> (</w:t>
      </w:r>
      <w:r w:rsidR="00623D14">
        <w:fldChar w:fldCharType="begin"/>
      </w:r>
      <w:r w:rsidR="00623D14">
        <w:instrText xml:space="preserve"> REF _Ref324941679 \h </w:instrText>
      </w:r>
      <w:r w:rsidR="00623D14">
        <w:fldChar w:fldCharType="separate"/>
      </w:r>
      <w:r w:rsidR="0071544A">
        <w:t xml:space="preserve">Figure </w:t>
      </w:r>
      <w:r w:rsidR="0071544A">
        <w:rPr>
          <w:noProof/>
        </w:rPr>
        <w:t>6</w:t>
      </w:r>
      <w:r w:rsidR="00623D14">
        <w:fldChar w:fldCharType="end"/>
      </w:r>
      <w:r>
        <w:t>)</w:t>
      </w:r>
      <w:r w:rsidRPr="009E5C53">
        <w:t xml:space="preserve">. </w:t>
      </w:r>
      <w:r>
        <w:t>P</w:t>
      </w:r>
      <w:r w:rsidRPr="00E2422F">
        <w:t>atients</w:t>
      </w:r>
      <w:r>
        <w:t xml:space="preserve"> receiving best supportive care could still </w:t>
      </w:r>
      <w:r w:rsidRPr="00E2422F">
        <w:t xml:space="preserve">improve due to ongoing active medical management. </w:t>
      </w:r>
    </w:p>
    <w:p w:rsidR="00007456" w:rsidRPr="00BE3EA8" w:rsidRDefault="00007456" w:rsidP="00007456">
      <w:r w:rsidRPr="00892811">
        <w:t>It i</w:t>
      </w:r>
      <w:r w:rsidRPr="008978EE">
        <w:t xml:space="preserve">s important to note that patients are likely to receive or continue receiving medical management following </w:t>
      </w:r>
      <w:r>
        <w:t>stent deployment, which</w:t>
      </w:r>
      <w:r w:rsidRPr="008978EE">
        <w:t xml:space="preserve"> consists of chemotherapy, radiotherapy, palliation and/or </w:t>
      </w:r>
      <w:r>
        <w:t xml:space="preserve">a </w:t>
      </w:r>
      <w:r w:rsidRPr="008978EE">
        <w:t>combination of</w:t>
      </w:r>
      <w:r>
        <w:t xml:space="preserve"> various </w:t>
      </w:r>
      <w:r w:rsidR="00CF1FED">
        <w:t>medical treatments.</w:t>
      </w:r>
      <w:r w:rsidRPr="008978EE">
        <w:t xml:space="preserve"> </w:t>
      </w:r>
      <w:r>
        <w:t>T</w:t>
      </w:r>
      <w:r w:rsidRPr="008978EE">
        <w:t xml:space="preserve">he type and combination of medical management received </w:t>
      </w:r>
      <w:r>
        <w:t xml:space="preserve">is individually based and </w:t>
      </w:r>
      <w:r w:rsidRPr="008978EE">
        <w:t>depends on the patient</w:t>
      </w:r>
      <w:r>
        <w:t>’</w:t>
      </w:r>
      <w:r w:rsidRPr="008978EE">
        <w:t>s</w:t>
      </w:r>
      <w:r>
        <w:t xml:space="preserve"> medical status. </w:t>
      </w:r>
      <w:r w:rsidRPr="008978EE">
        <w:t>Following an unsuccessfu</w:t>
      </w:r>
      <w:r w:rsidRPr="00A30BA9">
        <w:t>l stent deployment</w:t>
      </w:r>
      <w:r>
        <w:t>,</w:t>
      </w:r>
      <w:r w:rsidRPr="00A30BA9">
        <w:t xml:space="preserve"> patients </w:t>
      </w:r>
      <w:r>
        <w:t xml:space="preserve">usually </w:t>
      </w:r>
      <w:r w:rsidRPr="00A30BA9">
        <w:t xml:space="preserve">receive </w:t>
      </w:r>
      <w:r>
        <w:t xml:space="preserve">a </w:t>
      </w:r>
      <w:r w:rsidRPr="00A30BA9">
        <w:t xml:space="preserve">colostomy </w:t>
      </w:r>
      <w:r w:rsidRPr="00003831">
        <w:t>or Hartmann’s resection</w:t>
      </w:r>
      <w:r w:rsidRPr="00A87C52">
        <w:t xml:space="preserve"> if they were to undergo surgery. </w:t>
      </w:r>
      <w:r>
        <w:t xml:space="preserve">When stent deployment is </w:t>
      </w:r>
      <w:r w:rsidRPr="00A87C52">
        <w:t xml:space="preserve">unsuccessful due to bowel perforation, </w:t>
      </w:r>
      <w:r>
        <w:t xml:space="preserve">the </w:t>
      </w:r>
      <w:r w:rsidRPr="00E767D0">
        <w:t xml:space="preserve">patient </w:t>
      </w:r>
      <w:r>
        <w:t>would undergo a corrective</w:t>
      </w:r>
      <w:r w:rsidRPr="00BE3EA8">
        <w:t xml:space="preserve"> Hartmann’s resection. If the stent needs to be removed </w:t>
      </w:r>
      <w:r>
        <w:t>because of</w:t>
      </w:r>
      <w:r w:rsidRPr="00BE3EA8">
        <w:t xml:space="preserve"> a complication, this </w:t>
      </w:r>
      <w:r>
        <w:t>is</w:t>
      </w:r>
      <w:r w:rsidRPr="00BE3EA8">
        <w:t xml:space="preserve"> also charged as a Hartmann’s</w:t>
      </w:r>
      <w:r>
        <w:t xml:space="preserve"> resection. A</w:t>
      </w:r>
      <w:r w:rsidRPr="00BE3EA8">
        <w:t>lternatively</w:t>
      </w:r>
      <w:r>
        <w:t>,</w:t>
      </w:r>
      <w:r w:rsidRPr="00BE3EA8">
        <w:t xml:space="preserve"> if the stent migrates beyond the obstruction then it is likely to simply fall out.  </w:t>
      </w:r>
    </w:p>
    <w:p w:rsidR="00007456" w:rsidRPr="00BB3C05" w:rsidRDefault="00007456" w:rsidP="004663D1">
      <w:pPr>
        <w:sectPr w:rsidR="00007456" w:rsidRPr="00BB3C05" w:rsidSect="00AC773F">
          <w:pgSz w:w="11909" w:h="16834" w:code="9"/>
          <w:pgMar w:top="1440" w:right="1440" w:bottom="1440" w:left="1440" w:header="709" w:footer="709" w:gutter="0"/>
          <w:cols w:space="720"/>
          <w:docGrid w:linePitch="326"/>
        </w:sectPr>
      </w:pPr>
    </w:p>
    <w:p w:rsidR="00E642A3" w:rsidRPr="005C778F" w:rsidRDefault="00E642A3" w:rsidP="00E642A3">
      <w:pPr>
        <w:pStyle w:val="Caption"/>
        <w:rPr>
          <w:rFonts w:ascii="Garamond" w:hAnsi="Garamond"/>
          <w:noProof/>
          <w:sz w:val="24"/>
        </w:rPr>
      </w:pPr>
      <w:bookmarkStart w:id="89" w:name="_Toc327522128"/>
      <w:r>
        <w:lastRenderedPageBreak/>
        <w:t xml:space="preserve">Figure </w:t>
      </w:r>
      <w:r>
        <w:fldChar w:fldCharType="begin"/>
      </w:r>
      <w:r>
        <w:instrText xml:space="preserve"> SEQ Figure \* ARABIC </w:instrText>
      </w:r>
      <w:r>
        <w:fldChar w:fldCharType="separate"/>
      </w:r>
      <w:proofErr w:type="gramStart"/>
      <w:r>
        <w:rPr>
          <w:noProof/>
        </w:rPr>
        <w:t>5</w:t>
      </w:r>
      <w:r>
        <w:rPr>
          <w:noProof/>
        </w:rPr>
        <w:fldChar w:fldCharType="end"/>
      </w:r>
      <w:r>
        <w:t xml:space="preserve"> </w:t>
      </w:r>
      <w:r>
        <w:tab/>
      </w:r>
      <w:r w:rsidRPr="008B2DCD">
        <w:t>Current clinical management algorithm</w:t>
      </w:r>
      <w:proofErr w:type="gramEnd"/>
    </w:p>
    <w:bookmarkEnd w:id="89"/>
    <w:p w:rsidR="008B2DCD" w:rsidRDefault="00516B5D" w:rsidP="008B2DCD">
      <w:pPr>
        <w:ind w:left="0"/>
        <w:rPr>
          <w:rFonts w:ascii="Tahoma" w:eastAsia="SimSun" w:hAnsi="Tahoma" w:cs="Tahoma"/>
          <w:sz w:val="20"/>
          <w:lang w:eastAsia="zh-CN"/>
        </w:rPr>
      </w:pPr>
      <w:r>
        <w:rPr>
          <w:rFonts w:ascii="Tahoma" w:eastAsia="SimSun" w:hAnsi="Tahoma" w:cs="Tahoma"/>
          <w:noProof/>
          <w:sz w:val="20"/>
        </w:rPr>
        <mc:AlternateContent>
          <mc:Choice Requires="wpc">
            <w:drawing>
              <wp:inline distT="0" distB="0" distL="0" distR="0">
                <wp:extent cx="8540750" cy="4220845"/>
                <wp:effectExtent l="0" t="0" r="12700" b="0"/>
                <wp:docPr id="1158" name="Canvas 1158" descr="Figure 5  Current clinical management algorithm" title="Figure 5  Current clinical management algorithm"/>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63" name="Text Box 1160"/>
                        <wps:cNvSpPr txBox="1">
                          <a:spLocks noChangeArrowheads="1"/>
                        </wps:cNvSpPr>
                        <wps:spPr bwMode="auto">
                          <a:xfrm>
                            <a:off x="5242493" y="527877"/>
                            <a:ext cx="2864818" cy="327685"/>
                          </a:xfrm>
                          <a:prstGeom prst="rect">
                            <a:avLst/>
                          </a:prstGeom>
                          <a:solidFill>
                            <a:srgbClr val="FFFFFF"/>
                          </a:solidFill>
                          <a:ln w="9525">
                            <a:solidFill>
                              <a:srgbClr val="000000"/>
                            </a:solidFill>
                            <a:miter lim="800000"/>
                            <a:headEnd/>
                            <a:tailEnd/>
                          </a:ln>
                        </wps:spPr>
                        <wps:txbx>
                          <w:txbxContent>
                            <w:p w:rsidR="0042762F" w:rsidRPr="00F76F8E" w:rsidRDefault="0042762F" w:rsidP="00F76F8E">
                              <w:pPr>
                                <w:pStyle w:val="TableText"/>
                              </w:pPr>
                              <w:r w:rsidRPr="00F76F8E">
                                <w:t xml:space="preserve">Patients with colorectal obstruction due to pre-diagnosed cancer </w:t>
                              </w:r>
                            </w:p>
                          </w:txbxContent>
                        </wps:txbx>
                        <wps:bodyPr rot="0" vert="horz" wrap="square" lIns="78126" tIns="39063" rIns="78126" bIns="39063" anchor="t" anchorCtr="0" upright="1">
                          <a:noAutofit/>
                        </wps:bodyPr>
                      </wps:wsp>
                      <wps:wsp>
                        <wps:cNvPr id="1864" name="Line 1161"/>
                        <wps:cNvCnPr/>
                        <wps:spPr bwMode="auto">
                          <a:xfrm flipH="1">
                            <a:off x="4514489" y="277773"/>
                            <a:ext cx="542" cy="1193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163"/>
                        <wps:cNvCnPr/>
                        <wps:spPr bwMode="auto">
                          <a:xfrm>
                            <a:off x="4247591" y="241857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6" name="Text Box 1164"/>
                        <wps:cNvSpPr txBox="1">
                          <a:spLocks noChangeArrowheads="1"/>
                        </wps:cNvSpPr>
                        <wps:spPr bwMode="auto">
                          <a:xfrm>
                            <a:off x="3408922" y="91687"/>
                            <a:ext cx="2082567" cy="245764"/>
                          </a:xfrm>
                          <a:prstGeom prst="rect">
                            <a:avLst/>
                          </a:prstGeom>
                          <a:solidFill>
                            <a:srgbClr val="FFFFFF"/>
                          </a:solidFill>
                          <a:ln w="9525">
                            <a:solidFill>
                              <a:srgbClr val="000000"/>
                            </a:solidFill>
                            <a:miter lim="800000"/>
                            <a:headEnd/>
                            <a:tailEnd/>
                          </a:ln>
                        </wps:spPr>
                        <wps:txbx>
                          <w:txbxContent>
                            <w:p w:rsidR="0042762F" w:rsidRPr="00367985" w:rsidRDefault="0042762F" w:rsidP="00F76F8E">
                              <w:pPr>
                                <w:pStyle w:val="TableText"/>
                              </w:pPr>
                              <w:r w:rsidRPr="00367985">
                                <w:t>Large bowel obstruction, stricture or stenosis</w:t>
                              </w:r>
                            </w:p>
                          </w:txbxContent>
                        </wps:txbx>
                        <wps:bodyPr rot="0" vert="horz" wrap="square" lIns="78126" tIns="39063" rIns="78126" bIns="39063" anchor="t" anchorCtr="0" upright="1">
                          <a:noAutofit/>
                        </wps:bodyPr>
                      </wps:wsp>
                      <wps:wsp>
                        <wps:cNvPr id="1867" name="Line 1165"/>
                        <wps:cNvCnPr/>
                        <wps:spPr bwMode="auto">
                          <a:xfrm>
                            <a:off x="2383642" y="397128"/>
                            <a:ext cx="4482483" cy="2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 name="Line 1166"/>
                        <wps:cNvCnPr/>
                        <wps:spPr bwMode="auto">
                          <a:xfrm flipH="1">
                            <a:off x="6864498" y="400383"/>
                            <a:ext cx="542" cy="124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9" name="Line 1167"/>
                        <wps:cNvCnPr/>
                        <wps:spPr bwMode="auto">
                          <a:xfrm flipV="1">
                            <a:off x="6863413" y="855562"/>
                            <a:ext cx="542" cy="113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0" name="Line 1168"/>
                        <wps:cNvCnPr/>
                        <wps:spPr bwMode="auto">
                          <a:xfrm>
                            <a:off x="5770323" y="968950"/>
                            <a:ext cx="2472608"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1" name="Line 1169"/>
                        <wps:cNvCnPr/>
                        <wps:spPr bwMode="auto">
                          <a:xfrm flipH="1">
                            <a:off x="8200075" y="1404055"/>
                            <a:ext cx="542" cy="10145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2" name="Line 1170"/>
                        <wps:cNvCnPr/>
                        <wps:spPr bwMode="auto">
                          <a:xfrm flipH="1">
                            <a:off x="8240760" y="971120"/>
                            <a:ext cx="2170" cy="195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3" name="Line 1172"/>
                        <wps:cNvCnPr/>
                        <wps:spPr bwMode="auto">
                          <a:xfrm>
                            <a:off x="5768695" y="968407"/>
                            <a:ext cx="2712" cy="2099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4" name="Line 1173"/>
                        <wps:cNvCnPr/>
                        <wps:spPr bwMode="auto">
                          <a:xfrm flipH="1">
                            <a:off x="5770323" y="1376386"/>
                            <a:ext cx="1085" cy="1670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5" name="Line 1174"/>
                        <wps:cNvCnPr/>
                        <wps:spPr bwMode="auto">
                          <a:xfrm>
                            <a:off x="8421405" y="3391867"/>
                            <a:ext cx="542" cy="142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6" name="Text Box 1175"/>
                        <wps:cNvSpPr txBox="1">
                          <a:spLocks noChangeArrowheads="1"/>
                        </wps:cNvSpPr>
                        <wps:spPr bwMode="auto">
                          <a:xfrm>
                            <a:off x="842466" y="525164"/>
                            <a:ext cx="2991758" cy="330398"/>
                          </a:xfrm>
                          <a:prstGeom prst="rect">
                            <a:avLst/>
                          </a:prstGeom>
                          <a:solidFill>
                            <a:srgbClr val="FFFFFF"/>
                          </a:solidFill>
                          <a:ln w="9525">
                            <a:solidFill>
                              <a:srgbClr val="000000"/>
                            </a:solidFill>
                            <a:miter lim="800000"/>
                            <a:headEnd/>
                            <a:tailEnd/>
                          </a:ln>
                        </wps:spPr>
                        <wps:txbx>
                          <w:txbxContent>
                            <w:p w:rsidR="0042762F" w:rsidRPr="00F76F8E" w:rsidRDefault="0042762F" w:rsidP="00623D14">
                              <w:pPr>
                                <w:pStyle w:val="TableText"/>
                              </w:pPr>
                              <w:r w:rsidRPr="00623D14">
                                <w:t xml:space="preserve"> </w:t>
                              </w:r>
                              <w:r w:rsidRPr="00F76F8E">
                                <w:t>Patients with colorecta</w:t>
                              </w:r>
                              <w:r>
                                <w:t>l obstruction due to an unknown</w:t>
                              </w:r>
                              <w:r w:rsidRPr="00F76F8E">
                                <w:t xml:space="preserve"> diagnosis</w:t>
                              </w:r>
                              <w:r w:rsidRPr="00DC433D">
                                <w:rPr>
                                  <w:vertAlign w:val="superscript"/>
                                </w:rPr>
                                <w:t>a</w:t>
                              </w:r>
                            </w:p>
                          </w:txbxContent>
                        </wps:txbx>
                        <wps:bodyPr rot="0" vert="horz" wrap="square" lIns="78126" tIns="39063" rIns="78126" bIns="39063" anchor="t" anchorCtr="0" upright="1">
                          <a:noAutofit/>
                        </wps:bodyPr>
                      </wps:wsp>
                      <wps:wsp>
                        <wps:cNvPr id="1877" name="Line 1176"/>
                        <wps:cNvCnPr/>
                        <wps:spPr bwMode="auto">
                          <a:xfrm>
                            <a:off x="2380929" y="398756"/>
                            <a:ext cx="2712" cy="130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8" name="Line 1177"/>
                        <wps:cNvCnPr/>
                        <wps:spPr bwMode="auto">
                          <a:xfrm flipH="1" flipV="1">
                            <a:off x="2380929" y="863157"/>
                            <a:ext cx="542" cy="1003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9" name="Line 1178"/>
                        <wps:cNvCnPr/>
                        <wps:spPr bwMode="auto">
                          <a:xfrm>
                            <a:off x="1351309" y="965695"/>
                            <a:ext cx="2116201"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0" name="Line 1179"/>
                        <wps:cNvCnPr/>
                        <wps:spPr bwMode="auto">
                          <a:xfrm>
                            <a:off x="1350766" y="965152"/>
                            <a:ext cx="1085" cy="23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1" name="Line 1180"/>
                        <wps:cNvCnPr/>
                        <wps:spPr bwMode="auto">
                          <a:xfrm>
                            <a:off x="3466425" y="968950"/>
                            <a:ext cx="4340" cy="211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2" name="Line 1183"/>
                        <wps:cNvCnPr/>
                        <wps:spPr bwMode="auto">
                          <a:xfrm flipH="1">
                            <a:off x="3466425" y="1381269"/>
                            <a:ext cx="1085" cy="147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3" name="Line 1184"/>
                        <wps:cNvCnPr/>
                        <wps:spPr bwMode="auto">
                          <a:xfrm>
                            <a:off x="1348597" y="1407853"/>
                            <a:ext cx="2170" cy="155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4" name="Text Box 1186"/>
                        <wps:cNvSpPr txBox="1">
                          <a:spLocks noChangeArrowheads="1"/>
                        </wps:cNvSpPr>
                        <wps:spPr bwMode="auto">
                          <a:xfrm>
                            <a:off x="3085606" y="3535093"/>
                            <a:ext cx="830532" cy="590267"/>
                          </a:xfrm>
                          <a:prstGeom prst="rect">
                            <a:avLst/>
                          </a:prstGeom>
                          <a:solidFill>
                            <a:srgbClr val="FFFFFF"/>
                          </a:solidFill>
                          <a:ln w="6350">
                            <a:solidFill>
                              <a:srgbClr val="000000"/>
                            </a:solidFill>
                            <a:miter lim="800000"/>
                            <a:headEnd/>
                            <a:tailEnd/>
                          </a:ln>
                        </wps:spPr>
                        <wps:txbx>
                          <w:txbxContent>
                            <w:p w:rsidR="0042762F" w:rsidRPr="00623D14" w:rsidRDefault="0042762F" w:rsidP="00623D14">
                              <w:pPr>
                                <w:pStyle w:val="TableText"/>
                              </w:pPr>
                              <w:r w:rsidRPr="00623D14">
                                <w:t>No further surgical management</w:t>
                              </w:r>
                            </w:p>
                          </w:txbxContent>
                        </wps:txbx>
                        <wps:bodyPr rot="0" vert="horz" wrap="square" lIns="78126" tIns="39063" rIns="78126" bIns="39063" anchor="t" anchorCtr="0" upright="1">
                          <a:noAutofit/>
                        </wps:bodyPr>
                      </wps:wsp>
                      <wps:wsp>
                        <wps:cNvPr id="1885" name="Line 1187"/>
                        <wps:cNvCnPr/>
                        <wps:spPr bwMode="auto">
                          <a:xfrm flipH="1">
                            <a:off x="3677991" y="3380474"/>
                            <a:ext cx="542" cy="1540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6" name="Line 1188"/>
                        <wps:cNvCnPr/>
                        <wps:spPr bwMode="auto">
                          <a:xfrm flipV="1">
                            <a:off x="581535" y="1567355"/>
                            <a:ext cx="1433223"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 name="Text Box 1189"/>
                        <wps:cNvSpPr txBox="1">
                          <a:spLocks noChangeArrowheads="1"/>
                        </wps:cNvSpPr>
                        <wps:spPr bwMode="auto">
                          <a:xfrm>
                            <a:off x="1615495" y="2435395"/>
                            <a:ext cx="845721" cy="279943"/>
                          </a:xfrm>
                          <a:prstGeom prst="rect">
                            <a:avLst/>
                          </a:prstGeom>
                          <a:solidFill>
                            <a:srgbClr val="FFFFFF"/>
                          </a:solidFill>
                          <a:ln w="9525">
                            <a:solidFill>
                              <a:srgbClr val="000000"/>
                            </a:solidFill>
                            <a:miter lim="800000"/>
                            <a:headEnd/>
                            <a:tailEnd/>
                          </a:ln>
                        </wps:spPr>
                        <wps:txbx>
                          <w:txbxContent>
                            <w:p w:rsidR="0042762F" w:rsidRPr="00623D14" w:rsidRDefault="0042762F" w:rsidP="00DC433D">
                              <w:pPr>
                                <w:pStyle w:val="TableText"/>
                              </w:pPr>
                              <w:r w:rsidRPr="00623D14">
                                <w:t>Other surgery</w:t>
                              </w:r>
                              <w:r w:rsidRPr="00DC433D">
                                <w:rPr>
                                  <w:vertAlign w:val="superscript"/>
                                </w:rPr>
                                <w:t>b</w:t>
                              </w:r>
                            </w:p>
                          </w:txbxContent>
                        </wps:txbx>
                        <wps:bodyPr rot="0" vert="horz" wrap="square" lIns="78126" tIns="39063" rIns="78126" bIns="39063" anchor="t" anchorCtr="0" upright="1">
                          <a:noAutofit/>
                        </wps:bodyPr>
                      </wps:wsp>
                      <wps:wsp>
                        <wps:cNvPr id="1632" name="Line 1190"/>
                        <wps:cNvCnPr/>
                        <wps:spPr bwMode="auto">
                          <a:xfrm flipH="1">
                            <a:off x="577195" y="1573323"/>
                            <a:ext cx="4340" cy="8506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3" name="Text Box 1191"/>
                        <wps:cNvSpPr txBox="1">
                          <a:spLocks noChangeArrowheads="1"/>
                        </wps:cNvSpPr>
                        <wps:spPr bwMode="auto">
                          <a:xfrm>
                            <a:off x="229468" y="3535093"/>
                            <a:ext cx="784421" cy="590267"/>
                          </a:xfrm>
                          <a:prstGeom prst="rect">
                            <a:avLst/>
                          </a:prstGeom>
                          <a:solidFill>
                            <a:srgbClr val="FFFFFF"/>
                          </a:solidFill>
                          <a:ln w="6350">
                            <a:solidFill>
                              <a:srgbClr val="000000"/>
                            </a:solidFill>
                            <a:miter lim="800000"/>
                            <a:headEnd/>
                            <a:tailEnd/>
                          </a:ln>
                        </wps:spPr>
                        <wps:txbx>
                          <w:txbxContent>
                            <w:p w:rsidR="0042762F" w:rsidRPr="00623D14" w:rsidRDefault="0042762F" w:rsidP="00623D14">
                              <w:pPr>
                                <w:pStyle w:val="TableText"/>
                              </w:pPr>
                              <w:r w:rsidRPr="00623D14">
                                <w:t>No further surgical management</w:t>
                              </w:r>
                            </w:p>
                          </w:txbxContent>
                        </wps:txbx>
                        <wps:bodyPr rot="0" vert="horz" wrap="square" lIns="78126" tIns="39063" rIns="78126" bIns="39063" anchor="t" anchorCtr="0" upright="1">
                          <a:noAutofit/>
                        </wps:bodyPr>
                      </wps:wsp>
                      <wps:wsp>
                        <wps:cNvPr id="1634" name="Text Box 1192"/>
                        <wps:cNvSpPr txBox="1">
                          <a:spLocks noChangeArrowheads="1"/>
                        </wps:cNvSpPr>
                        <wps:spPr bwMode="auto">
                          <a:xfrm>
                            <a:off x="1348597" y="3535093"/>
                            <a:ext cx="1496693" cy="590267"/>
                          </a:xfrm>
                          <a:prstGeom prst="rect">
                            <a:avLst/>
                          </a:prstGeom>
                          <a:solidFill>
                            <a:srgbClr val="FFFFFF"/>
                          </a:solidFill>
                          <a:ln w="9525">
                            <a:solidFill>
                              <a:srgbClr val="000000"/>
                            </a:solidFill>
                            <a:miter lim="800000"/>
                            <a:headEnd/>
                            <a:tailEnd/>
                          </a:ln>
                        </wps:spPr>
                        <wps:txbx>
                          <w:txbxContent>
                            <w:p w:rsidR="0042762F" w:rsidRPr="00623D14" w:rsidRDefault="0042762F" w:rsidP="00623D14">
                              <w:pPr>
                                <w:pStyle w:val="TableText"/>
                              </w:pPr>
                              <w:r w:rsidRPr="00623D14">
                                <w:t>Subsequent surgical management as indicated</w:t>
                              </w:r>
                            </w:p>
                          </w:txbxContent>
                        </wps:txbx>
                        <wps:bodyPr rot="0" vert="horz" wrap="square" lIns="78126" tIns="39063" rIns="78126" bIns="39063" anchor="t" anchorCtr="0" upright="1">
                          <a:noAutofit/>
                        </wps:bodyPr>
                      </wps:wsp>
                      <wps:wsp>
                        <wps:cNvPr id="1635" name="Line 1193"/>
                        <wps:cNvCnPr/>
                        <wps:spPr bwMode="auto">
                          <a:xfrm>
                            <a:off x="2014758" y="2715338"/>
                            <a:ext cx="15189" cy="819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6" name="Line 1194"/>
                        <wps:cNvCnPr/>
                        <wps:spPr bwMode="auto">
                          <a:xfrm>
                            <a:off x="577195" y="2815705"/>
                            <a:ext cx="542" cy="7193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7" name="Line 1195"/>
                        <wps:cNvCnPr/>
                        <wps:spPr bwMode="auto">
                          <a:xfrm flipV="1">
                            <a:off x="987307" y="1573323"/>
                            <a:ext cx="726919" cy="11311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38" name="Text Box 1196"/>
                        <wps:cNvSpPr txBox="1">
                          <a:spLocks noChangeArrowheads="1"/>
                        </wps:cNvSpPr>
                        <wps:spPr bwMode="auto">
                          <a:xfrm>
                            <a:off x="799610" y="1797386"/>
                            <a:ext cx="982425" cy="621191"/>
                          </a:xfrm>
                          <a:prstGeom prst="rect">
                            <a:avLst/>
                          </a:prstGeom>
                          <a:solidFill>
                            <a:srgbClr val="FFFFFF"/>
                          </a:solidFill>
                          <a:ln w="9525">
                            <a:solidFill>
                              <a:srgbClr val="FFFFFF"/>
                            </a:solidFill>
                            <a:miter lim="800000"/>
                            <a:headEnd/>
                            <a:tailEnd/>
                          </a:ln>
                        </wps:spPr>
                        <wps:txbx>
                          <w:txbxContent>
                            <w:p w:rsidR="0042762F" w:rsidRPr="00367985" w:rsidRDefault="0042762F" w:rsidP="006D7861">
                              <w:pPr>
                                <w:pStyle w:val="TableText0"/>
                                <w:rPr>
                                  <w:sz w:val="16"/>
                                </w:rPr>
                              </w:pPr>
                              <w:r w:rsidRPr="00367985">
                                <w:rPr>
                                  <w:sz w:val="16"/>
                                </w:rPr>
                                <w:t>During procedure</w:t>
                              </w:r>
                              <w:r w:rsidRPr="00367985">
                                <w:rPr>
                                  <w:sz w:val="16"/>
                                </w:rPr>
                                <w:br/>
                                <w:t>cure not possible or multi stage surgery required</w:t>
                              </w:r>
                            </w:p>
                          </w:txbxContent>
                        </wps:txbx>
                        <wps:bodyPr rot="0" vert="horz" wrap="square" lIns="78126" tIns="39063" rIns="78126" bIns="39063" anchor="t" anchorCtr="0" upright="1">
                          <a:noAutofit/>
                        </wps:bodyPr>
                      </wps:wsp>
                      <wps:wsp>
                        <wps:cNvPr id="1639" name="Line 1197"/>
                        <wps:cNvCnPr/>
                        <wps:spPr bwMode="auto">
                          <a:xfrm>
                            <a:off x="2014758" y="1563557"/>
                            <a:ext cx="15732" cy="8452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0" name="Line 1200"/>
                        <wps:cNvCnPr/>
                        <wps:spPr bwMode="auto">
                          <a:xfrm flipV="1">
                            <a:off x="4900733" y="1545654"/>
                            <a:ext cx="1433223"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1" name="Line 1203"/>
                        <wps:cNvCnPr/>
                        <wps:spPr bwMode="auto">
                          <a:xfrm flipH="1">
                            <a:off x="4900733" y="1549994"/>
                            <a:ext cx="542" cy="868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2" name="Text Box 1204"/>
                        <wps:cNvSpPr txBox="1">
                          <a:spLocks noChangeArrowheads="1"/>
                        </wps:cNvSpPr>
                        <wps:spPr bwMode="auto">
                          <a:xfrm>
                            <a:off x="4511235" y="3535093"/>
                            <a:ext cx="803408" cy="590267"/>
                          </a:xfrm>
                          <a:prstGeom prst="rect">
                            <a:avLst/>
                          </a:prstGeom>
                          <a:solidFill>
                            <a:srgbClr val="FFFFFF"/>
                          </a:solidFill>
                          <a:ln w="6350">
                            <a:solidFill>
                              <a:srgbClr val="000000"/>
                            </a:solidFill>
                            <a:miter lim="800000"/>
                            <a:headEnd/>
                            <a:tailEnd/>
                          </a:ln>
                        </wps:spPr>
                        <wps:txbx>
                          <w:txbxContent>
                            <w:p w:rsidR="0042762F" w:rsidRPr="00623D14" w:rsidRDefault="0042762F" w:rsidP="00623D14">
                              <w:pPr>
                                <w:pStyle w:val="TableText"/>
                              </w:pPr>
                              <w:r w:rsidRPr="00623D14">
                                <w:t>No further surgical management</w:t>
                              </w:r>
                            </w:p>
                          </w:txbxContent>
                        </wps:txbx>
                        <wps:bodyPr rot="0" vert="horz" wrap="square" lIns="78126" tIns="39063" rIns="78126" bIns="39063" anchor="t" anchorCtr="0" upright="1">
                          <a:noAutofit/>
                        </wps:bodyPr>
                      </wps:wsp>
                      <wps:wsp>
                        <wps:cNvPr id="1643" name="Text Box 1205"/>
                        <wps:cNvSpPr txBox="1">
                          <a:spLocks noChangeArrowheads="1"/>
                        </wps:cNvSpPr>
                        <wps:spPr bwMode="auto">
                          <a:xfrm>
                            <a:off x="5768695" y="3534551"/>
                            <a:ext cx="1496693" cy="590810"/>
                          </a:xfrm>
                          <a:prstGeom prst="rect">
                            <a:avLst/>
                          </a:prstGeom>
                          <a:solidFill>
                            <a:srgbClr val="FFFFFF"/>
                          </a:solidFill>
                          <a:ln w="9525">
                            <a:solidFill>
                              <a:srgbClr val="000000"/>
                            </a:solidFill>
                            <a:miter lim="800000"/>
                            <a:headEnd/>
                            <a:tailEnd/>
                          </a:ln>
                        </wps:spPr>
                        <wps:txbx>
                          <w:txbxContent>
                            <w:p w:rsidR="0042762F" w:rsidRPr="00623D14" w:rsidRDefault="0042762F" w:rsidP="00623D14">
                              <w:pPr>
                                <w:pStyle w:val="TableText"/>
                              </w:pPr>
                              <w:r w:rsidRPr="00623D14">
                                <w:t>Subsequent surgical management as indicated</w:t>
                              </w:r>
                            </w:p>
                          </w:txbxContent>
                        </wps:txbx>
                        <wps:bodyPr rot="0" vert="horz" wrap="square" lIns="78126" tIns="39063" rIns="78126" bIns="39063" anchor="t" anchorCtr="0" upright="1">
                          <a:noAutofit/>
                        </wps:bodyPr>
                      </wps:wsp>
                      <wps:wsp>
                        <wps:cNvPr id="1644" name="Line 1206"/>
                        <wps:cNvCnPr/>
                        <wps:spPr bwMode="auto">
                          <a:xfrm>
                            <a:off x="6333956" y="2715338"/>
                            <a:ext cx="542" cy="819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5" name="Line 1207"/>
                        <wps:cNvCnPr/>
                        <wps:spPr bwMode="auto">
                          <a:xfrm>
                            <a:off x="4895850" y="2815705"/>
                            <a:ext cx="5425" cy="7193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6" name="Line 1208"/>
                        <wps:cNvCnPr/>
                        <wps:spPr bwMode="auto">
                          <a:xfrm flipV="1">
                            <a:off x="5314642" y="1555419"/>
                            <a:ext cx="808290" cy="115991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47" name="Text Box 1209"/>
                        <wps:cNvSpPr txBox="1">
                          <a:spLocks noChangeArrowheads="1"/>
                        </wps:cNvSpPr>
                        <wps:spPr bwMode="auto">
                          <a:xfrm>
                            <a:off x="5139965" y="1751813"/>
                            <a:ext cx="982967" cy="583757"/>
                          </a:xfrm>
                          <a:prstGeom prst="rect">
                            <a:avLst/>
                          </a:prstGeom>
                          <a:solidFill>
                            <a:srgbClr val="FFFFFF"/>
                          </a:solidFill>
                          <a:ln w="9525">
                            <a:solidFill>
                              <a:srgbClr val="FFFFFF"/>
                            </a:solidFill>
                            <a:miter lim="800000"/>
                            <a:headEnd/>
                            <a:tailEnd/>
                          </a:ln>
                        </wps:spPr>
                        <wps:txbx>
                          <w:txbxContent>
                            <w:p w:rsidR="0042762F" w:rsidRPr="00367985" w:rsidRDefault="0042762F" w:rsidP="006D7861">
                              <w:pPr>
                                <w:pStyle w:val="TableText0"/>
                                <w:rPr>
                                  <w:sz w:val="16"/>
                                </w:rPr>
                              </w:pPr>
                              <w:r w:rsidRPr="00367985">
                                <w:rPr>
                                  <w:sz w:val="16"/>
                                </w:rPr>
                                <w:t>During procedure</w:t>
                              </w:r>
                              <w:r w:rsidRPr="00367985">
                                <w:rPr>
                                  <w:sz w:val="16"/>
                                </w:rPr>
                                <w:br/>
                                <w:t xml:space="preserve">cure not possible or </w:t>
                              </w:r>
                              <w:r>
                                <w:rPr>
                                  <w:sz w:val="16"/>
                                </w:rPr>
                                <w:t>multi-stage</w:t>
                              </w:r>
                              <w:r w:rsidRPr="00367985">
                                <w:rPr>
                                  <w:sz w:val="16"/>
                                </w:rPr>
                                <w:t xml:space="preserve"> surgery required</w:t>
                              </w:r>
                            </w:p>
                          </w:txbxContent>
                        </wps:txbx>
                        <wps:bodyPr rot="0" vert="horz" wrap="square" lIns="78126" tIns="39063" rIns="78126" bIns="39063" anchor="t" anchorCtr="0" upright="1">
                          <a:noAutofit/>
                        </wps:bodyPr>
                      </wps:wsp>
                      <wps:wsp>
                        <wps:cNvPr id="1648" name="Line 1210"/>
                        <wps:cNvCnPr/>
                        <wps:spPr bwMode="auto">
                          <a:xfrm flipH="1">
                            <a:off x="6334498" y="1546196"/>
                            <a:ext cx="542" cy="8870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9" name="Line 1211"/>
                        <wps:cNvCnPr/>
                        <wps:spPr bwMode="auto">
                          <a:xfrm flipV="1">
                            <a:off x="2587070" y="3379931"/>
                            <a:ext cx="1091463"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212"/>
                        <wps:cNvCnPr/>
                        <wps:spPr bwMode="auto">
                          <a:xfrm>
                            <a:off x="3464255" y="2816248"/>
                            <a:ext cx="1085" cy="564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213"/>
                        <wps:cNvCnPr/>
                        <wps:spPr bwMode="auto">
                          <a:xfrm flipH="1">
                            <a:off x="2587070" y="3379931"/>
                            <a:ext cx="542" cy="15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2" name="Text Box 1214"/>
                        <wps:cNvSpPr txBox="1">
                          <a:spLocks noChangeArrowheads="1"/>
                        </wps:cNvSpPr>
                        <wps:spPr bwMode="auto">
                          <a:xfrm>
                            <a:off x="3085606" y="2424002"/>
                            <a:ext cx="830532" cy="392246"/>
                          </a:xfrm>
                          <a:prstGeom prst="rect">
                            <a:avLst/>
                          </a:prstGeom>
                          <a:solidFill>
                            <a:srgbClr val="FFFFFF"/>
                          </a:solidFill>
                          <a:ln w="9525">
                            <a:solidFill>
                              <a:srgbClr val="000000"/>
                            </a:solidFill>
                            <a:miter lim="800000"/>
                            <a:headEnd/>
                            <a:tailEnd/>
                          </a:ln>
                        </wps:spPr>
                        <wps:txbx>
                          <w:txbxContent>
                            <w:p w:rsidR="0042762F" w:rsidRPr="00623D14" w:rsidRDefault="0042762F" w:rsidP="00623D14">
                              <w:pPr>
                                <w:pStyle w:val="TableText"/>
                              </w:pPr>
                              <w:r w:rsidRPr="00623D14">
                                <w:t>Best supportive</w:t>
                              </w:r>
                              <w:r w:rsidRPr="00623D14">
                                <w:br/>
                                <w:t>care</w:t>
                              </w:r>
                              <w:r w:rsidRPr="00DC433D">
                                <w:rPr>
                                  <w:vertAlign w:val="superscript"/>
                                </w:rPr>
                                <w:t>b</w:t>
                              </w:r>
                              <w:r w:rsidRPr="00623D14">
                                <w:t xml:space="preserve"> </w:t>
                              </w:r>
                            </w:p>
                            <w:p w:rsidR="0042762F" w:rsidRPr="00367985" w:rsidRDefault="0042762F" w:rsidP="007E7D93">
                              <w:pPr>
                                <w:ind w:left="0"/>
                                <w:jc w:val="center"/>
                                <w:rPr>
                                  <w:sz w:val="13"/>
                                  <w:szCs w:val="16"/>
                                </w:rPr>
                              </w:pPr>
                            </w:p>
                          </w:txbxContent>
                        </wps:txbx>
                        <wps:bodyPr rot="0" vert="horz" wrap="square" lIns="78126" tIns="39063" rIns="78126" bIns="39063" anchor="t" anchorCtr="0" upright="1">
                          <a:noAutofit/>
                        </wps:bodyPr>
                      </wps:wsp>
                      <wps:wsp>
                        <wps:cNvPr id="1653" name="Line 1215"/>
                        <wps:cNvCnPr/>
                        <wps:spPr bwMode="auto">
                          <a:xfrm>
                            <a:off x="8200075" y="2816248"/>
                            <a:ext cx="542" cy="576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5" name="Line 1216"/>
                        <wps:cNvCnPr/>
                        <wps:spPr bwMode="auto">
                          <a:xfrm flipV="1">
                            <a:off x="6970823" y="3391867"/>
                            <a:ext cx="1452752"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6" name="Line 1217"/>
                        <wps:cNvCnPr/>
                        <wps:spPr bwMode="auto">
                          <a:xfrm>
                            <a:off x="6961058" y="3391867"/>
                            <a:ext cx="9765" cy="1426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7" name="Text Box 1218"/>
                        <wps:cNvSpPr txBox="1">
                          <a:spLocks noChangeArrowheads="1"/>
                        </wps:cNvSpPr>
                        <wps:spPr bwMode="auto">
                          <a:xfrm>
                            <a:off x="0" y="2433225"/>
                            <a:ext cx="1063254" cy="466029"/>
                          </a:xfrm>
                          <a:prstGeom prst="rect">
                            <a:avLst/>
                          </a:prstGeom>
                          <a:solidFill>
                            <a:srgbClr val="FFFFFF"/>
                          </a:solidFill>
                          <a:ln w="9525">
                            <a:solidFill>
                              <a:srgbClr val="000000"/>
                            </a:solidFill>
                            <a:miter lim="800000"/>
                            <a:headEnd/>
                            <a:tailEnd/>
                          </a:ln>
                        </wps:spPr>
                        <wps:txbx>
                          <w:txbxContent>
                            <w:p w:rsidR="0042762F" w:rsidRPr="00623D14" w:rsidRDefault="0042762F" w:rsidP="00623D14">
                              <w:pPr>
                                <w:pStyle w:val="TableText"/>
                              </w:pPr>
                              <w:r w:rsidRPr="00623D14">
                                <w:t>Intended single-stage curative surgery</w:t>
                              </w:r>
                              <w:r w:rsidRPr="00DC433D">
                                <w:rPr>
                                  <w:vertAlign w:val="superscript"/>
                                </w:rPr>
                                <w:t>b</w:t>
                              </w:r>
                              <w:r w:rsidRPr="00623D14">
                                <w:t xml:space="preserve"> </w:t>
                              </w:r>
                            </w:p>
                          </w:txbxContent>
                        </wps:txbx>
                        <wps:bodyPr rot="0" vert="horz" wrap="square" lIns="78126" tIns="39063" rIns="78126" bIns="39063" anchor="t" anchorCtr="0" upright="1">
                          <a:noAutofit/>
                        </wps:bodyPr>
                      </wps:wsp>
                      <wps:wsp>
                        <wps:cNvPr id="1658" name="Text Box 1418"/>
                        <wps:cNvSpPr txBox="1">
                          <a:spLocks noChangeArrowheads="1"/>
                        </wps:cNvSpPr>
                        <wps:spPr bwMode="auto">
                          <a:xfrm>
                            <a:off x="7593586" y="2418577"/>
                            <a:ext cx="829447" cy="397671"/>
                          </a:xfrm>
                          <a:prstGeom prst="rect">
                            <a:avLst/>
                          </a:prstGeom>
                          <a:solidFill>
                            <a:srgbClr val="FFFFFF"/>
                          </a:solidFill>
                          <a:ln w="9525">
                            <a:solidFill>
                              <a:srgbClr val="000000"/>
                            </a:solidFill>
                            <a:miter lim="800000"/>
                            <a:headEnd/>
                            <a:tailEnd/>
                          </a:ln>
                        </wps:spPr>
                        <wps:txbx>
                          <w:txbxContent>
                            <w:p w:rsidR="0042762F" w:rsidRPr="00623D14" w:rsidRDefault="0042762F" w:rsidP="00623D14">
                              <w:pPr>
                                <w:pStyle w:val="TableText"/>
                              </w:pPr>
                              <w:r w:rsidRPr="00623D14">
                                <w:t>Best supportive</w:t>
                              </w:r>
                              <w:r w:rsidRPr="00623D14">
                                <w:br/>
                                <w:t>care</w:t>
                              </w:r>
                              <w:r w:rsidRPr="00DC433D">
                                <w:rPr>
                                  <w:vertAlign w:val="superscript"/>
                                </w:rPr>
                                <w:t>b</w:t>
                              </w:r>
                              <w:r w:rsidRPr="00623D14">
                                <w:t xml:space="preserve"> </w:t>
                              </w:r>
                            </w:p>
                            <w:p w:rsidR="0042762F" w:rsidRPr="00367985" w:rsidRDefault="0042762F" w:rsidP="007E7D93">
                              <w:pPr>
                                <w:ind w:left="0"/>
                                <w:jc w:val="center"/>
                                <w:rPr>
                                  <w:sz w:val="13"/>
                                  <w:szCs w:val="16"/>
                                </w:rPr>
                              </w:pPr>
                            </w:p>
                          </w:txbxContent>
                        </wps:txbx>
                        <wps:bodyPr rot="0" vert="horz" wrap="square" lIns="78126" tIns="39063" rIns="78126" bIns="39063" anchor="t" anchorCtr="0" upright="1">
                          <a:noAutofit/>
                        </wps:bodyPr>
                      </wps:wsp>
                      <wps:wsp>
                        <wps:cNvPr id="1659" name="Text Box 1419"/>
                        <wps:cNvSpPr txBox="1">
                          <a:spLocks noChangeArrowheads="1"/>
                        </wps:cNvSpPr>
                        <wps:spPr bwMode="auto">
                          <a:xfrm>
                            <a:off x="7711846" y="3535093"/>
                            <a:ext cx="828904" cy="590267"/>
                          </a:xfrm>
                          <a:prstGeom prst="rect">
                            <a:avLst/>
                          </a:prstGeom>
                          <a:solidFill>
                            <a:srgbClr val="FFFFFF"/>
                          </a:solidFill>
                          <a:ln w="6350">
                            <a:solidFill>
                              <a:srgbClr val="000000"/>
                            </a:solidFill>
                            <a:miter lim="800000"/>
                            <a:headEnd/>
                            <a:tailEnd/>
                          </a:ln>
                        </wps:spPr>
                        <wps:txbx>
                          <w:txbxContent>
                            <w:p w:rsidR="0042762F" w:rsidRPr="00623D14" w:rsidRDefault="0042762F" w:rsidP="00623D14">
                              <w:pPr>
                                <w:pStyle w:val="TableText"/>
                              </w:pPr>
                              <w:r w:rsidRPr="00623D14">
                                <w:t>No further surgical management</w:t>
                              </w:r>
                            </w:p>
                          </w:txbxContent>
                        </wps:txbx>
                        <wps:bodyPr rot="0" vert="horz" wrap="square" lIns="78126" tIns="39063" rIns="78126" bIns="39063" anchor="t" anchorCtr="0" upright="1">
                          <a:noAutofit/>
                        </wps:bodyPr>
                      </wps:wsp>
                      <wps:wsp>
                        <wps:cNvPr id="1660" name="Text Box 1171"/>
                        <wps:cNvSpPr txBox="1">
                          <a:spLocks noChangeArrowheads="1"/>
                        </wps:cNvSpPr>
                        <wps:spPr bwMode="auto">
                          <a:xfrm>
                            <a:off x="5087887" y="1181620"/>
                            <a:ext cx="1246069" cy="274518"/>
                          </a:xfrm>
                          <a:prstGeom prst="rect">
                            <a:avLst/>
                          </a:prstGeom>
                          <a:solidFill>
                            <a:srgbClr val="FFFFFF"/>
                          </a:solidFill>
                          <a:ln w="9525">
                            <a:solidFill>
                              <a:srgbClr val="000000"/>
                            </a:solidFill>
                            <a:miter lim="800000"/>
                            <a:headEnd/>
                            <a:tailEnd/>
                          </a:ln>
                        </wps:spPr>
                        <wps:txbx>
                          <w:txbxContent>
                            <w:p w:rsidR="0042762F" w:rsidRPr="00F76F8E" w:rsidRDefault="0042762F" w:rsidP="0007443E">
                              <w:pPr>
                                <w:pStyle w:val="TableText"/>
                              </w:pPr>
                              <w:r w:rsidRPr="00F76F8E">
                                <w:t>Medically fit for surgery</w:t>
                              </w:r>
                            </w:p>
                          </w:txbxContent>
                        </wps:txbx>
                        <wps:bodyPr rot="0" vert="horz" wrap="square" lIns="78126" tIns="39063" rIns="78126" bIns="39063" anchor="t" anchorCtr="0" upright="1">
                          <a:noAutofit/>
                        </wps:bodyPr>
                      </wps:wsp>
                      <wps:wsp>
                        <wps:cNvPr id="1661" name="Text Box 1162"/>
                        <wps:cNvSpPr txBox="1">
                          <a:spLocks noChangeArrowheads="1"/>
                        </wps:cNvSpPr>
                        <wps:spPr bwMode="auto">
                          <a:xfrm>
                            <a:off x="7195408" y="1170227"/>
                            <a:ext cx="1345342" cy="285911"/>
                          </a:xfrm>
                          <a:prstGeom prst="rect">
                            <a:avLst/>
                          </a:prstGeom>
                          <a:solidFill>
                            <a:srgbClr val="FFFFFF"/>
                          </a:solidFill>
                          <a:ln w="9525">
                            <a:solidFill>
                              <a:srgbClr val="000000"/>
                            </a:solidFill>
                            <a:miter lim="800000"/>
                            <a:headEnd/>
                            <a:tailEnd/>
                          </a:ln>
                        </wps:spPr>
                        <wps:txbx>
                          <w:txbxContent>
                            <w:p w:rsidR="0042762F" w:rsidRPr="00F76F8E" w:rsidRDefault="0042762F" w:rsidP="0007443E">
                              <w:pPr>
                                <w:pStyle w:val="TableText"/>
                              </w:pPr>
                              <w:r w:rsidRPr="00F76F8E">
                                <w:t>Medically unfit for surgery</w:t>
                              </w:r>
                            </w:p>
                          </w:txbxContent>
                        </wps:txbx>
                        <wps:bodyPr rot="0" vert="horz" wrap="square" lIns="78126" tIns="39063" rIns="78126" bIns="39063" anchor="t" anchorCtr="0" upright="1">
                          <a:noAutofit/>
                        </wps:bodyPr>
                      </wps:wsp>
                      <wps:wsp>
                        <wps:cNvPr id="1662" name="Text Box 1201"/>
                        <wps:cNvSpPr txBox="1">
                          <a:spLocks noChangeArrowheads="1"/>
                        </wps:cNvSpPr>
                        <wps:spPr bwMode="auto">
                          <a:xfrm>
                            <a:off x="4247591" y="2418577"/>
                            <a:ext cx="1067594" cy="397671"/>
                          </a:xfrm>
                          <a:prstGeom prst="rect">
                            <a:avLst/>
                          </a:prstGeom>
                          <a:solidFill>
                            <a:srgbClr val="FFFFFF"/>
                          </a:solidFill>
                          <a:ln w="9525">
                            <a:solidFill>
                              <a:srgbClr val="000000"/>
                            </a:solidFill>
                            <a:miter lim="800000"/>
                            <a:headEnd/>
                            <a:tailEnd/>
                          </a:ln>
                        </wps:spPr>
                        <wps:txbx>
                          <w:txbxContent>
                            <w:p w:rsidR="0042762F" w:rsidRPr="00F76F8E" w:rsidRDefault="0042762F" w:rsidP="00DC433D">
                              <w:pPr>
                                <w:pStyle w:val="TableText"/>
                              </w:pPr>
                              <w:r w:rsidRPr="00F76F8E">
                                <w:t>Intended single-stage curative surgery</w:t>
                              </w:r>
                              <w:r w:rsidRPr="00DC433D">
                                <w:rPr>
                                  <w:vertAlign w:val="superscript"/>
                                </w:rPr>
                                <w:t>b</w:t>
                              </w:r>
                            </w:p>
                          </w:txbxContent>
                        </wps:txbx>
                        <wps:bodyPr rot="0" vert="horz" wrap="square" lIns="78126" tIns="39063" rIns="78126" bIns="39063" anchor="t" anchorCtr="0" upright="1">
                          <a:noAutofit/>
                        </wps:bodyPr>
                      </wps:wsp>
                      <wps:wsp>
                        <wps:cNvPr id="1663" name="Text Box 1202"/>
                        <wps:cNvSpPr txBox="1">
                          <a:spLocks noChangeArrowheads="1"/>
                        </wps:cNvSpPr>
                        <wps:spPr bwMode="auto">
                          <a:xfrm>
                            <a:off x="5954222" y="2454926"/>
                            <a:ext cx="794186" cy="260412"/>
                          </a:xfrm>
                          <a:prstGeom prst="rect">
                            <a:avLst/>
                          </a:prstGeom>
                          <a:solidFill>
                            <a:srgbClr val="FFFFFF"/>
                          </a:solidFill>
                          <a:ln w="9525">
                            <a:solidFill>
                              <a:srgbClr val="000000"/>
                            </a:solidFill>
                            <a:miter lim="800000"/>
                            <a:headEnd/>
                            <a:tailEnd/>
                          </a:ln>
                        </wps:spPr>
                        <wps:txbx>
                          <w:txbxContent>
                            <w:p w:rsidR="0042762F" w:rsidRPr="00623D14" w:rsidRDefault="0042762F" w:rsidP="00DC433D">
                              <w:pPr>
                                <w:pStyle w:val="TableText"/>
                              </w:pPr>
                              <w:r w:rsidRPr="00623D14">
                                <w:t>Other surgery</w:t>
                              </w:r>
                              <w:r w:rsidRPr="00DC433D">
                                <w:rPr>
                                  <w:vertAlign w:val="superscript"/>
                                </w:rPr>
                                <w:t>b</w:t>
                              </w:r>
                            </w:p>
                          </w:txbxContent>
                        </wps:txbx>
                        <wps:bodyPr rot="0" vert="horz" wrap="square" lIns="78126" tIns="39063" rIns="78126" bIns="39063" anchor="t" anchorCtr="0" upright="1">
                          <a:noAutofit/>
                        </wps:bodyPr>
                      </wps:wsp>
                      <wps:wsp>
                        <wps:cNvPr id="1888" name="Text Box 1181"/>
                        <wps:cNvSpPr txBox="1">
                          <a:spLocks noChangeArrowheads="1"/>
                        </wps:cNvSpPr>
                        <wps:spPr bwMode="auto">
                          <a:xfrm>
                            <a:off x="842466" y="1203863"/>
                            <a:ext cx="1188024" cy="252274"/>
                          </a:xfrm>
                          <a:prstGeom prst="rect">
                            <a:avLst/>
                          </a:prstGeom>
                          <a:solidFill>
                            <a:srgbClr val="FFFFFF"/>
                          </a:solidFill>
                          <a:ln w="9525">
                            <a:solidFill>
                              <a:srgbClr val="000000"/>
                            </a:solidFill>
                            <a:miter lim="800000"/>
                            <a:headEnd/>
                            <a:tailEnd/>
                          </a:ln>
                        </wps:spPr>
                        <wps:txbx>
                          <w:txbxContent>
                            <w:p w:rsidR="0042762F" w:rsidRPr="00623D14" w:rsidRDefault="0042762F" w:rsidP="00623D14">
                              <w:pPr>
                                <w:pStyle w:val="TableText"/>
                              </w:pPr>
                              <w:r w:rsidRPr="00623D14">
                                <w:t>Medically fit for surgery</w:t>
                              </w:r>
                            </w:p>
                          </w:txbxContent>
                        </wps:txbx>
                        <wps:bodyPr rot="0" vert="horz" wrap="square" lIns="78126" tIns="39063" rIns="78126" bIns="39063" anchor="t" anchorCtr="0" upright="1">
                          <a:noAutofit/>
                        </wps:bodyPr>
                      </wps:wsp>
                      <wps:wsp>
                        <wps:cNvPr id="1889" name="Line 1185"/>
                        <wps:cNvCnPr/>
                        <wps:spPr bwMode="auto">
                          <a:xfrm flipH="1">
                            <a:off x="3470765" y="1407853"/>
                            <a:ext cx="542" cy="10107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0" name="Text Box 1182"/>
                        <wps:cNvSpPr txBox="1">
                          <a:spLocks noChangeArrowheads="1"/>
                        </wps:cNvSpPr>
                        <wps:spPr bwMode="auto">
                          <a:xfrm>
                            <a:off x="2849629" y="1181620"/>
                            <a:ext cx="1322558" cy="274518"/>
                          </a:xfrm>
                          <a:prstGeom prst="rect">
                            <a:avLst/>
                          </a:prstGeom>
                          <a:solidFill>
                            <a:srgbClr val="FFFFFF"/>
                          </a:solidFill>
                          <a:ln w="9525">
                            <a:solidFill>
                              <a:srgbClr val="000000"/>
                            </a:solidFill>
                            <a:miter lim="800000"/>
                            <a:headEnd/>
                            <a:tailEnd/>
                          </a:ln>
                        </wps:spPr>
                        <wps:txbx>
                          <w:txbxContent>
                            <w:p w:rsidR="0042762F" w:rsidRPr="00623D14" w:rsidRDefault="0042762F" w:rsidP="00623D14">
                              <w:pPr>
                                <w:pStyle w:val="TableText"/>
                              </w:pPr>
                              <w:r w:rsidRPr="00623D14">
                                <w:t>Medically unfit for surgery</w:t>
                              </w:r>
                            </w:p>
                          </w:txbxContent>
                        </wps:txbx>
                        <wps:bodyPr rot="0" vert="horz" wrap="square" lIns="78126" tIns="39063" rIns="78126" bIns="39063" anchor="t" anchorCtr="0" upright="1">
                          <a:noAutofit/>
                        </wps:bodyPr>
                      </wps:wsp>
                    </wpc:wpc>
                  </a:graphicData>
                </a:graphic>
              </wp:inline>
            </w:drawing>
          </mc:Choice>
          <mc:Fallback>
            <w:pict>
              <v:group id="Canvas 1158" o:spid="_x0000_s1192" editas="canvas" alt="Title: Figure 5  Current clinical management algorithm - Description: Figure 5  Current clinical management algorithm" style="width:672.5pt;height:332.35pt;mso-position-horizontal-relative:char;mso-position-vertical-relative:line" coordsize="85407,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">
                <v:shape id="_x0000_s1193" type="#_x0000_t75" alt="Figure 5  Current clinical management algorithm" style="position:absolute;width:85407;height:42208;visibility:visible;mso-wrap-style:square">
                  <v:fill o:detectmouseclick="t"/>
                  <v:path o:connecttype="none"/>
                </v:shape>
                <v:shape id="Text Box 1160" o:spid="_x0000_s1194" type="#_x0000_t202" style="position:absolute;left:52424;top:5278;width:28649;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P78A&#10;AADdAAAADwAAAGRycy9kb3ducmV2LnhtbERP24rCMBB9F/yHMIJvmlYXKdVYRFjx1csHDM3YlG0m&#10;3STa7t+bhYV9m8O5zq4abSde5EPrWEG+zEAQ10633Ci43z4XBYgQkTV2jknBDwWo9tPJDkvtBr7Q&#10;6xobkUI4lKjAxNiXUobakMWwdD1x4h7OW4wJ+kZqj0MKt51cZdlGWmw5NRjs6Wio/ro+rYLTWGcF&#10;Dhdz/qanX+f0+DitpFLz2XjYgog0xn/xn/us0/xis4bfb9IJcv8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Xf4/vwAAAN0AAAAPAAAAAAAAAAAAAAAAAJgCAABkcnMvZG93bnJl&#10;di54bWxQSwUGAAAAAAQABAD1AAAAhAMAAAAA&#10;">
                  <v:textbox inset="2.17017mm,1.0851mm,2.17017mm,1.0851mm">
                    <w:txbxContent>
                      <w:p w:rsidR="0042762F" w:rsidRPr="00F76F8E" w:rsidRDefault="0042762F" w:rsidP="00F76F8E">
                        <w:pPr>
                          <w:pStyle w:val="TableText"/>
                        </w:pPr>
                        <w:r w:rsidRPr="00F76F8E">
                          <w:t xml:space="preserve">Patients with colorectal obstruction due to pre-diagnosed cancer </w:t>
                        </w:r>
                      </w:p>
                    </w:txbxContent>
                  </v:textbox>
                </v:shape>
                <v:line id="Line 1161" o:spid="_x0000_s1195" style="position:absolute;flip:x;visibility:visible;mso-wrap-style:square" from="45144,2777" to="45150,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D9MUAAADdAAAADwAAAGRycy9kb3ducmV2LnhtbERPTWsCMRC9F/wPYQQvRbMVke1qFCkU&#10;evBSLSu9jZtxs+xmsk1S3f77piD0No/3OevtYDtxJR8axwqeZhkI4srphmsFH8fXaQ4iRGSNnWNS&#10;8EMBtpvRwxoL7W78TtdDrEUK4VCgAhNjX0gZKkMWw8z1xIm7OG8xJuhrqT3eUrjt5DzLltJiw6nB&#10;YE8vhqr28G0VyHz/+OV350VbtqfTsymrsv/cKzUZD7sViEhD/Bff3W86zc+XC/j7Jp0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D9MUAAADdAAAADwAAAAAAAAAA&#10;AAAAAAChAgAAZHJzL2Rvd25yZXYueG1sUEsFBgAAAAAEAAQA+QAAAJMDAAAAAA==&#10;"/>
                <v:line id="Line 1163" o:spid="_x0000_s1196" style="position:absolute;visibility:visible;mso-wrap-style:square" from="42475,24185" to="42475,2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QDhMMAAADdAAAADwAAAGRycy9kb3ducmV2LnhtbERPS2sCMRC+C/0PYQreNGvB19YopYvg&#10;wQpq6Xm6mW6WbibLJq7x35uC0Nt8fM9ZbaJtRE+drx0rmIwzEMSl0zVXCj7P29EChA/IGhvHpOBG&#10;Hjbrp8EKc+2ufKT+FCqRQtjnqMCE0OZS+tKQRT92LXHiflxnMSTYVVJ3eE3htpEvWTaTFmtODQZb&#10;ejdU/p4uVsHcFEc5l8X+fCj6erKMH/Hre6nU8Dm+vYIIFMO/+OHe6TR/MZvC3zfp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UA4TDAAAA3QAAAA8AAAAAAAAAAAAA&#10;AAAAoQIAAGRycy9kb3ducmV2LnhtbFBLBQYAAAAABAAEAPkAAACRAwAAAAA=&#10;">
                  <v:stroke endarrow="block"/>
                </v:line>
                <v:shape id="Text Box 1164" o:spid="_x0000_s1197" type="#_x0000_t202" style="position:absolute;left:34089;top:916;width:20825;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dp74A&#10;AADdAAAADwAAAGRycy9kb3ducmV2LnhtbERP24rCMBB9F/yHMIJvmnqhlK5RRFB81d0PGJqxKdtM&#10;ahJt/XuzsODbHM51NrvBtuJJPjSOFSzmGQjiyumGawU/38dZASJEZI2tY1LwogC77Xi0wVK7ni/0&#10;vMZapBAOJSowMXallKEyZDHMXUecuJvzFmOCvpbaY5/CbSuXWZZLiw2nBoMdHQxVv9eHVXAaqqzA&#10;/mLOd3r41YJu69NSKjWdDPsvEJGG+BH/u886zS/yHP6+SS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qXae+AAAA3QAAAA8AAAAAAAAAAAAAAAAAmAIAAGRycy9kb3ducmV2&#10;LnhtbFBLBQYAAAAABAAEAPUAAACDAwAAAAA=&#10;">
                  <v:textbox inset="2.17017mm,1.0851mm,2.17017mm,1.0851mm">
                    <w:txbxContent>
                      <w:p w:rsidR="0042762F" w:rsidRPr="00367985" w:rsidRDefault="0042762F" w:rsidP="00F76F8E">
                        <w:pPr>
                          <w:pStyle w:val="TableText"/>
                        </w:pPr>
                        <w:r w:rsidRPr="00367985">
                          <w:t>Large bowel obstruction, stricture or stenosis</w:t>
                        </w:r>
                      </w:p>
                    </w:txbxContent>
                  </v:textbox>
                </v:shape>
                <v:line id="Line 1165" o:spid="_x0000_s1198" style="position:absolute;visibility:visible;mso-wrap-style:square" from="23836,3971" to="68661,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atfMUAAADdAAAADwAAAGRycy9kb3ducmV2LnhtbERPTWvCQBC9C/6HZQRvurFCKqmrSEtB&#10;eyhVC+1xzI5JNDsbdrdJ+u+7BcHbPN7nLNe9qUVLzleWFcymCQji3OqKCwWfx9fJAoQPyBpry6Tg&#10;lzysV8PBEjNtO95TewiFiCHsM1RQhtBkUvq8JIN+ahviyJ2tMxgidIXUDrsYbmr5kCSpNFhxbCix&#10;oeeS8uvhxyh4n3+k7Wb3tu2/dukpf9mfvi+dU2o86jdPIAL14S6+ubc6zl+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atfMUAAADdAAAADwAAAAAAAAAA&#10;AAAAAAChAgAAZHJzL2Rvd25yZXYueG1sUEsFBgAAAAAEAAQA+QAAAJMDAAAAAA==&#10;"/>
                <v:line id="Line 1166" o:spid="_x0000_s1199" style="position:absolute;flip:x;visibility:visible;mso-wrap-style:square" from="68644,4003" to="68650,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J8ccAAADdAAAADwAAAGRycy9kb3ducmV2LnhtbESPQUvDQBCF74L/YRnBi9iNRUqM3ZYi&#10;FHroxSop3sbsmA3JzsbdbRv/vXMQvM3w3rz3zXI9+UGdKaYusIGHWQGKuAm249bA+9v2vgSVMrLF&#10;ITAZ+KEE69X11RIrGy78SudDbpWEcKrQgMt5rLROjSOPaRZGYtG+QvSYZY2tthEvEu4HPS+KhfbY&#10;sTQ4HOnFUdMfTt6ALvd333Hz+djX/fH45OqmHj/2xtzeTJtnUJmm/G/+u95ZwS8X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8knxxwAAAN0AAAAPAAAAAAAA&#10;AAAAAAAAAKECAABkcnMvZG93bnJldi54bWxQSwUGAAAAAAQABAD5AAAAlQMAAAAA&#10;"/>
                <v:line id="Line 1167" o:spid="_x0000_s1200" style="position:absolute;flip:y;visibility:visible;mso-wrap-style:square" from="68634,8555" to="68639,9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sasUAAADdAAAADwAAAGRycy9kb3ducmV2LnhtbERPS2sCMRC+F/ofwhS8lJptEVlXo0ih&#10;0IMXH6z0Nm6mm2U3k22S6vrvm4LgbT6+5yxWg+3EmXxoHCt4HWcgiCunG64VHPYfLzmIEJE1do5J&#10;wZUCrJaPDwsstLvwls67WIsUwqFABSbGvpAyVIYshrHriRP37bzFmKCvpfZ4SeG2k29ZNpUWG04N&#10;Bnt6N1S1u1+rQOab5x+/Pk3asj0eZ6asyv5ro9ToaVjPQUQa4l18c3/qND+fzuD/m3SC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7sasUAAADdAAAADwAAAAAAAAAA&#10;AAAAAAChAgAAZHJzL2Rvd25yZXYueG1sUEsFBgAAAAAEAAQA+QAAAJMDAAAAAA==&#10;"/>
                <v:line id="Line 1168" o:spid="_x0000_s1201" style="position:absolute;visibility:visible;mso-wrap-style:square" from="57703,9689" to="82429,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aj1cgAAADdAAAADwAAAGRycy9kb3ducmV2LnhtbESPT0vDQBDF70K/wzIFb3ajQiyx21IU&#10;ofUg9g+0x2l2TKLZ2bC7JvHbOwfB2wzvzXu/WaxG16qeQmw8G7idZaCIS28brgwcDy83c1AxIVts&#10;PZOBH4qwWk6uFlhYP/CO+n2qlIRwLNBAnVJXaB3LmhzGme+IRfvwwWGSNVTaBhwk3LX6Lsty7bBh&#10;aaixo6eayq/9tzPwdv+e9+vt62Y8bfNL+by7nD+HYMz1dFw/gko0pn/z3/XGCv78Qf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baj1cgAAADdAAAADwAAAAAA&#10;AAAAAAAAAAChAgAAZHJzL2Rvd25yZXYueG1sUEsFBgAAAAAEAAQA+QAAAJYDAAAAAA==&#10;"/>
                <v:line id="Line 1169" o:spid="_x0000_s1202" style="position:absolute;flip:x;visibility:visible;mso-wrap-style:square" from="82000,14040" to="82006,2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gL68YAAADdAAAADwAAAGRycy9kb3ducmV2LnhtbESPT2vCQBDF74V+h2UKXkLdqGDT6Cqt&#10;f6AgHmp78DhkxySYnQ3ZUdNv3y0Ivc3w3u/Nm/myd426UhdqzwZGwxQUceFtzaWB76/tcwYqCLLF&#10;xjMZ+KEAy8Xjwxxz62/8SdeDlCqGcMjRQCXS5lqHoiKHYehb4qidfOdQ4tqV2nZ4i+Gu0eM0nWqH&#10;NccLFba0qqg4Hy4u1tjueT2ZJO9OJ8krbY6yS7UYM3jq32aghHr5N9/pDxu57GUEf9/EE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YC+vGAAAA3QAAAA8AAAAAAAAA&#10;AAAAAAAAoQIAAGRycy9kb3ducmV2LnhtbFBLBQYAAAAABAAEAPkAAACUAwAAAAA=&#10;">
                  <v:stroke endarrow="block"/>
                </v:line>
                <v:line id="Line 1170" o:spid="_x0000_s1203" style="position:absolute;flip:x;visibility:visible;mso-wrap-style:square" from="82407,9711" to="82429,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PoxsUAAADdAAAADwAAAGRycy9kb3ducmV2LnhtbERPTWsCMRC9F/ofwgi9lJqtlHZdjSJC&#10;oQcvVVnxNm7GzbKbyZqkuv33TaHQ2zze58yXg+3ElXxoHCt4HmcgiCunG64V7HfvTzmIEJE1do5J&#10;wTcFWC7u7+ZYaHfjT7puYy1SCIcCFZgY+0LKUBmyGMauJ07c2XmLMUFfS+3xlsJtJydZ9iotNpwa&#10;DPa0NlS12y+rQOabx4tfnV7asj0cpqasyv64UephNKxmICIN8V/85/7QaX7+N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PoxsUAAADdAAAADwAAAAAAAAAA&#10;AAAAAAChAgAAZHJzL2Rvd25yZXYueG1sUEsFBgAAAAAEAAQA+QAAAJMDAAAAAA==&#10;"/>
                <v:line id="Line 1172" o:spid="_x0000_s1204" style="position:absolute;visibility:visible;mso-wrap-style:square" from="57686,9684" to="57714,1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Q9osUAAADdAAAADwAAAGRycy9kb3ducmV2LnhtbERPS2vCQBC+F/wPywi91U0rpBJdRVoK&#10;2kOpD9DjmB2TtNnZsLtN0n/vCoK3+fieM1v0phYtOV9ZVvA8SkAQ51ZXXCjY7z6eJiB8QNZYWyYF&#10;/+RhMR88zDDTtuMNtdtQiBjCPkMFZQhNJqXPSzLoR7YhjtzZOoMhQldI7bCL4aaWL0mSSoMVx4YS&#10;G3orKf/d/hkFX+PvtF2uP1f9YZ2e8vfN6fjTOaUeh/1yCiJQH+7im3ul4/zJ6xi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Q9osUAAADdAAAADwAAAAAAAAAA&#10;AAAAAAChAgAAZHJzL2Rvd25yZXYueG1sUEsFBgAAAAAEAAQA+QAAAJMDAAAAAA==&#10;"/>
                <v:line id="Line 1173" o:spid="_x0000_s1205" style="position:absolute;flip:x;visibility:visible;mso-wrap-style:square" from="57703,13763" to="57714,1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bVKcUAAADdAAAADwAAAGRycy9kb3ducmV2LnhtbERPTWsCMRC9F/ofwgi9lJptkXZdjSKF&#10;ggcvVVnxNm7GzbKbyTZJdf33TaHQ2zze58yXg+3EhXxoHCt4HmcgiCunG64V7HcfTzmIEJE1do5J&#10;wY0CLBf3d3MstLvyJ122sRYphEOBCkyMfSFlqAxZDGPXEyfu7LzFmKCvpfZ4TeG2ky9Z9iotNpwa&#10;DPb0bqhqt99Wgcw3j19+dZq0ZXs4TE1Zlf1xo9TDaFjNQEQa4r/4z73WaX7+N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bVKcUAAADdAAAADwAAAAAAAAAA&#10;AAAAAAChAgAAZHJzL2Rvd25yZXYueG1sUEsFBgAAAAAEAAQA+QAAAJMDAAAAAA==&#10;"/>
                <v:line id="Line 1174" o:spid="_x0000_s1206" style="position:absolute;visibility:visible;mso-wrap-style:square" from="84214,33918" to="84219,3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2VWcMAAADdAAAADwAAAGRycy9kb3ducmV2LnhtbERP32vCMBB+H+x/CDfY20wdaLUaZawI&#10;e9CBOvZ8NremrLmUJqvxvzfCwLf7+H7ech1tKwbqfeNYwXiUgSCunG64VvB13LzMQPiArLF1TAou&#10;5GG9enxYYqHdmfc0HEItUgj7AhWYELpCSl8ZsuhHriNO3I/rLYYE+1rqHs8p3LbyNcum0mLDqcFg&#10;R++Gqt/Dn1WQm3Ivc1luj5/l0IzncRe/T3Olnp/i2wJEoBju4n/3h07zZ/kE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NlVnDAAAA3QAAAA8AAAAAAAAAAAAA&#10;AAAAoQIAAGRycy9kb3ducmV2LnhtbFBLBQYAAAAABAAEAPkAAACRAwAAAAA=&#10;">
                  <v:stroke endarrow="block"/>
                </v:line>
                <v:shape id="Text Box 1175" o:spid="_x0000_s1207" type="#_x0000_t202" style="position:absolute;left:8424;top:5251;width:29918;height:3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Ler4A&#10;AADdAAAADwAAAGRycy9kb3ducmV2LnhtbERPzYrCMBC+C75DGMGbpuqipRpFhBWvuj7A0IxNsZnU&#10;JNru2xthYW/z8f3OZtfbRrzIh9qxgtk0A0FcOl1zpeD68z3JQYSIrLFxTAp+KcBuOxxssNCu4zO9&#10;LrESKYRDgQpMjG0hZSgNWQxT1xIn7ua8xZigr6T22KVw28h5li2lxZpTg8GWDobK++VpFRz7Msux&#10;O5vTg55+MaPb13EulRqP+v0aRKQ+/ov/3Ced5uerJXy+SS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Xzy3q+AAAA3QAAAA8AAAAAAAAAAAAAAAAAmAIAAGRycy9kb3ducmV2&#10;LnhtbFBLBQYAAAAABAAEAPUAAACDAwAAAAA=&#10;">
                  <v:textbox inset="2.17017mm,1.0851mm,2.17017mm,1.0851mm">
                    <w:txbxContent>
                      <w:p w:rsidR="0042762F" w:rsidRPr="00F76F8E" w:rsidRDefault="0042762F" w:rsidP="00623D14">
                        <w:pPr>
                          <w:pStyle w:val="TableText"/>
                        </w:pPr>
                        <w:r w:rsidRPr="00623D14">
                          <w:t xml:space="preserve"> </w:t>
                        </w:r>
                        <w:r w:rsidRPr="00F76F8E">
                          <w:t>Patients with colorecta</w:t>
                        </w:r>
                        <w:r>
                          <w:t>l obstruction due to an unknown</w:t>
                        </w:r>
                        <w:r w:rsidRPr="00F76F8E">
                          <w:t xml:space="preserve"> diagnosis</w:t>
                        </w:r>
                        <w:r w:rsidRPr="00DC433D">
                          <w:rPr>
                            <w:vertAlign w:val="superscript"/>
                          </w:rPr>
                          <w:t>a</w:t>
                        </w:r>
                      </w:p>
                    </w:txbxContent>
                  </v:textbox>
                </v:shape>
                <v:line id="Line 1176" o:spid="_x0000_s1208" style="position:absolute;visibility:visible;mso-wrap-style:square" from="23809,3987" to="23836,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87ocUAAADdAAAADwAAAGRycy9kb3ducmV2LnhtbERPS2vCQBC+F/wPywi91U0tRImuIpWC&#10;eij1AXocs2OSNjsbdrdJ/PfdQqG3+fieM1/2phYtOV9ZVvA8SkAQ51ZXXCg4Hd+epiB8QNZYWyYF&#10;d/KwXAwe5php2/Ge2kMoRAxhn6GCMoQmk9LnJRn0I9sQR+5mncEQoSukdtjFcFPLcZKk0mDFsaHE&#10;hl5Lyr8O30bB+8tH2q62u01/3qbXfL2/Xj47p9TjsF/NQATqw7/4z73Rcf50MoHfb+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87ocUAAADdAAAADwAAAAAAAAAA&#10;AAAAAAChAgAAZHJzL2Rvd25yZXYueG1sUEsFBgAAAAAEAAQA+QAAAJMDAAAAAA==&#10;"/>
                <v:line id="Line 1177" o:spid="_x0000_s1209" style="position:absolute;flip:x y;visibility:visible;mso-wrap-style:square" from="23809,8631" to="23814,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hfSsYAAADdAAAADwAAAGRycy9kb3ducmV2LnhtbESPQWvCQBCF74X+h2UKXkQ3WqkhdRUR&#10;LD0pVUuvQ3ZMQrOzIbua1F/vHITeZnhv3vtmsepdra7Uhsqzgck4AUWce1txYeB03I5SUCEiW6w9&#10;k4E/CrBaPj8tMLO+4y+6HmKhJIRDhgbKGJtM65CX5DCMfUMs2tm3DqOsbaFti52Eu1pPk+RNO6xY&#10;GkpsaFNS/nu4OAPIu9tr2k1opj/oJ0x3++H6+2zM4KVfv4OK1Md/8+P60wp+Ohdc+UZG0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oX0rGAAAA3QAAAA8AAAAAAAAA&#10;AAAAAAAAoQIAAGRycy9kb3ducmV2LnhtbFBLBQYAAAAABAAEAPkAAACUAwAAAAA=&#10;"/>
                <v:line id="Line 1178" o:spid="_x0000_s1210" style="position:absolute;visibility:visible;mso-wrap-style:square" from="13513,9656" to="34675,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KSMYAAADdAAAADwAAAGRycy9kb3ducmV2LnhtbERPTWvCQBC9F/oflil4q5tWSDW6irQI&#10;2kNRK+hxzI5J2uxs2F2T9N93C0Jv83ifM1v0phYtOV9ZVvA0TEAQ51ZXXCg4fK4exyB8QNZYWyYF&#10;P+RhMb+/m2Gmbcc7avehEDGEfYYKyhCaTEqfl2TQD21DHLmLdQZDhK6Q2mEXw00tn5MklQYrjg0l&#10;NvRaUv69vxoFH6Nt2i437+v+uEnP+dvufPrqnFKDh345BRGoD//im3ut4/zxywT+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MCkjGAAAA3QAAAA8AAAAAAAAA&#10;AAAAAAAAoQIAAGRycy9kb3ducmV2LnhtbFBLBQYAAAAABAAEAPkAAACUAwAAAAA=&#10;"/>
                <v:line id="Line 1179" o:spid="_x0000_s1211" style="position:absolute;visibility:visible;mso-wrap-style:square" from="13507,9651" to="13518,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PT8scAAADdAAAADwAAAGRycy9kb3ducmV2LnhtbESPQUvDQBCF74L/YRnBm91UIYTYbSkt&#10;hdaD2CrocZodk2h2NuyuSfz3zkHobYb35r1vFqvJdWqgEFvPBuazDBRx5W3LtYG3191dASomZIud&#10;ZzLwSxFWy+urBZbWj3yk4ZRqJSEcSzTQpNSXWseqIYdx5nti0T59cJhkDbW2AUcJd52+z7JcO2xZ&#10;GhrsadNQ9X36cQaeH17yYX142k/vh/xcbY/nj68xGHN7M60fQSWa0sX8f723gl8Uwi/fyAh6+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Y9PyxwAAAN0AAAAPAAAAAAAA&#10;AAAAAAAAAKECAABkcnMvZG93bnJldi54bWxQSwUGAAAAAAQABAD5AAAAlQMAAAAA&#10;"/>
                <v:line id="Line 1180" o:spid="_x0000_s1212" style="position:absolute;visibility:visible;mso-wrap-style:square" from="34664,9689" to="34707,1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92acUAAADdAAAADwAAAGRycy9kb3ducmV2LnhtbERPTWvCQBC9F/oflil4qxsVQkhdRVoE&#10;9VCqLdTjmB2TtNnZsLsm6b/vCoK3ebzPmS8H04iOnK8tK5iMExDEhdU1lwq+PtfPGQgfkDU2lknB&#10;H3lYLh4f5phr2/OeukMoRQxhn6OCKoQ2l9IXFRn0Y9sSR+5sncEQoSuldtjHcNPIaZKk0mDNsaHC&#10;ll4rKn4PF6PgffaRdqvtbjN8b9NT8bY/HX96p9ToaVi9gAg0hLv45t7oOD/LJnD9Jp4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92acUAAADdAAAADwAAAAAAAAAA&#10;AAAAAAChAgAAZHJzL2Rvd25yZXYueG1sUEsFBgAAAAAEAAQA+QAAAJMDAAAAAA==&#10;"/>
                <v:line id="Line 1183" o:spid="_x0000_s1213" style="position:absolute;flip:x;visibility:visible;mso-wrap-style:square" from="34664,13812" to="34675,15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Y4cUAAADdAAAADwAAAGRycy9kb3ducmV2LnhtbERPTWsCMRC9F/ofwhR6KTVbKbJdjSIF&#10;oQcvVVnxNm6mm2U3k20SdfvvG0HwNo/3ObPFYDtxJh8axwreRhkI4srphmsFu+3qNQcRIrLGzjEp&#10;+KMAi/njwwwL7S78TedNrEUK4VCgAhNjX0gZKkMWw8j1xIn7cd5iTNDXUnu8pHDbyXGWTaTFhlOD&#10;wZ4+DVXt5mQVyHz98uuXx/e2bPf7D1NWZX9YK/X8NCynICIN8S6+ub90mp/nY7h+k06Q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aY4cUAAADdAAAADwAAAAAAAAAA&#10;AAAAAAChAgAAZHJzL2Rvd25yZXYueG1sUEsFBgAAAAAEAAQA+QAAAJMDAAAAAA==&#10;"/>
                <v:line id="Line 1184" o:spid="_x0000_s1214" style="position:absolute;visibility:visible;mso-wrap-style:square" from="13485,14078" to="13507,15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FNhcUAAADdAAAADwAAAGRycy9kb3ducmV2LnhtbERPTWvCQBC9F/wPywi91U0rhBBdRSqC&#10;9lCqLehxzI5JNDsbdrdJ+u+7hYK3ebzPmS8H04iOnK8tK3ieJCCIC6trLhV8fW6eMhA+IGtsLJOC&#10;H/KwXIwe5phr2/OeukMoRQxhn6OCKoQ2l9IXFRn0E9sSR+5incEQoSuldtjHcNPIlyRJpcGaY0OF&#10;Lb1WVNwO30bB+/Qj7Va7t+1w3KXnYr0/n669U+pxPKxmIAIN4S7+d291nJ9l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FNhcUAAADdAAAADwAAAAAAAAAA&#10;AAAAAAChAgAAZHJzL2Rvd25yZXYueG1sUEsFBgAAAAAEAAQA+QAAAJMDAAAAAA==&#10;"/>
                <v:shape id="Text Box 1186" o:spid="_x0000_s1215" type="#_x0000_t202" style="position:absolute;left:30856;top:35350;width:8305;height:5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V9MIA&#10;AADdAAAADwAAAGRycy9kb3ducmV2LnhtbERPzWoCMRC+F/oOYQRvNbFoWbZGkYKlUA9WfYBhM92s&#10;biZLkq7r2zeC4G0+vt9ZrAbXip5CbDxrmE4UCOLKm4ZrDcfD5qUAEROywdYzabhShNXy+WmBpfEX&#10;/qF+n2qRQziWqMGm1JVSxsqSwzjxHXHmfn1wmDIMtTQBLznctfJVqTfpsOHcYLGjD0vVef/nNPTh&#10;U+H8etrg+Vutdydn2+PWaj0eDet3EImG9BDf3V8mzy+KGdy+yS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FX0wgAAAN0AAAAPAAAAAAAAAAAAAAAAAJgCAABkcnMvZG93&#10;bnJldi54bWxQSwUGAAAAAAQABAD1AAAAhwMAAAAA&#10;" strokeweight=".5pt">
                  <v:textbox inset="2.17017mm,1.0851mm,2.17017mm,1.0851mm">
                    <w:txbxContent>
                      <w:p w:rsidR="0042762F" w:rsidRPr="00623D14" w:rsidRDefault="0042762F" w:rsidP="00623D14">
                        <w:pPr>
                          <w:pStyle w:val="TableText"/>
                        </w:pPr>
                        <w:r w:rsidRPr="00623D14">
                          <w:t>No further surgical management</w:t>
                        </w:r>
                      </w:p>
                    </w:txbxContent>
                  </v:textbox>
                </v:shape>
                <v:line id="Line 1187" o:spid="_x0000_s1216" style="position:absolute;flip:x;visibility:visible;mso-wrap-style:square" from="36779,33804" to="36785,3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9z8YAAADdAAAADwAAAGRycy9kb3ducmV2LnhtbESPT2vCQBDF7wW/wzIFL0E3VlpidBVt&#10;KxSkB/8cPA7ZMQnNzobsqOm37xYKvc3w3u/Nm8Wqd426URdqzwYm4xQUceFtzaWB03E7ykAFQbbY&#10;eCYD3xRgtRw8LDC3/s57uh2kVDGEQ44GKpE21zoUFTkMY98SR+3iO4cS167UtsN7DHeNfkrTF+2w&#10;5nihwpZeKyq+DlcXa2w/+W06TTZOJ8mM3s+yS7UYM3zs13NQQr38m//oDxu5LHuG32/iCHr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2fc/GAAAA3QAAAA8AAAAAAAAA&#10;AAAAAAAAoQIAAGRycy9kb3ducmV2LnhtbFBLBQYAAAAABAAEAPkAAACUAwAAAAA=&#10;">
                  <v:stroke endarrow="block"/>
                </v:line>
                <v:line id="Line 1188" o:spid="_x0000_s1217" style="position:absolute;flip:y;visibility:visible;mso-wrap-style:square" from="5815,15673" to="20147,15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2e4sUAAADdAAAADwAAAGRycy9kb3ducmV2LnhtbERPTWsCMRC9F/ofwhR6KTVbEdmuRpGC&#10;4MGLWlZ6GzfTzbKbyTaJuv33TUHwNo/3OfPlYDtxIR8axwreRhkI4srphmsFn4f1aw4iRGSNnWNS&#10;8EsBlovHhzkW2l15R5d9rEUK4VCgAhNjX0gZKkMWw8j1xIn7dt5iTNDXUnu8pnDbyXGWTaXFhlOD&#10;wZ4+DFXt/mwVyHz78uNXp0lbtsfjuymrsv/aKvX8NKxmICIN8S6+uTc6zc/zKfx/k0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2e4sUAAADdAAAADwAAAAAAAAAA&#10;AAAAAAChAgAAZHJzL2Rvd25yZXYueG1sUEsFBgAAAAAEAAQA+QAAAJMDAAAAAA==&#10;"/>
                <v:shape id="Text Box 1189" o:spid="_x0000_s1218" type="#_x0000_t202" style="position:absolute;left:16154;top:24353;width:845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exsAA&#10;AADdAAAADwAAAGRycy9kb3ducmV2LnhtbERPS2rDMBDdB3oHMYXsYjlpaY1r2ZRAQrZJe4DBGlum&#10;1siVlNi9fVQodDeP952qWewobuTD4FjBNstBELdOD9wr+Pw4bAoQISJrHB2Tgh8K0NQPqwpL7WY+&#10;0+0Se5FCOJSowMQ4lVKG1pDFkLmJOHGd8xZjgr6X2uOcwu0od3n+Ii0OnBoMTrQ31H5drlbBcWnz&#10;AuezOX3T1T9tqXs+7qRS68fl/Q1EpCX+i//cJ53mF8Ur/H6TTpD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oexsAAAADdAAAADwAAAAAAAAAAAAAAAACYAgAAZHJzL2Rvd25y&#10;ZXYueG1sUEsFBgAAAAAEAAQA9QAAAIUDAAAAAA==&#10;">
                  <v:textbox inset="2.17017mm,1.0851mm,2.17017mm,1.0851mm">
                    <w:txbxContent>
                      <w:p w:rsidR="0042762F" w:rsidRPr="00623D14" w:rsidRDefault="0042762F" w:rsidP="00DC433D">
                        <w:pPr>
                          <w:pStyle w:val="TableText"/>
                        </w:pPr>
                        <w:r w:rsidRPr="00623D14">
                          <w:t>Other surgery</w:t>
                        </w:r>
                        <w:r w:rsidRPr="00DC433D">
                          <w:rPr>
                            <w:vertAlign w:val="superscript"/>
                          </w:rPr>
                          <w:t>b</w:t>
                        </w:r>
                      </w:p>
                    </w:txbxContent>
                  </v:textbox>
                </v:shape>
                <v:line id="Line 1190" o:spid="_x0000_s1219" style="position:absolute;flip:x;visibility:visible;mso-wrap-style:square" from="5771,15733" to="5815,2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W3l8UAAADdAAAADwAAAGRycy9kb3ducmV2LnhtbESPQWvCQBCF74L/YRmhl6CbGpAaXUXb&#10;CkLxUPXgcchOk9DsbMhONf33XaHgbYb3vjdvluveNepKXag9G3iepKCIC29rLg2cT7vxC6ggyBYb&#10;z2TglwKsV8PBEnPrb/xJ16OUKoZwyNFAJdLmWoeiIodh4lviqH35zqHEtSu17fAWw12jp2k60w5r&#10;jhcqbOm1ouL7+ONijd2B37Is2TqdJHN6v8hHqsWYp1G/WYAS6uVh/qf3NnKzbAr3b+II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W3l8UAAADdAAAADwAAAAAAAAAA&#10;AAAAAAChAgAAZHJzL2Rvd25yZXYueG1sUEsFBgAAAAAEAAQA+QAAAJMDAAAAAA==&#10;">
                  <v:stroke endarrow="block"/>
                </v:line>
                <v:shape id="Text Box 1191" o:spid="_x0000_s1220" type="#_x0000_t202" style="position:absolute;left:2294;top:35350;width:7844;height:5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frMEA&#10;AADdAAAADwAAAGRycy9kb3ducmV2LnhtbERPzWoCMRC+F3yHMAVvNWlFKVujiKAIerDWBxg2083q&#10;ZrIk6bq+vRGE3ubj+53ZoneN6CjE2rOG95ECQVx6U3Ol4fSzfvsEEROywcYzabhRhMV88DLDwvgr&#10;f1N3TJXIIRwL1GBTagspY2nJYRz5ljhzvz44TBmGSpqA1xzuGvmh1FQ6rDk3WGxpZam8HP+chi5s&#10;FE5u5zVedmp5ODvbnPZW6+Frv/wCkahP/+Kne2vy/Ol4DI9v8gl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7n6zBAAAA3QAAAA8AAAAAAAAAAAAAAAAAmAIAAGRycy9kb3du&#10;cmV2LnhtbFBLBQYAAAAABAAEAPUAAACGAwAAAAA=&#10;" strokeweight=".5pt">
                  <v:textbox inset="2.17017mm,1.0851mm,2.17017mm,1.0851mm">
                    <w:txbxContent>
                      <w:p w:rsidR="0042762F" w:rsidRPr="00623D14" w:rsidRDefault="0042762F" w:rsidP="00623D14">
                        <w:pPr>
                          <w:pStyle w:val="TableText"/>
                        </w:pPr>
                        <w:r w:rsidRPr="00623D14">
                          <w:t>No further surgical management</w:t>
                        </w:r>
                      </w:p>
                    </w:txbxContent>
                  </v:textbox>
                </v:shape>
                <v:shape id="Text Box 1192" o:spid="_x0000_s1221" type="#_x0000_t202" style="position:absolute;left:13485;top:35350;width:14967;height:5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SncAA&#10;AADdAAAADwAAAGRycy9kb3ducmV2LnhtbERPS2rDMBDdB3oHMYXuYjkfgnEth1Jo8NZpDzBYY8vU&#10;GrmSEru3rwqF7ubxvlOdVzuJO/kwOlawy3IQxJ3TIw8KPt7ftgWIEJE1To5JwTcFONcPmwpL7RZu&#10;6X6Ng0ghHEpUYGKcSylDZ8hiyNxMnLjeeYsxQT9I7XFJ4XaS+zw/SYsjpwaDM70a6j6vN6vgsnZ5&#10;gUtrmi+6+cOO+uNlL5V6elxfnkFEWuO/+M/d6DT/dDjC7zfpBF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LSncAAAADdAAAADwAAAAAAAAAAAAAAAACYAgAAZHJzL2Rvd25y&#10;ZXYueG1sUEsFBgAAAAAEAAQA9QAAAIUDAAAAAA==&#10;">
                  <v:textbox inset="2.17017mm,1.0851mm,2.17017mm,1.0851mm">
                    <w:txbxContent>
                      <w:p w:rsidR="0042762F" w:rsidRPr="00623D14" w:rsidRDefault="0042762F" w:rsidP="00623D14">
                        <w:pPr>
                          <w:pStyle w:val="TableText"/>
                        </w:pPr>
                        <w:r w:rsidRPr="00623D14">
                          <w:t>Subsequent surgical management as indicated</w:t>
                        </w:r>
                      </w:p>
                    </w:txbxContent>
                  </v:textbox>
                </v:shape>
                <v:line id="Line 1193" o:spid="_x0000_s1222" style="position:absolute;visibility:visible;mso-wrap-style:square" from="20147,27153" to="20299,3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K3UsQAAADdAAAADwAAAGRycy9kb3ducmV2LnhtbERPS2sCMRC+C/6HMIXeNGtLfWyNIl0K&#10;Pajgg56nm+lm6WaybNI1/feNIHibj+85y3W0jeip87VjBZNxBoK4dLrmSsH59D6ag/ABWWPjmBT8&#10;kYf1ajhYYq7dhQ/UH0MlUgj7HBWYENpcSl8asujHriVO3LfrLIYEu0rqDi8p3DbyKcum0mLNqcFg&#10;S2+Gyp/jr1UwM8VBzmSxPe2Lvp4s4i5+fi2UenyIm1cQgWK4i2/uD53mT5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rdSxAAAAN0AAAAPAAAAAAAAAAAA&#10;AAAAAKECAABkcnMvZG93bnJldi54bWxQSwUGAAAAAAQABAD5AAAAkgMAAAAA&#10;">
                  <v:stroke endarrow="block"/>
                </v:line>
                <v:line id="Line 1194" o:spid="_x0000_s1223" style="position:absolute;visibility:visible;mso-wrap-style:square" from="5771,28157" to="5777,3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ApJcMAAADdAAAADwAAAGRycy9kb3ducmV2LnhtbERP32vCMBB+H+x/CDfwbaZOqLMaZawI&#10;e9CBOvZ8a86mrLmUJtbsvzfCwLf7+H7ech1tKwbqfeNYwWScgSCunG64VvB13Dy/gvABWWPrmBT8&#10;kYf16vFhiYV2F97TcAi1SCHsC1RgQugKKX1lyKIfu444cSfXWwwJ9rXUPV5SuG3lS5bl0mLDqcFg&#10;R++Gqt/D2SqYmXIvZ7LcHj/LoZnM4y5+/8yVGj3FtwWIQDHcxf/uD53m5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gKSXDAAAA3QAAAA8AAAAAAAAAAAAA&#10;AAAAoQIAAGRycy9kb3ducmV2LnhtbFBLBQYAAAAABAAEAPkAAACRAwAAAAA=&#10;">
                  <v:stroke endarrow="block"/>
                </v:line>
                <v:line id="Line 1195" o:spid="_x0000_s1224" style="position:absolute;flip:y;visibility:visible;mso-wrap-style:square" from="9873,15733" to="17142,2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N9gcYAAADdAAAADwAAAGRycy9kb3ducmV2LnhtbESPQWvDMAyF74P+B6NCb6uTlrUjq1NK&#10;YbDD2EjaQ48iVpNssRxip3X+/TwY7Cbx3vf0tNsH04kbDa61rCBdJiCIK6tbrhWcT6+PzyCcR9bY&#10;WSYFEznY57OHHWba3rmgW+lrEUPYZaig8b7PpHRVQwbd0vbEUbvawaCP61BLPeA9hptOrpJkIw22&#10;HC802NOxoeq7HE2s8TR2p5CO7yu8hLqwH+X182tSajEPhxcQnoL/N//Rbzpym/UWfr+JI8j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zfYHGAAAA3QAAAA8AAAAAAAAA&#10;AAAAAAAAoQIAAGRycy9kb3ducmV2LnhtbFBLBQYAAAAABAAEAPkAAACUAwAAAAA=&#10;">
                  <v:stroke dashstyle="dash" endarrow="block"/>
                </v:line>
                <v:shape id="Text Box 1196" o:spid="_x0000_s1225" type="#_x0000_t202" style="position:absolute;left:7996;top:17973;width:9824;height:6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6p8UA&#10;AADdAAAADwAAAGRycy9kb3ducmV2LnhtbESPT2vCQBDF74LfYRmhN91YQSR1laIIRSrUPwePQ3aa&#10;hGZnl+wa035651DwNsN7895vluveNaqjNtaeDUwnGSjiwtuaSwOX8268ABUTssXGMxn4pQjr1XCw&#10;xNz6Ox+pO6VSSQjHHA1UKYVc61hU5DBOfCAW7du3DpOsbalti3cJd41+zbK5dlizNFQYaFNR8XO6&#10;OQOHbXFe7L+uEUMKt8+/xrrOWWNeRv37G6hEfXqa/68/rODPZ4Ir38gIe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jqnxQAAAN0AAAAPAAAAAAAAAAAAAAAAAJgCAABkcnMv&#10;ZG93bnJldi54bWxQSwUGAAAAAAQABAD1AAAAigMAAAAA&#10;" strokecolor="white">
                  <v:textbox inset="2.17017mm,1.0851mm,2.17017mm,1.0851mm">
                    <w:txbxContent>
                      <w:p w:rsidR="0042762F" w:rsidRPr="00367985" w:rsidRDefault="0042762F" w:rsidP="006D7861">
                        <w:pPr>
                          <w:pStyle w:val="TableText0"/>
                          <w:rPr>
                            <w:sz w:val="16"/>
                          </w:rPr>
                        </w:pPr>
                        <w:r w:rsidRPr="00367985">
                          <w:rPr>
                            <w:sz w:val="16"/>
                          </w:rPr>
                          <w:t>During procedure</w:t>
                        </w:r>
                        <w:r w:rsidRPr="00367985">
                          <w:rPr>
                            <w:sz w:val="16"/>
                          </w:rPr>
                          <w:br/>
                          <w:t>cure not possible or multi stage surgery required</w:t>
                        </w:r>
                      </w:p>
                    </w:txbxContent>
                  </v:textbox>
                </v:shape>
                <v:line id="Line 1197" o:spid="_x0000_s1226" style="position:absolute;visibility:visible;mso-wrap-style:square" from="20147,15635" to="20304,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9V8MAAADdAAAADwAAAGRycy9kb3ducmV2LnhtbERP32vCMBB+H+x/CDfwbaZO0LUaZawI&#10;e9CBOvZ8a86mrLmUJtbsvzfCwLf7+H7ech1tKwbqfeNYwWScgSCunG64VvB13Dy/gvABWWPrmBT8&#10;kYf16vFhiYV2F97TcAi1SCHsC1RgQugKKX1lyKIfu444cSfXWwwJ9rXUPV5SuG3lS5bNpMWGU4PB&#10;jt4NVb+Hs1UwN+VezmW5PX6WQzPJ4y5+/+RKjZ7i2wJEoBju4n/3h07zZ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VfDAAAA3QAAAA8AAAAAAAAAAAAA&#10;AAAAoQIAAGRycy9kb3ducmV2LnhtbFBLBQYAAAAABAAEAPkAAACRAwAAAAA=&#10;">
                  <v:stroke endarrow="block"/>
                </v:line>
                <v:line id="Line 1200" o:spid="_x0000_s1227" style="position:absolute;flip:y;visibility:visible;mso-wrap-style:square" from="49007,15456" to="63339,1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SCXMgAAADdAAAADwAAAGRycy9kb3ducmV2LnhtbESPQUsDMRCF7wX/QxjBS7FZpZR2bVqK&#10;IHjoxVq29DZuxs2ym8maxHb9985B8DbDe/PeN+vt6Ht1oZjawAYeZgUo4jrYlhsDx/eX+yWolJEt&#10;9oHJwA8l2G5uJmssbbjyG10OuVESwqlEAy7nodQ61Y48plkYiEX7DNFjljU22ka8Srjv9WNRLLTH&#10;lqXB4UDPjuru8O0N6OV++hV3H/Ou6k6nlavqajjvjbm7HXdPoDKN+d/8d/1qBX8xF3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2SCXMgAAADdAAAADwAAAAAA&#10;AAAAAAAAAAChAgAAZHJzL2Rvd25yZXYueG1sUEsFBgAAAAAEAAQA+QAAAJYDAAAAAA==&#10;"/>
                <v:line id="Line 1203" o:spid="_x0000_s1228" style="position:absolute;flip:x;visibility:visible;mso-wrap-style:square" from="49007,15499" to="49012,2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ancYAAADdAAAADwAAAGRycy9kb3ducmV2LnhtbESPT2vCQBDF74LfYRmhl6AbaxFNXUXb&#10;CkLpwT+HHofsNAnNzobsVOO3d4WCtxne+715s1h1rlZnakPl2cB4lIIizr2tuDBwOm6HM1BBkC3W&#10;nsnAlQKslv3eAjPrL7yn80EKFUM4ZGigFGkyrUNeksMw8g1x1H5861Di2hbatniJ4a7Wz2k61Q4r&#10;jhdKbOitpPz38Odije0Xv08mycbpJJnTx7d8plqMeRp061dQQp08zP/0zkZu+jKG+zdx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hWp3GAAAA3QAAAA8AAAAAAAAA&#10;AAAAAAAAoQIAAGRycy9kb3ducmV2LnhtbFBLBQYAAAAABAAEAPkAAACUAwAAAAA=&#10;">
                  <v:stroke endarrow="block"/>
                </v:line>
                <v:shape id="Text Box 1204" o:spid="_x0000_s1229" type="#_x0000_t202" style="position:absolute;left:45112;top:35350;width:8034;height:5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JSsIA&#10;AADdAAAADwAAAGRycy9kb3ducmV2LnhtbERPzWoCMRC+C75DmEJvmlSslK1ZEUER2kNrfYBhM93s&#10;upksSVzXt28Khd7m4/ud9WZ0nRgoxMazhqe5AkFcedNwreH8tZ+9gIgJ2WDnmTTcKcKmnE7WWBh/&#10;408aTqkWOYRjgRpsSn0hZawsOYxz3xNn7tsHhynDUEsT8JbDXScXSq2kw4Zzg8Wedpaqy+nqNAzh&#10;oPD53u7x8qa2H62z3fndav34MG5fQSQa07/4z300ef5quYDfb/IJ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8UlKwgAAAN0AAAAPAAAAAAAAAAAAAAAAAJgCAABkcnMvZG93&#10;bnJldi54bWxQSwUGAAAAAAQABAD1AAAAhwMAAAAA&#10;" strokeweight=".5pt">
                  <v:textbox inset="2.17017mm,1.0851mm,2.17017mm,1.0851mm">
                    <w:txbxContent>
                      <w:p w:rsidR="0042762F" w:rsidRPr="00623D14" w:rsidRDefault="0042762F" w:rsidP="00623D14">
                        <w:pPr>
                          <w:pStyle w:val="TableText"/>
                        </w:pPr>
                        <w:r w:rsidRPr="00623D14">
                          <w:t>No further surgical management</w:t>
                        </w:r>
                      </w:p>
                    </w:txbxContent>
                  </v:textbox>
                </v:shape>
                <v:shape id="Text Box 1205" o:spid="_x0000_s1230" type="#_x0000_t202" style="position:absolute;left:57686;top:35345;width:14967;height:5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05lMAA&#10;AADdAAAADwAAAGRycy9kb3ducmV2LnhtbERPS2rDMBDdB3oHMYXuYjkfgnEth1Jo8NZpDzBYY8vU&#10;GrmSEru3rwqF7ubxvlOdVzuJO/kwOlawy3IQxJ3TIw8KPt7ftgWIEJE1To5JwTcFONcPmwpL7RZu&#10;6X6Ng0ghHEpUYGKcSylDZ8hiyNxMnLjeeYsxQT9I7XFJ4XaS+zw/SYsjpwaDM70a6j6vN6vgsnZ5&#10;gUtrmi+6+cOO+uNlL5V6elxfnkFEWuO/+M/d6DT/dDzA7zfpBF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05lMAAAADdAAAADwAAAAAAAAAAAAAAAACYAgAAZHJzL2Rvd25y&#10;ZXYueG1sUEsFBgAAAAAEAAQA9QAAAIUDAAAAAA==&#10;">
                  <v:textbox inset="2.17017mm,1.0851mm,2.17017mm,1.0851mm">
                    <w:txbxContent>
                      <w:p w:rsidR="0042762F" w:rsidRPr="00623D14" w:rsidRDefault="0042762F" w:rsidP="00623D14">
                        <w:pPr>
                          <w:pStyle w:val="TableText"/>
                        </w:pPr>
                        <w:r w:rsidRPr="00623D14">
                          <w:t>Subsequent surgical management as indicated</w:t>
                        </w:r>
                      </w:p>
                    </w:txbxContent>
                  </v:textbox>
                </v:shape>
                <v:line id="Line 1206" o:spid="_x0000_s1231" style="position:absolute;visibility:visible;mso-wrap-style:square" from="63339,27153" to="63344,3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htMMAAADdAAAADwAAAGRycy9kb3ducmV2LnhtbERPTWsCMRC9C/6HMII3zVpE69Yo4iJ4&#10;aAtq6Xm6GTeLm8mySdf475tCobd5vM9Zb6NtRE+drx0rmE0zEMSl0zVXCj4uh8kzCB+QNTaOScGD&#10;PGw3w8Eac+3ufKL+HCqRQtjnqMCE0OZS+tKQRT91LXHirq6zGBLsKqk7vKdw28inLFtIizWnBoMt&#10;7Q2Vt/O3VbA0xUkuZfF6eS/6eraKb/Hza6XUeBR3LyACxfAv/nMfdZq/mM/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4YbTDAAAA3QAAAA8AAAAAAAAAAAAA&#10;AAAAoQIAAGRycy9kb3ducmV2LnhtbFBLBQYAAAAABAAEAPkAAACRAwAAAAA=&#10;">
                  <v:stroke endarrow="block"/>
                </v:line>
                <v:line id="Line 1207" o:spid="_x0000_s1232" style="position:absolute;visibility:visible;mso-wrap-style:square" from="48958,28157" to="49012,3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TEL8QAAADdAAAADwAAAGRycy9kb3ducmV2LnhtbERPS2sCMRC+C/6HMIXeNGtpfWyNIl0K&#10;Pajgg56nm+lm6WaybNI1/feNIHibj+85y3W0jeip87VjBZNxBoK4dLrmSsH59D6ag/ABWWPjmBT8&#10;kYf1ajhYYq7dhQ/UH0MlUgj7HBWYENpcSl8asujHriVO3LfrLIYEu0rqDi8p3DbyKcum0mLNqcFg&#10;S2+Gyp/jr1UwM8VBzmSxPe2Lvp4s4i5+fi2UenyIm1cQgWK4i2/uD53mT5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dMQvxAAAAN0AAAAPAAAAAAAAAAAA&#10;AAAAAKECAABkcnMvZG93bnJldi54bWxQSwUGAAAAAAQABAD5AAAAkgMAAAAA&#10;">
                  <v:stroke endarrow="block"/>
                </v:line>
                <v:line id="Line 1208" o:spid="_x0000_s1233" style="position:absolute;flip:y;visibility:visible;mso-wrap-style:square" from="53146,15554" to="61229,2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rZ8YAAADdAAAADwAAAGRycy9kb3ducmV2LnhtbESPQWvDMAyF74X9B6PBbq2TsIaS1S1j&#10;MNhhrCTtYUcRq0m2WA6x0zr/vi4MdpN473t62u6D6cWFRtdZVpCuEhDEtdUdNwpOx/flBoTzyBp7&#10;y6RgJgf73cNii4W2Vy7pUvlGxBB2BSpovR8KKV3dkkG3sgNx1M52NOjjOjZSj3iN4aaXWZLk0mDH&#10;8UKLA721VP9Wk4k11lN/DOn0meF3aEr7VZ0PP7NST4/h9QWEp+D/zX/0h45c/pzD/Zs4gt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5q2fGAAAA3QAAAA8AAAAAAAAA&#10;AAAAAAAAoQIAAGRycy9kb3ducmV2LnhtbFBLBQYAAAAABAAEAPkAAACUAwAAAAA=&#10;">
                  <v:stroke dashstyle="dash" endarrow="block"/>
                </v:line>
                <v:shape id="Text Box 1209" o:spid="_x0000_s1234" type="#_x0000_t202" style="position:absolute;left:51399;top:17518;width:9830;height: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dqMMA&#10;AADdAAAADwAAAGRycy9kb3ducmV2LnhtbERPS2vCQBC+F/wPywi91Y1S0hBdpSiFIhVa7aHHITsm&#10;odnZJbt52F/vCkJv8/E9Z7UZTSN6an1tWcF8loAgLqyuuVTwfXp7ykD4gKyxsUwKLuRhs548rDDX&#10;duAv6o+hFDGEfY4KqhBcLqUvKjLoZ9YRR+5sW4MhwraUusUhhptGLpIklQZrjg0VOtpWVPweO6Pg&#10;sCtO2f7zx6MLrvv4a7TpjVbqcTq+LkEEGsO/+O5+13F++vwCt2/i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dqMMAAADdAAAADwAAAAAAAAAAAAAAAACYAgAAZHJzL2Rv&#10;d25yZXYueG1sUEsFBgAAAAAEAAQA9QAAAIgDAAAAAA==&#10;" strokecolor="white">
                  <v:textbox inset="2.17017mm,1.0851mm,2.17017mm,1.0851mm">
                    <w:txbxContent>
                      <w:p w:rsidR="0042762F" w:rsidRPr="00367985" w:rsidRDefault="0042762F" w:rsidP="006D7861">
                        <w:pPr>
                          <w:pStyle w:val="TableText0"/>
                          <w:rPr>
                            <w:sz w:val="16"/>
                          </w:rPr>
                        </w:pPr>
                        <w:r w:rsidRPr="00367985">
                          <w:rPr>
                            <w:sz w:val="16"/>
                          </w:rPr>
                          <w:t>During procedure</w:t>
                        </w:r>
                        <w:r w:rsidRPr="00367985">
                          <w:rPr>
                            <w:sz w:val="16"/>
                          </w:rPr>
                          <w:br/>
                          <w:t xml:space="preserve">cure not possible or </w:t>
                        </w:r>
                        <w:r>
                          <w:rPr>
                            <w:sz w:val="16"/>
                          </w:rPr>
                          <w:t>multi-stage</w:t>
                        </w:r>
                        <w:r w:rsidRPr="00367985">
                          <w:rPr>
                            <w:sz w:val="16"/>
                          </w:rPr>
                          <w:t xml:space="preserve"> surgery required</w:t>
                        </w:r>
                      </w:p>
                    </w:txbxContent>
                  </v:textbox>
                </v:shape>
                <v:line id="Line 1210" o:spid="_x0000_s1235" style="position:absolute;flip:x;visibility:visible;mso-wrap-style:square" from="63344,15461" to="63350,2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zAMYAAADdAAAADwAAAGRycy9kb3ducmV2LnhtbESPQU/CQBCF7yb+h82YcGlgKxgilYUI&#10;SmJiPAgcPE66Q9vQnW26I9R/7xxMvM3LvO/Nm+V6CK25UJ+ayA7uJzkY4jL6hisHx8Nu/AgmCbLH&#10;NjI5+KEE69XtzRILH6/8SZe9VEZDOBXooBbpCmtTWVPANIkdse5OsQ8oKvvK+h6vGh5aO83zuQ3Y&#10;sF6osaNtTeV5/x20xu6DX2azbBNsli3o9UvecyvOje6G5ycwQoP8m//oN6/c/EH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8wDGAAAA3QAAAA8AAAAAAAAA&#10;AAAAAAAAoQIAAGRycy9kb3ducmV2LnhtbFBLBQYAAAAABAAEAPkAAACUAwAAAAA=&#10;">
                  <v:stroke endarrow="block"/>
                </v:line>
                <v:line id="Line 1211" o:spid="_x0000_s1236" style="position:absolute;flip:y;visibility:visible;mso-wrap-style:square" from="25870,33799" to="36785,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4rwcQAAADdAAAADwAAAGRycy9kb3ducmV2LnhtbERPTWsCMRC9F/ofwhS8lJpVRHQ1ihQE&#10;D16qZaW36WbcLLuZbJOo23/fFARv83ifs1z3thVX8qF2rGA0zEAQl07XXCn4PG7fZiBCRNbYOiYF&#10;vxRgvXp+WmKu3Y0/6HqIlUghHHJUYGLscilDachiGLqOOHFn5y3GBH0ltcdbCretHGfZVFqsOTUY&#10;7OjdUNkcLlaBnO1ff/zme9IUzek0N0VZdF97pQYv/WYBIlIfH+K7e6fT/OlkD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ivBxAAAAN0AAAAPAAAAAAAAAAAA&#10;AAAAAKECAABkcnMvZG93bnJldi54bWxQSwUGAAAAAAQABAD5AAAAkgMAAAAA&#10;"/>
                <v:line id="Line 1212" o:spid="_x0000_s1237" style="position:absolute;visibility:visible;mso-wrap-style:square" from="34642,28162" to="34653,3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kfs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lZkfsgAAADdAAAADwAAAAAA&#10;AAAAAAAAAAChAgAAZHJzL2Rvd25yZXYueG1sUEsFBgAAAAAEAAQA+QAAAJYDAAAAAA==&#10;"/>
                <v:line id="Line 1213" o:spid="_x0000_s1238" style="position:absolute;flip:x;visibility:visible;mso-wrap-style:square" from="25870,33799" to="25876,3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jMQMYAAADdAAAADwAAAGRycy9kb3ducmV2LnhtbESPT2vCQBDF74LfYRmhl6AbKxVNXUXb&#10;CkLpwT+HHofsNAnNzobsVOO3d4WCtxne+715s1h1rlZnakPl2cB4lIIizr2tuDBwOm6HM1BBkC3W&#10;nsnAlQKslv3eAjPrL7yn80EKFUM4ZGigFGkyrUNeksMw8g1x1H5861Di2hbatniJ4a7Wz2k61Q4r&#10;jhdKbOitpPz38Odije0Xv08mycbpJJnTx7d8plqMeRp061dQQp08zP/0zkZu+jKG+zdxBL2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4zEDGAAAA3QAAAA8AAAAAAAAA&#10;AAAAAAAAoQIAAGRycy9kb3ducmV2LnhtbFBLBQYAAAAABAAEAPkAAACUAwAAAAA=&#10;">
                  <v:stroke endarrow="block"/>
                </v:line>
                <v:shape id="Text Box 1214" o:spid="_x0000_s1239" type="#_x0000_t202" style="position:absolute;left:30856;top:24240;width:8305;height:3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K0r4A&#10;AADdAAAADwAAAGRycy9kb3ducmV2LnhtbERPzYrCMBC+L/gOYYS9ranVFalGEUHxqusDDM3YFJtJ&#10;TaKtb78RBG/z8f3Oct3bRjzIh9qxgvEoA0FcOl1zpeD8t/uZgwgRWWPjmBQ8KcB6NfhaYqFdx0d6&#10;nGIlUgiHAhWYGNtCylAashhGriVO3MV5izFBX0ntsUvhtpF5ls2kxZpTg8GWtobK6+luFez7Mptj&#10;dzSHG939ZEyX6T6XSn0P+80CRKQ+fsRv90Gn+bPfHF7fpB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oCtK+AAAA3QAAAA8AAAAAAAAAAAAAAAAAmAIAAGRycy9kb3ducmV2&#10;LnhtbFBLBQYAAAAABAAEAPUAAACDAwAAAAA=&#10;">
                  <v:textbox inset="2.17017mm,1.0851mm,2.17017mm,1.0851mm">
                    <w:txbxContent>
                      <w:p w:rsidR="0042762F" w:rsidRPr="00623D14" w:rsidRDefault="0042762F" w:rsidP="00623D14">
                        <w:pPr>
                          <w:pStyle w:val="TableText"/>
                        </w:pPr>
                        <w:r w:rsidRPr="00623D14">
                          <w:t>Best supportive</w:t>
                        </w:r>
                        <w:r w:rsidRPr="00623D14">
                          <w:br/>
                          <w:t>care</w:t>
                        </w:r>
                        <w:r w:rsidRPr="00DC433D">
                          <w:rPr>
                            <w:vertAlign w:val="superscript"/>
                          </w:rPr>
                          <w:t>b</w:t>
                        </w:r>
                        <w:r w:rsidRPr="00623D14">
                          <w:t xml:space="preserve"> </w:t>
                        </w:r>
                      </w:p>
                      <w:p w:rsidR="0042762F" w:rsidRPr="00367985" w:rsidRDefault="0042762F" w:rsidP="007E7D93">
                        <w:pPr>
                          <w:ind w:left="0"/>
                          <w:jc w:val="center"/>
                          <w:rPr>
                            <w:sz w:val="13"/>
                            <w:szCs w:val="16"/>
                          </w:rPr>
                        </w:pPr>
                      </w:p>
                    </w:txbxContent>
                  </v:textbox>
                </v:shape>
                <v:line id="Line 1215" o:spid="_x0000_s1240" style="position:absolute;visibility:visible;mso-wrap-style:square" from="82000,28162" to="82006,3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T6CcUAAADdAAAADwAAAGRycy9kb3ducmV2LnhtbERPS2vCQBC+C/6HZYTedGOlQVJXEUtB&#10;eyj1Ae1xzE6TaHY27G6T9N93C4K3+fies1j1phYtOV9ZVjCdJCCIc6srLhScjq/jOQgfkDXWlknB&#10;L3lYLYeDBWbadryn9hAKEUPYZ6igDKHJpPR5SQb9xDbEkfu2zmCI0BVSO+xiuKnlY5Kk0mDFsaHE&#10;hjYl5dfDj1HwPvtI2/Xubdt/7tJz/rI/f106p9TDqF8/gwjUh7v45t7qOD99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T6CcUAAADdAAAADwAAAAAAAAAA&#10;AAAAAAChAgAAZHJzL2Rvd25yZXYueG1sUEsFBgAAAAAEAAQA+QAAAJMDAAAAAA==&#10;"/>
                <v:line id="Line 1216" o:spid="_x0000_s1241" style="position:absolute;flip:y;visibility:visible;mso-wrap-style:square" from="69708,33918" to="84235,3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q3GcUAAADdAAAADwAAAGRycy9kb3ducmV2LnhtbERPTWsCMRC9C/0PYQq9lJptUbGrUaRQ&#10;8OBFLSu9jZvpZtnNZJukuv57IxS8zeN9znzZ21acyIfasYLXYQaCuHS65krB1/7zZQoiRGSNrWNS&#10;cKEAy8XDYI65dmfe0mkXK5FCOOSowMTY5VKG0pDFMHQdceJ+nLcYE/SV1B7PKdy28i3LJtJizanB&#10;YEcfhspm92cVyOnm+devjqOmaA6Hd1OURfe9UerpsV/NQETq4138717rNH8yHsP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q3GcUAAADdAAAADwAAAAAAAAAA&#10;AAAAAAChAgAAZHJzL2Rvd25yZXYueG1sUEsFBgAAAAAEAAQA+QAAAJMDAAAAAA==&#10;"/>
                <v:line id="Line 1217" o:spid="_x0000_s1242" style="position:absolute;visibility:visible;mso-wrap-style:square" from="69610,33918" to="69708,3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hcMAAADdAAAADwAAAGRycy9kb3ducmV2LnhtbERP32vCMBB+H+x/CDfwbaYOrLMaZawI&#10;e9CBOvZ8a86mrLmUJtbsvzfCwLf7+H7ech1tKwbqfeNYwWScgSCunG64VvB13Dy/gvABWWPrmBT8&#10;kYf16vFhiYV2F97TcAi1SCHsC1RgQugKKX1lyKIfu444cSfXWwwJ9rXUPV5SuG3lS5bl0mLDqcFg&#10;R++Gqt/D2SqYmXIvZ7LcHj/LoZnM4y5+/8yVGj3FtwWIQDHcxf/uD53m5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zIXDAAAA3QAAAA8AAAAAAAAAAAAA&#10;AAAAoQIAAGRycy9kb3ducmV2LnhtbFBLBQYAAAAABAAEAPkAAACRAwAAAAA=&#10;">
                  <v:stroke endarrow="block"/>
                </v:line>
                <v:shape id="Text Box 1218" o:spid="_x0000_s1243" type="#_x0000_t202" style="position:absolute;top:24332;width:10632;height:4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SsAA&#10;AADdAAAADwAAAGRycy9kb3ducmV2LnhtbERP24rCMBB9X/Afwgj7tqa6a5VqFBFWfPXyAUMzNsVm&#10;UpNou39vhAXf5nCus1z3thEP8qF2rGA8ykAQl07XXCk4n36/5iBCRNbYOCYFfxRgvRp8LLHQruMD&#10;PY6xEimEQ4EKTIxtIWUoDVkMI9cSJ+7ivMWYoK+k9tilcNvISZbl0mLNqcFgS1tD5fV4twp2fZnN&#10;sTuY/Y3u/ntMl5/dRCr1Oew3CxCR+vgW/7v3Os3PpzN4fZNO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pSsAAAADdAAAADwAAAAAAAAAAAAAAAACYAgAAZHJzL2Rvd25y&#10;ZXYueG1sUEsFBgAAAAAEAAQA9QAAAIUDAAAAAA==&#10;">
                  <v:textbox inset="2.17017mm,1.0851mm,2.17017mm,1.0851mm">
                    <w:txbxContent>
                      <w:p w:rsidR="0042762F" w:rsidRPr="00623D14" w:rsidRDefault="0042762F" w:rsidP="00623D14">
                        <w:pPr>
                          <w:pStyle w:val="TableText"/>
                        </w:pPr>
                        <w:r w:rsidRPr="00623D14">
                          <w:t>Intended single-stage curative surgery</w:t>
                        </w:r>
                        <w:r w:rsidRPr="00DC433D">
                          <w:rPr>
                            <w:vertAlign w:val="superscript"/>
                          </w:rPr>
                          <w:t>b</w:t>
                        </w:r>
                        <w:r w:rsidRPr="00623D14">
                          <w:t xml:space="preserve"> </w:t>
                        </w:r>
                      </w:p>
                    </w:txbxContent>
                  </v:textbox>
                </v:shape>
                <v:shape id="Text Box 1418" o:spid="_x0000_s1244" type="#_x0000_t202" style="position:absolute;left:75935;top:24185;width:8295;height:3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9OMMA&#10;AADdAAAADwAAAGRycy9kb3ducmV2LnhtbESPzW4CMQyE70h9h8iVeoMstCC0EBBCKuLKzwNYG7NZ&#10;sXGWJLDbt68PlXqzNeOZz+vt4Fv1opiawAamkwIUcRVsw7WB6+V7vASVMrLFNjAZ+KEE283baI2l&#10;DT2f6HXOtZIQTiUacDl3pdapcuQxTUJHLNotRI9Z1lhrG7GXcN/qWVEstMeGpcFhR3tH1f389AYO&#10;Q1UssT+544Oe8XNKt6/DTBvz8T7sVqAyDfnf/Hd9tIK/mAuufCMj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A9OMMAAADdAAAADwAAAAAAAAAAAAAAAACYAgAAZHJzL2Rv&#10;d25yZXYueG1sUEsFBgAAAAAEAAQA9QAAAIgDAAAAAA==&#10;">
                  <v:textbox inset="2.17017mm,1.0851mm,2.17017mm,1.0851mm">
                    <w:txbxContent>
                      <w:p w:rsidR="0042762F" w:rsidRPr="00623D14" w:rsidRDefault="0042762F" w:rsidP="00623D14">
                        <w:pPr>
                          <w:pStyle w:val="TableText"/>
                        </w:pPr>
                        <w:r w:rsidRPr="00623D14">
                          <w:t>Best supportive</w:t>
                        </w:r>
                        <w:r w:rsidRPr="00623D14">
                          <w:br/>
                          <w:t>care</w:t>
                        </w:r>
                        <w:r w:rsidRPr="00DC433D">
                          <w:rPr>
                            <w:vertAlign w:val="superscript"/>
                          </w:rPr>
                          <w:t>b</w:t>
                        </w:r>
                        <w:r w:rsidRPr="00623D14">
                          <w:t xml:space="preserve"> </w:t>
                        </w:r>
                      </w:p>
                      <w:p w:rsidR="0042762F" w:rsidRPr="00367985" w:rsidRDefault="0042762F" w:rsidP="007E7D93">
                        <w:pPr>
                          <w:ind w:left="0"/>
                          <w:jc w:val="center"/>
                          <w:rPr>
                            <w:sz w:val="13"/>
                            <w:szCs w:val="16"/>
                          </w:rPr>
                        </w:pPr>
                      </w:p>
                    </w:txbxContent>
                  </v:textbox>
                </v:shape>
                <v:shape id="Text Box 1419" o:spid="_x0000_s1245" type="#_x0000_t202" style="position:absolute;left:77118;top:35350;width:8289;height:5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5sEA&#10;AADdAAAADwAAAGRycy9kb3ducmV2LnhtbERPzWoCMRC+F3yHMAVvNWlBabdGEUER9GCtDzBsppvV&#10;zWRJ0nV9eyMI3ubj+53pvHeN6CjE2rOG95ECQVx6U3Ol4fi7evsEEROywcYzabhShPls8DLFwvgL&#10;/1B3SJXIIRwL1GBTagspY2nJYRz5ljhzfz44TBmGSpqAlxzuGvmh1EQ6rDk3WGxpaak8H/6dhi6s&#10;FY6vpxWet2qxPznbHHdW6+Frv/gGkahPT/HDvTF5/mT8Bfdv8gl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TebBAAAA3QAAAA8AAAAAAAAAAAAAAAAAmAIAAGRycy9kb3du&#10;cmV2LnhtbFBLBQYAAAAABAAEAPUAAACGAwAAAAA=&#10;" strokeweight=".5pt">
                  <v:textbox inset="2.17017mm,1.0851mm,2.17017mm,1.0851mm">
                    <w:txbxContent>
                      <w:p w:rsidR="0042762F" w:rsidRPr="00623D14" w:rsidRDefault="0042762F" w:rsidP="00623D14">
                        <w:pPr>
                          <w:pStyle w:val="TableText"/>
                        </w:pPr>
                        <w:r w:rsidRPr="00623D14">
                          <w:t>No further surgical management</w:t>
                        </w:r>
                      </w:p>
                    </w:txbxContent>
                  </v:textbox>
                </v:shape>
                <v:shape id="Text Box 1171" o:spid="_x0000_s1246" type="#_x0000_t202" style="position:absolute;left:50878;top:11816;width:12461;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7g8IA&#10;AADdAAAADwAAAGRycy9kb3ducmV2LnhtbESPQW/CMAyF75P4D5EncRspDFWoENCENMQVth9gNaap&#10;aJySBNr9+/mAxM3We37v82Y3+k49KKY2sIH5rABFXAfbcmPg9+f7YwUqZWSLXWAy8EcJdtvJ2wYr&#10;GwY+0eOcGyUhnCo04HLuK61T7chjmoWeWLRLiB6zrLHRNuIg4b7Ti6IotceWpcFhT3tH9fV89wYO&#10;Y12scDi5443u8XNOl+VhoY2Zvo9fa1CZxvwyP6+PVvDLUvjlGxlB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2vuDwgAAAN0AAAAPAAAAAAAAAAAAAAAAAJgCAABkcnMvZG93&#10;bnJldi54bWxQSwUGAAAAAAQABAD1AAAAhwMAAAAA&#10;">
                  <v:textbox inset="2.17017mm,1.0851mm,2.17017mm,1.0851mm">
                    <w:txbxContent>
                      <w:p w:rsidR="0042762F" w:rsidRPr="00F76F8E" w:rsidRDefault="0042762F" w:rsidP="0007443E">
                        <w:pPr>
                          <w:pStyle w:val="TableText"/>
                        </w:pPr>
                        <w:r w:rsidRPr="00F76F8E">
                          <w:t>Medically fit for surgery</w:t>
                        </w:r>
                      </w:p>
                    </w:txbxContent>
                  </v:textbox>
                </v:shape>
                <v:shape id="Text Box 1162" o:spid="_x0000_s1247" type="#_x0000_t202" style="position:absolute;left:71954;top:11702;width:13453;height: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eGL4A&#10;AADdAAAADwAAAGRycy9kb3ducmV2LnhtbERPzYrCMBC+C75DGMGbplUp0jWKCIpX3X2AoRmbss2k&#10;JtHWtzcLC97m4/udzW6wrXiSD41jBfk8A0FcOd1wreDn+zhbgwgRWWPrmBS8KMBuOx5tsNSu5ws9&#10;r7EWKYRDiQpMjF0pZagMWQxz1xEn7ua8xZigr6X22Kdw28pFlhXSYsOpwWBHB0PV7/VhFZyGKltj&#10;fzHnOz38Mqfb6rSQSk0nw/4LRKQhfsT/7rNO84sih79v0gly+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Xhi+AAAA3QAAAA8AAAAAAAAAAAAAAAAAmAIAAGRycy9kb3ducmV2&#10;LnhtbFBLBQYAAAAABAAEAPUAAACDAwAAAAA=&#10;">
                  <v:textbox inset="2.17017mm,1.0851mm,2.17017mm,1.0851mm">
                    <w:txbxContent>
                      <w:p w:rsidR="0042762F" w:rsidRPr="00F76F8E" w:rsidRDefault="0042762F" w:rsidP="0007443E">
                        <w:pPr>
                          <w:pStyle w:val="TableText"/>
                        </w:pPr>
                        <w:r w:rsidRPr="00F76F8E">
                          <w:t>Medically unfit for surgery</w:t>
                        </w:r>
                      </w:p>
                    </w:txbxContent>
                  </v:textbox>
                </v:shape>
                <v:shape id="Text Box 1201" o:spid="_x0000_s1248" type="#_x0000_t202" style="position:absolute;left:42475;top:24185;width:10676;height:3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TAb74A&#10;AADdAAAADwAAAGRycy9kb3ducmV2LnhtbERPzYrCMBC+C75DGMGbplYp0jWKCIpX3X2AoRmbss2k&#10;JtHWtzcLC97m4/udzW6wrXiSD41jBYt5BoK4crrhWsHP93G2BhEissbWMSl4UYDddjzaYKldzxd6&#10;XmMtUgiHEhWYGLtSylAZshjmriNO3M15izFBX0vtsU/htpV5lhXSYsOpwWBHB0PV7/VhFZyGKltj&#10;fzHnOz38ckG31SmXSk0nw/4LRKQhfsT/7rNO84sih79v0gly+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9EwG++AAAA3QAAAA8AAAAAAAAAAAAAAAAAmAIAAGRycy9kb3ducmV2&#10;LnhtbFBLBQYAAAAABAAEAPUAAACDAwAAAAA=&#10;">
                  <v:textbox inset="2.17017mm,1.0851mm,2.17017mm,1.0851mm">
                    <w:txbxContent>
                      <w:p w:rsidR="0042762F" w:rsidRPr="00F76F8E" w:rsidRDefault="0042762F" w:rsidP="00DC433D">
                        <w:pPr>
                          <w:pStyle w:val="TableText"/>
                        </w:pPr>
                        <w:r w:rsidRPr="00F76F8E">
                          <w:t>Intended single-stage curative surgery</w:t>
                        </w:r>
                        <w:r w:rsidRPr="00DC433D">
                          <w:rPr>
                            <w:vertAlign w:val="superscript"/>
                          </w:rPr>
                          <w:t>b</w:t>
                        </w:r>
                      </w:p>
                    </w:txbxContent>
                  </v:textbox>
                </v:shape>
                <v:shape id="Text Box 1202" o:spid="_x0000_s1249" type="#_x0000_t202" style="position:absolute;left:59542;top:24549;width:7942;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l9L4A&#10;AADdAAAADwAAAGRycy9kb3ducmV2LnhtbERPy6rCMBDdX/AfwgjurqkPilSjiKC41Xs/YGjGpthM&#10;ahJt/XsjCO7mcJ6z2vS2EQ/yoXasYDLOQBCXTtdcKfj/2/8uQISIrLFxTAqeFGCzHvyssNCu4xM9&#10;zrESKYRDgQpMjG0hZSgNWQxj1xIn7uK8xZigr6T22KVw28hpluXSYs2pwWBLO0Pl9Xy3Cg59mS2w&#10;O5njje5+NqHL/DCVSo2G/XYJIlIfv+KP+6jT/DyfwfubdIJ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IZfS+AAAA3QAAAA8AAAAAAAAAAAAAAAAAmAIAAGRycy9kb3ducmV2&#10;LnhtbFBLBQYAAAAABAAEAPUAAACDAwAAAAA=&#10;">
                  <v:textbox inset="2.17017mm,1.0851mm,2.17017mm,1.0851mm">
                    <w:txbxContent>
                      <w:p w:rsidR="0042762F" w:rsidRPr="00623D14" w:rsidRDefault="0042762F" w:rsidP="00DC433D">
                        <w:pPr>
                          <w:pStyle w:val="TableText"/>
                        </w:pPr>
                        <w:r w:rsidRPr="00623D14">
                          <w:t>Other surgery</w:t>
                        </w:r>
                        <w:r w:rsidRPr="00DC433D">
                          <w:rPr>
                            <w:vertAlign w:val="superscript"/>
                          </w:rPr>
                          <w:t>b</w:t>
                        </w:r>
                      </w:p>
                    </w:txbxContent>
                  </v:textbox>
                </v:shape>
                <v:shape id="Text Box 1181" o:spid="_x0000_s1250" type="#_x0000_t202" style="position:absolute;left:8424;top:12038;width:11880;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KtMIA&#10;AADdAAAADwAAAGRycy9kb3ducmV2LnhtbESPQWvDMAyF74P9B6PBbovTboyQ1gllsNJru/0AEatx&#10;aCyntttk/346DHaTeE/vfdq2ix/VnWIaAhtYFSUo4i7YgXsD31+fLxWolJEtjoHJwA8laJvHhy3W&#10;Nsx8pPsp90pCONVowOU81VqnzpHHVISJWLRziB6zrLHXNuIs4X7U67J81x4HlgaHE3046i6nmzew&#10;X7qywvnoDle6xdcVnd/2a23M89Oy24DKtOR/89/1wQp+VQmufCMj6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9Yq0wgAAAN0AAAAPAAAAAAAAAAAAAAAAAJgCAABkcnMvZG93&#10;bnJldi54bWxQSwUGAAAAAAQABAD1AAAAhwMAAAAA&#10;">
                  <v:textbox inset="2.17017mm,1.0851mm,2.17017mm,1.0851mm">
                    <w:txbxContent>
                      <w:p w:rsidR="0042762F" w:rsidRPr="00623D14" w:rsidRDefault="0042762F" w:rsidP="00623D14">
                        <w:pPr>
                          <w:pStyle w:val="TableText"/>
                        </w:pPr>
                        <w:r w:rsidRPr="00623D14">
                          <w:t>Medically fit for surgery</w:t>
                        </w:r>
                      </w:p>
                    </w:txbxContent>
                  </v:textbox>
                </v:shape>
                <v:line id="Line 1185" o:spid="_x0000_s1251" style="position:absolute;flip:x;visibility:visible;mso-wrap-style:square" from="34707,14078" to="34713,24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3ysYAAADdAAAADwAAAGRycy9kb3ducmV2LnhtbESPQWvCQBCF74L/YRmhl1A3rSAxuoq2&#10;FQTx0LQHj0N2moRmZ0N2qum/dwsFbzO89715s9oMrlUX6kPj2cDTNAVFXHrbcGXg82P/mIEKgmyx&#10;9UwGfinAZj0erTC3/srvdCmkUjGEQ44GapEu1zqUNTkMU98RR+3L9w4lrn2lbY/XGO5a/Zymc+2w&#10;4Xihxo5eaiq/ix8Xa+xP/DqbJTunk2RBb2c5plqMeZgM2yUooUHu5n/6YCOXZQv4+yaOo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7d8rGAAAA3QAAAA8AAAAAAAAA&#10;AAAAAAAAoQIAAGRycy9kb3ducmV2LnhtbFBLBQYAAAAABAAEAPkAAACUAwAAAAA=&#10;">
                  <v:stroke endarrow="block"/>
                </v:line>
                <v:shape id="Text Box 1182" o:spid="_x0000_s1252" type="#_x0000_t202" style="position:absolute;left:28496;top:11816;width:13225;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Qb8MA&#10;AADdAAAADwAAAGRycy9kb3ducmV2LnhtbESPQWvDMAyF74P9B6PBbqvTbowsi1PGYKXXdv0BIlbj&#10;0FhObbfJ/n11KOwm8Z7e+1SvZz+oK8XUBzawXBSgiNtge+4MHH5/XkpQKSNbHAKTgT9KsG4eH2qs&#10;bJh4R9d97pSEcKrQgMt5rLROrSOPaRFGYtGOIXrMssZO24iThPtBr4riXXvsWRocjvTtqD3tL97A&#10;Zm6LEqed257pEl+XdHzbrLQxz0/z1yeoTHP+N9+vt1bwyw/hl29kBN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oQb8MAAADdAAAADwAAAAAAAAAAAAAAAACYAgAAZHJzL2Rv&#10;d25yZXYueG1sUEsFBgAAAAAEAAQA9QAAAIgDAAAAAA==&#10;">
                  <v:textbox inset="2.17017mm,1.0851mm,2.17017mm,1.0851mm">
                    <w:txbxContent>
                      <w:p w:rsidR="0042762F" w:rsidRPr="00623D14" w:rsidRDefault="0042762F" w:rsidP="00623D14">
                        <w:pPr>
                          <w:pStyle w:val="TableText"/>
                        </w:pPr>
                        <w:r w:rsidRPr="00623D14">
                          <w:t>Medically unfit for surgery</w:t>
                        </w:r>
                      </w:p>
                    </w:txbxContent>
                  </v:textbox>
                </v:shape>
                <w10:anchorlock/>
              </v:group>
            </w:pict>
          </mc:Fallback>
        </mc:AlternateContent>
      </w:r>
    </w:p>
    <w:p w:rsidR="006D7861" w:rsidRDefault="006D7861" w:rsidP="008B2DCD">
      <w:pPr>
        <w:ind w:left="0"/>
        <w:rPr>
          <w:rFonts w:ascii="Tahoma" w:eastAsia="SimSun" w:hAnsi="Tahoma" w:cs="Tahoma"/>
          <w:sz w:val="20"/>
          <w:lang w:eastAsia="zh-CN"/>
        </w:rPr>
      </w:pPr>
    </w:p>
    <w:p w:rsidR="00EB3E12" w:rsidRDefault="00EB3E12" w:rsidP="006D7861">
      <w:pPr>
        <w:pStyle w:val="TableNotes"/>
        <w:rPr>
          <w:rFonts w:eastAsia="SimSun"/>
          <w:lang w:eastAsia="zh-CN"/>
        </w:rPr>
      </w:pPr>
    </w:p>
    <w:p w:rsidR="006D7861" w:rsidRPr="006D7861" w:rsidRDefault="006D7861" w:rsidP="006D7861">
      <w:pPr>
        <w:pStyle w:val="TableNotes"/>
        <w:rPr>
          <w:rFonts w:eastAsia="SimSun"/>
          <w:lang w:eastAsia="zh-CN"/>
        </w:rPr>
      </w:pPr>
      <w:r w:rsidRPr="006D7861">
        <w:rPr>
          <w:rFonts w:eastAsia="SimSun"/>
          <w:lang w:eastAsia="zh-CN"/>
        </w:rPr>
        <w:t xml:space="preserve">Other surgery: </w:t>
      </w:r>
      <w:r w:rsidR="00D3398A" w:rsidRPr="006D7861">
        <w:rPr>
          <w:rFonts w:eastAsia="SimSun"/>
          <w:lang w:eastAsia="zh-CN"/>
        </w:rPr>
        <w:t>T</w:t>
      </w:r>
      <w:r w:rsidRPr="006D7861">
        <w:rPr>
          <w:rFonts w:eastAsia="SimSun"/>
          <w:lang w:eastAsia="zh-CN"/>
        </w:rPr>
        <w:t xml:space="preserve">wo- and three-stage resection techniques used to treat colorectal obstructions, strictures or stenosis. Hartmann’s procedure and primary anastomosis could be performed </w:t>
      </w:r>
      <w:r w:rsidR="00121562">
        <w:rPr>
          <w:rFonts w:eastAsia="SimSun"/>
          <w:lang w:eastAsia="zh-CN"/>
        </w:rPr>
        <w:t>alone</w:t>
      </w:r>
      <w:r w:rsidRPr="006D7861">
        <w:rPr>
          <w:rFonts w:eastAsia="SimSun"/>
          <w:lang w:eastAsia="zh-CN"/>
        </w:rPr>
        <w:t xml:space="preserve"> or together with staged </w:t>
      </w:r>
      <w:r w:rsidR="00F76F8E">
        <w:rPr>
          <w:rFonts w:eastAsia="SimSun"/>
          <w:lang w:eastAsia="zh-CN"/>
        </w:rPr>
        <w:t>surgical resection. Current MBS-</w:t>
      </w:r>
      <w:r w:rsidRPr="006D7861">
        <w:rPr>
          <w:rFonts w:eastAsia="SimSun"/>
          <w:lang w:eastAsia="zh-CN"/>
        </w:rPr>
        <w:t>listed surgical resection techniques are listed in Table 4.</w:t>
      </w:r>
    </w:p>
    <w:p w:rsidR="006D7861" w:rsidRPr="006D7861" w:rsidRDefault="006D7861" w:rsidP="006D7861">
      <w:pPr>
        <w:pStyle w:val="TableNotes"/>
        <w:rPr>
          <w:rFonts w:eastAsia="SimSun"/>
          <w:lang w:eastAsia="zh-CN"/>
        </w:rPr>
      </w:pPr>
      <w:r w:rsidRPr="006D7861">
        <w:rPr>
          <w:rFonts w:eastAsia="SimSun"/>
          <w:lang w:eastAsia="zh-CN"/>
        </w:rPr>
        <w:t xml:space="preserve">Subsequent surgical management: </w:t>
      </w:r>
      <w:r w:rsidR="00D3398A" w:rsidRPr="006D7861">
        <w:rPr>
          <w:rFonts w:eastAsia="SimSun"/>
          <w:lang w:eastAsia="zh-CN"/>
        </w:rPr>
        <w:t>A</w:t>
      </w:r>
      <w:r w:rsidRPr="006D7861">
        <w:rPr>
          <w:rFonts w:eastAsia="SimSun"/>
          <w:lang w:eastAsia="zh-CN"/>
        </w:rPr>
        <w:t xml:space="preserve">ny surgical intervention including single-stage surgery and ‘other’ surgery. </w:t>
      </w:r>
    </w:p>
    <w:p w:rsidR="006D7861" w:rsidRPr="006D7861" w:rsidRDefault="006D7861" w:rsidP="006D7861">
      <w:pPr>
        <w:pStyle w:val="TableNotes"/>
        <w:rPr>
          <w:rFonts w:eastAsia="SimSun"/>
          <w:lang w:eastAsia="zh-CN"/>
        </w:rPr>
      </w:pPr>
      <w:r w:rsidRPr="006D7861">
        <w:rPr>
          <w:rFonts w:eastAsia="SimSun"/>
          <w:lang w:eastAsia="zh-CN"/>
        </w:rPr>
        <w:t xml:space="preserve">Best supportive care: </w:t>
      </w:r>
      <w:r w:rsidR="00D3398A" w:rsidRPr="006D7861">
        <w:rPr>
          <w:rFonts w:eastAsia="SimSun"/>
          <w:lang w:eastAsia="zh-CN"/>
        </w:rPr>
        <w:t>C</w:t>
      </w:r>
      <w:r w:rsidRPr="006D7861">
        <w:rPr>
          <w:rFonts w:eastAsia="SimSun"/>
          <w:lang w:eastAsia="zh-CN"/>
        </w:rPr>
        <w:t>onservative or clinical management of symptoms without surgical intervention.</w:t>
      </w:r>
    </w:p>
    <w:p w:rsidR="00F76F8E" w:rsidRDefault="00CC6F7A" w:rsidP="00EB3E12">
      <w:pPr>
        <w:pStyle w:val="TableNotes"/>
        <w:spacing w:after="240"/>
        <w:rPr>
          <w:rFonts w:eastAsia="SimSun"/>
          <w:lang w:eastAsia="zh-CN"/>
        </w:rPr>
      </w:pPr>
      <w:proofErr w:type="gramStart"/>
      <w:r>
        <w:rPr>
          <w:rFonts w:eastAsia="SimSun"/>
          <w:lang w:val="en-AU" w:eastAsia="zh-CN"/>
        </w:rPr>
        <w:t>a</w:t>
      </w:r>
      <w:r w:rsidR="006D7861" w:rsidRPr="006D7861">
        <w:rPr>
          <w:rFonts w:eastAsia="SimSun"/>
          <w:lang w:eastAsia="zh-CN"/>
        </w:rPr>
        <w:t xml:space="preserve"> </w:t>
      </w:r>
      <w:r>
        <w:rPr>
          <w:rFonts w:eastAsia="SimSun"/>
          <w:lang w:val="en-AU" w:eastAsia="zh-CN"/>
        </w:rPr>
        <w:t xml:space="preserve"> </w:t>
      </w:r>
      <w:r w:rsidR="006D7861" w:rsidRPr="006D7861">
        <w:rPr>
          <w:rFonts w:eastAsia="SimSun"/>
          <w:lang w:eastAsia="zh-CN"/>
        </w:rPr>
        <w:t>This</w:t>
      </w:r>
      <w:proofErr w:type="gramEnd"/>
      <w:r w:rsidR="006D7861" w:rsidRPr="006D7861">
        <w:rPr>
          <w:rFonts w:eastAsia="SimSun"/>
          <w:lang w:eastAsia="zh-CN"/>
        </w:rPr>
        <w:t xml:space="preserve"> group may include up to 25% of patients with colonic obstruction due to non-malignant aetiologies, such as dive</w:t>
      </w:r>
      <w:r w:rsidR="00F76F8E">
        <w:rPr>
          <w:rFonts w:eastAsia="SimSun"/>
          <w:lang w:eastAsia="zh-CN"/>
        </w:rPr>
        <w:t>rticulitis and Crohn’s disease</w:t>
      </w:r>
      <w:r w:rsidR="009F7A98">
        <w:rPr>
          <w:rFonts w:eastAsia="SimSun"/>
          <w:lang w:eastAsia="zh-CN"/>
        </w:rPr>
        <w:t>.</w:t>
      </w:r>
    </w:p>
    <w:p w:rsidR="00581517" w:rsidRDefault="00CC6F7A" w:rsidP="00EB3E12">
      <w:pPr>
        <w:pStyle w:val="TableNotes"/>
        <w:spacing w:after="240"/>
        <w:rPr>
          <w:rFonts w:eastAsia="SimSun"/>
          <w:lang w:eastAsia="zh-CN"/>
        </w:rPr>
      </w:pPr>
      <w:proofErr w:type="gramStart"/>
      <w:r>
        <w:rPr>
          <w:rFonts w:eastAsia="SimSun"/>
          <w:lang w:val="en-AU" w:eastAsia="zh-CN"/>
        </w:rPr>
        <w:t>b</w:t>
      </w:r>
      <w:r w:rsidR="009F7A98">
        <w:rPr>
          <w:rFonts w:eastAsia="SimSun"/>
          <w:lang w:eastAsia="zh-CN"/>
        </w:rPr>
        <w:t xml:space="preserve"> </w:t>
      </w:r>
      <w:r>
        <w:rPr>
          <w:rFonts w:eastAsia="SimSun"/>
          <w:lang w:val="en-AU" w:eastAsia="zh-CN"/>
        </w:rPr>
        <w:t xml:space="preserve"> </w:t>
      </w:r>
      <w:r w:rsidR="006D7861" w:rsidRPr="006D7861">
        <w:rPr>
          <w:rFonts w:eastAsia="SimSun"/>
          <w:lang w:eastAsia="zh-CN"/>
        </w:rPr>
        <w:t>Patients</w:t>
      </w:r>
      <w:proofErr w:type="gramEnd"/>
      <w:r w:rsidR="006D7861" w:rsidRPr="006D7861">
        <w:rPr>
          <w:rFonts w:eastAsia="SimSun"/>
          <w:lang w:eastAsia="zh-CN"/>
        </w:rPr>
        <w:t xml:space="preserve"> receive chemotherapy, radiotherapy and/or palliation in addition to ongoing medical management. The type and combination of treatments r</w:t>
      </w:r>
      <w:r w:rsidR="002A4F3E">
        <w:rPr>
          <w:rFonts w:eastAsia="SimSun"/>
          <w:lang w:eastAsia="zh-CN"/>
        </w:rPr>
        <w:t>eceived is individually based.</w:t>
      </w:r>
    </w:p>
    <w:p w:rsidR="00566668" w:rsidRPr="00BB3C05" w:rsidRDefault="00516B5D" w:rsidP="00566668">
      <w:pPr>
        <w:rPr>
          <w:bCs/>
        </w:rPr>
        <w:sectPr w:rsidR="00566668" w:rsidRPr="00BB3C05" w:rsidSect="00D853E5">
          <w:footerReference w:type="even" r:id="rId25"/>
          <w:footerReference w:type="default" r:id="rId26"/>
          <w:pgSz w:w="16834" w:h="11909" w:orient="landscape" w:code="9"/>
          <w:pgMar w:top="567" w:right="1440" w:bottom="426" w:left="1440" w:header="709" w:footer="709" w:gutter="0"/>
          <w:cols w:space="720"/>
          <w:docGrid w:linePitch="326"/>
        </w:sectPr>
      </w:pPr>
      <w:r>
        <w:rPr>
          <w:noProof/>
        </w:rPr>
        <w:lastRenderedPageBreak/>
        <mc:AlternateContent>
          <mc:Choice Requires="wps">
            <w:drawing>
              <wp:anchor distT="0" distB="0" distL="114300" distR="114300" simplePos="0" relativeHeight="251658752" behindDoc="0" locked="0" layoutInCell="1" allowOverlap="1" wp14:anchorId="5C35C381" wp14:editId="159A22DA">
                <wp:simplePos x="0" y="0"/>
                <wp:positionH relativeFrom="column">
                  <wp:posOffset>-262890</wp:posOffset>
                </wp:positionH>
                <wp:positionV relativeFrom="paragraph">
                  <wp:posOffset>-116840</wp:posOffset>
                </wp:positionV>
                <wp:extent cx="3891915" cy="297815"/>
                <wp:effectExtent l="0" t="0" r="0" b="0"/>
                <wp:wrapNone/>
                <wp:docPr id="1862" name="Text Box 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2F" w:rsidRPr="00B54574" w:rsidRDefault="0042762F" w:rsidP="00C828B6">
                            <w:pPr>
                              <w:pStyle w:val="Caption"/>
                              <w:rPr>
                                <w:rFonts w:ascii="Garamond" w:hAnsi="Garamond"/>
                                <w:noProof/>
                                <w:sz w:val="24"/>
                              </w:rPr>
                            </w:pPr>
                            <w:bookmarkStart w:id="90" w:name="_Ref324941679"/>
                            <w:bookmarkStart w:id="91" w:name="_Toc327522129"/>
                            <w:r>
                              <w:t xml:space="preserve">Figure </w:t>
                            </w:r>
                            <w:fldSimple w:instr=" SEQ Figure \* ARABIC ">
                              <w:r>
                                <w:rPr>
                                  <w:noProof/>
                                </w:rPr>
                                <w:t>6</w:t>
                              </w:r>
                            </w:fldSimple>
                            <w:bookmarkEnd w:id="90"/>
                            <w:r>
                              <w:t xml:space="preserve"> </w:t>
                            </w:r>
                            <w:r>
                              <w:tab/>
                            </w:r>
                            <w:r w:rsidRPr="00D853E5">
                              <w:t>Proposed clinical management algorithm</w:t>
                            </w:r>
                            <w:bookmarkEnd w:id="9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65" o:spid="_x0000_s1253" type="#_x0000_t202" style="position:absolute;left:0;text-align:left;margin-left:-20.7pt;margin-top:-9.2pt;width:306.4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" stroked="f">
                <v:textbox style="mso-fit-shape-to-text:t" inset="0,0,0,0">
                  <w:txbxContent>
                    <w:p w:rsidR="0042762F" w:rsidRPr="00B54574" w:rsidRDefault="0042762F" w:rsidP="00C828B6">
                      <w:pPr>
                        <w:pStyle w:val="Caption"/>
                        <w:rPr>
                          <w:rFonts w:ascii="Garamond" w:hAnsi="Garamond"/>
                          <w:noProof/>
                          <w:sz w:val="24"/>
                        </w:rPr>
                      </w:pPr>
                      <w:bookmarkStart w:id="92" w:name="_Ref324941679"/>
                      <w:bookmarkStart w:id="93" w:name="_Toc327522129"/>
                      <w:r>
                        <w:t xml:space="preserve">Figure </w:t>
                      </w:r>
                      <w:fldSimple w:instr=" SEQ Figure \* ARABIC ">
                        <w:r>
                          <w:rPr>
                            <w:noProof/>
                          </w:rPr>
                          <w:t>6</w:t>
                        </w:r>
                      </w:fldSimple>
                      <w:bookmarkEnd w:id="92"/>
                      <w:r>
                        <w:t xml:space="preserve"> </w:t>
                      </w:r>
                      <w:r>
                        <w:tab/>
                      </w:r>
                      <w:r w:rsidRPr="00D853E5">
                        <w:t>Proposed clinical management algorithm</w:t>
                      </w:r>
                      <w:bookmarkEnd w:id="93"/>
                    </w:p>
                  </w:txbxContent>
                </v:textbox>
              </v:shape>
            </w:pict>
          </mc:Fallback>
        </mc:AlternateContent>
      </w:r>
      <w:r>
        <w:rPr>
          <w:bCs/>
          <w:noProof/>
        </w:rPr>
        <mc:AlternateContent>
          <mc:Choice Requires="wpc">
            <w:drawing>
              <wp:inline distT="0" distB="0" distL="0" distR="0">
                <wp:extent cx="8511540" cy="5495925"/>
                <wp:effectExtent l="0" t="0" r="22860" b="0"/>
                <wp:docPr id="1654" name="Canvas 1654" descr="Figure 6  Proposed clinical management algorithm" title="Figure 6  Proposed clinical management algorithm"/>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63" name="Text Box 1656"/>
                        <wps:cNvSpPr txBox="1">
                          <a:spLocks noChangeArrowheads="1"/>
                        </wps:cNvSpPr>
                        <wps:spPr bwMode="auto">
                          <a:xfrm>
                            <a:off x="5128624" y="551104"/>
                            <a:ext cx="2931645" cy="326020"/>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 xml:space="preserve">Patients with colorectal obstruction due to pre-diagnosed cancer </w:t>
                              </w:r>
                            </w:p>
                          </w:txbxContent>
                        </wps:txbx>
                        <wps:bodyPr rot="0" vert="horz" wrap="square" lIns="78217" tIns="39109" rIns="78217" bIns="39109" anchor="t" anchorCtr="0" upright="1">
                          <a:noAutofit/>
                        </wps:bodyPr>
                      </wps:wsp>
                      <wps:wsp>
                        <wps:cNvPr id="1764" name="Line 1657"/>
                        <wps:cNvCnPr/>
                        <wps:spPr bwMode="auto">
                          <a:xfrm>
                            <a:off x="4492741" y="301731"/>
                            <a:ext cx="1080" cy="1219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5" name="Line 1658"/>
                        <wps:cNvCnPr/>
                        <wps:spPr bwMode="auto">
                          <a:xfrm>
                            <a:off x="4226621" y="24316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6" name="Line 1659"/>
                        <wps:cNvCnPr/>
                        <wps:spPr bwMode="auto">
                          <a:xfrm>
                            <a:off x="2371874" y="423718"/>
                            <a:ext cx="4460354" cy="2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7" name="Line 1660"/>
                        <wps:cNvCnPr/>
                        <wps:spPr bwMode="auto">
                          <a:xfrm>
                            <a:off x="6831148" y="420480"/>
                            <a:ext cx="1080" cy="129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8" name="Line 1661"/>
                        <wps:cNvCnPr/>
                        <wps:spPr bwMode="auto">
                          <a:xfrm flipH="1" flipV="1">
                            <a:off x="6830068" y="877664"/>
                            <a:ext cx="1080" cy="1117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9" name="Line 1662"/>
                        <wps:cNvCnPr/>
                        <wps:spPr bwMode="auto">
                          <a:xfrm>
                            <a:off x="5529154" y="987237"/>
                            <a:ext cx="2673081" cy="3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 name="Line 1663"/>
                        <wps:cNvCnPr/>
                        <wps:spPr bwMode="auto">
                          <a:xfrm flipH="1">
                            <a:off x="8200076" y="988317"/>
                            <a:ext cx="2159" cy="2024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1" name="Text Box 1664"/>
                        <wps:cNvSpPr txBox="1">
                          <a:spLocks noChangeArrowheads="1"/>
                        </wps:cNvSpPr>
                        <wps:spPr bwMode="auto">
                          <a:xfrm>
                            <a:off x="4940774" y="1209622"/>
                            <a:ext cx="1168124" cy="249373"/>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Medically fit for surgery</w:t>
                              </w:r>
                            </w:p>
                          </w:txbxContent>
                        </wps:txbx>
                        <wps:bodyPr rot="0" vert="horz" wrap="square" lIns="78217" tIns="39109" rIns="78217" bIns="39109" anchor="t" anchorCtr="0" upright="1">
                          <a:noAutofit/>
                        </wps:bodyPr>
                      </wps:wsp>
                      <wps:wsp>
                        <wps:cNvPr id="1774" name="Line 1665"/>
                        <wps:cNvCnPr/>
                        <wps:spPr bwMode="auto">
                          <a:xfrm>
                            <a:off x="5529154" y="987237"/>
                            <a:ext cx="1080" cy="2024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5" name="Line 1666"/>
                        <wps:cNvCnPr/>
                        <wps:spPr bwMode="auto">
                          <a:xfrm flipH="1">
                            <a:off x="5530234" y="1458995"/>
                            <a:ext cx="2699" cy="12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6" name="Text Box 1667"/>
                        <wps:cNvSpPr txBox="1">
                          <a:spLocks noChangeArrowheads="1"/>
                        </wps:cNvSpPr>
                        <wps:spPr bwMode="auto">
                          <a:xfrm>
                            <a:off x="778389" y="551644"/>
                            <a:ext cx="2973749" cy="326020"/>
                          </a:xfrm>
                          <a:prstGeom prst="rect">
                            <a:avLst/>
                          </a:prstGeom>
                          <a:solidFill>
                            <a:srgbClr val="FFFFFF"/>
                          </a:solidFill>
                          <a:ln w="9525">
                            <a:solidFill>
                              <a:srgbClr val="000000"/>
                            </a:solidFill>
                            <a:miter lim="800000"/>
                            <a:headEnd/>
                            <a:tailEnd/>
                          </a:ln>
                        </wps:spPr>
                        <wps:txbx>
                          <w:txbxContent>
                            <w:p w:rsidR="0042762F" w:rsidRPr="00DC433D" w:rsidRDefault="0042762F" w:rsidP="00C828B6">
                              <w:pPr>
                                <w:pStyle w:val="TableText0"/>
                                <w:rPr>
                                  <w:lang w:val="en-AU"/>
                                </w:rPr>
                              </w:pPr>
                              <w:r w:rsidRPr="00C828B6">
                                <w:t>Patients with colorectal obstruction due to an unknown diagnosis</w:t>
                              </w:r>
                              <w:r w:rsidRPr="00DC433D">
                                <w:rPr>
                                  <w:vertAlign w:val="superscript"/>
                                  <w:lang w:val="en-AU"/>
                                </w:rPr>
                                <w:t>a</w:t>
                              </w:r>
                            </w:p>
                          </w:txbxContent>
                        </wps:txbx>
                        <wps:bodyPr rot="0" vert="horz" wrap="square" lIns="78217" tIns="39109" rIns="78217" bIns="39109" anchor="t" anchorCtr="0" upright="1">
                          <a:noAutofit/>
                        </wps:bodyPr>
                      </wps:wsp>
                      <wps:wsp>
                        <wps:cNvPr id="1777" name="Line 1668"/>
                        <wps:cNvCnPr/>
                        <wps:spPr bwMode="auto">
                          <a:xfrm>
                            <a:off x="2370794" y="423718"/>
                            <a:ext cx="1080" cy="127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8" name="Line 1669"/>
                        <wps:cNvCnPr/>
                        <wps:spPr bwMode="auto">
                          <a:xfrm flipH="1" flipV="1">
                            <a:off x="2365396" y="875505"/>
                            <a:ext cx="2159" cy="114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9" name="Line 1670"/>
                        <wps:cNvCnPr/>
                        <wps:spPr bwMode="auto">
                          <a:xfrm flipV="1">
                            <a:off x="904702" y="987237"/>
                            <a:ext cx="2545689" cy="16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0" name="Line 1671"/>
                        <wps:cNvCnPr/>
                        <wps:spPr bwMode="auto">
                          <a:xfrm>
                            <a:off x="903622" y="1005049"/>
                            <a:ext cx="2699" cy="215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1" name="Line 1672"/>
                        <wps:cNvCnPr/>
                        <wps:spPr bwMode="auto">
                          <a:xfrm>
                            <a:off x="3449311" y="989396"/>
                            <a:ext cx="1080" cy="2024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2" name="Text Box 1673"/>
                        <wps:cNvSpPr txBox="1">
                          <a:spLocks noChangeArrowheads="1"/>
                        </wps:cNvSpPr>
                        <wps:spPr bwMode="auto">
                          <a:xfrm>
                            <a:off x="356267" y="1138912"/>
                            <a:ext cx="1149770" cy="272043"/>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Medically fit for surgery</w:t>
                              </w:r>
                            </w:p>
                          </w:txbxContent>
                        </wps:txbx>
                        <wps:bodyPr rot="0" vert="horz" wrap="square" lIns="78217" tIns="39109" rIns="78217" bIns="39109" anchor="t" anchorCtr="0" upright="1">
                          <a:noAutofit/>
                        </wps:bodyPr>
                      </wps:wsp>
                      <wps:wsp>
                        <wps:cNvPr id="1783" name="Line 1674"/>
                        <wps:cNvCnPr/>
                        <wps:spPr bwMode="auto">
                          <a:xfrm>
                            <a:off x="909020" y="1409876"/>
                            <a:ext cx="540" cy="1565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4" name="Text Box 1675"/>
                        <wps:cNvSpPr txBox="1">
                          <a:spLocks noChangeArrowheads="1"/>
                        </wps:cNvSpPr>
                        <wps:spPr bwMode="auto">
                          <a:xfrm>
                            <a:off x="0" y="4670619"/>
                            <a:ext cx="8511540" cy="673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2F" w:rsidRPr="00DC191C" w:rsidRDefault="0042762F" w:rsidP="0007443E">
                              <w:pPr>
                                <w:pStyle w:val="TableNotes"/>
                                <w:spacing w:after="0"/>
                                <w:ind w:left="0"/>
                                <w:rPr>
                                  <w:b/>
                                  <w:bCs/>
                                  <w:color w:val="FF0000"/>
                                  <w:lang w:val="en-US"/>
                                </w:rPr>
                              </w:pPr>
                              <w:r w:rsidRPr="00C828B6">
                                <w:t xml:space="preserve">Other surgery: Two- and three-stage resection techniques used to treat colorectal obstructions, strictures or stenosis. Hartmann’s procedure and primary anastomosis could be performed </w:t>
                              </w:r>
                              <w:r>
                                <w:t>alone</w:t>
                              </w:r>
                              <w:r w:rsidRPr="00C828B6">
                                <w:t xml:space="preserve"> or together with staged </w:t>
                              </w:r>
                              <w:r>
                                <w:t>surgical resection. Current MBS-</w:t>
                              </w:r>
                              <w:r w:rsidRPr="00C828B6">
                                <w:t>listed surgical resection techniques are listed in</w:t>
                              </w:r>
                              <w:r>
                                <w:t xml:space="preserve"> </w:t>
                              </w:r>
                              <w:r w:rsidRPr="006D7861">
                                <w:rPr>
                                  <w:rFonts w:eastAsia="SimSun"/>
                                  <w:lang w:eastAsia="zh-CN"/>
                                </w:rPr>
                                <w:t>Table 4</w:t>
                              </w:r>
                              <w:r>
                                <w:t xml:space="preserve">. </w:t>
                              </w:r>
                              <w:r w:rsidRPr="00C828B6">
                                <w:t xml:space="preserve">Subsequent surgical management: any surgical intervention including single-stage surgery and ‘other’ surgery. </w:t>
                              </w:r>
                            </w:p>
                            <w:p w:rsidR="0042762F" w:rsidRPr="00C828B6" w:rsidRDefault="0042762F" w:rsidP="0007443E">
                              <w:pPr>
                                <w:pStyle w:val="TableNotes"/>
                                <w:spacing w:after="0"/>
                                <w:ind w:left="0"/>
                              </w:pPr>
                              <w:r w:rsidRPr="00C828B6">
                                <w:t xml:space="preserve">Best supportive care: Conservative or clinical management of symptoms </w:t>
                              </w:r>
                              <w:r>
                                <w:t xml:space="preserve">without surgical intervention. </w:t>
                              </w:r>
                              <w:r>
                                <w:br/>
                              </w:r>
                              <w:proofErr w:type="gramStart"/>
                              <w:r>
                                <w:rPr>
                                  <w:lang w:val="en-AU"/>
                                </w:rPr>
                                <w:t xml:space="preserve">a </w:t>
                              </w:r>
                              <w:r>
                                <w:t xml:space="preserve"> </w:t>
                              </w:r>
                              <w:r w:rsidRPr="00C828B6">
                                <w:t>This</w:t>
                              </w:r>
                              <w:proofErr w:type="gramEnd"/>
                              <w:r w:rsidRPr="00C828B6">
                                <w:t xml:space="preserve"> group may include up to 25% of patients with colonic obstructions due to non-malignant aetiologies such as diverticulitis and Crohn’s disease</w:t>
                              </w:r>
                              <w:r>
                                <w:t>.</w:t>
                              </w:r>
                              <w:r>
                                <w:br/>
                              </w:r>
                              <w:proofErr w:type="gramStart"/>
                              <w:r>
                                <w:rPr>
                                  <w:lang w:val="en-AU"/>
                                </w:rPr>
                                <w:t xml:space="preserve">b </w:t>
                              </w:r>
                              <w:r w:rsidRPr="00C828B6">
                                <w:t xml:space="preserve"> Patients</w:t>
                              </w:r>
                              <w:proofErr w:type="gramEnd"/>
                              <w:r w:rsidRPr="00C828B6">
                                <w:t xml:space="preserve"> receive chemotherapy, radiotherapy and/or palliation in addition to ongoing medical management. The type and combination of treatment received is individually based.</w:t>
                              </w:r>
                            </w:p>
                          </w:txbxContent>
                        </wps:txbx>
                        <wps:bodyPr rot="0" vert="horz" wrap="square" lIns="78217" tIns="39109" rIns="78217" bIns="39109" anchor="t" anchorCtr="0" upright="1">
                          <a:noAutofit/>
                        </wps:bodyPr>
                      </wps:wsp>
                      <wps:wsp>
                        <wps:cNvPr id="1785" name="Line 1677"/>
                        <wps:cNvCnPr/>
                        <wps:spPr bwMode="auto">
                          <a:xfrm flipV="1">
                            <a:off x="1206989" y="1735896"/>
                            <a:ext cx="1029935"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6" name="Line 1678"/>
                        <wps:cNvCnPr/>
                        <wps:spPr bwMode="auto">
                          <a:xfrm>
                            <a:off x="1206989" y="2875888"/>
                            <a:ext cx="540" cy="453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7" name="Line 1679"/>
                        <wps:cNvCnPr/>
                        <wps:spPr bwMode="auto">
                          <a:xfrm flipH="1">
                            <a:off x="701198" y="3336850"/>
                            <a:ext cx="4858" cy="7276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8" name="Line 1680"/>
                        <wps:cNvCnPr/>
                        <wps:spPr bwMode="auto">
                          <a:xfrm flipH="1">
                            <a:off x="1565955" y="3337930"/>
                            <a:ext cx="8637" cy="7389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9" name="Line 1681"/>
                        <wps:cNvCnPr/>
                        <wps:spPr bwMode="auto">
                          <a:xfrm flipV="1">
                            <a:off x="705516" y="3333072"/>
                            <a:ext cx="864757" cy="4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0" name="Line 1682"/>
                        <wps:cNvCnPr/>
                        <wps:spPr bwMode="auto">
                          <a:xfrm>
                            <a:off x="1209688" y="1736436"/>
                            <a:ext cx="3779" cy="810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1" name="Line 1683"/>
                        <wps:cNvCnPr/>
                        <wps:spPr bwMode="auto">
                          <a:xfrm flipH="1" flipV="1">
                            <a:off x="1862304" y="1566409"/>
                            <a:ext cx="2159" cy="168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2" name="Line 1684"/>
                        <wps:cNvCnPr/>
                        <wps:spPr bwMode="auto">
                          <a:xfrm flipV="1">
                            <a:off x="1433165" y="1837912"/>
                            <a:ext cx="797282" cy="91868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93" name="Text Box 1685"/>
                        <wps:cNvSpPr txBox="1">
                          <a:spLocks noChangeArrowheads="1"/>
                        </wps:cNvSpPr>
                        <wps:spPr bwMode="auto">
                          <a:xfrm>
                            <a:off x="963000" y="2548788"/>
                            <a:ext cx="492296" cy="395650"/>
                          </a:xfrm>
                          <a:prstGeom prst="rect">
                            <a:avLst/>
                          </a:prstGeom>
                          <a:solidFill>
                            <a:srgbClr val="FFFFFF"/>
                          </a:solidFill>
                          <a:ln w="9525">
                            <a:solidFill>
                              <a:srgbClr val="000000"/>
                            </a:solidFill>
                            <a:miter lim="800000"/>
                            <a:headEnd/>
                            <a:tailEnd/>
                          </a:ln>
                        </wps:spPr>
                        <wps:txbx>
                          <w:txbxContent>
                            <w:p w:rsidR="0042762F" w:rsidRPr="00C828B6" w:rsidRDefault="0042762F" w:rsidP="00DC433D">
                              <w:pPr>
                                <w:pStyle w:val="TableText0"/>
                              </w:pPr>
                              <w:r w:rsidRPr="00C828B6">
                                <w:t>Stent</w:t>
                              </w:r>
                              <w:r w:rsidRPr="00DC433D">
                                <w:rPr>
                                  <w:vertAlign w:val="superscript"/>
                                </w:rPr>
                                <w:t>b</w:t>
                              </w:r>
                            </w:p>
                          </w:txbxContent>
                        </wps:txbx>
                        <wps:bodyPr rot="0" vert="horz" wrap="square" lIns="78217" tIns="39109" rIns="78217" bIns="39109" anchor="t" anchorCtr="0" upright="1">
                          <a:noAutofit/>
                        </wps:bodyPr>
                      </wps:wsp>
                      <wps:wsp>
                        <wps:cNvPr id="1794" name="Line 1686"/>
                        <wps:cNvCnPr/>
                        <wps:spPr bwMode="auto">
                          <a:xfrm flipV="1">
                            <a:off x="205663" y="1567488"/>
                            <a:ext cx="1653942"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 name="Text Box 1687"/>
                        <wps:cNvSpPr txBox="1">
                          <a:spLocks noChangeArrowheads="1"/>
                        </wps:cNvSpPr>
                        <wps:spPr bwMode="auto">
                          <a:xfrm>
                            <a:off x="1933018" y="2548788"/>
                            <a:ext cx="618609" cy="382696"/>
                          </a:xfrm>
                          <a:prstGeom prst="rect">
                            <a:avLst/>
                          </a:prstGeom>
                          <a:solidFill>
                            <a:srgbClr val="FFFFFF"/>
                          </a:solidFill>
                          <a:ln w="9525">
                            <a:solidFill>
                              <a:srgbClr val="000000"/>
                            </a:solidFill>
                            <a:miter lim="800000"/>
                            <a:headEnd/>
                            <a:tailEnd/>
                          </a:ln>
                        </wps:spPr>
                        <wps:txbx>
                          <w:txbxContent>
                            <w:p w:rsidR="0042762F" w:rsidRPr="00C828B6" w:rsidRDefault="0042762F" w:rsidP="00DC433D">
                              <w:pPr>
                                <w:pStyle w:val="TableText0"/>
                              </w:pPr>
                              <w:r w:rsidRPr="00C828B6">
                                <w:t>Other surgery</w:t>
                              </w:r>
                              <w:r w:rsidRPr="00DC433D">
                                <w:rPr>
                                  <w:vertAlign w:val="superscript"/>
                                </w:rPr>
                                <w:t>b</w:t>
                              </w:r>
                            </w:p>
                          </w:txbxContent>
                        </wps:txbx>
                        <wps:bodyPr rot="0" vert="horz" wrap="square" lIns="78217" tIns="39109" rIns="78217" bIns="39109" anchor="t" anchorCtr="0" upright="1">
                          <a:noAutofit/>
                        </wps:bodyPr>
                      </wps:wsp>
                      <wps:wsp>
                        <wps:cNvPr id="1796" name="Line 1688"/>
                        <wps:cNvCnPr/>
                        <wps:spPr bwMode="auto">
                          <a:xfrm flipH="1">
                            <a:off x="202424" y="1568568"/>
                            <a:ext cx="5938" cy="976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7" name="Text Box 1689"/>
                        <wps:cNvSpPr txBox="1">
                          <a:spLocks noChangeArrowheads="1"/>
                        </wps:cNvSpPr>
                        <wps:spPr bwMode="auto">
                          <a:xfrm>
                            <a:off x="87447" y="4079032"/>
                            <a:ext cx="816175" cy="531132"/>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No further surgical management</w:t>
                              </w:r>
                            </w:p>
                          </w:txbxContent>
                        </wps:txbx>
                        <wps:bodyPr rot="0" vert="horz" wrap="square" lIns="78217" tIns="39109" rIns="78217" bIns="39109" anchor="t" anchorCtr="0" upright="1">
                          <a:noAutofit/>
                        </wps:bodyPr>
                      </wps:wsp>
                      <wps:wsp>
                        <wps:cNvPr id="1798" name="Text Box 1690"/>
                        <wps:cNvSpPr txBox="1">
                          <a:spLocks noChangeArrowheads="1"/>
                        </wps:cNvSpPr>
                        <wps:spPr bwMode="auto">
                          <a:xfrm>
                            <a:off x="1213467" y="4079032"/>
                            <a:ext cx="1115223" cy="531132"/>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Subsequent surgical management as indicated</w:t>
                              </w:r>
                            </w:p>
                          </w:txbxContent>
                        </wps:txbx>
                        <wps:bodyPr rot="0" vert="horz" wrap="square" lIns="78217" tIns="39109" rIns="78217" bIns="39109" anchor="t" anchorCtr="0" upright="1">
                          <a:noAutofit/>
                        </wps:bodyPr>
                      </wps:wsp>
                      <wps:wsp>
                        <wps:cNvPr id="1799" name="Line 1691"/>
                        <wps:cNvCnPr/>
                        <wps:spPr bwMode="auto">
                          <a:xfrm>
                            <a:off x="2248800" y="2926086"/>
                            <a:ext cx="3779" cy="11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0" name="Line 1692"/>
                        <wps:cNvCnPr/>
                        <wps:spPr bwMode="auto">
                          <a:xfrm>
                            <a:off x="205663" y="2944438"/>
                            <a:ext cx="10256" cy="1121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1" name="Line 1693"/>
                        <wps:cNvCnPr/>
                        <wps:spPr bwMode="auto">
                          <a:xfrm flipV="1">
                            <a:off x="801601" y="1569108"/>
                            <a:ext cx="395672" cy="125442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02" name="Text Box 1694"/>
                        <wps:cNvSpPr txBox="1">
                          <a:spLocks noChangeArrowheads="1"/>
                        </wps:cNvSpPr>
                        <wps:spPr bwMode="auto">
                          <a:xfrm>
                            <a:off x="226175" y="1775839"/>
                            <a:ext cx="977575" cy="607240"/>
                          </a:xfrm>
                          <a:prstGeom prst="rect">
                            <a:avLst/>
                          </a:prstGeom>
                          <a:solidFill>
                            <a:srgbClr val="FFFFFF"/>
                          </a:solidFill>
                          <a:ln w="9525">
                            <a:solidFill>
                              <a:srgbClr val="FFFFFF"/>
                            </a:solidFill>
                            <a:miter lim="800000"/>
                            <a:headEnd/>
                            <a:tailEnd/>
                          </a:ln>
                        </wps:spPr>
                        <wps:txbx>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During procedure</w:t>
                              </w:r>
                              <w:proofErr w:type="gramStart"/>
                              <w:r w:rsidRPr="007A5C4C">
                                <w:rPr>
                                  <w:rFonts w:ascii="Arial Narrow" w:hAnsi="Arial Narrow"/>
                                  <w:sz w:val="16"/>
                                  <w:szCs w:val="16"/>
                                </w:rPr>
                                <w:t>:</w:t>
                              </w:r>
                              <w:proofErr w:type="gramEnd"/>
                              <w:r w:rsidRPr="007A5C4C">
                                <w:rPr>
                                  <w:rFonts w:ascii="Arial Narrow" w:hAnsi="Arial Narrow"/>
                                  <w:sz w:val="16"/>
                                  <w:szCs w:val="16"/>
                                </w:rPr>
                                <w:br/>
                                <w:t xml:space="preserve">cure not possible or </w:t>
                              </w:r>
                              <w:r>
                                <w:rPr>
                                  <w:rFonts w:ascii="Arial Narrow" w:hAnsi="Arial Narrow"/>
                                  <w:sz w:val="16"/>
                                  <w:szCs w:val="16"/>
                                </w:rPr>
                                <w:t>multi-stage</w:t>
                              </w:r>
                              <w:r w:rsidRPr="007A5C4C">
                                <w:rPr>
                                  <w:rFonts w:ascii="Arial Narrow" w:hAnsi="Arial Narrow"/>
                                  <w:sz w:val="16"/>
                                  <w:szCs w:val="16"/>
                                </w:rPr>
                                <w:t xml:space="preserve"> surgery required</w:t>
                              </w:r>
                            </w:p>
                          </w:txbxContent>
                        </wps:txbx>
                        <wps:bodyPr rot="0" vert="horz" wrap="square" lIns="78217" tIns="39109" rIns="78217" bIns="39109" anchor="t" anchorCtr="0" upright="1">
                          <a:noAutofit/>
                        </wps:bodyPr>
                      </wps:wsp>
                      <wps:wsp>
                        <wps:cNvPr id="1803" name="Line 1695"/>
                        <wps:cNvCnPr/>
                        <wps:spPr bwMode="auto">
                          <a:xfrm>
                            <a:off x="2237464" y="1733737"/>
                            <a:ext cx="7557" cy="809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4" name="Text Box 1696"/>
                        <wps:cNvSpPr txBox="1">
                          <a:spLocks noChangeArrowheads="1"/>
                        </wps:cNvSpPr>
                        <wps:spPr bwMode="auto">
                          <a:xfrm>
                            <a:off x="1380804" y="1894048"/>
                            <a:ext cx="775150" cy="483093"/>
                          </a:xfrm>
                          <a:prstGeom prst="rect">
                            <a:avLst/>
                          </a:prstGeom>
                          <a:solidFill>
                            <a:srgbClr val="FFFFFF"/>
                          </a:solidFill>
                          <a:ln w="9525">
                            <a:solidFill>
                              <a:srgbClr val="FFFFFF"/>
                            </a:solidFill>
                            <a:miter lim="800000"/>
                            <a:headEnd/>
                            <a:tailEnd/>
                          </a:ln>
                        </wps:spPr>
                        <wps:txbx>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wps:txbx>
                        <wps:bodyPr rot="0" vert="horz" wrap="square" lIns="78217" tIns="39109" rIns="78217" bIns="39109" anchor="t" anchorCtr="0" upright="1">
                          <a:noAutofit/>
                        </wps:bodyPr>
                      </wps:wsp>
                      <wps:wsp>
                        <wps:cNvPr id="1805" name="Line 1698"/>
                        <wps:cNvCnPr/>
                        <wps:spPr bwMode="auto">
                          <a:xfrm flipV="1">
                            <a:off x="5633875" y="1749390"/>
                            <a:ext cx="1025617"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6" name="Line 1699"/>
                        <wps:cNvCnPr/>
                        <wps:spPr bwMode="auto">
                          <a:xfrm>
                            <a:off x="5629557" y="2889382"/>
                            <a:ext cx="540" cy="4534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7" name="Line 1700"/>
                        <wps:cNvCnPr/>
                        <wps:spPr bwMode="auto">
                          <a:xfrm flipH="1">
                            <a:off x="5123766" y="3350344"/>
                            <a:ext cx="4858" cy="723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8" name="Line 1701"/>
                        <wps:cNvCnPr/>
                        <wps:spPr bwMode="auto">
                          <a:xfrm flipH="1">
                            <a:off x="5988523" y="3351424"/>
                            <a:ext cx="8637" cy="7265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9" name="Line 1702"/>
                        <wps:cNvCnPr/>
                        <wps:spPr bwMode="auto">
                          <a:xfrm flipV="1">
                            <a:off x="5128084" y="3346566"/>
                            <a:ext cx="864757" cy="4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0" name="Line 1703"/>
                        <wps:cNvCnPr/>
                        <wps:spPr bwMode="auto">
                          <a:xfrm>
                            <a:off x="5632256" y="1749930"/>
                            <a:ext cx="3779" cy="79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1" name="Line 1704"/>
                        <wps:cNvCnPr/>
                        <wps:spPr bwMode="auto">
                          <a:xfrm flipH="1" flipV="1">
                            <a:off x="6284872" y="1579903"/>
                            <a:ext cx="2159" cy="168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2" name="Line 1705"/>
                        <wps:cNvCnPr/>
                        <wps:spPr bwMode="auto">
                          <a:xfrm flipV="1">
                            <a:off x="5863829" y="1847089"/>
                            <a:ext cx="785407" cy="8863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13" name="Text Box 1706"/>
                        <wps:cNvSpPr txBox="1">
                          <a:spLocks noChangeArrowheads="1"/>
                        </wps:cNvSpPr>
                        <wps:spPr bwMode="auto">
                          <a:xfrm>
                            <a:off x="5381250" y="2548788"/>
                            <a:ext cx="492296" cy="395650"/>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Stent</w:t>
                              </w:r>
                              <w:r w:rsidRPr="00DC433D">
                                <w:rPr>
                                  <w:vertAlign w:val="superscript"/>
                                </w:rPr>
                                <w:t>b</w:t>
                              </w:r>
                              <w:r w:rsidRPr="00C828B6">
                                <w:t xml:space="preserve"> </w:t>
                              </w:r>
                            </w:p>
                          </w:txbxContent>
                        </wps:txbx>
                        <wps:bodyPr rot="0" vert="horz" wrap="square" lIns="78217" tIns="39109" rIns="78217" bIns="39109" anchor="t" anchorCtr="0" upright="1">
                          <a:noAutofit/>
                        </wps:bodyPr>
                      </wps:wsp>
                      <wps:wsp>
                        <wps:cNvPr id="1814" name="Line 1707"/>
                        <wps:cNvCnPr/>
                        <wps:spPr bwMode="auto">
                          <a:xfrm flipV="1">
                            <a:off x="4616355" y="1580983"/>
                            <a:ext cx="166581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 name="Text Box 1708"/>
                        <wps:cNvSpPr txBox="1">
                          <a:spLocks noChangeArrowheads="1"/>
                        </wps:cNvSpPr>
                        <wps:spPr bwMode="auto">
                          <a:xfrm>
                            <a:off x="6350188" y="2548788"/>
                            <a:ext cx="631024" cy="382696"/>
                          </a:xfrm>
                          <a:prstGeom prst="rect">
                            <a:avLst/>
                          </a:prstGeom>
                          <a:solidFill>
                            <a:srgbClr val="FFFFFF"/>
                          </a:solidFill>
                          <a:ln w="9525">
                            <a:solidFill>
                              <a:srgbClr val="000000"/>
                            </a:solidFill>
                            <a:miter lim="800000"/>
                            <a:headEnd/>
                            <a:tailEnd/>
                          </a:ln>
                        </wps:spPr>
                        <wps:txbx>
                          <w:txbxContent>
                            <w:p w:rsidR="0042762F" w:rsidRPr="00C828B6" w:rsidRDefault="0042762F" w:rsidP="00DC433D">
                              <w:pPr>
                                <w:pStyle w:val="TableText0"/>
                              </w:pPr>
                              <w:r w:rsidRPr="00C828B6">
                                <w:t>Other surgery</w:t>
                              </w:r>
                              <w:r w:rsidRPr="00DC433D">
                                <w:rPr>
                                  <w:vertAlign w:val="superscript"/>
                                </w:rPr>
                                <w:t>b</w:t>
                              </w:r>
                            </w:p>
                          </w:txbxContent>
                        </wps:txbx>
                        <wps:bodyPr rot="0" vert="horz" wrap="square" lIns="78217" tIns="39109" rIns="78217" bIns="39109" anchor="t" anchorCtr="0" upright="1">
                          <a:noAutofit/>
                        </wps:bodyPr>
                      </wps:wsp>
                      <wps:wsp>
                        <wps:cNvPr id="1816" name="Line 1709"/>
                        <wps:cNvCnPr/>
                        <wps:spPr bwMode="auto">
                          <a:xfrm>
                            <a:off x="4630930" y="1582062"/>
                            <a:ext cx="2159" cy="9726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7" name="Text Box 1710"/>
                        <wps:cNvSpPr txBox="1">
                          <a:spLocks noChangeArrowheads="1"/>
                        </wps:cNvSpPr>
                        <wps:spPr bwMode="auto">
                          <a:xfrm>
                            <a:off x="4510015" y="4079032"/>
                            <a:ext cx="871234" cy="531132"/>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No further surgical management</w:t>
                              </w:r>
                            </w:p>
                          </w:txbxContent>
                        </wps:txbx>
                        <wps:bodyPr rot="0" vert="horz" wrap="square" lIns="78217" tIns="39109" rIns="78217" bIns="39109" anchor="t" anchorCtr="0" upright="1">
                          <a:noAutofit/>
                        </wps:bodyPr>
                      </wps:wsp>
                      <wps:wsp>
                        <wps:cNvPr id="1818" name="Text Box 1711"/>
                        <wps:cNvSpPr txBox="1">
                          <a:spLocks noChangeArrowheads="1"/>
                        </wps:cNvSpPr>
                        <wps:spPr bwMode="auto">
                          <a:xfrm>
                            <a:off x="5559923" y="4069316"/>
                            <a:ext cx="1115223" cy="531132"/>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Subsequent surgical management as indicated</w:t>
                              </w:r>
                            </w:p>
                          </w:txbxContent>
                        </wps:txbx>
                        <wps:bodyPr rot="0" vert="horz" wrap="square" lIns="78217" tIns="39109" rIns="78217" bIns="39109" anchor="t" anchorCtr="0" upright="1">
                          <a:noAutofit/>
                        </wps:bodyPr>
                      </wps:wsp>
                      <wps:wsp>
                        <wps:cNvPr id="1819" name="Line 1712"/>
                        <wps:cNvCnPr/>
                        <wps:spPr bwMode="auto">
                          <a:xfrm>
                            <a:off x="6671368" y="2922848"/>
                            <a:ext cx="3779" cy="1152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0" name="Line 1713"/>
                        <wps:cNvCnPr/>
                        <wps:spPr bwMode="auto">
                          <a:xfrm>
                            <a:off x="4640646" y="2931484"/>
                            <a:ext cx="6478" cy="1143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1" name="Line 1714"/>
                        <wps:cNvCnPr/>
                        <wps:spPr bwMode="auto">
                          <a:xfrm flipV="1">
                            <a:off x="5216071" y="1586380"/>
                            <a:ext cx="403769" cy="110922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22" name="Text Box 1715"/>
                        <wps:cNvSpPr txBox="1">
                          <a:spLocks noChangeArrowheads="1"/>
                        </wps:cNvSpPr>
                        <wps:spPr bwMode="auto">
                          <a:xfrm>
                            <a:off x="4640646" y="1789333"/>
                            <a:ext cx="985672" cy="607240"/>
                          </a:xfrm>
                          <a:prstGeom prst="rect">
                            <a:avLst/>
                          </a:prstGeom>
                          <a:solidFill>
                            <a:srgbClr val="FFFFFF"/>
                          </a:solidFill>
                          <a:ln w="9525">
                            <a:solidFill>
                              <a:srgbClr val="FFFFFF"/>
                            </a:solidFill>
                            <a:miter lim="800000"/>
                            <a:headEnd/>
                            <a:tailEnd/>
                          </a:ln>
                        </wps:spPr>
                        <wps:txbx>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During procedure</w:t>
                              </w:r>
                              <w:proofErr w:type="gramStart"/>
                              <w:r w:rsidRPr="007A5C4C">
                                <w:rPr>
                                  <w:rFonts w:ascii="Arial Narrow" w:hAnsi="Arial Narrow"/>
                                  <w:sz w:val="16"/>
                                  <w:szCs w:val="16"/>
                                </w:rPr>
                                <w:t>:</w:t>
                              </w:r>
                              <w:proofErr w:type="gramEnd"/>
                              <w:r w:rsidRPr="007A5C4C">
                                <w:rPr>
                                  <w:rFonts w:ascii="Arial Narrow" w:hAnsi="Arial Narrow"/>
                                  <w:sz w:val="16"/>
                                  <w:szCs w:val="16"/>
                                </w:rPr>
                                <w:br/>
                                <w:t xml:space="preserve">cure not possible or </w:t>
                              </w:r>
                              <w:r>
                                <w:rPr>
                                  <w:rFonts w:ascii="Arial Narrow" w:hAnsi="Arial Narrow"/>
                                  <w:sz w:val="16"/>
                                  <w:szCs w:val="16"/>
                                </w:rPr>
                                <w:t>multi-stage</w:t>
                              </w:r>
                              <w:r w:rsidRPr="007A5C4C">
                                <w:rPr>
                                  <w:rFonts w:ascii="Arial Narrow" w:hAnsi="Arial Narrow"/>
                                  <w:sz w:val="16"/>
                                  <w:szCs w:val="16"/>
                                </w:rPr>
                                <w:t xml:space="preserve"> surgery required</w:t>
                              </w:r>
                            </w:p>
                          </w:txbxContent>
                        </wps:txbx>
                        <wps:bodyPr rot="0" vert="horz" wrap="square" lIns="78217" tIns="39109" rIns="78217" bIns="39109" anchor="t" anchorCtr="0" upright="1">
                          <a:noAutofit/>
                        </wps:bodyPr>
                      </wps:wsp>
                      <wps:wsp>
                        <wps:cNvPr id="1823" name="Line 1716"/>
                        <wps:cNvCnPr/>
                        <wps:spPr bwMode="auto">
                          <a:xfrm>
                            <a:off x="6660032" y="1747231"/>
                            <a:ext cx="7557" cy="8004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4" name="Text Box 1717"/>
                        <wps:cNvSpPr txBox="1">
                          <a:spLocks noChangeArrowheads="1"/>
                        </wps:cNvSpPr>
                        <wps:spPr bwMode="auto">
                          <a:xfrm>
                            <a:off x="5803372" y="1907543"/>
                            <a:ext cx="775150" cy="483093"/>
                          </a:xfrm>
                          <a:prstGeom prst="rect">
                            <a:avLst/>
                          </a:prstGeom>
                          <a:solidFill>
                            <a:srgbClr val="FFFFFF"/>
                          </a:solidFill>
                          <a:ln w="9525">
                            <a:solidFill>
                              <a:srgbClr val="FFFFFF"/>
                            </a:solidFill>
                            <a:miter lim="800000"/>
                            <a:headEnd/>
                            <a:tailEnd/>
                          </a:ln>
                        </wps:spPr>
                        <wps:txbx>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wps:txbx>
                        <wps:bodyPr rot="0" vert="horz" wrap="square" lIns="78217" tIns="39109" rIns="78217" bIns="39109" anchor="t" anchorCtr="0" upright="1">
                          <a:noAutofit/>
                        </wps:bodyPr>
                      </wps:wsp>
                      <wps:wsp>
                        <wps:cNvPr id="1825" name="Line 1719"/>
                        <wps:cNvCnPr/>
                        <wps:spPr bwMode="auto">
                          <a:xfrm>
                            <a:off x="8196298" y="1375870"/>
                            <a:ext cx="2699" cy="117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6" name="Line 1720"/>
                        <wps:cNvCnPr/>
                        <wps:spPr bwMode="auto">
                          <a:xfrm>
                            <a:off x="8362016" y="3103130"/>
                            <a:ext cx="7017" cy="975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 name="Line 1721"/>
                        <wps:cNvCnPr/>
                        <wps:spPr bwMode="auto">
                          <a:xfrm>
                            <a:off x="7361770" y="1393143"/>
                            <a:ext cx="1080" cy="1152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8" name="Line 1722"/>
                        <wps:cNvCnPr/>
                        <wps:spPr bwMode="auto">
                          <a:xfrm>
                            <a:off x="7885914" y="3369776"/>
                            <a:ext cx="7557" cy="695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9" name="Text Box 1723"/>
                        <wps:cNvSpPr txBox="1">
                          <a:spLocks noChangeArrowheads="1"/>
                        </wps:cNvSpPr>
                        <wps:spPr bwMode="auto">
                          <a:xfrm>
                            <a:off x="7702382" y="2548788"/>
                            <a:ext cx="809158" cy="395650"/>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t>Best</w:t>
                              </w:r>
                              <w:r>
                                <w:rPr>
                                  <w:lang w:val="en-AU"/>
                                </w:rPr>
                                <w:t xml:space="preserve"> </w:t>
                              </w:r>
                              <w:r>
                                <w:t>supportive care</w:t>
                              </w:r>
                              <w:r w:rsidRPr="00DC433D">
                                <w:rPr>
                                  <w:vertAlign w:val="superscript"/>
                                </w:rPr>
                                <w:t>b</w:t>
                              </w:r>
                            </w:p>
                          </w:txbxContent>
                        </wps:txbx>
                        <wps:bodyPr rot="0" vert="horz" wrap="square" lIns="43200" tIns="0" rIns="43200" bIns="0" anchor="t" anchorCtr="0" upright="1">
                          <a:noAutofit/>
                        </wps:bodyPr>
                      </wps:wsp>
                      <wps:wsp>
                        <wps:cNvPr id="1830" name="Text Box 1724"/>
                        <wps:cNvSpPr txBox="1">
                          <a:spLocks noChangeArrowheads="1"/>
                        </wps:cNvSpPr>
                        <wps:spPr bwMode="auto">
                          <a:xfrm>
                            <a:off x="7783352" y="4079032"/>
                            <a:ext cx="715233" cy="531132"/>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 xml:space="preserve">No further surgical </w:t>
                              </w:r>
                              <w:r w:rsidRPr="003376B2">
                                <w:rPr>
                                  <w:sz w:val="16"/>
                                  <w:szCs w:val="16"/>
                                </w:rPr>
                                <w:t>managemen</w:t>
                              </w:r>
                              <w:r w:rsidRPr="00C828B6">
                                <w:t>t</w:t>
                              </w:r>
                            </w:p>
                          </w:txbxContent>
                        </wps:txbx>
                        <wps:bodyPr rot="0" vert="horz" wrap="square" lIns="78217" tIns="39109" rIns="78217" bIns="39109" anchor="t" anchorCtr="0" upright="1">
                          <a:noAutofit/>
                        </wps:bodyPr>
                      </wps:wsp>
                      <wps:wsp>
                        <wps:cNvPr id="1831" name="Text Box 1725"/>
                        <wps:cNvSpPr txBox="1">
                          <a:spLocks noChangeArrowheads="1"/>
                        </wps:cNvSpPr>
                        <wps:spPr bwMode="auto">
                          <a:xfrm>
                            <a:off x="6744780" y="4079032"/>
                            <a:ext cx="957602" cy="531132"/>
                          </a:xfrm>
                          <a:prstGeom prst="rect">
                            <a:avLst/>
                          </a:prstGeom>
                          <a:solidFill>
                            <a:srgbClr val="FFFFFF"/>
                          </a:solidFill>
                          <a:ln w="9525">
                            <a:solidFill>
                              <a:srgbClr val="000000"/>
                            </a:solidFill>
                            <a:miter lim="800000"/>
                            <a:headEnd/>
                            <a:tailEnd/>
                          </a:ln>
                        </wps:spPr>
                        <wps:txbx>
                          <w:txbxContent>
                            <w:p w:rsidR="0042762F" w:rsidRPr="003376B2" w:rsidRDefault="0042762F" w:rsidP="00C828B6">
                              <w:pPr>
                                <w:pStyle w:val="TableText0"/>
                                <w:rPr>
                                  <w:sz w:val="15"/>
                                  <w:szCs w:val="15"/>
                                </w:rPr>
                              </w:pPr>
                              <w:r w:rsidRPr="003376B2">
                                <w:rPr>
                                  <w:sz w:val="16"/>
                                  <w:szCs w:val="16"/>
                                </w:rPr>
                                <w:t>Subsequent</w:t>
                              </w:r>
                              <w:r w:rsidRPr="003376B2">
                                <w:rPr>
                                  <w:sz w:val="15"/>
                                  <w:szCs w:val="15"/>
                                </w:rPr>
                                <w:t xml:space="preserve"> </w:t>
                              </w:r>
                              <w:r w:rsidRPr="003376B2">
                                <w:rPr>
                                  <w:sz w:val="16"/>
                                  <w:szCs w:val="16"/>
                                </w:rPr>
                                <w:t>surgical management as indicated</w:t>
                              </w:r>
                            </w:p>
                          </w:txbxContent>
                        </wps:txbx>
                        <wps:bodyPr rot="0" vert="horz" wrap="square" lIns="78217" tIns="39109" rIns="78217" bIns="39109" anchor="t" anchorCtr="0" upright="1">
                          <a:noAutofit/>
                        </wps:bodyPr>
                      </wps:wsp>
                      <wps:wsp>
                        <wps:cNvPr id="1832" name="Line 1726"/>
                        <wps:cNvCnPr/>
                        <wps:spPr bwMode="auto">
                          <a:xfrm>
                            <a:off x="7357991" y="2932563"/>
                            <a:ext cx="4858" cy="430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3" name="Line 1727"/>
                        <wps:cNvCnPr/>
                        <wps:spPr bwMode="auto">
                          <a:xfrm>
                            <a:off x="7116701" y="3369776"/>
                            <a:ext cx="540" cy="7070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 name="Line 1728"/>
                        <wps:cNvCnPr/>
                        <wps:spPr bwMode="auto">
                          <a:xfrm flipV="1">
                            <a:off x="7116701" y="3362759"/>
                            <a:ext cx="76921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5" name="Line 1729"/>
                        <wps:cNvCnPr/>
                        <wps:spPr bwMode="auto">
                          <a:xfrm flipV="1">
                            <a:off x="7592803" y="1526466"/>
                            <a:ext cx="593778" cy="109195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36" name="Text Box 1730"/>
                        <wps:cNvSpPr txBox="1">
                          <a:spLocks noChangeArrowheads="1"/>
                        </wps:cNvSpPr>
                        <wps:spPr bwMode="auto">
                          <a:xfrm>
                            <a:off x="7413590" y="1651692"/>
                            <a:ext cx="775150" cy="483093"/>
                          </a:xfrm>
                          <a:prstGeom prst="rect">
                            <a:avLst/>
                          </a:prstGeom>
                          <a:solidFill>
                            <a:srgbClr val="FFFFFF"/>
                          </a:solidFill>
                          <a:ln w="9525">
                            <a:solidFill>
                              <a:srgbClr val="FFFFFF"/>
                            </a:solidFill>
                            <a:miter lim="800000"/>
                            <a:headEnd/>
                            <a:tailEnd/>
                          </a:ln>
                        </wps:spPr>
                        <wps:txbx>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wps:txbx>
                        <wps:bodyPr rot="0" vert="horz" wrap="square" lIns="78217" tIns="39109" rIns="78217" bIns="39109" anchor="t" anchorCtr="0" upright="1">
                          <a:noAutofit/>
                        </wps:bodyPr>
                      </wps:wsp>
                      <wps:wsp>
                        <wps:cNvPr id="1837" name="Text Box 1731"/>
                        <wps:cNvSpPr txBox="1">
                          <a:spLocks noChangeArrowheads="1"/>
                        </wps:cNvSpPr>
                        <wps:spPr bwMode="auto">
                          <a:xfrm>
                            <a:off x="2824225" y="1138912"/>
                            <a:ext cx="1333302" cy="253691"/>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Medically unfit for surgery</w:t>
                              </w:r>
                            </w:p>
                          </w:txbxContent>
                        </wps:txbx>
                        <wps:bodyPr rot="0" vert="horz" wrap="square" lIns="78217" tIns="39109" rIns="78217" bIns="39109" anchor="t" anchorCtr="0" upright="1">
                          <a:noAutofit/>
                        </wps:bodyPr>
                      </wps:wsp>
                      <wps:wsp>
                        <wps:cNvPr id="1838" name="Line 1732"/>
                        <wps:cNvCnPr/>
                        <wps:spPr bwMode="auto">
                          <a:xfrm>
                            <a:off x="4083035" y="3102591"/>
                            <a:ext cx="540" cy="966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9" name="Text Box 1733"/>
                        <wps:cNvSpPr txBox="1">
                          <a:spLocks noChangeArrowheads="1"/>
                        </wps:cNvSpPr>
                        <wps:spPr bwMode="auto">
                          <a:xfrm>
                            <a:off x="2793456" y="2548788"/>
                            <a:ext cx="520366" cy="394571"/>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Stent</w:t>
                              </w:r>
                              <w:r w:rsidRPr="00DC433D">
                                <w:rPr>
                                  <w:vertAlign w:val="superscript"/>
                                </w:rPr>
                                <w:t>b</w:t>
                              </w:r>
                              <w:r w:rsidRPr="00C828B6">
                                <w:t xml:space="preserve"> </w:t>
                              </w:r>
                            </w:p>
                          </w:txbxContent>
                        </wps:txbx>
                        <wps:bodyPr rot="0" vert="horz" wrap="square" lIns="78217" tIns="39109" rIns="78217" bIns="39109" anchor="t" anchorCtr="0" upright="1">
                          <a:noAutofit/>
                        </wps:bodyPr>
                      </wps:wsp>
                      <wps:wsp>
                        <wps:cNvPr id="1840" name="Line 1734"/>
                        <wps:cNvCnPr/>
                        <wps:spPr bwMode="auto">
                          <a:xfrm flipH="1">
                            <a:off x="3066594" y="1403399"/>
                            <a:ext cx="2699" cy="114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1" name="Line 1735"/>
                        <wps:cNvCnPr/>
                        <wps:spPr bwMode="auto">
                          <a:xfrm>
                            <a:off x="3593437" y="3380032"/>
                            <a:ext cx="7557" cy="695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2" name="Text Box 1736"/>
                        <wps:cNvSpPr txBox="1">
                          <a:spLocks noChangeArrowheads="1"/>
                        </wps:cNvSpPr>
                        <wps:spPr bwMode="auto">
                          <a:xfrm>
                            <a:off x="3450391" y="2548788"/>
                            <a:ext cx="839926" cy="382696"/>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 xml:space="preserve">Best supportive </w:t>
                              </w:r>
                            </w:p>
                            <w:p w:rsidR="0042762F" w:rsidRPr="003376B2" w:rsidRDefault="0042762F" w:rsidP="00C828B6">
                              <w:pPr>
                                <w:ind w:left="0"/>
                                <w:jc w:val="center"/>
                                <w:rPr>
                                  <w:rFonts w:ascii="Arial Narrow" w:hAnsi="Arial Narrow" w:cs="Arial"/>
                                  <w:sz w:val="18"/>
                                  <w:szCs w:val="18"/>
                                </w:rPr>
                              </w:pPr>
                              <w:proofErr w:type="gramStart"/>
                              <w:r w:rsidRPr="003376B2">
                                <w:rPr>
                                  <w:rFonts w:ascii="Arial Narrow" w:hAnsi="Arial Narrow" w:cs="Arial"/>
                                  <w:sz w:val="18"/>
                                  <w:szCs w:val="18"/>
                                </w:rPr>
                                <w:t>care</w:t>
                              </w:r>
                              <w:r w:rsidRPr="00DC433D">
                                <w:rPr>
                                  <w:vertAlign w:val="superscript"/>
                                </w:rPr>
                                <w:t>b</w:t>
                              </w:r>
                              <w:proofErr w:type="gramEnd"/>
                              <w:r w:rsidRPr="003376B2">
                                <w:rPr>
                                  <w:rFonts w:ascii="Arial Narrow" w:hAnsi="Arial Narrow" w:cs="Arial"/>
                                  <w:sz w:val="18"/>
                                  <w:szCs w:val="18"/>
                                </w:rPr>
                                <w:t xml:space="preserve"> </w:t>
                              </w:r>
                            </w:p>
                          </w:txbxContent>
                        </wps:txbx>
                        <wps:bodyPr rot="0" vert="horz" wrap="square" lIns="78217" tIns="0" rIns="78217" bIns="0" anchor="t" anchorCtr="0" upright="1">
                          <a:noAutofit/>
                        </wps:bodyPr>
                      </wps:wsp>
                      <wps:wsp>
                        <wps:cNvPr id="1843" name="Text Box 1737"/>
                        <wps:cNvSpPr txBox="1">
                          <a:spLocks noChangeArrowheads="1"/>
                        </wps:cNvSpPr>
                        <wps:spPr bwMode="auto">
                          <a:xfrm>
                            <a:off x="3511388" y="4069316"/>
                            <a:ext cx="911180" cy="540848"/>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No further surgical management</w:t>
                              </w:r>
                            </w:p>
                          </w:txbxContent>
                        </wps:txbx>
                        <wps:bodyPr rot="0" vert="horz" wrap="square" lIns="78217" tIns="39109" rIns="78217" bIns="39109" anchor="t" anchorCtr="0" upright="1">
                          <a:noAutofit/>
                        </wps:bodyPr>
                      </wps:wsp>
                      <wps:wsp>
                        <wps:cNvPr id="1844" name="Text Box 1738"/>
                        <wps:cNvSpPr txBox="1">
                          <a:spLocks noChangeArrowheads="1"/>
                        </wps:cNvSpPr>
                        <wps:spPr bwMode="auto">
                          <a:xfrm>
                            <a:off x="2430172" y="4079032"/>
                            <a:ext cx="1020219" cy="531132"/>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Subsequent surgical management as indicated</w:t>
                              </w:r>
                            </w:p>
                          </w:txbxContent>
                        </wps:txbx>
                        <wps:bodyPr rot="0" vert="horz" wrap="square" lIns="78217" tIns="39109" rIns="78217" bIns="39109" anchor="t" anchorCtr="0" upright="1">
                          <a:noAutofit/>
                        </wps:bodyPr>
                      </wps:wsp>
                      <wps:wsp>
                        <wps:cNvPr id="1845" name="Line 1739"/>
                        <wps:cNvCnPr/>
                        <wps:spPr bwMode="auto">
                          <a:xfrm>
                            <a:off x="3069293" y="2942279"/>
                            <a:ext cx="1080" cy="43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6" name="Line 1740"/>
                        <wps:cNvCnPr/>
                        <wps:spPr bwMode="auto">
                          <a:xfrm>
                            <a:off x="2824225" y="3380032"/>
                            <a:ext cx="540" cy="69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7" name="Line 1741"/>
                        <wps:cNvCnPr/>
                        <wps:spPr bwMode="auto">
                          <a:xfrm flipV="1">
                            <a:off x="2824225" y="3373015"/>
                            <a:ext cx="76921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8" name="Line 1742"/>
                        <wps:cNvCnPr/>
                        <wps:spPr bwMode="auto">
                          <a:xfrm flipV="1">
                            <a:off x="3311123" y="1548596"/>
                            <a:ext cx="587301" cy="117831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49" name="Text Box 1743"/>
                        <wps:cNvSpPr txBox="1">
                          <a:spLocks noChangeArrowheads="1"/>
                        </wps:cNvSpPr>
                        <wps:spPr bwMode="auto">
                          <a:xfrm>
                            <a:off x="3121114" y="1661948"/>
                            <a:ext cx="775150" cy="483093"/>
                          </a:xfrm>
                          <a:prstGeom prst="rect">
                            <a:avLst/>
                          </a:prstGeom>
                          <a:solidFill>
                            <a:srgbClr val="FFFFFF"/>
                          </a:solidFill>
                          <a:ln w="9525">
                            <a:solidFill>
                              <a:srgbClr val="FFFFFF"/>
                            </a:solidFill>
                            <a:miter lim="800000"/>
                            <a:headEnd/>
                            <a:tailEnd/>
                          </a:ln>
                        </wps:spPr>
                        <wps:txbx>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wps:txbx>
                        <wps:bodyPr rot="0" vert="horz" wrap="square" lIns="78217" tIns="39109" rIns="78217" bIns="39109" anchor="t" anchorCtr="0" upright="1">
                          <a:noAutofit/>
                        </wps:bodyPr>
                      </wps:wsp>
                      <wps:wsp>
                        <wps:cNvPr id="1850" name="Line 1744"/>
                        <wps:cNvCnPr/>
                        <wps:spPr bwMode="auto">
                          <a:xfrm flipV="1">
                            <a:off x="3314362" y="3103130"/>
                            <a:ext cx="76921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1" name="Line 1745"/>
                        <wps:cNvCnPr/>
                        <wps:spPr bwMode="auto">
                          <a:xfrm flipH="1">
                            <a:off x="3906520" y="2931484"/>
                            <a:ext cx="540" cy="171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2" name="Line 1746"/>
                        <wps:cNvCnPr/>
                        <wps:spPr bwMode="auto">
                          <a:xfrm>
                            <a:off x="3313282" y="3099352"/>
                            <a:ext cx="540" cy="96672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53" name="Line 1747"/>
                        <wps:cNvCnPr/>
                        <wps:spPr bwMode="auto">
                          <a:xfrm flipH="1">
                            <a:off x="8186581" y="2931484"/>
                            <a:ext cx="540" cy="171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4" name="Line 1748"/>
                        <wps:cNvCnPr/>
                        <wps:spPr bwMode="auto">
                          <a:xfrm flipV="1">
                            <a:off x="7592803" y="3103670"/>
                            <a:ext cx="769213"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5" name="Line 1749"/>
                        <wps:cNvCnPr/>
                        <wps:spPr bwMode="auto">
                          <a:xfrm>
                            <a:off x="7592263" y="3112306"/>
                            <a:ext cx="540" cy="96672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56" name="Text Box 1750"/>
                        <wps:cNvSpPr txBox="1">
                          <a:spLocks noChangeArrowheads="1"/>
                        </wps:cNvSpPr>
                        <wps:spPr bwMode="auto">
                          <a:xfrm>
                            <a:off x="7098888" y="2548788"/>
                            <a:ext cx="520366" cy="394571"/>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Stent</w:t>
                              </w:r>
                              <w:r w:rsidRPr="00DC433D">
                                <w:rPr>
                                  <w:vertAlign w:val="superscript"/>
                                </w:rPr>
                                <w:t>b</w:t>
                              </w:r>
                              <w:r w:rsidRPr="00C828B6">
                                <w:t xml:space="preserve"> </w:t>
                              </w:r>
                            </w:p>
                          </w:txbxContent>
                        </wps:txbx>
                        <wps:bodyPr rot="0" vert="horz" wrap="square" lIns="78217" tIns="39109" rIns="78217" bIns="39109" anchor="t" anchorCtr="0" upright="1">
                          <a:noAutofit/>
                        </wps:bodyPr>
                      </wps:wsp>
                      <wps:wsp>
                        <wps:cNvPr id="1857" name="Line 1751"/>
                        <wps:cNvCnPr/>
                        <wps:spPr bwMode="auto">
                          <a:xfrm>
                            <a:off x="3899503" y="1394223"/>
                            <a:ext cx="7017" cy="1155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8" name="Text Box 1752"/>
                        <wps:cNvSpPr txBox="1">
                          <a:spLocks noChangeArrowheads="1"/>
                        </wps:cNvSpPr>
                        <wps:spPr bwMode="auto">
                          <a:xfrm>
                            <a:off x="3330556" y="104175"/>
                            <a:ext cx="2202377" cy="255311"/>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Large bowel obstruction, stricture or stenosis</w:t>
                              </w:r>
                            </w:p>
                          </w:txbxContent>
                        </wps:txbx>
                        <wps:bodyPr rot="0" vert="horz" wrap="square" lIns="78217" tIns="39109" rIns="78217" bIns="39109" anchor="t" anchorCtr="0" upright="1">
                          <a:noAutofit/>
                        </wps:bodyPr>
                      </wps:wsp>
                      <wps:wsp>
                        <wps:cNvPr id="1859" name="Text Box 1676"/>
                        <wps:cNvSpPr txBox="1">
                          <a:spLocks noChangeArrowheads="1"/>
                        </wps:cNvSpPr>
                        <wps:spPr bwMode="auto">
                          <a:xfrm>
                            <a:off x="0" y="2542311"/>
                            <a:ext cx="801601" cy="686586"/>
                          </a:xfrm>
                          <a:prstGeom prst="rect">
                            <a:avLst/>
                          </a:prstGeom>
                          <a:solidFill>
                            <a:srgbClr val="FFFFFF"/>
                          </a:solidFill>
                          <a:ln w="9525">
                            <a:solidFill>
                              <a:srgbClr val="000000"/>
                            </a:solidFill>
                            <a:miter lim="800000"/>
                            <a:headEnd/>
                            <a:tailEnd/>
                          </a:ln>
                        </wps:spPr>
                        <wps:txbx>
                          <w:txbxContent>
                            <w:p w:rsidR="0042762F" w:rsidRPr="00C828B6" w:rsidRDefault="0042762F" w:rsidP="00DC433D">
                              <w:pPr>
                                <w:ind w:left="0"/>
                                <w:jc w:val="center"/>
                                <w:rPr>
                                  <w:rFonts w:ascii="Arial" w:hAnsi="Arial" w:cs="Arial"/>
                                  <w:sz w:val="15"/>
                                  <w:szCs w:val="18"/>
                                </w:rPr>
                              </w:pPr>
                              <w:r w:rsidRPr="00C828B6">
                                <w:rPr>
                                  <w:rFonts w:ascii="Arial Narrow" w:hAnsi="Arial Narrow"/>
                                  <w:sz w:val="18"/>
                                  <w:lang w:eastAsia="en-US"/>
                                </w:rPr>
                                <w:t>Intended single</w:t>
                              </w:r>
                              <w:r>
                                <w:rPr>
                                  <w:rFonts w:ascii="Arial Narrow" w:hAnsi="Arial Narrow"/>
                                  <w:sz w:val="18"/>
                                  <w:lang w:eastAsia="en-US"/>
                                </w:rPr>
                                <w:t>-</w:t>
                              </w:r>
                              <w:r w:rsidRPr="00C828B6">
                                <w:rPr>
                                  <w:rFonts w:ascii="Arial Narrow" w:hAnsi="Arial Narrow"/>
                                  <w:sz w:val="18"/>
                                  <w:lang w:eastAsia="en-US"/>
                                </w:rPr>
                                <w:t>stage curative</w:t>
                              </w:r>
                              <w:r w:rsidRPr="00C828B6">
                                <w:rPr>
                                  <w:rFonts w:ascii="Arial" w:hAnsi="Arial" w:cs="Arial"/>
                                  <w:sz w:val="15"/>
                                  <w:szCs w:val="18"/>
                                </w:rPr>
                                <w:t xml:space="preserve"> surgery</w:t>
                              </w:r>
                              <w:r w:rsidRPr="00DC433D">
                                <w:rPr>
                                  <w:vertAlign w:val="superscript"/>
                                </w:rPr>
                                <w:t>b</w:t>
                              </w:r>
                            </w:p>
                            <w:p w:rsidR="0042762F" w:rsidRPr="00C828B6" w:rsidRDefault="0042762F" w:rsidP="00AC773F">
                              <w:pPr>
                                <w:spacing w:after="0"/>
                                <w:jc w:val="center"/>
                                <w:rPr>
                                  <w:color w:val="000000"/>
                                  <w:sz w:val="14"/>
                                  <w:szCs w:val="16"/>
                                </w:rPr>
                              </w:pPr>
                            </w:p>
                          </w:txbxContent>
                        </wps:txbx>
                        <wps:bodyPr rot="0" vert="horz" wrap="square" lIns="78217" tIns="39109" rIns="78217" bIns="39109" anchor="t" anchorCtr="0" upright="1">
                          <a:noAutofit/>
                        </wps:bodyPr>
                      </wps:wsp>
                      <wps:wsp>
                        <wps:cNvPr id="1860" name="Text Box 1718"/>
                        <wps:cNvSpPr txBox="1">
                          <a:spLocks noChangeArrowheads="1"/>
                        </wps:cNvSpPr>
                        <wps:spPr bwMode="auto">
                          <a:xfrm>
                            <a:off x="7174999" y="1189110"/>
                            <a:ext cx="1278782" cy="269884"/>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pStyle w:val="TableText0"/>
                              </w:pPr>
                              <w:r w:rsidRPr="00C828B6">
                                <w:t>Medically unfit for surgery</w:t>
                              </w:r>
                            </w:p>
                          </w:txbxContent>
                        </wps:txbx>
                        <wps:bodyPr rot="0" vert="horz" wrap="square" lIns="78217" tIns="39109" rIns="78217" bIns="39109" anchor="t" anchorCtr="0" upright="1">
                          <a:noAutofit/>
                        </wps:bodyPr>
                      </wps:wsp>
                      <wps:wsp>
                        <wps:cNvPr id="1861" name="Text Box 1697"/>
                        <wps:cNvSpPr txBox="1">
                          <a:spLocks noChangeArrowheads="1"/>
                        </wps:cNvSpPr>
                        <wps:spPr bwMode="auto">
                          <a:xfrm>
                            <a:off x="4422568" y="2548788"/>
                            <a:ext cx="801061" cy="680109"/>
                          </a:xfrm>
                          <a:prstGeom prst="rect">
                            <a:avLst/>
                          </a:prstGeom>
                          <a:solidFill>
                            <a:srgbClr val="FFFFFF"/>
                          </a:solidFill>
                          <a:ln w="9525">
                            <a:solidFill>
                              <a:srgbClr val="000000"/>
                            </a:solidFill>
                            <a:miter lim="800000"/>
                            <a:headEnd/>
                            <a:tailEnd/>
                          </a:ln>
                        </wps:spPr>
                        <wps:txbx>
                          <w:txbxContent>
                            <w:p w:rsidR="0042762F" w:rsidRPr="00C828B6" w:rsidRDefault="0042762F" w:rsidP="00C828B6">
                              <w:pPr>
                                <w:ind w:left="0"/>
                                <w:jc w:val="center"/>
                                <w:rPr>
                                  <w:rFonts w:ascii="Arial" w:hAnsi="Arial" w:cs="Arial"/>
                                  <w:sz w:val="15"/>
                                  <w:szCs w:val="18"/>
                                </w:rPr>
                              </w:pPr>
                              <w:r w:rsidRPr="00C828B6">
                                <w:rPr>
                                  <w:rFonts w:ascii="Arial Narrow" w:hAnsi="Arial Narrow"/>
                                  <w:sz w:val="18"/>
                                  <w:lang w:eastAsia="en-US"/>
                                </w:rPr>
                                <w:t>Intended single</w:t>
                              </w:r>
                              <w:r>
                                <w:rPr>
                                  <w:rFonts w:ascii="Arial Narrow" w:hAnsi="Arial Narrow"/>
                                  <w:sz w:val="18"/>
                                  <w:lang w:eastAsia="en-US"/>
                                </w:rPr>
                                <w:t>-</w:t>
                              </w:r>
                              <w:r w:rsidRPr="00C828B6">
                                <w:rPr>
                                  <w:rFonts w:ascii="Arial Narrow" w:hAnsi="Arial Narrow"/>
                                  <w:sz w:val="18"/>
                                  <w:lang w:eastAsia="en-US"/>
                                </w:rPr>
                                <w:t>stage curative</w:t>
                              </w:r>
                              <w:r w:rsidRPr="00C828B6">
                                <w:rPr>
                                  <w:rFonts w:ascii="Arial" w:hAnsi="Arial" w:cs="Arial"/>
                                  <w:sz w:val="15"/>
                                  <w:szCs w:val="18"/>
                                </w:rPr>
                                <w:t xml:space="preserve"> surgery</w:t>
                              </w:r>
                              <w:r w:rsidRPr="00DC433D">
                                <w:rPr>
                                  <w:vertAlign w:val="superscript"/>
                                </w:rPr>
                                <w:t>b</w:t>
                              </w:r>
                              <w:r w:rsidRPr="00C828B6">
                                <w:rPr>
                                  <w:rFonts w:ascii="Arial" w:hAnsi="Arial" w:cs="Arial"/>
                                  <w:sz w:val="15"/>
                                  <w:szCs w:val="18"/>
                                </w:rPr>
                                <w:t xml:space="preserve"> </w:t>
                              </w:r>
                            </w:p>
                          </w:txbxContent>
                        </wps:txbx>
                        <wps:bodyPr rot="0" vert="horz" wrap="square" lIns="78217" tIns="39109" rIns="78217" bIns="39109" anchor="t" anchorCtr="0" upright="1">
                          <a:noAutofit/>
                        </wps:bodyPr>
                      </wps:wsp>
                    </wpc:wpc>
                  </a:graphicData>
                </a:graphic>
              </wp:inline>
            </w:drawing>
          </mc:Choice>
          <mc:Fallback>
            <w:pict>
              <v:group id="Canvas 1654" o:spid="_x0000_s1254" editas="canvas" alt="Title: Figure 6  Proposed clinical management algorithm - Description: Figure 6  Proposed clinical management algorithm" style="width:670.2pt;height:432.75pt;mso-position-horizontal-relative:char;mso-position-vertical-relative:line" coordsize="85115,5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">
                <v:shape id="_x0000_s1255" type="#_x0000_t75" alt="Figure 6  Proposed clinical management algorithm" style="position:absolute;width:85115;height:54959;visibility:visible;mso-wrap-style:square">
                  <v:fill o:detectmouseclick="t"/>
                  <v:path o:connecttype="none"/>
                </v:shape>
                <v:shape id="Text Box 1656" o:spid="_x0000_s1256" type="#_x0000_t202" style="position:absolute;left:51286;top:5511;width:2931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t98QA&#10;AADdAAAADwAAAGRycy9kb3ducmV2LnhtbERPTWvCQBC9C/6HZQredNMK2kZXkarQgx6MtvU4Zsck&#10;mp0N2VXjv3cLBW/zeJ8znjamFFeqXWFZwWsvAkGcWl1wpmC3XXbfQTiPrLG0TAru5GA6abfGGGt7&#10;4w1dE5+JEMIuRgW591UspUtzMuh6tiIO3NHWBn2AdSZ1jbcQbkr5FkUDabDg0JBjRZ85pefkYhQc&#10;TnbxsZrvcP8t18OEfvs/a81KdV6a2QiEp8Y/xf/uLx3mDwd9+PsmnC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lbffEAAAA3QAAAA8AAAAAAAAAAAAAAAAAmAIAAGRycy9k&#10;b3ducmV2LnhtbFBLBQYAAAAABAAEAPUAAACJAwAAAAA=&#10;">
                  <v:textbox inset="2.17269mm,1.0864mm,2.17269mm,1.0864mm">
                    <w:txbxContent>
                      <w:p w:rsidR="0042762F" w:rsidRPr="00C828B6" w:rsidRDefault="0042762F" w:rsidP="00C828B6">
                        <w:pPr>
                          <w:pStyle w:val="TableText0"/>
                        </w:pPr>
                        <w:r w:rsidRPr="00C828B6">
                          <w:t xml:space="preserve">Patients with colorectal obstruction due to pre-diagnosed cancer </w:t>
                        </w:r>
                      </w:p>
                    </w:txbxContent>
                  </v:textbox>
                </v:shape>
                <v:line id="Line 1657" o:spid="_x0000_s1257" style="position:absolute;visibility:visible;mso-wrap-style:square" from="44927,3017" to="44938,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nXcUAAADdAAAADwAAAGRycy9kb3ducmV2LnhtbERPTWvCQBC9C/6HZYTedNNW0pK6irQU&#10;tAdRW2iPY3aaRLOzYXdN0n/vCkJv83ifM1v0phYtOV9ZVnA/SUAQ51ZXXCj4+nwfP4PwAVljbZkU&#10;/JGHxXw4mGGmbcc7avehEDGEfYYKyhCaTEqfl2TQT2xDHLlf6wyGCF0htcMuhptaPiRJKg1WHBtK&#10;bOi1pPy0PxsFm8dt2i7XH6v+e50e8rfd4efYOaXuRv3yBUSgPvyLb+6VjvOf0i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CnXcUAAADdAAAADwAAAAAAAAAA&#10;AAAAAAChAgAAZHJzL2Rvd25yZXYueG1sUEsFBgAAAAAEAAQA+QAAAJMDAAAAAA==&#10;"/>
                <v:line id="Line 1658" o:spid="_x0000_s1258" style="position:absolute;visibility:visible;mso-wrap-style:square" from="42266,24316" to="42266,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CX0sMAAADdAAAADwAAAGRycy9kb3ducmV2LnhtbERP32vCMBB+F/Y/hBv4pqmCdlajDIuw&#10;h22gjj3fmrMpay6liTX775fBwLf7+H7eZhdtKwbqfeNYwWyagSCunG64VvBxPkyeQPiArLF1TAp+&#10;yMNu+zDaYKHdjY80nEItUgj7AhWYELpCSl8ZsuinriNO3MX1FkOCfS11j7cUbls5z7KltNhwajDY&#10;0d5Q9X26WgW5KY8yl+Xr+b0cmtkqvsXPr5VS48f4vAYRKIa7+N/9otP8fLmA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gl9LDAAAA3QAAAA8AAAAAAAAAAAAA&#10;AAAAoQIAAGRycy9kb3ducmV2LnhtbFBLBQYAAAAABAAEAPkAAACRAwAAAAA=&#10;">
                  <v:stroke endarrow="block"/>
                </v:line>
                <v:line id="Line 1659" o:spid="_x0000_s1259" style="position:absolute;visibility:visible;mso-wrap-style:square" from="23718,4237" to="68322,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cscUAAADdAAAADwAAAGRycy9kb3ducmV2LnhtbERP32vCMBB+H/g/hBv4NtNNiKMaRZSB&#10;7mGoG8zHs7m1nc2lJFnb/ffLYLC3+/h+3mI12EZ05EPtWMP9JANBXDhTc6nh7fXp7hFEiMgGG8ek&#10;4ZsCrJajmwXmxvV8pO4US5FCOOSooYqxzaUMRUUWw8S1xIn7cN5iTNCX0njsU7ht5EOWKWmx5tRQ&#10;YUubiorr6ctqeJkeVLfeP++G9726FNvj5fzZe63Ht8N6DiLSEP/Ff+6dSfNnSsHvN+kE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6cscUAAADdAAAADwAAAAAAAAAA&#10;AAAAAAChAgAAZHJzL2Rvd25yZXYueG1sUEsFBgAAAAAEAAQA+QAAAJMDAAAAAA==&#10;"/>
                <v:line id="Line 1660" o:spid="_x0000_s1260" style="position:absolute;visibility:visible;mso-wrap-style:square" from="68311,4204" to="68322,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5KsUAAADdAAAADwAAAGRycy9kb3ducmV2LnhtbERPTWvCQBC9F/wPywi91Y0KUVJXkYqg&#10;PUi1hfY4ZqdJbHY27G6T9N93BcHbPN7nLFa9qUVLzleWFYxHCQji3OqKCwUf79unOQgfkDXWlknB&#10;H3lYLQcPC8y07fhI7SkUIoawz1BBGUKTSenzkgz6kW2II/dtncEQoSukdtjFcFPLSZKk0mDFsaHE&#10;hl5Kyn9Ov0bBYfqWtuv9667/3KfnfHM8f106p9TjsF8/gwjUh7v45t7pOH+WzuD6TTxB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I5KsUAAADdAAAADwAAAAAAAAAA&#10;AAAAAAChAgAAZHJzL2Rvd25yZXYueG1sUEsFBgAAAAAEAAQA+QAAAJMDAAAAAA==&#10;"/>
                <v:line id="Line 1661" o:spid="_x0000_s1261" style="position:absolute;flip:x y;visibility:visible;mso-wrap-style:square" from="68300,8776" to="68311,9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dwcUAAADdAAAADwAAAGRycy9kb3ducmV2LnhtbESPQWvCQBCF70L/wzKFXkQ3WrGSuooU&#10;LJ4UtdLrkB2T0OxsyK4m9tc7B8HbDO/Ne9/Ml52r1JWaUHo2MBomoIgzb0vODfwc14MZqBCRLVae&#10;ycCNAiwXL705pta3vKfrIeZKQjikaKCIsU61DllBDsPQ18SinX3jMMra5No22Eq4q/Q4SabaYcnS&#10;UGBNXwVlf4eLM4C8/X+ftSOa6G/6DePtrr86nY15e+1Wn6AidfFpflxvrOB/TAVXvpER9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dwcUAAADdAAAADwAAAAAAAAAA&#10;AAAAAAChAgAAZHJzL2Rvd25yZXYueG1sUEsFBgAAAAAEAAQA+QAAAJMDAAAAAA==&#10;"/>
                <v:line id="Line 1662" o:spid="_x0000_s1262" style="position:absolute;visibility:visible;mso-wrap-style:square" from="55291,9872" to="82022,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w8UAAADdAAAADwAAAGRycy9kb3ducmV2LnhtbERPTWvCQBC9C/6HZYTedNMWYpu6irQU&#10;1IOoLbTHMTtNotnZsLsm6b/vCkJv83ifM1v0phYtOV9ZVnA/SUAQ51ZXXCj4/HgfP4HwAVljbZkU&#10;/JKHxXw4mGGmbcd7ag+hEDGEfYYKyhCaTEqfl2TQT2xDHLkf6wyGCF0htcMuhptaPiRJKg1WHBtK&#10;bOi1pPx8uBgF28dd2i7Xm1X/tU6P+dv++H3qnFJ3o375AiJQH/7FN/dKx/nT9Bm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Iw8UAAADdAAAADwAAAAAAAAAA&#10;AAAAAAChAgAAZHJzL2Rvd25yZXYueG1sUEsFBgAAAAAEAAQA+QAAAJMDAAAAAA==&#10;"/>
                <v:line id="Line 1663" o:spid="_x0000_s1263" style="position:absolute;flip:x;visibility:visible;mso-wrap-style:square" from="82000,9883" to="82022,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HfMgAAADdAAAADwAAAGRycy9kb3ducmV2LnhtbESPQUsDMRCF70L/QxjBi7TZiti6Ni1F&#10;EDz0Ylu2eBs342bZzWRNYrv+e+cgeJvhvXnvm9Vm9L06U0xtYAPzWQGKuA625cbA8fAyXYJKGdli&#10;H5gM/FCCzXpytcLShgu/0XmfGyUhnEo04HIeSq1T7chjmoWBWLTPED1mWWOjbcSLhPte3xXFg/bY&#10;sjQ4HOjZUd3tv70BvdzdfsXtx31XdafTo6vqanjfGXNzPW6fQGUa87/57/rVCv5iIf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lHfMgAAADdAAAADwAAAAAA&#10;AAAAAAAAAAChAgAAZHJzL2Rvd25yZXYueG1sUEsFBgAAAAAEAAQA+QAAAJYDAAAAAA==&#10;"/>
                <v:shape id="Text Box 1664" o:spid="_x0000_s1264" type="#_x0000_t202" style="position:absolute;left:49407;top:12096;width:11681;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AxsQA&#10;AADdAAAADwAAAGRycy9kb3ducmV2LnhtbERPTWvCQBC9F/wPywje6kaFxkZXKWqhh3owTavHMTsm&#10;sdnZkN1q+u+7BcHbPN7nzJedqcWFWldZVjAaRiCIc6srLhRkH6+PUxDOI2usLZOCX3KwXPQe5pho&#10;e+UdXVJfiBDCLkEFpfdNIqXLSzLohrYhDtzJtgZ9gG0hdYvXEG5qOY6iJ2mw4tBQYkOrkvLv9Mco&#10;OJ7t5vl9neHhU27jlPaTr61mpQb97mUGwlPn7+Kb+02H+XE8gv9vw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wMbEAAAA3QAAAA8AAAAAAAAAAAAAAAAAmAIAAGRycy9k&#10;b3ducmV2LnhtbFBLBQYAAAAABAAEAPUAAACJAwAAAAA=&#10;">
                  <v:textbox inset="2.17269mm,1.0864mm,2.17269mm,1.0864mm">
                    <w:txbxContent>
                      <w:p w:rsidR="0042762F" w:rsidRPr="00C828B6" w:rsidRDefault="0042762F" w:rsidP="00C828B6">
                        <w:pPr>
                          <w:pStyle w:val="TableText0"/>
                        </w:pPr>
                        <w:r w:rsidRPr="00C828B6">
                          <w:t>Medically fit for surgery</w:t>
                        </w:r>
                      </w:p>
                    </w:txbxContent>
                  </v:textbox>
                </v:shape>
                <v:line id="Line 1665" o:spid="_x0000_s1265" style="position:absolute;visibility:visible;mso-wrap-style:square" from="55291,9872" to="55302,1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kxgMUAAADdAAAADwAAAGRycy9kb3ducmV2LnhtbERPS2vCQBC+F/oflil4q5s+iBJdRVoK&#10;2oOoFfQ4ZsckbXY27K5J+u/dgtDbfHzPmc57U4uWnK8sK3gaJiCIc6srLhTsvz4exyB8QNZYWyYF&#10;v+RhPru/m2KmbcdbanehEDGEfYYKyhCaTEqfl2TQD21DHLmzdQZDhK6Q2mEXw00tn5MklQYrjg0l&#10;NvRWUv6zuxgF65dN2i5Wn8v+sEpP+fv2dPzunFKDh34xARGoD//im3up4/zR6BX+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kxgMUAAADdAAAADwAAAAAAAAAA&#10;AAAAAAChAgAAZHJzL2Rvd25yZXYueG1sUEsFBgAAAAAEAAQA+QAAAJMDAAAAAA==&#10;"/>
                <v:line id="Line 1666" o:spid="_x0000_s1266" style="position:absolute;flip:x;visibility:visible;mso-wrap-style:square" from="55302,14589" to="55329,1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7k5MUAAADdAAAADwAAAGRycy9kb3ducmV2LnhtbERPTWsCMRC9C/0PYQq9SM22aLVbo0hB&#10;8OCltqx4GzfTzbKbyTaJuv33TUHwNo/3OfNlb1txJh9qxwqeRhkI4tLpmisFX5/rxxmIEJE1to5J&#10;wS8FWC7uBnPMtbvwB513sRIphEOOCkyMXS5lKA1ZDCPXESfu23mLMUFfSe3xksJtK5+z7EVarDk1&#10;GOzo3VDZ7E5WgZxthz9+dRw3RbPfv5qiLLrDVqmH+371BiJSH2/iq3uj0/zpdAL/36QT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7k5MUAAADdAAAADwAAAAAAAAAA&#10;AAAAAAChAgAAZHJzL2Rvd25yZXYueG1sUEsFBgAAAAAEAAQA+QAAAJMDAAAAAA==&#10;"/>
                <v:shape id="Text Box 1667" o:spid="_x0000_s1267" type="#_x0000_t202" style="position:absolute;left:7783;top:5516;width:29738;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YssQA&#10;AADdAAAADwAAAGRycy9kb3ducmV2LnhtbERPTWvCQBC9C/6HZQRvutGCsdFVRFvooR6a2upxzI5J&#10;NDsbsltN/71bKHibx/uc+bI1lbhS40rLCkbDCARxZnXJuYLd5+tgCsJ5ZI2VZVLwSw6Wi25njom2&#10;N/6ga+pzEULYJaig8L5OpHRZQQbd0NbEgTvZxqAPsMmlbvAWwk0lx1E0kQZLDg0F1rQuKLukP0bB&#10;8Wxfnt83Ozx8yW2c0v7pe6tZqX6vXc1AeGr9Q/zvftNhfhxP4O+bc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LWLLEAAAA3QAAAA8AAAAAAAAAAAAAAAAAmAIAAGRycy9k&#10;b3ducmV2LnhtbFBLBQYAAAAABAAEAPUAAACJAwAAAAA=&#10;">
                  <v:textbox inset="2.17269mm,1.0864mm,2.17269mm,1.0864mm">
                    <w:txbxContent>
                      <w:p w:rsidR="0042762F" w:rsidRPr="00DC433D" w:rsidRDefault="0042762F" w:rsidP="00C828B6">
                        <w:pPr>
                          <w:pStyle w:val="TableText0"/>
                          <w:rPr>
                            <w:lang w:val="en-AU"/>
                          </w:rPr>
                        </w:pPr>
                        <w:r w:rsidRPr="00C828B6">
                          <w:t>Patients with colorectal obstruction due to an unknown diagnosis</w:t>
                        </w:r>
                        <w:r w:rsidRPr="00DC433D">
                          <w:rPr>
                            <w:vertAlign w:val="superscript"/>
                            <w:lang w:val="en-AU"/>
                          </w:rPr>
                          <w:t>a</w:t>
                        </w:r>
                      </w:p>
                    </w:txbxContent>
                  </v:textbox>
                </v:shape>
                <v:line id="Line 1668" o:spid="_x0000_s1268" style="position:absolute;visibility:visible;mso-wrap-style:square" from="23707,4237" to="23718,5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uv98YAAADdAAAADwAAAGRycy9kb3ducmV2LnhtbERPS2vCQBC+F/oflin0VjetkEh0FWkR&#10;tIdSH6DHMTsmabOzYXebpP++WxC8zcf3nNliMI3oyPnasoLnUQKCuLC65lLBYb96moDwAVljY5kU&#10;/JKHxfz+boa5tj1vqduFUsQQ9jkqqEJocyl9UZFBP7ItceQu1hkMEbpSaod9DDeNfEmSVBqsOTZU&#10;2NJrRcX37sco+Bh/pt1y874ejpv0XLxtz6ev3in1+DAspyACDeEmvrrXOs7Psgz+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r/fGAAAA3QAAAA8AAAAAAAAA&#10;AAAAAAAAoQIAAGRycy9kb3ducmV2LnhtbFBLBQYAAAAABAAEAPkAAACUAwAAAAA=&#10;"/>
                <v:line id="Line 1669" o:spid="_x0000_s1269" style="position:absolute;flip:x y;visibility:visible;mso-wrap-style:square" from="23653,8755" to="23675,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LHMYAAADdAAAADwAAAGRycy9kb3ducmV2LnhtbESPT2vCQBDF70K/wzKFXkrdqEUlzSoi&#10;tHiyqBWvQ3byh2ZnQ3Y1aT9951DwNsN7895vsvXgGnWjLtSeDUzGCSji3NuaSwNfp/eXJagQkS02&#10;nsnADwVYrx5GGabW93yg2zGWSkI4pGigirFNtQ55RQ7D2LfEohW+cxhl7UptO+wl3DV6miRz7bBm&#10;aaiwpW1F+ffx6gwg739ny35Cr/qDLmG6/3zenAtjnh6HzRuoSEO8m/+vd1bwFwvBlW9k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cyxzGAAAA3QAAAA8AAAAAAAAA&#10;AAAAAAAAoQIAAGRycy9kb3ducmV2LnhtbFBLBQYAAAAABAAEAPkAAACUAwAAAAA=&#10;"/>
                <v:line id="Line 1670" o:spid="_x0000_s1270" style="position:absolute;flip:y;visibility:visible;mso-wrap-style:square" from="9047,9872" to="34503,10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u4cUAAADdAAAADwAAAGRycy9kb3ducmV2LnhtbERPTWsCMRC9F/ofwhS8SM0qpepqFCkU&#10;evBSLSvexs24WXYzWZNUt/++KQi9zeN9znLd21ZcyYfasYLxKANBXDpdc6Xga//+PAMRIrLG1jEp&#10;+KEA69XjwxJz7W78SdddrEQK4ZCjAhNjl0sZSkMWw8h1xIk7O28xJugrqT3eUrht5STLXqXFmlOD&#10;wY7eDJXN7tsqkLPt8OI3p5emaA6HuSnKojtulRo89ZsFiEh9/Bff3R86zZ9O5/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Pu4cUAAADdAAAADwAAAAAAAAAA&#10;AAAAAAChAgAAZHJzL2Rvd25yZXYueG1sUEsFBgAAAAAEAAQA+QAAAJMDAAAAAA==&#10;"/>
                <v:line id="Line 1671" o:spid="_x0000_s1271" style="position:absolute;visibility:visible;mso-wrap-style:square" from="9036,10050" to="9063,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HpMgAAADdAAAADwAAAGRycy9kb3ducmV2LnhtbESPT0vDQBDF70K/wzIFb3ajQiyx21IU&#10;ofUg9g+0x2l2TKLZ2bC7JvHbOwfB2wzvzXu/WaxG16qeQmw8G7idZaCIS28brgwcDy83c1AxIVts&#10;PZOBH4qwWk6uFlhYP/CO+n2qlIRwLNBAnVJXaB3LmhzGme+IRfvwwWGSNVTaBhwk3LX6Lsty7bBh&#10;aaixo6eayq/9tzPwdv+e9+vt62Y8bfNL+by7nD+HYMz1dFw/gko0pn/z3/XGCv7D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tdHpMgAAADdAAAADwAAAAAA&#10;AAAAAAAAAAChAgAAZHJzL2Rvd25yZXYueG1sUEsFBgAAAAAEAAQA+QAAAJYDAAAAAA==&#10;"/>
                <v:line id="Line 1672" o:spid="_x0000_s1272" style="position:absolute;visibility:visible;mso-wrap-style:square" from="34493,9893" to="34503,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P8UAAADdAAAADwAAAGRycy9kb3ducmV2LnhtbERPS2vCQBC+F/wPywje6sYKqaSuIi0F&#10;7UHqA9rjmJ0m0exs2N0m8d93C4K3+fieM1/2phYtOV9ZVjAZJyCIc6srLhQcD++PMxA+IGusLZOC&#10;K3lYLgYPc8y07XhH7T4UIoawz1BBGUKTSenzkgz6sW2II/djncEQoSukdtjFcFPLpyRJpcGKY0OJ&#10;Db2WlF/2v0bBdvqZtqvNx7r/2qSn/G13+j53TqnRsF+9gAjUh7v45l7rOP95NoH/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iP8UAAADdAAAADwAAAAAAAAAA&#10;AAAAAAChAgAAZHJzL2Rvd25yZXYueG1sUEsFBgAAAAAEAAQA+QAAAJMDAAAAAA==&#10;"/>
                <v:shape id="Text Box 1673" o:spid="_x0000_s1273" type="#_x0000_t202" style="position:absolute;left:3562;top:11389;width:11498;height: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ulsQA&#10;AADdAAAADwAAAGRycy9kb3ducmV2LnhtbERPTWvCQBC9F/wPywje6kYFtdFVSmvBgx6MtvU4Zsck&#10;NjsbsluN/94VBG/zeJ8znTemFGeqXWFZQa8bgSBOrS44U7Dbfr2OQTiPrLG0TAqu5GA+a71MMdb2&#10;whs6Jz4TIYRdjApy76tYSpfmZNB1bUUcuKOtDfoA60zqGi8h3JSyH0VDabDg0JBjRR85pX/Jv1Fw&#10;ONnF2+pzh/tvuR4l9Dv4WWtWqtNu3icgPDX+KX64lzrMH437cP8mn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LpbEAAAA3QAAAA8AAAAAAAAAAAAAAAAAmAIAAGRycy9k&#10;b3ducmV2LnhtbFBLBQYAAAAABAAEAPUAAACJAwAAAAA=&#10;">
                  <v:textbox inset="2.17269mm,1.0864mm,2.17269mm,1.0864mm">
                    <w:txbxContent>
                      <w:p w:rsidR="0042762F" w:rsidRPr="00C828B6" w:rsidRDefault="0042762F" w:rsidP="00C828B6">
                        <w:pPr>
                          <w:pStyle w:val="TableText0"/>
                        </w:pPr>
                        <w:r w:rsidRPr="00C828B6">
                          <w:t>Medically fit for surgery</w:t>
                        </w:r>
                      </w:p>
                    </w:txbxContent>
                  </v:textbox>
                </v:shape>
                <v:line id="Line 1674" o:spid="_x0000_s1274" style="position:absolute;visibility:visible;mso-wrap-style:square" from="9090,14098" to="9095,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Z08UAAADdAAAADwAAAGRycy9kb3ducmV2LnhtbERPS2vCQBC+F/wPywi91U0rpBJdRVoK&#10;2kOpD9DjmB2TtNnZsLtN0n/vCoK3+fieM1v0phYtOV9ZVvA8SkAQ51ZXXCjY7z6eJiB8QNZYWyYF&#10;/+RhMR88zDDTtuMNtdtQiBjCPkMFZQhNJqXPSzLoR7YhjtzZOoMhQldI7bCL4aaWL0mSSoMVx4YS&#10;G3orKf/d/hkFX+PvtF2uP1f9YZ2e8vfN6fjTOaUeh/1yCiJQH+7im3ul4/zXyRi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XZ08UAAADdAAAADwAAAAAAAAAA&#10;AAAAAAChAgAAZHJzL2Rvd25yZXYueG1sUEsFBgAAAAAEAAQA+QAAAJMDAAAAAA==&#10;"/>
                <v:shape id="Text Box 1675" o:spid="_x0000_s1275" type="#_x0000_t202" style="position:absolute;top:46706;width:85115;height:6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t8MA&#10;AADdAAAADwAAAGRycy9kb3ducmV2LnhtbERPTWvCQBC9C/6HZYRepG6U2krqKiK0eOgltrTXITtN&#10;gtnZkB3j1l/fLQi9zeN9znobXasG6kPj2cB8loEiLr1tuDLw8f5yvwIVBNli65kM/FCA7WY8WmNu&#10;/YULGo5SqRTCIUcDtUiXax3KmhyGme+IE/fte4eSYF9p2+MlhbtWL7LsUTtsODXU2NG+pvJ0PDsD&#10;2svwOS3iUF33+FXI8jW+lQtj7iZx9wxKKMq/+OY+2DT/afUAf9+k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T/t8MAAADdAAAADwAAAAAAAAAAAAAAAACYAgAAZHJzL2Rv&#10;d25yZXYueG1sUEsFBgAAAAAEAAQA9QAAAIgDAAAAAA==&#10;" stroked="f">
                  <v:textbox inset="2.17269mm,1.0864mm,2.17269mm,1.0864mm">
                    <w:txbxContent>
                      <w:p w:rsidR="0042762F" w:rsidRPr="00DC191C" w:rsidRDefault="0042762F" w:rsidP="0007443E">
                        <w:pPr>
                          <w:pStyle w:val="TableNotes"/>
                          <w:spacing w:after="0"/>
                          <w:ind w:left="0"/>
                          <w:rPr>
                            <w:b/>
                            <w:bCs/>
                            <w:color w:val="FF0000"/>
                            <w:lang w:val="en-US"/>
                          </w:rPr>
                        </w:pPr>
                        <w:r w:rsidRPr="00C828B6">
                          <w:t xml:space="preserve">Other surgery: Two- and three-stage resection techniques used to treat colorectal obstructions, strictures or stenosis. Hartmann’s procedure and primary anastomosis could be performed </w:t>
                        </w:r>
                        <w:r>
                          <w:t>alone</w:t>
                        </w:r>
                        <w:r w:rsidRPr="00C828B6">
                          <w:t xml:space="preserve"> or together with staged </w:t>
                        </w:r>
                        <w:r>
                          <w:t>surgical resection. Current MBS-</w:t>
                        </w:r>
                        <w:r w:rsidRPr="00C828B6">
                          <w:t>listed surgical resection techniques are listed in</w:t>
                        </w:r>
                        <w:r>
                          <w:t xml:space="preserve"> </w:t>
                        </w:r>
                        <w:r w:rsidRPr="006D7861">
                          <w:rPr>
                            <w:rFonts w:eastAsia="SimSun"/>
                            <w:lang w:eastAsia="zh-CN"/>
                          </w:rPr>
                          <w:t>Table 4</w:t>
                        </w:r>
                        <w:r>
                          <w:t xml:space="preserve">. </w:t>
                        </w:r>
                        <w:r w:rsidRPr="00C828B6">
                          <w:t xml:space="preserve">Subsequent surgical management: any surgical intervention including single-stage surgery and ‘other’ surgery. </w:t>
                        </w:r>
                      </w:p>
                      <w:p w:rsidR="0042762F" w:rsidRPr="00C828B6" w:rsidRDefault="0042762F" w:rsidP="0007443E">
                        <w:pPr>
                          <w:pStyle w:val="TableNotes"/>
                          <w:spacing w:after="0"/>
                          <w:ind w:left="0"/>
                        </w:pPr>
                        <w:r w:rsidRPr="00C828B6">
                          <w:t xml:space="preserve">Best supportive care: Conservative or clinical management of symptoms </w:t>
                        </w:r>
                        <w:r>
                          <w:t xml:space="preserve">without surgical intervention. </w:t>
                        </w:r>
                        <w:r>
                          <w:br/>
                        </w:r>
                        <w:proofErr w:type="gramStart"/>
                        <w:r>
                          <w:rPr>
                            <w:lang w:val="en-AU"/>
                          </w:rPr>
                          <w:t xml:space="preserve">a </w:t>
                        </w:r>
                        <w:r>
                          <w:t xml:space="preserve"> </w:t>
                        </w:r>
                        <w:r w:rsidRPr="00C828B6">
                          <w:t>This</w:t>
                        </w:r>
                        <w:proofErr w:type="gramEnd"/>
                        <w:r w:rsidRPr="00C828B6">
                          <w:t xml:space="preserve"> group may include up to 25% of patients with colonic obstructions due to non-malignant aetiologies such as diverticulitis and Crohn’s disease</w:t>
                        </w:r>
                        <w:r>
                          <w:t>.</w:t>
                        </w:r>
                        <w:r>
                          <w:br/>
                        </w:r>
                        <w:proofErr w:type="gramStart"/>
                        <w:r>
                          <w:rPr>
                            <w:lang w:val="en-AU"/>
                          </w:rPr>
                          <w:t xml:space="preserve">b </w:t>
                        </w:r>
                        <w:r w:rsidRPr="00C828B6">
                          <w:t xml:space="preserve"> Patients</w:t>
                        </w:r>
                        <w:proofErr w:type="gramEnd"/>
                        <w:r w:rsidRPr="00C828B6">
                          <w:t xml:space="preserve"> receive chemotherapy, radiotherapy and/or palliation in addition to ongoing medical management. The type and combination of treatment received is individually based.</w:t>
                        </w:r>
                      </w:p>
                    </w:txbxContent>
                  </v:textbox>
                </v:shape>
                <v:line id="Line 1677" o:spid="_x0000_s1276" style="position:absolute;flip:y;visibility:visible;mso-wrap-style:square" from="12069,17358" to="22369,17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uUw8YAAADdAAAADwAAAGRycy9kb3ducmV2LnhtbERPTWsCMRC9F/ofwhR6KZptaeu6NYoU&#10;Cj140ZYVb+Nm3Cy7mWyTVNd/b4RCb/N4nzNbDLYTR/KhcazgcZyBIK6cbrhW8P31McpBhIissXNM&#10;Cs4UYDG/vZlhod2J13TcxFqkEA4FKjAx9oWUoTJkMYxdT5y4g/MWY4K+ltrjKYXbTj5l2au02HBq&#10;MNjTu6Gq3fxaBTJfPfz45f65LdvtdmrKqux3K6Xu74blG4hIQ/wX/7k/dZo/yV/g+k06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LlMPGAAAA3QAAAA8AAAAAAAAA&#10;AAAAAAAAoQIAAGRycy9kb3ducmV2LnhtbFBLBQYAAAAABAAEAPkAAACUAwAAAAA=&#10;"/>
                <v:line id="Line 1678" o:spid="_x0000_s1277" style="position:absolute;visibility:visible;mso-wrap-style:square" from="12069,28758" to="12075,3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J6S8UAAADdAAAADwAAAGRycy9kb3ducmV2LnhtbERPTWvCQBC9C/6HZQRvurFCKqmrSEtB&#10;eyhVC+1xzI5JNDsbdrdJ+u+7BcHbPN7nLNe9qUVLzleWFcymCQji3OqKCwWfx9fJAoQPyBpry6Tg&#10;lzysV8PBEjNtO95TewiFiCHsM1RQhtBkUvq8JIN+ahviyJ2tMxgidIXUDrsYbmr5kCSpNFhxbCix&#10;oeeS8uvhxyh4n3+k7Wb3tu2/dukpf9mfvi+dU2o86jdPIAL14S6+ubc6zn9c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J6S8UAAADdAAAADwAAAAAAAAAA&#10;AAAAAAChAgAAZHJzL2Rvd25yZXYueG1sUEsFBgAAAAAEAAQA+QAAAJMDAAAAAA==&#10;"/>
                <v:line id="Line 1679" o:spid="_x0000_s1278" style="position:absolute;flip:x;visibility:visible;mso-wrap-style:square" from="7011,33368" to="7060,4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zSdcYAAADdAAAADwAAAGRycy9kb3ducmV2LnhtbESPQWvCQBCF70L/wzKFXkLdWMFo6iq1&#10;KhRKD1UPHofsNAnNzobsVOO/dwuCtxne+968mS9716gTdaH2bGA0TEERF97WXBo47LfPU1BBkC02&#10;nsnAhQIsFw+DOebWn/mbTjspVQzhkKOBSqTNtQ5FRQ7D0LfEUfvxnUOJa1dq2+E5hrtGv6TpRDus&#10;OV6osKX3iorf3Z+LNbZfvB6Pk5XTSTKjzVE+Uy3GPD32b6+ghHq5m2/0h41cNs3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c0nXGAAAA3QAAAA8AAAAAAAAA&#10;AAAAAAAAoQIAAGRycy9kb3ducmV2LnhtbFBLBQYAAAAABAAEAPkAAACUAwAAAAA=&#10;">
                  <v:stroke endarrow="block"/>
                </v:line>
                <v:line id="Line 1680" o:spid="_x0000_s1279" style="position:absolute;flip:x;visibility:visible;mso-wrap-style:square" from="15659,33379" to="15745,4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GB8YAAADdAAAADwAAAGRycy9kb3ducmV2LnhtbESPT0vDQBDF74LfYRnBSzAbLdQ2Zlv8&#10;00JBPFh78DhkxySYnQ3ZsU2/vXMQvM1j3u/Nm2o9hd4caUxdZAe3eQGGuI6+48bB4WN7swCTBNlj&#10;H5kcnCnBenV5UWHp44nf6biXxmgIpxIdtCJDaW2qWwqY8jgQ6+4rjgFF5dhYP+JJw0Nv74pibgN2&#10;rBdaHOi5pfp7/xO0xvaNX2az7CnYLFvS5lNeCyvOXV9Njw9ghCb5N//RO6/c/ULr6j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DRgfGAAAA3QAAAA8AAAAAAAAA&#10;AAAAAAAAoQIAAGRycy9kb3ducmV2LnhtbFBLBQYAAAAABAAEAPkAAACUAwAAAAA=&#10;">
                  <v:stroke endarrow="block"/>
                </v:line>
                <v:line id="Line 1681" o:spid="_x0000_s1280" style="position:absolute;flip:y;visibility:visible;mso-wrap-style:square" from="7055,33330" to="15702,33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aexsUAAADdAAAADwAAAGRycy9kb3ducmV2LnhtbERPTWsCMRC9F/ofwhS8SM1WSruuRhFB&#10;8OCltqz0Nt2Mm2U3k20Sdfvvm4LQ2zze5yxWg+3EhXxoHCt4mmQgiCunG64VfLxvH3MQISJr7ByT&#10;gh8KsFre3y2w0O7Kb3Q5xFqkEA4FKjAx9oWUoTJkMUxcT5y4k/MWY4K+ltrjNYXbTk6z7EVabDg1&#10;GOxpY6hqD2erQOb78bdffz23ZXs8zkxZlf3nXqnRw7Ceg4g0xH/xzb3Taf5rPoO/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aexsUAAADdAAAADwAAAAAAAAAA&#10;AAAAAAChAgAAZHJzL2Rvd25yZXYueG1sUEsFBgAAAAAEAAQA+QAAAJMDAAAAAA==&#10;"/>
                <v:line id="Line 1682" o:spid="_x0000_s1281" style="position:absolute;visibility:visible;mso-wrap-style:square" from="12096,17364" to="12134,25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JEbcUAAADdAAAADwAAAGRycy9kb3ducmV2LnhtbESPQU/DMAyF70j7D5EncWPpOFBalk3T&#10;KiQOgLQNcTaNaSoap2pCF/49PiBxs/We3/u82WU/qJmm2Ac2sF4VoIjbYHvuDLydH2/uQcWEbHEI&#10;TAZ+KMJuu7jaYG3DhY80n1KnJIRjjQZcSmOtdWwdeYyrMBKL9hkmj0nWqdN2wouE+0HfFsWd9tiz&#10;NDgc6eCo/Tp9ewOla4661M3z+bWZ+3WVX/L7R2XM9TLvH0Alyunf/Hf9ZAW/rIR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JEbcUAAADdAAAADwAAAAAAAAAA&#10;AAAAAAChAgAAZHJzL2Rvd25yZXYueG1sUEsFBgAAAAAEAAQA+QAAAJMDAAAAAA==&#10;">
                  <v:stroke endarrow="block"/>
                </v:line>
                <v:line id="Line 1683" o:spid="_x0000_s1282" style="position:absolute;flip:x y;visibility:visible;mso-wrap-style:square" from="18623,15664" to="18644,1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Ee8QAAADdAAAADwAAAGRycy9kb3ducmV2LnhtbERPS2vCQBC+F/oflin0UnQTFbUxq0ih&#10;0pNiVHodspMHZmdDdmvS/vquUOhtPr7npJvBNOJGnastK4jHEQji3OqaSwXn0/toCcJ5ZI2NZVLw&#10;TQ4268eHFBNtez7SLfOlCCHsElRQed8mUrq8IoNubFviwBW2M+gD7EqpO+xDuGnkJIrm0mDNoaHC&#10;lt4qyq/Zl1GAvP+ZLvuYZnJHn26yP7xsL4VSz0/DdgXC0+D/xX/uDx3mL15juH8TTp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qoR7xAAAAN0AAAAPAAAAAAAAAAAA&#10;AAAAAKECAABkcnMvZG93bnJldi54bWxQSwUGAAAAAAQABAD5AAAAkgMAAAAA&#10;"/>
                <v:line id="Line 1684" o:spid="_x0000_s1283" style="position:absolute;flip:y;visibility:visible;mso-wrap-style:square" from="14331,18379" to="22304,27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OOvsYAAADdAAAADwAAAGRycy9kb3ducmV2LnhtbESPQWvCQBCF74X+h2UK3urGQLVGVymC&#10;0INYTHrwOGTHJDY7G7IbXf+9KxS8zfDe9+bNch1MKy7Uu8aygsk4AUFcWt1wpeC32L5/gnAeWWNr&#10;mRTcyMF69fqyxEzbKx/okvtKxBB2GSqove8yKV1Zk0E3th1x1E62N+jj2ldS93iN4aaVaZJMpcGG&#10;44UaO9rUVP7lg4k1Poa2CJNhl+IxVAe7z08/55tSo7fwtQDhKfin+Z/+1pGbzVN4fBNH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Djr7GAAAA3QAAAA8AAAAAAAAA&#10;AAAAAAAAoQIAAGRycy9kb3ducmV2LnhtbFBLBQYAAAAABAAEAPkAAACUAwAAAAA=&#10;">
                  <v:stroke dashstyle="dash" endarrow="block"/>
                </v:line>
                <v:shape id="Text Box 1685" o:spid="_x0000_s1284" type="#_x0000_t202" style="position:absolute;left:9630;top:25487;width:4922;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d0MQA&#10;AADdAAAADwAAAGRycy9kb3ducmV2LnhtbERPTWvCQBC9F/wPywje6kaFqtFVRC30oAdTWz2O2TGJ&#10;ZmdDdqvx33cLQm/zeJ8znTemFDeqXWFZQa8bgSBOrS44U7D/fH8dgXAeWWNpmRQ8yMF81nqZYqzt&#10;nXd0S3wmQgi7GBXk3lexlC7NyaDr2oo4cGdbG/QB1pnUNd5DuCllP4repMGCQ0OOFS1zSq/Jj1Fw&#10;utj1eLPa4/FLbocJHQbfW81KddrNYgLCU+P/xU/3hw7zh+MB/H0TT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wHdDEAAAA3QAAAA8AAAAAAAAAAAAAAAAAmAIAAGRycy9k&#10;b3ducmV2LnhtbFBLBQYAAAAABAAEAPUAAACJAwAAAAA=&#10;">
                  <v:textbox inset="2.17269mm,1.0864mm,2.17269mm,1.0864mm">
                    <w:txbxContent>
                      <w:p w:rsidR="0042762F" w:rsidRPr="00C828B6" w:rsidRDefault="0042762F" w:rsidP="00DC433D">
                        <w:pPr>
                          <w:pStyle w:val="TableText0"/>
                        </w:pPr>
                        <w:r w:rsidRPr="00C828B6">
                          <w:t>Stent</w:t>
                        </w:r>
                        <w:r w:rsidRPr="00DC433D">
                          <w:rPr>
                            <w:vertAlign w:val="superscript"/>
                          </w:rPr>
                          <w:t>b</w:t>
                        </w:r>
                      </w:p>
                    </w:txbxContent>
                  </v:textbox>
                </v:shape>
                <v:line id="Line 1686" o:spid="_x0000_s1285" style="position:absolute;flip:y;visibility:visible;mso-wrap-style:square" from="2056,15674" to="18596,15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6nhcUAAADdAAAADwAAAGRycy9kb3ducmV2LnhtbERPTWsCMRC9F/ofwhS8SM22SKurUUQo&#10;ePBSLSu9jZvpZtnNZE2irv++KQi9zeN9znzZ21ZcyIfasYKXUQaCuHS65krB1/7jeQIiRGSNrWNS&#10;cKMAy8Xjwxxz7a78SZddrEQK4ZCjAhNjl0sZSkMWw8h1xIn7cd5iTNBXUnu8pnDbytcse5MWa04N&#10;BjtaGyqb3dkqkJPt8ORXx3FTNIfD1BRl0X1vlRo89asZiEh9/Bff3Rud5r9Px/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6nhcUAAADdAAAADwAAAAAAAAAA&#10;AAAAAAChAgAAZHJzL2Rvd25yZXYueG1sUEsFBgAAAAAEAAQA+QAAAJMDAAAAAA==&#10;"/>
                <v:shape id="Text Box 1687" o:spid="_x0000_s1286" type="#_x0000_t202" style="position:absolute;left:19330;top:25487;width:6186;height:3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gP8UA&#10;AADdAAAADwAAAGRycy9kb3ducmV2LnhtbERPyW7CMBC9I/EP1iD1RhxatUCKQaiLxAEOpCw9DvGQ&#10;BOJxFLuQ/j1GqtTbPL11JrPWVOJCjSstKxhEMQjizOqScwWbr8/+CITzyBory6TglxzMpt3OBBNt&#10;r7ymS+pzEULYJaig8L5OpHRZQQZdZGviwB1tY9AH2ORSN3gN4aaSj3H8Ig2WHBoKrOmtoOyc/hgF&#10;h5P9GC/fN/i9lathSvun3UqzUg+9dv4KwlPr/8V/7oUO84fjZ7h/E06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SA/xQAAAN0AAAAPAAAAAAAAAAAAAAAAAJgCAABkcnMv&#10;ZG93bnJldi54bWxQSwUGAAAAAAQABAD1AAAAigMAAAAA&#10;">
                  <v:textbox inset="2.17269mm,1.0864mm,2.17269mm,1.0864mm">
                    <w:txbxContent>
                      <w:p w:rsidR="0042762F" w:rsidRPr="00C828B6" w:rsidRDefault="0042762F" w:rsidP="00DC433D">
                        <w:pPr>
                          <w:pStyle w:val="TableText0"/>
                        </w:pPr>
                        <w:r w:rsidRPr="00C828B6">
                          <w:t>Other surgery</w:t>
                        </w:r>
                        <w:r w:rsidRPr="00DC433D">
                          <w:rPr>
                            <w:vertAlign w:val="superscript"/>
                          </w:rPr>
                          <w:t>b</w:t>
                        </w:r>
                      </w:p>
                    </w:txbxContent>
                  </v:textbox>
                </v:shape>
                <v:line id="Line 1688" o:spid="_x0000_s1287" style="position:absolute;flip:x;visibility:visible;mso-wrap-style:square" from="2024,15685" to="2083,2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nhM8YAAADdAAAADwAAAGRycy9kb3ducmV2LnhtbESPT2vCQBDF74LfYRnBS6gbFWxNXcW/&#10;UBAPtT30OGSnSWh2NmRHjd++Wyh4m+G935s3i1XnanWlNlSeDYxHKSji3NuKCwOfH4enF1BBkC3W&#10;nsnAnQKslv3eAjPrb/xO17MUKoZwyNBAKdJkWoe8JIdh5BviqH371qHEtS20bfEWw12tJ2k60w4r&#10;jhdKbGhbUv5zvrhY43Di3XSabJxOkjntv+SYajFmOOjWr6CEOnmY/+k3G7nn+Qz+vok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4TPGAAAA3QAAAA8AAAAAAAAA&#10;AAAAAAAAoQIAAGRycy9kb3ducmV2LnhtbFBLBQYAAAAABAAEAPkAAACUAwAAAAA=&#10;">
                  <v:stroke endarrow="block"/>
                </v:line>
                <v:shape id="Text Box 1689" o:spid="_x0000_s1288" type="#_x0000_t202" style="position:absolute;left:874;top:40790;width:8162;height: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b08QA&#10;AADdAAAADwAAAGRycy9kb3ducmV2LnhtbERPTWvCQBC9C/0Pywi9mY0tNBpdpbQVPOjB1LYex+yY&#10;pM3Ohuyq8d+7BcHbPN7nTOedqcWJWldZVjCMYhDEudUVFwq2n4vBCITzyBpry6TgQg7ms4feFFNt&#10;z7yhU+YLEULYpaig9L5JpXR5SQZdZBviwB1sa9AH2BZSt3gO4aaWT3H8Ig1WHBpKbOitpPwvOxoF&#10;+1/7MV69b3H3JddJRj/P32vNSj32u9cJCE+dv4tv7qUO85NxAv/fhB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G9PEAAAA3QAAAA8AAAAAAAAAAAAAAAAAmAIAAGRycy9k&#10;b3ducmV2LnhtbFBLBQYAAAAABAAEAPUAAACJAwAAAAA=&#10;">
                  <v:textbox inset="2.17269mm,1.0864mm,2.17269mm,1.0864mm">
                    <w:txbxContent>
                      <w:p w:rsidR="0042762F" w:rsidRPr="00C828B6" w:rsidRDefault="0042762F" w:rsidP="00C828B6">
                        <w:pPr>
                          <w:pStyle w:val="TableText0"/>
                        </w:pPr>
                        <w:r w:rsidRPr="00C828B6">
                          <w:t>No further surgical management</w:t>
                        </w:r>
                      </w:p>
                    </w:txbxContent>
                  </v:textbox>
                </v:shape>
                <v:shape id="Text Box 1690" o:spid="_x0000_s1289" type="#_x0000_t202" style="position:absolute;left:12134;top:40790;width:11152;height: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PoccA&#10;AADdAAAADwAAAGRycy9kb3ducmV2LnhtbESPQU/CQBCF7yb8h82QeJMtmoAUFkIEEw9woCJwHLtj&#10;W+jONt0V6r93DibeZvLevPfNbNG5Wl2pDZVnA8NBAoo497biwsD+/fXhGVSIyBZrz2TghwIs5r27&#10;GabW33hH1ywWSkI4pGigjLFJtQ55SQ7DwDfEon351mGUtS20bfEm4a7Wj0ky0g4rloYSG3opKb9k&#10;387A59mvJ5vVHk8fejvO6Ph02Fo25r7fLaegInXx3/x3/WYFfzwRXPlGR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Uj6HHAAAA3QAAAA8AAAAAAAAAAAAAAAAAmAIAAGRy&#10;cy9kb3ducmV2LnhtbFBLBQYAAAAABAAEAPUAAACMAwAAAAA=&#10;">
                  <v:textbox inset="2.17269mm,1.0864mm,2.17269mm,1.0864mm">
                    <w:txbxContent>
                      <w:p w:rsidR="0042762F" w:rsidRPr="00C828B6" w:rsidRDefault="0042762F" w:rsidP="00C828B6">
                        <w:pPr>
                          <w:pStyle w:val="TableText0"/>
                        </w:pPr>
                        <w:r w:rsidRPr="00C828B6">
                          <w:t>Subsequent surgical management as indicated</w:t>
                        </w:r>
                      </w:p>
                    </w:txbxContent>
                  </v:textbox>
                </v:shape>
                <v:line id="Line 1691" o:spid="_x0000_s1290" style="position:absolute;visibility:visible;mso-wrap-style:square" from="22488,29260" to="22525,4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jt8MMAAADdAAAADwAAAGRycy9kb3ducmV2LnhtbERPyWrDMBC9F/oPYgq5NXJ6iGsnSig1&#10;gRzSQhZ6nloTy9QaGUtxlL+PCoXe5vHWWa6j7cRIg28dK5hNMxDEtdMtNwpOx83zKwgfkDV2jknB&#10;jTysV48PSyy1u/KexkNoRAphX6ICE0JfSulrQxb91PXEiTu7wWJIcGikHvCawm0nX7JsLi22nBoM&#10;9vRuqP45XKyC3FR7mctqd/ysxnZWxI/49V0oNXmKbwsQgWL4F/+5tzrNz4sCfr9JJ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47fDDAAAA3QAAAA8AAAAAAAAAAAAA&#10;AAAAoQIAAGRycy9kb3ducmV2LnhtbFBLBQYAAAAABAAEAPkAAACRAwAAAAA=&#10;">
                  <v:stroke endarrow="block"/>
                </v:line>
                <v:line id="Line 1692" o:spid="_x0000_s1291" style="position:absolute;visibility:visible;mso-wrap-style:square" from="2056,29444" to="2159,4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xFvMYAAADdAAAADwAAAGRycy9kb3ducmV2LnhtbESPT0/DMAzF70h8h8hI3Fi6HdjWLZvQ&#10;KiQOgLQ/2tlrvKaicaomdOHb4wMSN1vv+b2f19vsOzXSENvABqaTAhRxHWzLjYHT8fVpASomZItd&#10;YDLwQxG2m/u7NZY23HhP4yE1SkI4lmjApdSXWsfakcc4CT2xaNcweEyyDo22A94k3Hd6VhTP2mPL&#10;0uCwp52j+uvw7Q3MXbXXc129Hz+rsZ0u80c+X5bGPD7klxWoRDn9m/+u36zgLwrhl29kBL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8RbzGAAAA3QAAAA8AAAAAAAAA&#10;AAAAAAAAoQIAAGRycy9kb3ducmV2LnhtbFBLBQYAAAAABAAEAPkAAACUAwAAAAA=&#10;">
                  <v:stroke endarrow="block"/>
                </v:line>
                <v:line id="Line 1693" o:spid="_x0000_s1292" style="position:absolute;flip:y;visibility:visible;mso-wrap-style:square" from="8016,15691" to="11972,2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RGMQAAADdAAAADwAAAGRycy9kb3ducmV2LnhtbESPQYvCMBCF7wv+hzCCt21aQZFqlGVB&#10;8LCsWD14HJqx7W4zKU2q8d8bQfA2w3vfmzerTTCtuFLvGssKsiQFQVxa3XCl4HTcfi5AOI+ssbVM&#10;Cu7kYLMefaww1/bGB7oWvhIxhF2OCmrvu1xKV9Zk0CW2I47axfYGfVz7SuoebzHctHKapnNpsOF4&#10;ocaOvmsq/4vBxBqzoT2GbPiZ4jlUB/tbXPZ/d6Um4/C1BOEp+Lf5Re905BZpBs9v4gh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xEYxAAAAN0AAAAPAAAAAAAAAAAA&#10;AAAAAKECAABkcnMvZG93bnJldi54bWxQSwUGAAAAAAQABAD5AAAAkgMAAAAA&#10;">
                  <v:stroke dashstyle="dash" endarrow="block"/>
                </v:line>
                <v:shape id="Text Box 1694" o:spid="_x0000_s1293" type="#_x0000_t202" style="position:absolute;left:2261;top:17758;width:9776;height:6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E2MMA&#10;AADdAAAADwAAAGRycy9kb3ducmV2LnhtbERPTWsCMRC9F/wPYQQvRRMtVVmNIgVB6KVaQY/DZtws&#10;u5ksm9Rd++ubQqG3ebzPWW97V4s7taH0rGE6USCIc29KLjScP/fjJYgQkQ3WnknDgwJsN4OnNWbG&#10;d3yk+ykWIoVwyFCDjbHJpAy5JYdh4hvixN186zAm2BbStNilcFfLmVJz6bDk1GCxoTdLeXX6chou&#10;1NlYXOXl+XpcvH5X7+rjBSutR8N+twIRqY//4j/3waT5SzWD32/S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nE2MMAAADdAAAADwAAAAAAAAAAAAAAAACYAgAAZHJzL2Rv&#10;d25yZXYueG1sUEsFBgAAAAAEAAQA9QAAAIgDAAAAAA==&#10;" strokecolor="white">
                  <v:textbox inset="2.17269mm,1.0864mm,2.17269mm,1.0864mm">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During procedure</w:t>
                        </w:r>
                        <w:proofErr w:type="gramStart"/>
                        <w:r w:rsidRPr="007A5C4C">
                          <w:rPr>
                            <w:rFonts w:ascii="Arial Narrow" w:hAnsi="Arial Narrow"/>
                            <w:sz w:val="16"/>
                            <w:szCs w:val="16"/>
                          </w:rPr>
                          <w:t>:</w:t>
                        </w:r>
                        <w:proofErr w:type="gramEnd"/>
                        <w:r w:rsidRPr="007A5C4C">
                          <w:rPr>
                            <w:rFonts w:ascii="Arial Narrow" w:hAnsi="Arial Narrow"/>
                            <w:sz w:val="16"/>
                            <w:szCs w:val="16"/>
                          </w:rPr>
                          <w:br/>
                          <w:t xml:space="preserve">cure not possible or </w:t>
                        </w:r>
                        <w:r>
                          <w:rPr>
                            <w:rFonts w:ascii="Arial Narrow" w:hAnsi="Arial Narrow"/>
                            <w:sz w:val="16"/>
                            <w:szCs w:val="16"/>
                          </w:rPr>
                          <w:t>multi-stage</w:t>
                        </w:r>
                        <w:r w:rsidRPr="007A5C4C">
                          <w:rPr>
                            <w:rFonts w:ascii="Arial Narrow" w:hAnsi="Arial Narrow"/>
                            <w:sz w:val="16"/>
                            <w:szCs w:val="16"/>
                          </w:rPr>
                          <w:t xml:space="preserve"> surgery required</w:t>
                        </w:r>
                      </w:p>
                    </w:txbxContent>
                  </v:textbox>
                </v:shape>
                <v:line id="Line 1695" o:spid="_x0000_s1294" style="position:absolute;visibility:visible;mso-wrap-style:square" from="22374,17337" to="22450,25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7by8MAAADdAAAADwAAAGRycy9kb3ducmV2LnhtbERPS2sCMRC+C/0PYQq9adYWqq5GEZdC&#10;D7XgA8/jZtwsbibLJl3Tf98IBW/z8T1nsYq2ET11vnasYDzKQBCXTtdcKTgePoZTED4ga2wck4Jf&#10;8rBaPg0WmGt34x31+1CJFMI+RwUmhDaX0peGLPqRa4kTd3GdxZBgV0nd4S2F20a+Ztm7tFhzajDY&#10;0sZQed3/WAUTU+zkRBZfh++ir8ezuI2n80ypl+e4noMIFMND/O/+1Gn+NHu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u28vDAAAA3QAAAA8AAAAAAAAAAAAA&#10;AAAAoQIAAGRycy9kb3ducmV2LnhtbFBLBQYAAAAABAAEAPkAAACRAwAAAAA=&#10;">
                  <v:stroke endarrow="block"/>
                </v:line>
                <v:shape id="Text Box 1696" o:spid="_x0000_s1295" type="#_x0000_t202" style="position:absolute;left:13808;top:18940;width:7751;height:4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5N8QA&#10;AADdAAAADwAAAGRycy9kb3ducmV2LnhtbERPS2sCMRC+F/wPYQq9FE2srZWtUaRQELzUB+hx2Ew3&#10;y24myya6q7/eFAq9zcf3nPmyd7W4UBtKzxrGIwWCOPem5ELDYf81nIEIEdlg7Zk0XCnAcjF4mGNm&#10;fMdbuuxiIVIIhww12BibTMqQW3IYRr4hTtyPbx3GBNtCmha7FO5q+aLUVDosOTVYbOjTUl7tzk7D&#10;kTobi5M8Pp+272+3aqO+J1hp/fTYrz5AROrjv/jPvTZp/ky9wu836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8+TfEAAAA3QAAAA8AAAAAAAAAAAAAAAAAmAIAAGRycy9k&#10;b3ducmV2LnhtbFBLBQYAAAAABAAEAPUAAACJAwAAAAA=&#10;" strokecolor="white">
                  <v:textbox inset="2.17269mm,1.0864mm,2.17269mm,1.0864mm">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v:textbox>
                </v:shape>
                <v:line id="Line 1698" o:spid="_x0000_s1296" style="position:absolute;flip:y;visibility:visible;mso-wrap-style:square" from="56338,17493" to="66594,1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wDz8UAAADdAAAADwAAAGRycy9kb3ducmV2LnhtbERPTWsCMRC9F/wPYQQvpWYrbVm3RhFB&#10;6MGLWlZ6GzfTzbKbyTZJdfvvTaHQ2zze5yxWg+3EhXxoHCt4nGYgiCunG64VvB+3DzmIEJE1do5J&#10;wQ8FWC1HdwsstLvyni6HWIsUwqFABSbGvpAyVIYshqnriRP36bzFmKCvpfZ4TeG2k7Mse5EWG04N&#10;BnvaGKraw7dVIPPd/Zdfn5/asj2d5qasyv5jp9RkPKxfQUQa4r/4z/2m0/w8e4b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wDz8UAAADdAAAADwAAAAAAAAAA&#10;AAAAAAChAgAAZHJzL2Rvd25yZXYueG1sUEsFBgAAAAAEAAQA+QAAAJMDAAAAAA==&#10;"/>
                <v:line id="Line 1699" o:spid="_x0000_s1297" style="position:absolute;visibility:visible;mso-wrap-style:square" from="56295,28893" to="56300,3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XtR8QAAADdAAAADwAAAGRycy9kb3ducmV2LnhtbERPTWvCQBC9C/6HZYTedGMLQaKriFLQ&#10;Hkq1gh7H7JhEs7Nhd5uk/75bKPQ2j/c5i1VvatGS85VlBdNJAoI4t7riQsHp83U8A+EDssbaMin4&#10;Jg+r5XCwwEzbjg/UHkMhYgj7DBWUITSZlD4vyaCf2IY4cjfrDIYIXSG1wy6Gm1o+J0kqDVYcG0ps&#10;aFNS/jh+GQXvLx9pu96/7frzPr3m28P1cu+cUk+jfj0HEagP/+I/907H+bMk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e1HxAAAAN0AAAAPAAAAAAAAAAAA&#10;AAAAAKECAABkcnMvZG93bnJldi54bWxQSwUGAAAAAAQABAD5AAAAkgMAAAAA&#10;"/>
                <v:line id="Line 1700" o:spid="_x0000_s1298" style="position:absolute;flip:x;visibility:visible;mso-wrap-style:square" from="51237,33503" to="51286,40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FecYAAADdAAAADwAAAGRycy9kb3ducmV2LnhtbESPQWvCQBCF74L/YRmhl1B3rVBt6ira&#10;VhDEQ20PPQ7ZaRLMzobsVNN/3xUK3mZ473vzZrHqfaPO1MU6sIXJ2IAiLoKrubTw+bG9n4OKguyw&#10;CUwWfinCajkcLDB34cLvdD5KqVIIxxwtVCJtrnUsKvIYx6ElTtp36DxKWrtSuw4vKdw3+sGYR+2x&#10;5nShwpZeKipOxx+famwP/DqdZhuvs+yJ3r5kb7RYezfq18+ghHq5mf/pnUvc3Mzg+k0a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7RXnGAAAA3QAAAA8AAAAAAAAA&#10;AAAAAAAAoQIAAGRycy9kb3ducmV2LnhtbFBLBQYAAAAABAAEAPkAAACUAwAAAAA=&#10;">
                  <v:stroke endarrow="block"/>
                </v:line>
                <v:line id="Line 1701" o:spid="_x0000_s1299" style="position:absolute;flip:x;visibility:visible;mso-wrap-style:square" from="59885,33514" to="59971,4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RC8YAAADdAAAADwAAAGRycy9kb3ducmV2LnhtbESPT0sDQQzF70K/w5CCl8XOaEHq2mmp&#10;fwqC9GDtocewE3eX7mSWndiu394cBG955P1eXpbrMXbmTENuE3u4nTkwxFUKLdceDp/bmwWYLMgB&#10;u8Tk4YcyrFeTqyWWIV34g857qY2GcC7RQyPSl9bmqqGIeZZ6Yt19pSGiqBxqGwa8aHjs7J1z9zZi&#10;y3qhwZ6eG6pO+++oNbY7fpnPi6doi+KBXo/y7qx4fz0dN49ghEb5N//Rb0G5hdO6+o2OY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0QvGAAAA3QAAAA8AAAAAAAAA&#10;AAAAAAAAoQIAAGRycy9kb3ducmV2LnhtbFBLBQYAAAAABAAEAPkAAACUAwAAAAA=&#10;">
                  <v:stroke endarrow="block"/>
                </v:line>
                <v:line id="Line 1702" o:spid="_x0000_s1300" style="position:absolute;flip:y;visibility:visible;mso-wrap-style:square" from="51280,33465" to="59928,3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JysUAAADdAAAADwAAAGRycy9kb3ducmV2LnhtbERPTWsCMRC9F/wPYYReimZbiqyrUaRQ&#10;6MFLtaz0Nm7GzbKbyTZJdfvvG0HwNo/3Ocv1YDtxJh8axwqepxkI4srphmsFX/v3SQ4iRGSNnWNS&#10;8EcB1qvRwxIL7S78SeddrEUK4VCgAhNjX0gZKkMWw9T1xIk7OW8xJuhrqT1eUrjt5EuWzaTFhlOD&#10;wZ7eDFXt7tcqkPn26cdvjq9t2R4Oc1NWZf+9VepxPGwWICIN8S6+uT90mp9nc7h+k06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EJysUAAADdAAAADwAAAAAAAAAA&#10;AAAAAAChAgAAZHJzL2Rvd25yZXYueG1sUEsFBgAAAAAEAAQA+QAAAJMDAAAAAA==&#10;"/>
                <v:line id="Line 1703" o:spid="_x0000_s1301" style="position:absolute;visibility:visible;mso-wrap-style:square" from="56322,17499" to="56360,2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YcYAAADdAAAADwAAAGRycy9kb3ducmV2LnhtbESPS0/DMBCE70j8B2uRuFEnPfQR6lao&#10;EVIPgNSHOC/xEkfE6yg2qfn37AGJ265mdubbzS77Xk00xi6wgXJWgCJugu24NXA5Pz+sQMWEbLEP&#10;TAZ+KMJue3uzwcqGKx9pOqVWSQjHCg24lIZK69g48hhnYSAW7TOMHpOsY6vtiFcJ972eF8VCe+xY&#10;GhwOtHfUfJ2+vYGlq496qeuX81s9deU6v+b3j7Ux93f56RFUopz+zX/XByv4q1L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02HGAAAA3QAAAA8AAAAAAAAA&#10;AAAAAAAAoQIAAGRycy9kb3ducmV2LnhtbFBLBQYAAAAABAAEAPkAAACUAwAAAAA=&#10;">
                  <v:stroke endarrow="block"/>
                </v:line>
                <v:line id="Line 1704" o:spid="_x0000_s1302" style="position:absolute;flip:x y;visibility:visible;mso-wrap-style:square" from="62848,15799" to="62870,17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0Td8IAAADdAAAADwAAAGRycy9kb3ducmV2LnhtbERPTYvCMBC9C/6HMIIX0bSuSKlGEUHZ&#10;k4uu4nVoxrbYTEoTbXd//UYQ9jaP9znLdWcq8aTGlZYVxJMIBHFmdcm5gvP3bpyAcB5ZY2WZFPyQ&#10;g/Wq31tiqm3LR3qefC5CCLsUFRTe16mULivIoJvYmjhwN9sY9AE2udQNtiHcVHIaRXNpsOTQUGBN&#10;24Ky++lhFCAffj+SNqaZ3NPVTQ9fo83lptRw0G0WIDx1/l/8dn/qMD+JY3h9E0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0Td8IAAADdAAAADwAAAAAAAAAAAAAA&#10;AAChAgAAZHJzL2Rvd25yZXYueG1sUEsFBgAAAAAEAAQA+QAAAJADAAAAAA==&#10;"/>
                <v:line id="Line 1705" o:spid="_x0000_s1303" style="position:absolute;flip:y;visibility:visible;mso-wrap-style:square" from="58638,18470" to="66492,2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QZssQAAADdAAAADwAAAGRycy9kb3ducmV2LnhtbESPQYvCMBCF7wv+hzCCtzVtwUWqUUQQ&#10;PCwrVg8eh2Zsq82kNKnGf28WFvY2w3vfmzfLdTCteFDvGssK0mkCgri0uuFKwfm0+5yDcB5ZY2uZ&#10;FLzIwXo1+lhiru2Tj/QofCViCLscFdTed7mUrqzJoJvajjhqV9sb9HHtK6l7fMZw08osSb6kwYbj&#10;hRo72tZU3ovBxBqzoT2FdPjO8BKqo/0profbS6nJOGwWIDwF/2/+o/c6cvM0g99v4ghy9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BmyxAAAAN0AAAAPAAAAAAAAAAAA&#10;AAAAAKECAABkcnMvZG93bnJldi54bWxQSwUGAAAAAAQABAD5AAAAkgMAAAAA&#10;">
                  <v:stroke dashstyle="dash" endarrow="block"/>
                </v:line>
                <v:shape id="Text Box 1706" o:spid="_x0000_s1304" type="#_x0000_t202" style="position:absolute;left:53812;top:25487;width:4923;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K3MQA&#10;AADdAAAADwAAAGRycy9kb3ducmV2LnhtbERPS2vCQBC+F/wPywi91U0qtBrdiPQBPdSD8Xkcs2MS&#10;m50N2a2m/74rCN7m43vOdNaZWpypdZVlBfEgAkGcW11xoWC9+nwagXAeWWNtmRT8kYNZ2nuYYqLt&#10;hZd0znwhQgi7BBWU3jeJlC4vyaAb2IY4cEfbGvQBtoXULV5CuKnlcxS9SIMVh4YSG3orKf/Jfo2C&#10;w8l+jL/f17jfyMVrRrvhdqFZqcd+N5+A8NT5u/jm/tJh/igewvWbcIJ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XitzEAAAA3QAAAA8AAAAAAAAAAAAAAAAAmAIAAGRycy9k&#10;b3ducmV2LnhtbFBLBQYAAAAABAAEAPUAAACJAwAAAAA=&#10;">
                  <v:textbox inset="2.17269mm,1.0864mm,2.17269mm,1.0864mm">
                    <w:txbxContent>
                      <w:p w:rsidR="0042762F" w:rsidRPr="00C828B6" w:rsidRDefault="0042762F" w:rsidP="00C828B6">
                        <w:pPr>
                          <w:pStyle w:val="TableText0"/>
                        </w:pPr>
                        <w:r w:rsidRPr="00C828B6">
                          <w:t>Stent</w:t>
                        </w:r>
                        <w:r w:rsidRPr="00DC433D">
                          <w:rPr>
                            <w:vertAlign w:val="superscript"/>
                          </w:rPr>
                          <w:t>b</w:t>
                        </w:r>
                        <w:r w:rsidRPr="00C828B6">
                          <w:t xml:space="preserve"> </w:t>
                        </w:r>
                      </w:p>
                    </w:txbxContent>
                  </v:textbox>
                </v:shape>
                <v:line id="Line 1707" o:spid="_x0000_s1305" style="position:absolute;flip:y;visibility:visible;mso-wrap-style:square" from="46163,15809" to="62821,1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kwicUAAADdAAAADwAAAGRycy9kb3ducmV2LnhtbERPTWsCMRC9F/wPYYReimYtUrarUaRQ&#10;6MFLraz0Nm7GzbKbyTZJdfvvG0HwNo/3Ocv1YDtxJh8axwpm0wwEceV0w7WC/df7JAcRIrLGzjEp&#10;+KMA69XoYYmFdhf+pPMu1iKFcChQgYmxL6QMlSGLYep64sSdnLcYE/S11B4vKdx28jnLXqTFhlOD&#10;wZ7eDFXt7tcqkPn26cdvjvO2bA+HV1NWZf+9VepxPGwWICIN8S6+uT90mp/P5n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kwicUAAADdAAAADwAAAAAAAAAA&#10;AAAAAAChAgAAZHJzL2Rvd25yZXYueG1sUEsFBgAAAAAEAAQA+QAAAJMDAAAAAA==&#10;"/>
                <v:shape id="Text Box 1708" o:spid="_x0000_s1306" type="#_x0000_t202" style="position:absolute;left:63501;top:25487;width:6311;height:3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3M8QA&#10;AADdAAAADwAAAGRycy9kb3ducmV2LnhtbERPS2vCQBC+F/wPyxS81Y0t2pi6irQKPeih8XmcZqdJ&#10;NDsbsqvGf+8WCr3Nx/ec8bQ1lbhQ40rLCvq9CARxZnXJuYLNevEUg3AeWWNlmRTcyMF00nkYY6Lt&#10;lb/okvpchBB2CSoovK8TKV1WkEHXszVx4H5sY9AH2ORSN3gN4aaSz1E0lAZLDg0F1vReUHZKz0bB&#10;99HOR8uPDR62cvWa0v5lt9KsVPexnb2B8NT6f/Gf+1OH+XF/AL/fhB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tzPEAAAA3QAAAA8AAAAAAAAAAAAAAAAAmAIAAGRycy9k&#10;b3ducmV2LnhtbFBLBQYAAAAABAAEAPUAAACJAwAAAAA=&#10;">
                  <v:textbox inset="2.17269mm,1.0864mm,2.17269mm,1.0864mm">
                    <w:txbxContent>
                      <w:p w:rsidR="0042762F" w:rsidRPr="00C828B6" w:rsidRDefault="0042762F" w:rsidP="00DC433D">
                        <w:pPr>
                          <w:pStyle w:val="TableText0"/>
                        </w:pPr>
                        <w:r w:rsidRPr="00C828B6">
                          <w:t>Other surgery</w:t>
                        </w:r>
                        <w:r w:rsidRPr="00DC433D">
                          <w:rPr>
                            <w:vertAlign w:val="superscript"/>
                          </w:rPr>
                          <w:t>b</w:t>
                        </w:r>
                      </w:p>
                    </w:txbxContent>
                  </v:textbox>
                </v:shape>
                <v:line id="Line 1709" o:spid="_x0000_s1307" style="position:absolute;visibility:visible;mso-wrap-style:square" from="46309,15820" to="46330,2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DujsMAAADdAAAADwAAAGRycy9kb3ducmV2LnhtbERPyWrDMBC9F/IPYgK9NbJ7yOJECaEm&#10;0ENbyELPU2timVgjYymO+vdVIZDbPN46q020rRio941jBfkkA0FcOd1wreB03L3MQfiArLF1TAp+&#10;ycNmPXpaYaHdjfc0HEItUgj7AhWYELpCSl8ZsugnriNO3Nn1FkOCfS11j7cUblv5mmVTabHh1GCw&#10;ozdD1eVwtQpmptzLmSw/jl/l0OSL+Bm/fxZKPY/jdgkiUAwP8d39rtP8eT6F/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A7o7DAAAA3QAAAA8AAAAAAAAAAAAA&#10;AAAAoQIAAGRycy9kb3ducmV2LnhtbFBLBQYAAAAABAAEAPkAAACRAwAAAAA=&#10;">
                  <v:stroke endarrow="block"/>
                </v:line>
                <v:shape id="Text Box 1710" o:spid="_x0000_s1308" type="#_x0000_t202" style="position:absolute;left:45100;top:40790;width:8712;height: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yM38QA&#10;AADdAAAADwAAAGRycy9kb3ducmV2LnhtbERPTWvCQBC9F/wPywje6kYLaqOriLbgoR6MtvU4Zsck&#10;mp0N2a2m/94VBG/zeJ8zmTWmFBeqXWFZQa8bgSBOrS44U7Dbfr6OQDiPrLG0TAr+ycFs2nqZYKzt&#10;lTd0SXwmQgi7GBXk3lexlC7NyaDr2oo4cEdbG/QB1pnUNV5DuCllP4oG0mDBoSHHihY5pefkzyg4&#10;nOzH+9dyh/tvuR4m9Pv2s9asVKfdzMcgPDX+KX64VzrMH/WGcP8mn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jN/EAAAA3QAAAA8AAAAAAAAAAAAAAAAAmAIAAGRycy9k&#10;b3ducmV2LnhtbFBLBQYAAAAABAAEAPUAAACJAwAAAAA=&#10;">
                  <v:textbox inset="2.17269mm,1.0864mm,2.17269mm,1.0864mm">
                    <w:txbxContent>
                      <w:p w:rsidR="0042762F" w:rsidRPr="00C828B6" w:rsidRDefault="0042762F" w:rsidP="00C828B6">
                        <w:pPr>
                          <w:pStyle w:val="TableText0"/>
                        </w:pPr>
                        <w:r w:rsidRPr="00C828B6">
                          <w:t>No further surgical management</w:t>
                        </w:r>
                      </w:p>
                    </w:txbxContent>
                  </v:textbox>
                </v:shape>
                <v:shape id="Text Box 1711" o:spid="_x0000_s1309" type="#_x0000_t202" style="position:absolute;left:55599;top:40693;width:11152;height: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YrccA&#10;AADdAAAADwAAAGRycy9kb3ducmV2LnhtbESPS2/CQAyE75X6H1ZG6q1saCUKgQWhPqQe4EB4Hk3W&#10;JClZb5TdQvrv60Ol3mzNeObzdN65Wl2pDZVnA4N+Aoo497biwsB28/E4AhUissXaMxn4oQDz2f3d&#10;FFPrb7ymaxYLJSEcUjRQxtikWoe8JIeh7xti0c6+dRhlbQttW7xJuKv1U5IMtcOKpaHEhl5Lyi/Z&#10;tzNw+vLv4+XbFo87vXrJ6PC8X1k25qHXLSagInXx3/x3/WkFfzQQXPlGRt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zGK3HAAAA3QAAAA8AAAAAAAAAAAAAAAAAmAIAAGRy&#10;cy9kb3ducmV2LnhtbFBLBQYAAAAABAAEAPUAAACMAwAAAAA=&#10;">
                  <v:textbox inset="2.17269mm,1.0864mm,2.17269mm,1.0864mm">
                    <w:txbxContent>
                      <w:p w:rsidR="0042762F" w:rsidRPr="00C828B6" w:rsidRDefault="0042762F" w:rsidP="00C828B6">
                        <w:pPr>
                          <w:pStyle w:val="TableText0"/>
                        </w:pPr>
                        <w:r w:rsidRPr="00C828B6">
                          <w:t>Subsequent surgical management as indicated</w:t>
                        </w:r>
                      </w:p>
                    </w:txbxContent>
                  </v:textbox>
                </v:shape>
                <v:line id="Line 1712" o:spid="_x0000_s1310" style="position:absolute;visibility:visible;mso-wrap-style:square" from="66713,29228" to="66751,4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96/MQAAADdAAAADwAAAGRycy9kb3ducmV2LnhtbERPyWrDMBC9B/oPYgq9JbJ7aGI3Sig1&#10;hR7aQBZynloTy8QaGUt11L+vAoHc5vHWWa6j7cRIg28dK8hnGQji2umWGwWH/cd0AcIHZI2dY1Lw&#10;Rx7Wq4fJEkvtLrylcRcakULYl6jAhNCXUvrakEU/cz1x4k5usBgSHBqpB7ykcNvJ5yx7kRZbTg0G&#10;e3o3VJ93v1bB3FRbOZfV135TjW1exO94/CmUenqMb68gAsVwF9/cnzrNX+QFXL9JJ8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33r8xAAAAN0AAAAPAAAAAAAAAAAA&#10;AAAAAKECAABkcnMvZG93bnJldi54bWxQSwUGAAAAAAQABAD5AAAAkgMAAAAA&#10;">
                  <v:stroke endarrow="block"/>
                </v:line>
                <v:line id="Line 1713" o:spid="_x0000_s1311" style="position:absolute;visibility:visible;mso-wrap-style:square" from="46406,29314" to="46471,4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Z3MYAAADdAAAADwAAAGRycy9kb3ducmV2LnhtbESPT0/DMAzF70j7DpGRuLF0O+xPWTah&#10;VUg7ANI2xNk0XlOtcaomdOHb4wMSN1vv+b2fN7vsOzXSENvABmbTAhRxHWzLjYGP88vjClRMyBa7&#10;wGTghyLstpO7DZY23PhI4yk1SkI4lmjApdSXWsfakcc4DT2xaJcweEyyDo22A94k3Hd6XhQL7bFl&#10;aXDY095RfT19ewNLVx31Ulev5/dqbGfr/JY/v9bGPNzn5ydQiXL6N/9dH6zgr+bCL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JGdzGAAAA3QAAAA8AAAAAAAAA&#10;AAAAAAAAoQIAAGRycy9kb3ducmV2LnhtbFBLBQYAAAAABAAEAPkAAACUAwAAAAA=&#10;">
                  <v:stroke endarrow="block"/>
                </v:line>
                <v:line id="Line 1714" o:spid="_x0000_s1312" style="position:absolute;flip:y;visibility:visible;mso-wrap-style:square" from="52160,15863" to="56198,2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NeMQAAADdAAAADwAAAGRycy9kb3ducmV2LnhtbESPQYvCMBCF7wv+hzCCtzVtwUWqUUQQ&#10;PCwrVg8eh2Zsq82kNKnGf28WFvY2w3vfmzfLdTCteFDvGssK0mkCgri0uuFKwfm0+5yDcB5ZY2uZ&#10;FLzIwXo1+lhiru2Tj/QofCViCLscFdTed7mUrqzJoJvajjhqV9sb9HHtK6l7fMZw08osSb6kwYbj&#10;hRo72tZU3ovBxBqzoT2FdPjO8BKqo/0profbS6nJOGwWIDwF/2/+o/c6cvMshd9v4ghy9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Wk14xAAAAN0AAAAPAAAAAAAAAAAA&#10;AAAAAKECAABkcnMvZG93bnJldi54bWxQSwUGAAAAAAQABAD5AAAAkgMAAAAA&#10;">
                  <v:stroke dashstyle="dash" endarrow="block"/>
                </v:line>
                <v:shape id="Text Box 1715" o:spid="_x0000_s1313" type="#_x0000_t202" style="position:absolute;left:46406;top:17893;width:9857;height:6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YuMQA&#10;AADdAAAADwAAAGRycy9kb3ducmV2LnhtbERPS2vCQBC+F/oflin0UnTTiFViNlIKhUIvPgp6HLJj&#10;NiQ7G7Jbk/bXu4LgbT6+5+Tr0bbiTL2vHSt4nSYgiEuna64U/Ow/J0sQPiBrbB2Tgj/ysC4eH3LM&#10;tBt4S+ddqEQMYZ+hAhNCl0npS0MW/dR1xJE7ud5iiLCvpO5xiOG2lWmSvEmLNccGgx19GCqb3a9V&#10;cKDBhOooDy/H7WL+33wnmxk2Sj0/je8rEIHGcBff3F86zl+mKVy/iSf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mLjEAAAA3QAAAA8AAAAAAAAAAAAAAAAAmAIAAGRycy9k&#10;b3ducmV2LnhtbFBLBQYAAAAABAAEAPUAAACJAwAAAAA=&#10;" strokecolor="white">
                  <v:textbox inset="2.17269mm,1.0864mm,2.17269mm,1.0864mm">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During procedure</w:t>
                        </w:r>
                        <w:proofErr w:type="gramStart"/>
                        <w:r w:rsidRPr="007A5C4C">
                          <w:rPr>
                            <w:rFonts w:ascii="Arial Narrow" w:hAnsi="Arial Narrow"/>
                            <w:sz w:val="16"/>
                            <w:szCs w:val="16"/>
                          </w:rPr>
                          <w:t>:</w:t>
                        </w:r>
                        <w:proofErr w:type="gramEnd"/>
                        <w:r w:rsidRPr="007A5C4C">
                          <w:rPr>
                            <w:rFonts w:ascii="Arial Narrow" w:hAnsi="Arial Narrow"/>
                            <w:sz w:val="16"/>
                            <w:szCs w:val="16"/>
                          </w:rPr>
                          <w:br/>
                          <w:t xml:space="preserve">cure not possible or </w:t>
                        </w:r>
                        <w:r>
                          <w:rPr>
                            <w:rFonts w:ascii="Arial Narrow" w:hAnsi="Arial Narrow"/>
                            <w:sz w:val="16"/>
                            <w:szCs w:val="16"/>
                          </w:rPr>
                          <w:t>multi-stage</w:t>
                        </w:r>
                        <w:r w:rsidRPr="007A5C4C">
                          <w:rPr>
                            <w:rFonts w:ascii="Arial Narrow" w:hAnsi="Arial Narrow"/>
                            <w:sz w:val="16"/>
                            <w:szCs w:val="16"/>
                          </w:rPr>
                          <w:t xml:space="preserve"> surgery required</w:t>
                        </w:r>
                      </w:p>
                    </w:txbxContent>
                  </v:textbox>
                </v:shape>
                <v:line id="Line 1716" o:spid="_x0000_s1314" style="position:absolute;visibility:visible;mso-wrap-style:square" from="66600,17472" to="66675,25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Hq8MAAADdAAAADwAAAGRycy9kb3ducmV2LnhtbERPS2sCMRC+F/ofwhS81awKPlajlC6C&#10;B1tQi+dxM26WbibLJl3jvzeFQm/z8T1ntYm2ET11vnasYDTMQBCXTtdcKfg6bV/nIHxA1tg4JgV3&#10;8rBZPz+tMNfuxgfqj6ESKYR9jgpMCG0upS8NWfRD1xIn7uo6iyHBrpK6w1sKt40cZ9lUWqw5NRhs&#10;6d1Q+X38sQpmpjjImSz2p8+ir0eL+BHPl4VSg5f4tgQRKIZ/8Z97p9P8+XgCv9+kE+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bh6vDAAAA3QAAAA8AAAAAAAAAAAAA&#10;AAAAoQIAAGRycy9kb3ducmV2LnhtbFBLBQYAAAAABAAEAPkAAACRAwAAAAA=&#10;">
                  <v:stroke endarrow="block"/>
                </v:line>
                <v:shape id="Text Box 1717" o:spid="_x0000_s1315" type="#_x0000_t202" style="position:absolute;left:58033;top:19075;width:7752;height:4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lV8QA&#10;AADdAAAADwAAAGRycy9kb3ducmV2LnhtbERPTWvCQBC9C/6HZQQvUjfa2kp0FSkIgpeqBT0O2TEb&#10;kp0N2a2J/fVuoeBtHu9zluvOVuJGjS8cK5iMExDEmdMF5wq+T9uXOQgfkDVWjknBnTysV/3eElPt&#10;Wj7Q7RhyEUPYp6jAhFCnUvrMkEU/djVx5K6usRgibHKpG2xjuK3kNEnepcWCY4PBmj4NZeXxxyo4&#10;U2tCfpHn0eXwMfst98nXK5ZKDQfdZgEiUBee4n/3Tsf58+kb/H0TT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pVfEAAAA3QAAAA8AAAAAAAAAAAAAAAAAmAIAAGRycy9k&#10;b3ducmV2LnhtbFBLBQYAAAAABAAEAPUAAACJAwAAAAA=&#10;" strokecolor="white">
                  <v:textbox inset="2.17269mm,1.0864mm,2.17269mm,1.0864mm">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v:textbox>
                </v:shape>
                <v:line id="Line 1719" o:spid="_x0000_s1316" style="position:absolute;visibility:visible;mso-wrap-style:square" from="81962,13758" to="81989,2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66RMMAAADdAAAADwAAAGRycy9kb3ducmV2LnhtbERPS2sCMRC+F/ofwhS81ayCr9UopYvg&#10;wRbU4nncjJulm8mySdf4702h0Nt8fM9ZbaJtRE+drx0rGA0zEMSl0zVXCr5O29c5CB+QNTaOScGd&#10;PGzWz08rzLW78YH6Y6hECmGfowITQptL6UtDFv3QtcSJu7rOYkiwq6Tu8JbCbSPHWTaVFmtODQZb&#10;ejdUfh9/rIKZKQ5yJov96bPo69EifsTzZaHU4CW+LUEEiuFf/Ofe6TR/Pp7A7zfpB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ukTDAAAA3QAAAA8AAAAAAAAAAAAA&#10;AAAAoQIAAGRycy9kb3ducmV2LnhtbFBLBQYAAAAABAAEAPkAAACRAwAAAAA=&#10;">
                  <v:stroke endarrow="block"/>
                </v:line>
                <v:line id="Line 1720" o:spid="_x0000_s1317" style="position:absolute;visibility:visible;mso-wrap-style:square" from="83620,31031" to="83690,4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wkM8MAAADdAAAADwAAAGRycy9kb3ducmV2LnhtbERPS2sCMRC+F/wPYQRvNasHH1ujiEvB&#10;gxV84Hm6mW6WbibLJl3jv2+EQm/z8T1ntYm2ET11vnasYDLOQBCXTtdcKbhe3l8XIHxA1tg4JgUP&#10;8rBZD15WmGt35xP151CJFMI+RwUmhDaX0peGLPqxa4kT9+U6iyHBrpK6w3sKt42cZtlMWqw5NRhs&#10;aWeo/D7/WAVzU5zkXBaHy7Ho68kyfsTb51Kp0TBu30AEiuFf/Ofe6zR/MZ3B85t0gl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sJDPDAAAA3QAAAA8AAAAAAAAAAAAA&#10;AAAAoQIAAGRycy9kb3ducmV2LnhtbFBLBQYAAAAABAAEAPkAAACRAwAAAAA=&#10;">
                  <v:stroke endarrow="block"/>
                </v:line>
                <v:line id="Line 1721" o:spid="_x0000_s1318" style="position:absolute;visibility:visible;mso-wrap-style:square" from="73617,13931" to="73628,2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CBqMMAAADdAAAADwAAAGRycy9kb3ducmV2LnhtbERPS2sCMRC+C/6HMEJvmtVDV1ejSJdC&#10;D23BBz1PN+NmcTNZNuma/vumIHibj+85m120rRio941jBfNZBoK4crrhWsH59DpdgvABWWPrmBT8&#10;kofddjzaYKHdjQ80HEMtUgj7AhWYELpCSl8ZsuhnriNO3MX1FkOCfS11j7cUblu5yLJnabHh1GCw&#10;oxdD1fX4YxXkpjzIXJbvp89yaOar+BG/vldKPU3ifg0iUAwP8d39ptP85SKH/2/SC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ggajDAAAA3QAAAA8AAAAAAAAAAAAA&#10;AAAAoQIAAGRycy9kb3ducmV2LnhtbFBLBQYAAAAABAAEAPkAAACRAwAAAAA=&#10;">
                  <v:stroke endarrow="block"/>
                </v:line>
                <v:line id="Line 1722" o:spid="_x0000_s1319" style="position:absolute;visibility:visible;mso-wrap-style:square" from="78859,33697" to="78934,40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V2sYAAADdAAAADwAAAGRycy9kb3ducmV2LnhtbESPT0/DMAzF70j7DpGRuLF0O+xPWTah&#10;VUg7ANI2xNk0XlOtcaomdOHb4wMSN1vv+b2fN7vsOzXSENvABmbTAhRxHWzLjYGP88vjClRMyBa7&#10;wGTghyLstpO7DZY23PhI4yk1SkI4lmjApdSXWsfakcc4DT2xaJcweEyyDo22A94k3Hd6XhQL7bFl&#10;aXDY095RfT19ewNLVx31Ulev5/dqbGfr/JY/v9bGPNzn5ydQiXL6N/9dH6zgr+aCK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drGAAAA3QAAAA8AAAAAAAAA&#10;AAAAAAAAoQIAAGRycy9kb3ducmV2LnhtbFBLBQYAAAAABAAEAPkAAACUAwAAAAA=&#10;">
                  <v:stroke endarrow="block"/>
                </v:line>
                <v:shape id="Text Box 1723" o:spid="_x0000_s1320" type="#_x0000_t202" style="position:absolute;left:77023;top:25487;width:8092;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NcMIA&#10;AADdAAAADwAAAGRycy9kb3ducmV2LnhtbERPzWrCQBC+F3yHZYTe6sagJU1dRYWKF8HaPsA0O2aD&#10;2dmQXZP49q4g9DYf3+8sVoOtRUetrxwrmE4SEMSF0xWXCn5/vt4yED4ga6wdk4IbeVgtRy8LzLXr&#10;+Zu6UyhFDGGfowITQpNL6QtDFv3ENcSRO7vWYoiwLaVusY/htpZpkrxLixXHBoMNbQ0Vl9PVKijX&#10;F+z+jsdeztKdvW7YHOazQanX8bD+BBFoCP/ip3uv4/ws/YDHN/E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1wwgAAAN0AAAAPAAAAAAAAAAAAAAAAAJgCAABkcnMvZG93&#10;bnJldi54bWxQSwUGAAAAAAQABAD1AAAAhwMAAAAA&#10;">
                  <v:textbox inset="1.2mm,0,1.2mm,0">
                    <w:txbxContent>
                      <w:p w:rsidR="0042762F" w:rsidRPr="00C828B6" w:rsidRDefault="0042762F" w:rsidP="00C828B6">
                        <w:pPr>
                          <w:pStyle w:val="TableText0"/>
                        </w:pPr>
                        <w:r>
                          <w:t>Best</w:t>
                        </w:r>
                        <w:r>
                          <w:rPr>
                            <w:lang w:val="en-AU"/>
                          </w:rPr>
                          <w:t xml:space="preserve"> </w:t>
                        </w:r>
                        <w:r>
                          <w:t>supportive care</w:t>
                        </w:r>
                        <w:r w:rsidRPr="00DC433D">
                          <w:rPr>
                            <w:vertAlign w:val="superscript"/>
                          </w:rPr>
                          <w:t>b</w:t>
                        </w:r>
                      </w:p>
                    </w:txbxContent>
                  </v:textbox>
                </v:shape>
                <v:shape id="Text Box 1724" o:spid="_x0000_s1321" type="#_x0000_t202" style="position:absolute;left:77833;top:40790;width:7152;height: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Iy8cA&#10;AADdAAAADwAAAGRycy9kb3ducmV2LnhtbESPS2/CQAyE75X6H1au1FvZUCQegQVVfUg9wIHwPJqs&#10;SdJmvVF2C+Hf14dKvdma8czn2aJztbpQGyrPBvq9BBRx7m3FhYHt5uNpDCpEZIu1ZzJwowCL+f3d&#10;DFPrr7ymSxYLJSEcUjRQxtikWoe8JIeh5xti0c6+dRhlbQttW7xKuKv1c5IMtcOKpaHEhl5Lyr+z&#10;H2fg9OXfJ8u3LR53ejXK6DDYrywb8/jQvUxBReriv/nv+tMK/ngg/PKNj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wSMvHAAAA3QAAAA8AAAAAAAAAAAAAAAAAmAIAAGRy&#10;cy9kb3ducmV2LnhtbFBLBQYAAAAABAAEAPUAAACMAwAAAAA=&#10;">
                  <v:textbox inset="2.17269mm,1.0864mm,2.17269mm,1.0864mm">
                    <w:txbxContent>
                      <w:p w:rsidR="0042762F" w:rsidRPr="00C828B6" w:rsidRDefault="0042762F" w:rsidP="00C828B6">
                        <w:pPr>
                          <w:pStyle w:val="TableText0"/>
                        </w:pPr>
                        <w:r w:rsidRPr="00C828B6">
                          <w:t xml:space="preserve">No further surgical </w:t>
                        </w:r>
                        <w:r w:rsidRPr="003376B2">
                          <w:rPr>
                            <w:sz w:val="16"/>
                            <w:szCs w:val="16"/>
                          </w:rPr>
                          <w:t>managemen</w:t>
                        </w:r>
                        <w:r w:rsidRPr="00C828B6">
                          <w:t>t</w:t>
                        </w:r>
                      </w:p>
                    </w:txbxContent>
                  </v:textbox>
                </v:shape>
                <v:shape id="Text Box 1725" o:spid="_x0000_s1322" type="#_x0000_t202" style="position:absolute;left:67447;top:40790;width:9576;height: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tUMQA&#10;AADdAAAADwAAAGRycy9kb3ducmV2LnhtbERPS2vCQBC+F/wPywi91U0qtBrdiPQBPdSD8Xkcs2MS&#10;m50N2a2m/74rCN7m43vOdNaZWpypdZVlBfEgAkGcW11xoWC9+nwagXAeWWNtmRT8kYNZ2nuYYqLt&#10;hZd0znwhQgi7BBWU3jeJlC4vyaAb2IY4cEfbGvQBtoXULV5CuKnlcxS9SIMVh4YSG3orKf/Jfo2C&#10;w8l+jL/f17jfyMVrRrvhdqFZqcd+N5+A8NT5u/jm/tJh/mgYw/WbcIJ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87VDEAAAA3QAAAA8AAAAAAAAAAAAAAAAAmAIAAGRycy9k&#10;b3ducmV2LnhtbFBLBQYAAAAABAAEAPUAAACJAwAAAAA=&#10;">
                  <v:textbox inset="2.17269mm,1.0864mm,2.17269mm,1.0864mm">
                    <w:txbxContent>
                      <w:p w:rsidR="0042762F" w:rsidRPr="003376B2" w:rsidRDefault="0042762F" w:rsidP="00C828B6">
                        <w:pPr>
                          <w:pStyle w:val="TableText0"/>
                          <w:rPr>
                            <w:sz w:val="15"/>
                            <w:szCs w:val="15"/>
                          </w:rPr>
                        </w:pPr>
                        <w:r w:rsidRPr="003376B2">
                          <w:rPr>
                            <w:sz w:val="16"/>
                            <w:szCs w:val="16"/>
                          </w:rPr>
                          <w:t>Subsequent</w:t>
                        </w:r>
                        <w:r w:rsidRPr="003376B2">
                          <w:rPr>
                            <w:sz w:val="15"/>
                            <w:szCs w:val="15"/>
                          </w:rPr>
                          <w:t xml:space="preserve"> </w:t>
                        </w:r>
                        <w:r w:rsidRPr="003376B2">
                          <w:rPr>
                            <w:sz w:val="16"/>
                            <w:szCs w:val="16"/>
                          </w:rPr>
                          <w:t>surgical management as indicated</w:t>
                        </w:r>
                      </w:p>
                    </w:txbxContent>
                  </v:textbox>
                </v:shape>
                <v:line id="Line 1726" o:spid="_x0000_s1323" style="position:absolute;visibility:visible;mso-wrap-style:square" from="73579,29325" to="73628,3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h+cUAAADdAAAADwAAAGRycy9kb3ducmV2LnhtbERPS2vCQBC+F/wPyxR6azZVCJK6iigF&#10;7aH4KLTHMTtNUrOzYXebpP/eFQRv8/E9Z7YYTCM6cr62rOAlSUEQF1bXXCr4PL49T0H4gKyxsUwK&#10;/snDYj56mGGubc976g6hFDGEfY4KqhDaXEpfVGTQJ7YljtyPdQZDhK6U2mEfw00jx2maSYM1x4YK&#10;W1pVVJwPf0bBx2SXdcvt+2b42manYr0/ff/2Tqmnx2H5CiLQEO7im3uj4/zpZAzXb+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Ih+cUAAADdAAAADwAAAAAAAAAA&#10;AAAAAAChAgAAZHJzL2Rvd25yZXYueG1sUEsFBgAAAAAEAAQA+QAAAJMDAAAAAA==&#10;"/>
                <v:line id="Line 1727" o:spid="_x0000_s1324" style="position:absolute;visibility:visible;mso-wrap-style:square" from="71167,33697" to="71172,4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RdsMAAADdAAAADwAAAGRycy9kb3ducmV2LnhtbERPS2sCMRC+F/wPYQRvNWuFqlujSBfB&#10;Qy34oOfpZrpZ3EyWTVzTf98IBW/z8T1nuY62ET11vnasYDLOQBCXTtdcKTifts9zED4ga2wck4Jf&#10;8rBeDZ6WmGt34wP1x1CJFMI+RwUmhDaX0peGLPqxa4kT9+M6iyHBrpK6w1sKt418ybJXabHm1GCw&#10;pXdD5eV4tQpmpjjImSw+Tp9FX08WcR+/vhdKjYZx8wYiUAwP8b97p9P8+XQK9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CEXbDAAAA3QAAAA8AAAAAAAAAAAAA&#10;AAAAoQIAAGRycy9kb3ducmV2LnhtbFBLBQYAAAAABAAEAPkAAACRAwAAAAA=&#10;">
                  <v:stroke endarrow="block"/>
                </v:line>
                <v:line id="Line 1728" o:spid="_x0000_s1325" style="position:absolute;flip:y;visibility:visible;mso-wrap-style:square" from="71167,33627" to="78859,3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xs6cUAAADdAAAADwAAAGRycy9kb3ducmV2LnhtbERPTWsCMRC9F/ofwgi9lJqtlbKuRpGC&#10;0IOX2rLibdyMm2U3k22S6vrvTaHQ2zze5yxWg+3EmXxoHCt4HmcgiCunG64VfH1unnIQISJr7ByT&#10;gisFWC3v7xZYaHfhDzrvYi1SCIcCFZgY+0LKUBmyGMauJ07cyXmLMUFfS+3xksJtJydZ9iotNpwa&#10;DPb0Zqhqdz9Wgcy3j99+fZy2Zbvfz0xZlf1hq9TDaFjPQUQa4r/4z/2u0/z8ZQq/36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xs6cUAAADdAAAADwAAAAAAAAAA&#10;AAAAAAChAgAAZHJzL2Rvd25yZXYueG1sUEsFBgAAAAAEAAQA+QAAAJMDAAAAAA==&#10;"/>
                <v:line id="Line 1729" o:spid="_x0000_s1326" style="position:absolute;flip:y;visibility:visible;mso-wrap-style:square" from="75928,15264" to="81865,26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jdpsUAAADdAAAADwAAAGRycy9kb3ducmV2LnhtbESPQYvCMBCF74L/IYywN01VFKlGEWFh&#10;D7Ji68Hj0Ixtd5tJaVKN/94sLHib4b3vzZvNLphG3KlztWUF00kCgriwuuZSwSX/HK9AOI+ssbFM&#10;Cp7kYLcdDjaYavvgM90zX4oYwi5FBZX3bSqlKyoy6Ca2JY7azXYGfVy7UuoOHzHcNHKWJEtpsOZ4&#10;ocKWDhUVv1lvYo1F3+Rh2h9neA3l2X5nt9PPU6mPUdivQXgK/m3+p7905FbzBfx9E0eQ2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jdpsUAAADdAAAADwAAAAAAAAAA&#10;AAAAAAChAgAAZHJzL2Rvd25yZXYueG1sUEsFBgAAAAAEAAQA+QAAAJMDAAAAAA==&#10;">
                  <v:stroke dashstyle="dash" endarrow="block"/>
                </v:line>
                <v:shape id="Text Box 1730" o:spid="_x0000_s1327" type="#_x0000_t202" style="position:absolute;left:74135;top:16516;width:7752;height:4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4IZsMA&#10;AADdAAAADwAAAGRycy9kb3ducmV2LnhtbERPS2vCQBC+F/wPywheSt1UMZXUVYogCL34Aj0O2Wk2&#10;JDsbsqtJ++u7guBtPr7nLFa9rcWNWl86VvA+TkAQ506XXCg4HTdvcxA+IGusHZOCX/KwWg5eFphp&#10;1/GebodQiBjCPkMFJoQmk9Lnhiz6sWuII/fjWoshwraQusUuhttaTpIklRZLjg0GG1obyqvD1So4&#10;U2dCcZHn18v+Y/ZXfSe7KVZKjYb91yeIQH14ih/urY7z59MU7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4IZsMAAADdAAAADwAAAAAAAAAAAAAAAACYAgAAZHJzL2Rv&#10;d25yZXYueG1sUEsFBgAAAAAEAAQA9QAAAIgDAAAAAA==&#10;" strokecolor="white">
                  <v:textbox inset="2.17269mm,1.0864mm,2.17269mm,1.0864mm">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v:textbox>
                </v:shape>
                <v:shape id="Text Box 1731" o:spid="_x0000_s1328" type="#_x0000_t202" style="position:absolute;left:28242;top:11389;width:13333;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Qv8QA&#10;AADdAAAADwAAAGRycy9kb3ducmV2LnhtbERPS2vCQBC+C/0Pywi96UaFqtGNiK3QQz2Y+jpOs9Mk&#10;NTsbsmtM/323UOhtPr7nLFedqURLjSstKxgNIxDEmdUl5woO79vBDITzyBory6TgmxyskofeEmNt&#10;77ynNvW5CCHsYlRQeF/HUrqsIINuaGviwH3axqAPsMmlbvAewk0lx1H0JA2WHBoKrGlTUHZNb0bB&#10;x5d9mb89H/BylLtpSufJaadZqcd+t16A8NT5f/Gf+1WH+bPJFH6/CSfI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Z0L/EAAAA3QAAAA8AAAAAAAAAAAAAAAAAmAIAAGRycy9k&#10;b3ducmV2LnhtbFBLBQYAAAAABAAEAPUAAACJAwAAAAA=&#10;">
                  <v:textbox inset="2.17269mm,1.0864mm,2.17269mm,1.0864mm">
                    <w:txbxContent>
                      <w:p w:rsidR="0042762F" w:rsidRPr="00C828B6" w:rsidRDefault="0042762F" w:rsidP="00C828B6">
                        <w:pPr>
                          <w:pStyle w:val="TableText0"/>
                        </w:pPr>
                        <w:r w:rsidRPr="00C828B6">
                          <w:t>Medically unfit for surgery</w:t>
                        </w:r>
                      </w:p>
                    </w:txbxContent>
                  </v:textbox>
                </v:shape>
                <v:line id="Line 1732" o:spid="_x0000_s1329" style="position:absolute;visibility:visible;mso-wrap-style:square" from="40830,31025" to="40835,4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aDB8YAAADdAAAADwAAAGRycy9kb3ducmV2LnhtbESPQUsDMRCF70L/Q5iCN5utBdtumxZx&#10;KXhQoa14nm7GzeJmsmziNv575yB4m+G9ee+b7T77To00xDawgfmsAEVcB9tyY+D9fLhbgYoJ2WIX&#10;mAz8UIT9bnKzxdKGKx9pPKVGSQjHEg24lPpS61g78hhnoScW7TMMHpOsQ6PtgFcJ952+L4oH7bFl&#10;aXDY05Oj+uv07Q0sXXXUS129nN+qsZ2v82v+uKyNuZ3mxw2oRDn9m/+un63grxaCK9/ICHr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mgwfGAAAA3QAAAA8AAAAAAAAA&#10;AAAAAAAAoQIAAGRycy9kb3ducmV2LnhtbFBLBQYAAAAABAAEAPkAAACUAwAAAAA=&#10;">
                  <v:stroke endarrow="block"/>
                </v:line>
                <v:shape id="Text Box 1733" o:spid="_x0000_s1330" type="#_x0000_t202" style="position:absolute;left:27934;top:25487;width:5204;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hVsQA&#10;AADdAAAADwAAAGRycy9kb3ducmV2LnhtbERPS2vCQBC+F/wPywje6kaFVmM2UqqFHurB+DyO2TFJ&#10;m50N2a2m/75bKHibj+85yaIztbhS6yrLCkbDCARxbnXFhYLd9u1xCsJ5ZI21ZVLwQw4Wae8hwVjb&#10;G2/omvlChBB2MSoovW9iKV1ekkE3tA1x4C62NegDbAupW7yFcFPLcRQ9SYMVh4YSG3otKf/Kvo2C&#10;86ddzT6WOzzt5fo5o+PksNas1KDfvcxBeOr8Xfzvftdh/nQyg7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K4VbEAAAA3QAAAA8AAAAAAAAAAAAAAAAAmAIAAGRycy9k&#10;b3ducmV2LnhtbFBLBQYAAAAABAAEAPUAAACJAwAAAAA=&#10;">
                  <v:textbox inset="2.17269mm,1.0864mm,2.17269mm,1.0864mm">
                    <w:txbxContent>
                      <w:p w:rsidR="0042762F" w:rsidRPr="00C828B6" w:rsidRDefault="0042762F" w:rsidP="00C828B6">
                        <w:pPr>
                          <w:pStyle w:val="TableText0"/>
                        </w:pPr>
                        <w:r w:rsidRPr="00C828B6">
                          <w:t>Stent</w:t>
                        </w:r>
                        <w:r w:rsidRPr="00DC433D">
                          <w:rPr>
                            <w:vertAlign w:val="superscript"/>
                          </w:rPr>
                          <w:t>b</w:t>
                        </w:r>
                        <w:r w:rsidRPr="00C828B6">
                          <w:t xml:space="preserve"> </w:t>
                        </w:r>
                      </w:p>
                    </w:txbxContent>
                  </v:textbox>
                </v:shape>
                <v:line id="Line 1734" o:spid="_x0000_s1331" style="position:absolute;flip:x;visibility:visible;mso-wrap-style:square" from="30665,14033" to="30692,25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kzcYAAADdAAAADwAAAGRycy9kb3ducmV2LnhtbESPT0vDQBDF74LfYRnBSzAbbZE2Zlv8&#10;00JBPFh78DhkxySYnQ3ZsU2/vXMQvM1j3u/Nm2o9hd4caUxdZAe3eQGGuI6+48bB4WN7swCTBNlj&#10;H5kcnCnBenV5UWHp44nf6biXxmgIpxIdtCJDaW2qWwqY8jgQ6+4rjgFF5dhYP+JJw0Nv74ri3gbs&#10;WC+0ONBzS/X3/idoje0bv8xm2VOwWbakzae8Flacu76aHh/ACE3yb/6jd165xVz76zc6gl3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4ZM3GAAAA3QAAAA8AAAAAAAAA&#10;AAAAAAAAoQIAAGRycy9kb3ducmV2LnhtbFBLBQYAAAAABAAEAPkAAACUAwAAAAA=&#10;">
                  <v:stroke endarrow="block"/>
                </v:line>
                <v:line id="Line 1735" o:spid="_x0000_s1332" style="position:absolute;visibility:visible;mso-wrap-style:square" from="35934,33800" to="36009,40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pZ58QAAADdAAAADwAAAGRycy9kb3ducmV2LnhtbERPS2sCMRC+F/wPYYTeanZL8bEapXQp&#10;9FALaul53Iybxc1k2aRr+u+NUPA2H99zVptoWzFQ7xvHCvJJBoK4crrhWsH34f1pDsIHZI2tY1Lw&#10;Rx4269HDCgvtLryjYR9qkULYF6jAhNAVUvrKkEU/cR1x4k6utxgS7Gupe7ykcNvK5yybSosNpwaD&#10;Hb0Zqs77X6tgZsqdnMny8/BVDk2+iNv4c1wo9TiOr0sQgWK4i//dHzrNn7/kcPsmn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lnnxAAAAN0AAAAPAAAAAAAAAAAA&#10;AAAAAKECAABkcnMvZG93bnJldi54bWxQSwUGAAAAAAQABAD5AAAAkgMAAAAA&#10;">
                  <v:stroke endarrow="block"/>
                </v:line>
                <v:shape id="Text Box 1736" o:spid="_x0000_s1333" type="#_x0000_t202" style="position:absolute;left:34503;top:25487;width:8400;height:3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B5MMA&#10;AADdAAAADwAAAGRycy9kb3ducmV2LnhtbERPPWvDMBDdA/0P4gLdYjluKY5rObSFQNbGGTIe0tV2&#10;Yp0cS42df18VCt3u8T6v3M62FzcafedYwTpJQRBrZzpuFBzr3SoH4QOywd4xKbiTh231sCixMG7i&#10;T7odQiNiCPsCFbQhDIWUXrdk0SduII7clxsthgjHRpoRpxhue5ml6Yu02HFsaHGgj5b05fBtFejr&#10;6X1fNzrN3NOU7655vblnZ6Uel/PbK4hAc/gX/7n3Js7PnzP4/Sae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aB5MMAAADdAAAADwAAAAAAAAAAAAAAAACYAgAAZHJzL2Rv&#10;d25yZXYueG1sUEsFBgAAAAAEAAQA9QAAAIgDAAAAAA==&#10;">
                  <v:textbox inset="2.17269mm,0,2.17269mm,0">
                    <w:txbxContent>
                      <w:p w:rsidR="0042762F" w:rsidRPr="00C828B6" w:rsidRDefault="0042762F" w:rsidP="00C828B6">
                        <w:pPr>
                          <w:pStyle w:val="TableText0"/>
                        </w:pPr>
                        <w:r w:rsidRPr="00C828B6">
                          <w:t xml:space="preserve">Best supportive </w:t>
                        </w:r>
                      </w:p>
                      <w:p w:rsidR="0042762F" w:rsidRPr="003376B2" w:rsidRDefault="0042762F" w:rsidP="00C828B6">
                        <w:pPr>
                          <w:ind w:left="0"/>
                          <w:jc w:val="center"/>
                          <w:rPr>
                            <w:rFonts w:ascii="Arial Narrow" w:hAnsi="Arial Narrow" w:cs="Arial"/>
                            <w:sz w:val="18"/>
                            <w:szCs w:val="18"/>
                          </w:rPr>
                        </w:pPr>
                        <w:proofErr w:type="gramStart"/>
                        <w:r w:rsidRPr="003376B2">
                          <w:rPr>
                            <w:rFonts w:ascii="Arial Narrow" w:hAnsi="Arial Narrow" w:cs="Arial"/>
                            <w:sz w:val="18"/>
                            <w:szCs w:val="18"/>
                          </w:rPr>
                          <w:t>care</w:t>
                        </w:r>
                        <w:r w:rsidRPr="00DC433D">
                          <w:rPr>
                            <w:vertAlign w:val="superscript"/>
                          </w:rPr>
                          <w:t>b</w:t>
                        </w:r>
                        <w:proofErr w:type="gramEnd"/>
                        <w:r w:rsidRPr="003376B2">
                          <w:rPr>
                            <w:rFonts w:ascii="Arial Narrow" w:hAnsi="Arial Narrow" w:cs="Arial"/>
                            <w:sz w:val="18"/>
                            <w:szCs w:val="18"/>
                          </w:rPr>
                          <w:t xml:space="preserve"> </w:t>
                        </w:r>
                      </w:p>
                    </w:txbxContent>
                  </v:textbox>
                </v:shape>
                <v:shape id="Text Box 1737" o:spid="_x0000_s1334" type="#_x0000_t202" style="position:absolute;left:35113;top:40693;width:9112;height:5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lwcQA&#10;AADdAAAADwAAAGRycy9kb3ducmV2LnhtbERPS2vCQBC+C/6HZYTedFMVG1NXkVahBz00Po/T7DRJ&#10;m50N2VXTf+8WCr3Nx/ec2aI1lbhS40rLCh4HEQjizOqScwX73bofg3AeWWNlmRT8kIPFvNuZYaLt&#10;jd/pmvpchBB2CSoovK8TKV1WkEE3sDVx4D5tY9AH2ORSN3gL4aaSwyiaSIMlh4YCa3opKPtOL0bB&#10;x5ddTTevezwf5PYppdPouNWs1EOvXT6D8NT6f/Gf+02H+fF4BL/fhB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kpcHEAAAA3QAAAA8AAAAAAAAAAAAAAAAAmAIAAGRycy9k&#10;b3ducmV2LnhtbFBLBQYAAAAABAAEAPUAAACJAwAAAAA=&#10;">
                  <v:textbox inset="2.17269mm,1.0864mm,2.17269mm,1.0864mm">
                    <w:txbxContent>
                      <w:p w:rsidR="0042762F" w:rsidRPr="00C828B6" w:rsidRDefault="0042762F" w:rsidP="00C828B6">
                        <w:pPr>
                          <w:pStyle w:val="TableText0"/>
                        </w:pPr>
                        <w:r w:rsidRPr="00C828B6">
                          <w:t>No further surgical management</w:t>
                        </w:r>
                      </w:p>
                    </w:txbxContent>
                  </v:textbox>
                </v:shape>
                <v:shape id="Text Box 1738" o:spid="_x0000_s1335" type="#_x0000_t202" style="position:absolute;left:24301;top:40790;width:10202;height: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9tcQA&#10;AADdAAAADwAAAGRycy9kb3ducmV2LnhtbERPyW7CMBC9V+IfrEHiVpxSRCHFIMQi9QCHhvU4jadJ&#10;IB5HsYH073GlSr3N01tnPG1MKW5Uu8KygpduBII4tbrgTMFuu3oegnAeWWNpmRT8kIPppPU0xljb&#10;O3/SLfGZCCHsYlSQe1/FUro0J4OuayviwH3b2qAPsM6krvEewk0pe1E0kAYLDg05VjTPKb0kV6Pg&#10;62yXo/Vih6e93LwldHw9bDQr1Wk3s3cQnhr/L/5zf+gwf9jvw+834QQ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PbXEAAAA3QAAAA8AAAAAAAAAAAAAAAAAmAIAAGRycy9k&#10;b3ducmV2LnhtbFBLBQYAAAAABAAEAPUAAACJAwAAAAA=&#10;">
                  <v:textbox inset="2.17269mm,1.0864mm,2.17269mm,1.0864mm">
                    <w:txbxContent>
                      <w:p w:rsidR="0042762F" w:rsidRPr="00C828B6" w:rsidRDefault="0042762F" w:rsidP="00C828B6">
                        <w:pPr>
                          <w:pStyle w:val="TableText0"/>
                        </w:pPr>
                        <w:r w:rsidRPr="00C828B6">
                          <w:t>Subsequent surgical management as indicated</w:t>
                        </w:r>
                      </w:p>
                    </w:txbxContent>
                  </v:textbox>
                </v:shape>
                <v:line id="Line 1739" o:spid="_x0000_s1336" style="position:absolute;visibility:visible;mso-wrap-style:square" from="30692,29422" to="30703,3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3K8MYAAADdAAAADwAAAGRycy9kb3ducmV2LnhtbERPTWvCQBC9C/6HZYTedFNrg6SuIpaC&#10;9lCqLbTHMTtNotnZsLsm6b93hUJv83ifs1j1phYtOV9ZVnA/SUAQ51ZXXCj4/HgZz0H4gKyxtkwK&#10;fsnDajkcLDDTtuM9tYdQiBjCPkMFZQhNJqXPSzLoJ7YhjtyPdQZDhK6Q2mEXw00tp0mSSoMVx4YS&#10;G9qUlJ8PF6Pg7eE9bde7123/tUuP+fP++H3qnFJ3o379BCJQH/7Ff+6tjvPns0e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tyvDGAAAA3QAAAA8AAAAAAAAA&#10;AAAAAAAAoQIAAGRycy9kb3ducmV2LnhtbFBLBQYAAAAABAAEAPkAAACUAwAAAAA=&#10;"/>
                <v:line id="Line 1740" o:spid="_x0000_s1337" style="position:absolute;visibility:visible;mso-wrap-style:square" from="28242,33800" to="28247,4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PBk8MAAADdAAAADwAAAGRycy9kb3ducmV2LnhtbERPS2sCMRC+C/0PYQreNGsRH1ujlC6C&#10;ByuopefpZrpZupksm7jGf28KQm/z8T1ntYm2ET11vnasYDLOQBCXTtdcKfg8b0cLED4ga2wck4Ib&#10;edisnwYrzLW78pH6U6hECmGfowITQptL6UtDFv3YtcSJ+3GdxZBgV0nd4TWF20a+ZNlMWqw5NRhs&#10;6d1Q+Xu6WAVzUxzlXBb786Ho68kyfsSv76VSw+f49goiUAz/4od7p9P8xXQGf9+kE+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zwZPDAAAA3QAAAA8AAAAAAAAAAAAA&#10;AAAAoQIAAGRycy9kb3ducmV2LnhtbFBLBQYAAAAABAAEAPkAAACRAwAAAAA=&#10;">
                  <v:stroke endarrow="block"/>
                </v:line>
                <v:line id="Line 1741" o:spid="_x0000_s1338" style="position:absolute;flip:y;visibility:visible;mso-wrap-style:square" from="28242,33730" to="35934,3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B48UAAADdAAAADwAAAGRycy9kb3ducmV2LnhtbERPTWsCMRC9F/ofwgi9lJptkXZdjSKF&#10;ggcvVVnxNm7GzbKbyTZJdf33TaHQ2zze58yXg+3EhXxoHCt4HmcgiCunG64V7HcfTzmIEJE1do5J&#10;wY0CLBf3d3MstLvyJ122sRYphEOBCkyMfSFlqAxZDGPXEyfu7LzFmKCvpfZ4TeG2ky9Z9iotNpwa&#10;DPb0bqhqt99Wgcw3j19+dZq0ZXs4TE1Zlf1xo9TDaFjNQEQa4r/4z73WaX4+eY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iB48UAAADdAAAADwAAAAAAAAAA&#10;AAAAAAChAgAAZHJzL2Rvd25yZXYueG1sUEsFBgAAAAAEAAQA+QAAAJMDAAAAAA==&#10;"/>
                <v:line id="Line 1742" o:spid="_x0000_s1339" style="position:absolute;flip:y;visibility:visible;mso-wrap-style:square" from="33111,15485" to="38984,27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8BRcUAAADdAAAADwAAAGRycy9kb3ducmV2LnhtbESPQWvCQBCF74X+h2UKvdWNoiKpq5RC&#10;oQepGD30OGTHJJqdDdmNrv/eOQje5jHve/NmuU6uVRfqQ+PZwHiUgSIuvW24MnDY/3wsQIWIbLH1&#10;TAZuFGC9en1ZYm79lXd0KWKlJIRDjgbqGLtc61DW5DCMfEcsu6PvHUaRfaVtj1cJd62eZNlcO2xY&#10;LtTY0XdN5bkYnNSYDe0+jYfNBP9TtfN/xXF7uhnz/pa+PkFFSvFpftC/VrjFVOrKNzKCXt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8BRcUAAADdAAAADwAAAAAAAAAA&#10;AAAAAAChAgAAZHJzL2Rvd25yZXYueG1sUEsFBgAAAAAEAAQA+QAAAJMDAAAAAA==&#10;">
                  <v:stroke dashstyle="dash" endarrow="block"/>
                </v:line>
                <v:shape id="Text Box 1743" o:spid="_x0000_s1340" type="#_x0000_t202" style="position:absolute;left:31211;top:16619;width:7751;height:4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vacQA&#10;AADdAAAADwAAAGRycy9kb3ducmV2LnhtbERPTWvCQBC9F/wPywi9lLppta1NXaUIguBF04Ieh+w0&#10;G5KdDdnVRH+9Kwi9zeN9zmzR21qcqPWlYwUvowQEce50yYWC35/V8xSED8gaa8ek4EweFvPBwwxT&#10;7Tre0SkLhYgh7FNUYEJoUil9bsiiH7mGOHJ/rrUYImwLqVvsYrit5WuSvEuLJccGgw0tDeVVdrQK&#10;9tSZUBzk/umw+3i7VJtkO8ZKqcdh//0FIlAf/sV391rH+dPJJ9y+i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X72nEAAAA3QAAAA8AAAAAAAAAAAAAAAAAmAIAAGRycy9k&#10;b3ducmV2LnhtbFBLBQYAAAAABAAEAPUAAACJAwAAAAA=&#10;" strokecolor="white">
                  <v:textbox inset="2.17269mm,1.0864mm,2.17269mm,1.0864mm">
                    <w:txbxContent>
                      <w:p w:rsidR="0042762F" w:rsidRPr="007A5C4C" w:rsidRDefault="0042762F" w:rsidP="00AC773F">
                        <w:pPr>
                          <w:ind w:left="0"/>
                          <w:jc w:val="center"/>
                          <w:rPr>
                            <w:rFonts w:ascii="Arial Narrow" w:hAnsi="Arial Narrow"/>
                            <w:sz w:val="16"/>
                            <w:szCs w:val="16"/>
                          </w:rPr>
                        </w:pPr>
                        <w:r w:rsidRPr="007A5C4C">
                          <w:rPr>
                            <w:rFonts w:ascii="Arial Narrow" w:hAnsi="Arial Narrow"/>
                            <w:sz w:val="16"/>
                            <w:szCs w:val="16"/>
                          </w:rPr>
                          <w:t>Stent failure during procedure</w:t>
                        </w:r>
                      </w:p>
                    </w:txbxContent>
                  </v:textbox>
                </v:shape>
                <v:line id="Line 1744" o:spid="_x0000_s1341" style="position:absolute;flip:y;visibility:visible;mso-wrap-style:square" from="33143,31031" to="40835,3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iPSscAAADdAAAADwAAAGRycy9kb3ducmV2LnhtbESPQUvDQBCF70L/wzKCF7GbikqM3ZYi&#10;CB56aZUUb2N2zIZkZ+Pu2sZ/7xwK3mZ4b977Zrme/KCOFFMX2MBiXoAiboLtuDXw/vZyU4JKGdni&#10;EJgM/FKC9Wp2scTKhhPv6LjPrZIQThUacDmPldapceQxzcNILNpXiB6zrLHVNuJJwv2gb4viQXvs&#10;WBocjvTsqOn3P96ALrfX33HzedfX/eHw6OqmHj+2xlxdTpsnUJmm/G8+X79awS/vhV++kRH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6I9KxwAAAN0AAAAPAAAAAAAA&#10;AAAAAAAAAKECAABkcnMvZG93bnJldi54bWxQSwUGAAAAAAQABAD5AAAAlQMAAAAA&#10;"/>
                <v:line id="Line 1745" o:spid="_x0000_s1342" style="position:absolute;flip:x;visibility:visible;mso-wrap-style:square" from="39065,29314" to="39070,3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Qq0cUAAADdAAAADwAAAGRycy9kb3ducmV2LnhtbERPTWsCMRC9F/ofwgi9lJq1tGVdjSKC&#10;0IOXqqx4GzfjZtnNZJukuv33TaHQ2zze58yXg+3ElXxoHCuYjDMQxJXTDdcKDvvNUw4iRGSNnWNS&#10;8E0Blov7uzkW2t34g667WIsUwqFABSbGvpAyVIYshrHriRN3cd5iTNDXUnu8pXDbyecse5MWG04N&#10;BntaG6ra3ZdVIPPt46dfnV/asj0ep6asyv60VephNKxmICIN8V/8537XaX7+O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Qq0cUAAADdAAAADwAAAAAAAAAA&#10;AAAAAAChAgAAZHJzL2Rvd25yZXYueG1sUEsFBgAAAAAEAAQA+QAAAJMDAAAAAA==&#10;"/>
                <v:line id="Line 1746" o:spid="_x0000_s1343" style="position:absolute;visibility:visible;mso-wrap-style:square" from="33132,30993" to="33138,4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31cQAAADdAAAADwAAAGRycy9kb3ducmV2LnhtbERPTWvCQBC9F/wPywjemo0pVpu6Bi0I&#10;Ee2hNvQ8ZKdJaHY2ZFeN/vpuoeBtHu9zltlgWnGm3jWWFUyjGARxaXXDlYLic/u4AOE8ssbWMim4&#10;koNsNXpYYqrthT/ofPSVCCHsUlRQe9+lUrqyJoMush1x4L5tb9AH2FdS93gJ4aaVSRw/S4MNh4Ya&#10;O3qrqfw5noyC/cnf5sXXEx6mm2pX7l9yfJ/nSk3Gw/oVhKfB38X/7lyH+YtZAn/fhB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nfVxAAAAN0AAAAPAAAAAAAAAAAA&#10;AAAAAKECAABkcnMvZG93bnJldi54bWxQSwUGAAAAAAQABAD5AAAAkgMAAAAA&#10;">
                  <v:stroke dashstyle="dash" endarrow="block"/>
                </v:line>
                <v:line id="Line 1747" o:spid="_x0000_s1344" style="position:absolute;flip:x;visibility:visible;mso-wrap-style:square" from="81865,29314" to="81871,31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oRPcUAAADdAAAADwAAAGRycy9kb3ducmV2LnhtbERPS2sCMRC+F/ofwhR6KZrtS9atUaRQ&#10;6MGLtqx4GzfjZtnNZJukuv57IxR6m4/vObPFYDtxJB8axwoexxkI4srphmsF318foxxEiMgaO8ek&#10;4EwBFvPbmxkW2p14TcdNrEUK4VCgAhNjX0gZKkMWw9j1xIk7OG8xJuhrqT2eUrjt5FOWTaTFhlOD&#10;wZ7eDVXt5tcqkPnq4ccv9y9t2W63U1NWZb9bKXV/NyzfQEQa4r/4z/2p0/z89Rmu36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oRPcUAAADdAAAADwAAAAAAAAAA&#10;AAAAAAChAgAAZHJzL2Rvd25yZXYueG1sUEsFBgAAAAAEAAQA+QAAAJMDAAAAAA==&#10;"/>
                <v:line id="Line 1748" o:spid="_x0000_s1345" style="position:absolute;flip:y;visibility:visible;mso-wrap-style:square" from="75928,31036" to="83620,3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OJScUAAADdAAAADwAAAGRycy9kb3ducmV2LnhtbERPTWsCMRC9F/ofwgi9lJptsWVdjSKF&#10;ggcvVVnxNm7GzbKbyTZJdf33TaHQ2zze58yXg+3EhXxoHCt4HmcgiCunG64V7HcfTzmIEJE1do5J&#10;wY0CLBf3d3MstLvyJ122sRYphEOBCkyMfSFlqAxZDGPXEyfu7LzFmKCvpfZ4TeG2ky9Z9iYtNpwa&#10;DPb0bqhqt99Wgcw3j19+dZq0ZXs4TE1Zlf1xo9TDaFjNQEQa4r/4z73WaX7+Oo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OJScUAAADdAAAADwAAAAAAAAAA&#10;AAAAAAChAgAAZHJzL2Rvd25yZXYueG1sUEsFBgAAAAAEAAQA+QAAAJMDAAAAAA==&#10;"/>
                <v:line id="Line 1749" o:spid="_x0000_s1346" style="position:absolute;visibility:visible;mso-wrap-style:square" from="75922,31123" to="75928,4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vocQAAADdAAAADwAAAGRycy9kb3ducmV2LnhtbERPTWvCQBC9F/wPywi91Y2WqE1dRQUh&#10;RXuolZ6H3WkSmp0N2dXE/vpuQfA2j/c5i1Vva3Gh1leOFYxHCQhi7UzFhYLT5+5pDsIHZIO1Y1Jw&#10;JQ+r5eBhgZlxHX/Q5RgKEUPYZ6igDKHJpPS6JIt+5BriyH271mKIsC2kabGL4baWkySZSosVx4YS&#10;G9qWpH+OZ6tgfw6/s9PXMx7Gm+JN719yfJ/lSj0O+/UriEB9uItv7tzE+fM0hf9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hxAAAAN0AAAAPAAAAAAAAAAAA&#10;AAAAAKECAABkcnMvZG93bnJldi54bWxQSwUGAAAAAAQABAD5AAAAkgMAAAAA&#10;">
                  <v:stroke dashstyle="dash" endarrow="block"/>
                </v:line>
                <v:shape id="Text Box 1750" o:spid="_x0000_s1347" type="#_x0000_t202" style="position:absolute;left:70988;top:25487;width:5204;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QhMQA&#10;AADdAAAADwAAAGRycy9kb3ducmV2LnhtbERPS2vCQBC+C/6HZQRvumlFG1NXKa1CD/XQ+DxOs9Mk&#10;bXY2ZFeN/94VCr3Nx/ec2aI1lThT40rLCh6GEQjizOqScwXbzWoQg3AeWWNlmRRcycFi3u3MMNH2&#10;wp90Tn0uQgi7BBUU3teJlC4ryKAb2po4cN+2MegDbHKpG7yEcFPJxyiaSIMlh4YCa3otKPtNT0bB&#10;149dTj/etnjcyfVTSofRfq1ZqX6vfXkG4an1/+I/97sO8+PxBO7fhB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KkITEAAAA3QAAAA8AAAAAAAAAAAAAAAAAmAIAAGRycy9k&#10;b3ducmV2LnhtbFBLBQYAAAAABAAEAPUAAACJAwAAAAA=&#10;">
                  <v:textbox inset="2.17269mm,1.0864mm,2.17269mm,1.0864mm">
                    <w:txbxContent>
                      <w:p w:rsidR="0042762F" w:rsidRPr="00C828B6" w:rsidRDefault="0042762F" w:rsidP="00C828B6">
                        <w:pPr>
                          <w:pStyle w:val="TableText0"/>
                        </w:pPr>
                        <w:r w:rsidRPr="00C828B6">
                          <w:t>Stent</w:t>
                        </w:r>
                        <w:r w:rsidRPr="00DC433D">
                          <w:rPr>
                            <w:vertAlign w:val="superscript"/>
                          </w:rPr>
                          <w:t>b</w:t>
                        </w:r>
                        <w:r w:rsidRPr="00C828B6">
                          <w:t xml:space="preserve"> </w:t>
                        </w:r>
                      </w:p>
                    </w:txbxContent>
                  </v:textbox>
                </v:shape>
                <v:line id="Line 1751" o:spid="_x0000_s1348" style="position:absolute;visibility:visible;mso-wrap-style:square" from="38995,13942" to="39065,2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by1cMAAADdAAAADwAAAGRycy9kb3ducmV2LnhtbERP32vCMBB+H+x/CDfY20wdaLUaZawI&#10;e9CBOvZ8NremrLmUJqvxvzfCwLf7+H7ech1tKwbqfeNYwXiUgSCunG64VvB13LzMQPiArLF1TAou&#10;5GG9enxYYqHdmfc0HEItUgj7AhWYELpCSl8ZsuhHriNO3I/rLYYE+1rqHs8p3LbyNcum0mLDqcFg&#10;R++Gqt/Dn1WQm3Ivc1luj5/l0IzncRe/T3Olnp/i2wJEoBju4n/3h07zZ5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m8tXDAAAA3QAAAA8AAAAAAAAAAAAA&#10;AAAAoQIAAGRycy9kb3ducmV2LnhtbFBLBQYAAAAABAAEAPkAAACRAwAAAAA=&#10;">
                  <v:stroke endarrow="block"/>
                </v:line>
                <v:shape id="Text Box 1752" o:spid="_x0000_s1349" type="#_x0000_t202" style="position:absolute;left:33305;top:1041;width:22024;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hbccA&#10;AADdAAAADwAAAGRycy9kb3ducmV2LnhtbESPS2/CQAyE75X4DytX6q1s2ooCKQuq+pA4wIHw6tHN&#10;uklo1htlF0j/PT5U4mZrxjOfJ7PO1epEbag8G3joJ6CIc28rLgxs1p/3I1AhIlusPZOBPwowm/Zu&#10;Jphaf+YVnbJYKAnhkKKBMsYm1TrkJTkMfd8Qi/bjW4dR1rbQtsWzhLtaPybJs3ZYsTSU2NBbSflv&#10;dnQGvg/+Y7x43+DXVi+HGe2fdkvLxtzddq8voCJ18Wr+v55bwR8NBFe+kRH09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ZoW3HAAAA3QAAAA8AAAAAAAAAAAAAAAAAmAIAAGRy&#10;cy9kb3ducmV2LnhtbFBLBQYAAAAABAAEAPUAAACMAwAAAAA=&#10;">
                  <v:textbox inset="2.17269mm,1.0864mm,2.17269mm,1.0864mm">
                    <w:txbxContent>
                      <w:p w:rsidR="0042762F" w:rsidRPr="00C828B6" w:rsidRDefault="0042762F" w:rsidP="00C828B6">
                        <w:pPr>
                          <w:pStyle w:val="TableText0"/>
                        </w:pPr>
                        <w:r w:rsidRPr="00C828B6">
                          <w:t>Large bowel obstruction, stricture or stenosis</w:t>
                        </w:r>
                      </w:p>
                    </w:txbxContent>
                  </v:textbox>
                </v:shape>
                <v:shape id="Text Box 1676" o:spid="_x0000_s1350" type="#_x0000_t202" style="position:absolute;top:25423;width:8016;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E9sQA&#10;AADdAAAADwAAAGRycy9kb3ducmV2LnhtbERPyW7CMBC9I/EP1iD1Bg6tKCHFoKqLxKEcCFuPQzwk&#10;ofE4ig2kf4+RKvU2T2+d6bw1lbhQ40rLCoaDCARxZnXJuYLN+rMfg3AeWWNlmRT8koP5rNuZYqLt&#10;lVd0SX0uQgi7BBUU3teJlC4ryKAb2Jo4cEfbGPQBNrnUDV5DuKnkYxQ9S4Mlh4YCa3orKPtJz0bB&#10;4WQ/Jl/vG/zeyuU4pf3TbqlZqYde+/oCwlPr/8V/7oUO8+PRBO7fh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BPbEAAAA3QAAAA8AAAAAAAAAAAAAAAAAmAIAAGRycy9k&#10;b3ducmV2LnhtbFBLBQYAAAAABAAEAPUAAACJAwAAAAA=&#10;">
                  <v:textbox inset="2.17269mm,1.0864mm,2.17269mm,1.0864mm">
                    <w:txbxContent>
                      <w:p w:rsidR="0042762F" w:rsidRPr="00C828B6" w:rsidRDefault="0042762F" w:rsidP="00DC433D">
                        <w:pPr>
                          <w:ind w:left="0"/>
                          <w:jc w:val="center"/>
                          <w:rPr>
                            <w:rFonts w:ascii="Arial" w:hAnsi="Arial" w:cs="Arial"/>
                            <w:sz w:val="15"/>
                            <w:szCs w:val="18"/>
                          </w:rPr>
                        </w:pPr>
                        <w:r w:rsidRPr="00C828B6">
                          <w:rPr>
                            <w:rFonts w:ascii="Arial Narrow" w:hAnsi="Arial Narrow"/>
                            <w:sz w:val="18"/>
                            <w:lang w:eastAsia="en-US"/>
                          </w:rPr>
                          <w:t>Intended single</w:t>
                        </w:r>
                        <w:r>
                          <w:rPr>
                            <w:rFonts w:ascii="Arial Narrow" w:hAnsi="Arial Narrow"/>
                            <w:sz w:val="18"/>
                            <w:lang w:eastAsia="en-US"/>
                          </w:rPr>
                          <w:t>-</w:t>
                        </w:r>
                        <w:r w:rsidRPr="00C828B6">
                          <w:rPr>
                            <w:rFonts w:ascii="Arial Narrow" w:hAnsi="Arial Narrow"/>
                            <w:sz w:val="18"/>
                            <w:lang w:eastAsia="en-US"/>
                          </w:rPr>
                          <w:t>stage curative</w:t>
                        </w:r>
                        <w:r w:rsidRPr="00C828B6">
                          <w:rPr>
                            <w:rFonts w:ascii="Arial" w:hAnsi="Arial" w:cs="Arial"/>
                            <w:sz w:val="15"/>
                            <w:szCs w:val="18"/>
                          </w:rPr>
                          <w:t xml:space="preserve"> surgery</w:t>
                        </w:r>
                        <w:r w:rsidRPr="00DC433D">
                          <w:rPr>
                            <w:vertAlign w:val="superscript"/>
                          </w:rPr>
                          <w:t>b</w:t>
                        </w:r>
                      </w:p>
                      <w:p w:rsidR="0042762F" w:rsidRPr="00C828B6" w:rsidRDefault="0042762F" w:rsidP="00AC773F">
                        <w:pPr>
                          <w:spacing w:after="0"/>
                          <w:jc w:val="center"/>
                          <w:rPr>
                            <w:color w:val="000000"/>
                            <w:sz w:val="14"/>
                            <w:szCs w:val="16"/>
                          </w:rPr>
                        </w:pPr>
                      </w:p>
                    </w:txbxContent>
                  </v:textbox>
                </v:shape>
                <v:shape id="Text Box 1718" o:spid="_x0000_s1351" type="#_x0000_t202" style="position:absolute;left:71749;top:11891;width:12788;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n1scA&#10;AADdAAAADwAAAGRycy9kb3ducmV2LnhtbESPT0/CQBDF7yZ+h82YeJMtmCAUFmJEEw9yoPw9Dt2h&#10;rXZnm+4K9ds7BxJuM3lv3vvNdN65Wp2pDZVnA/1eAoo497biwsBm/fE0AhUissXaMxn4owDz2f3d&#10;FFPrL7yicxYLJSEcUjRQxtikWoe8JIeh5xti0U6+dRhlbQttW7xIuKv1IEmG2mHF0lBiQ28l5T/Z&#10;rzNw/Pbv46/FBg9bvXzJaP+8W1o25vGhe52AitTFm/l6/WkFfzQUfvlGRt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DZ9bHAAAA3QAAAA8AAAAAAAAAAAAAAAAAmAIAAGRy&#10;cy9kb3ducmV2LnhtbFBLBQYAAAAABAAEAPUAAACMAwAAAAA=&#10;">
                  <v:textbox inset="2.17269mm,1.0864mm,2.17269mm,1.0864mm">
                    <w:txbxContent>
                      <w:p w:rsidR="0042762F" w:rsidRPr="00C828B6" w:rsidRDefault="0042762F" w:rsidP="00C828B6">
                        <w:pPr>
                          <w:pStyle w:val="TableText0"/>
                        </w:pPr>
                        <w:r w:rsidRPr="00C828B6">
                          <w:t>Medically unfit for surgery</w:t>
                        </w:r>
                      </w:p>
                    </w:txbxContent>
                  </v:textbox>
                </v:shape>
                <v:shape id="Text Box 1697" o:spid="_x0000_s1352" type="#_x0000_t202" style="position:absolute;left:44225;top:25487;width:8011;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TcQA&#10;AADdAAAADwAAAGRycy9kb3ducmV2LnhtbERPTWvCQBC9F/wPywje6kYFa6OriFrooR6MtvU4Zsck&#10;mp0N2a2m/94VBG/zeJ8zmTWmFBeqXWFZQa8bgSBOrS44U7DbfryOQDiPrLG0TAr+ycFs2nqZYKzt&#10;lTd0SXwmQgi7GBXk3lexlC7NyaDr2oo4cEdbG/QB1pnUNV5DuCllP4qG0mDBoSHHihY5pefkzyg4&#10;nOzq/Wu5w/23XL8l9Dv4WWtWqtNu5mMQnhr/FD/cnzrMHw17cP8mn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wk3EAAAA3QAAAA8AAAAAAAAAAAAAAAAAmAIAAGRycy9k&#10;b3ducmV2LnhtbFBLBQYAAAAABAAEAPUAAACJAwAAAAA=&#10;">
                  <v:textbox inset="2.17269mm,1.0864mm,2.17269mm,1.0864mm">
                    <w:txbxContent>
                      <w:p w:rsidR="0042762F" w:rsidRPr="00C828B6" w:rsidRDefault="0042762F" w:rsidP="00C828B6">
                        <w:pPr>
                          <w:ind w:left="0"/>
                          <w:jc w:val="center"/>
                          <w:rPr>
                            <w:rFonts w:ascii="Arial" w:hAnsi="Arial" w:cs="Arial"/>
                            <w:sz w:val="15"/>
                            <w:szCs w:val="18"/>
                          </w:rPr>
                        </w:pPr>
                        <w:r w:rsidRPr="00C828B6">
                          <w:rPr>
                            <w:rFonts w:ascii="Arial Narrow" w:hAnsi="Arial Narrow"/>
                            <w:sz w:val="18"/>
                            <w:lang w:eastAsia="en-US"/>
                          </w:rPr>
                          <w:t>Intended single</w:t>
                        </w:r>
                        <w:r>
                          <w:rPr>
                            <w:rFonts w:ascii="Arial Narrow" w:hAnsi="Arial Narrow"/>
                            <w:sz w:val="18"/>
                            <w:lang w:eastAsia="en-US"/>
                          </w:rPr>
                          <w:t>-</w:t>
                        </w:r>
                        <w:r w:rsidRPr="00C828B6">
                          <w:rPr>
                            <w:rFonts w:ascii="Arial Narrow" w:hAnsi="Arial Narrow"/>
                            <w:sz w:val="18"/>
                            <w:lang w:eastAsia="en-US"/>
                          </w:rPr>
                          <w:t>stage curative</w:t>
                        </w:r>
                        <w:r w:rsidRPr="00C828B6">
                          <w:rPr>
                            <w:rFonts w:ascii="Arial" w:hAnsi="Arial" w:cs="Arial"/>
                            <w:sz w:val="15"/>
                            <w:szCs w:val="18"/>
                          </w:rPr>
                          <w:t xml:space="preserve"> surgery</w:t>
                        </w:r>
                        <w:r w:rsidRPr="00DC433D">
                          <w:rPr>
                            <w:vertAlign w:val="superscript"/>
                          </w:rPr>
                          <w:t>b</w:t>
                        </w:r>
                        <w:r w:rsidRPr="00C828B6">
                          <w:rPr>
                            <w:rFonts w:ascii="Arial" w:hAnsi="Arial" w:cs="Arial"/>
                            <w:sz w:val="15"/>
                            <w:szCs w:val="18"/>
                          </w:rPr>
                          <w:t xml:space="preserve"> </w:t>
                        </w:r>
                      </w:p>
                    </w:txbxContent>
                  </v:textbox>
                </v:shape>
                <w10:anchorlock/>
              </v:group>
            </w:pict>
          </mc:Fallback>
        </mc:AlternateContent>
      </w:r>
      <w:r>
        <w:rPr>
          <w:bCs/>
          <w:noProof/>
        </w:rPr>
        <w:lastRenderedPageBreak/>
        <mc:AlternateContent>
          <mc:Choice Requires="wps">
            <w:drawing>
              <wp:inline distT="0" distB="0" distL="0" distR="0" wp14:anchorId="3CF5D6FE" wp14:editId="3E45A531">
                <wp:extent cx="10015855" cy="6049645"/>
                <wp:effectExtent l="0" t="0" r="0" b="0"/>
                <wp:docPr id="1" name="AutoShape 4" descr="Figure 6  Proposed clinical management algorithm" title="Figure 6  Proposed clinical management algorith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15855" cy="604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Title: Figure 6  Proposed clinical management algorithm - Description: Figure 6  Proposed clinical management algorithm" style="width:788.65pt;height:4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" filled="f" stroked="f">
                <o:lock v:ext="edit" aspectratio="t"/>
                <w10:anchorlock/>
              </v:rect>
            </w:pict>
          </mc:Fallback>
        </mc:AlternateContent>
      </w:r>
    </w:p>
    <w:p w:rsidR="00697D1A" w:rsidRPr="00BB3C05" w:rsidRDefault="00697D1A" w:rsidP="00071527">
      <w:pPr>
        <w:pStyle w:val="Heading2"/>
      </w:pPr>
      <w:bookmarkStart w:id="94" w:name="_Toc214339170"/>
      <w:bookmarkStart w:id="95" w:name="_Toc352924412"/>
      <w:r w:rsidRPr="00BB3C05">
        <w:lastRenderedPageBreak/>
        <w:t>Comparator</w:t>
      </w:r>
      <w:bookmarkEnd w:id="94"/>
      <w:bookmarkEnd w:id="95"/>
    </w:p>
    <w:p w:rsidR="00532AA8" w:rsidRPr="00BB3C05" w:rsidRDefault="00532AA8" w:rsidP="00071527">
      <w:r w:rsidRPr="00BB3C05">
        <w:t xml:space="preserve">Insertion of colonic stents as </w:t>
      </w:r>
      <w:r w:rsidR="003070A3">
        <w:t xml:space="preserve">bridge to surgery or </w:t>
      </w:r>
      <w:r w:rsidRPr="00BB3C05">
        <w:t xml:space="preserve">definitive </w:t>
      </w:r>
      <w:r w:rsidR="003070A3">
        <w:t xml:space="preserve">palliative </w:t>
      </w:r>
      <w:r w:rsidRPr="00BB3C05">
        <w:t xml:space="preserve">procedure was compared with </w:t>
      </w:r>
      <w:r w:rsidR="00CA7C3F" w:rsidRPr="00BB3C05">
        <w:t xml:space="preserve">the </w:t>
      </w:r>
      <w:r w:rsidRPr="00BB3C05">
        <w:t>following two major branches of surgical and medical management</w:t>
      </w:r>
      <w:r w:rsidR="00F86AFD">
        <w:t>:</w:t>
      </w:r>
      <w:r w:rsidRPr="00BB3C05">
        <w:t xml:space="preserve"> </w:t>
      </w:r>
    </w:p>
    <w:p w:rsidR="00532AA8" w:rsidRPr="00BB3C05" w:rsidRDefault="00532AA8" w:rsidP="001443D8">
      <w:pPr>
        <w:numPr>
          <w:ilvl w:val="0"/>
          <w:numId w:val="48"/>
        </w:numPr>
        <w:ind w:hanging="731"/>
      </w:pPr>
      <w:r w:rsidRPr="00BB3C05">
        <w:t>Surgical management (other surgery)</w:t>
      </w:r>
    </w:p>
    <w:p w:rsidR="00532AA8" w:rsidRPr="00BB3C05" w:rsidRDefault="00532AA8" w:rsidP="001443D8">
      <w:pPr>
        <w:ind w:left="1134"/>
      </w:pPr>
      <w:r w:rsidRPr="00BB3C05">
        <w:t xml:space="preserve">Surgical resection </w:t>
      </w:r>
      <w:r w:rsidR="0082375C" w:rsidRPr="00BB3C05">
        <w:t xml:space="preserve">can </w:t>
      </w:r>
      <w:r w:rsidRPr="00BB3C05">
        <w:t xml:space="preserve">be carried out as a one-, two- or even three-stage procedure. </w:t>
      </w:r>
      <w:r w:rsidR="003070A3">
        <w:t>H</w:t>
      </w:r>
      <w:r w:rsidRPr="00BB3C05">
        <w:t>emi-colectomy with primary anastomosis</w:t>
      </w:r>
      <w:r w:rsidR="003070A3">
        <w:t xml:space="preserve"> is ideally</w:t>
      </w:r>
      <w:r w:rsidRPr="00BB3C05">
        <w:t xml:space="preserve"> performed as a one-stage procedure</w:t>
      </w:r>
      <w:r w:rsidR="00737993">
        <w:t>,</w:t>
      </w:r>
      <w:r w:rsidRPr="00BB3C05">
        <w:t xml:space="preserve"> where appropriate</w:t>
      </w:r>
      <w:r w:rsidR="00737993">
        <w:t>,</w:t>
      </w:r>
      <w:r w:rsidRPr="00BB3C05">
        <w:t xml:space="preserve"> and </w:t>
      </w:r>
      <w:r w:rsidR="003070A3">
        <w:t xml:space="preserve">is </w:t>
      </w:r>
      <w:r w:rsidRPr="00BB3C05">
        <w:t xml:space="preserve">not a comparator to </w:t>
      </w:r>
      <w:r w:rsidR="00737993">
        <w:t xml:space="preserve">colonic </w:t>
      </w:r>
      <w:r w:rsidRPr="00BB3C05">
        <w:t xml:space="preserve">stenting. </w:t>
      </w:r>
    </w:p>
    <w:p w:rsidR="00532AA8" w:rsidRPr="00BB3C05" w:rsidRDefault="00532AA8" w:rsidP="001443D8">
      <w:pPr>
        <w:ind w:left="1134"/>
      </w:pPr>
      <w:r w:rsidRPr="00BB3C05">
        <w:t xml:space="preserve">When </w:t>
      </w:r>
      <w:r w:rsidR="00737993" w:rsidRPr="00BB3C05">
        <w:t>single</w:t>
      </w:r>
      <w:r w:rsidR="00737993">
        <w:t>-</w:t>
      </w:r>
      <w:r w:rsidRPr="00BB3C05">
        <w:t>stage resection is not an option, ‘other surgery’</w:t>
      </w:r>
      <w:r w:rsidR="00F86AFD">
        <w:t>,</w:t>
      </w:r>
      <w:r w:rsidRPr="00BB3C05">
        <w:t xml:space="preserve"> </w:t>
      </w:r>
      <w:r w:rsidR="003070A3">
        <w:t xml:space="preserve">which </w:t>
      </w:r>
      <w:r w:rsidRPr="00BB3C05">
        <w:t>includ</w:t>
      </w:r>
      <w:r w:rsidR="003070A3">
        <w:t>es</w:t>
      </w:r>
      <w:r w:rsidRPr="00BB3C05">
        <w:t xml:space="preserve"> two</w:t>
      </w:r>
      <w:r w:rsidR="003070A3">
        <w:t>-</w:t>
      </w:r>
      <w:r w:rsidRPr="00BB3C05">
        <w:t xml:space="preserve"> or three</w:t>
      </w:r>
      <w:r w:rsidR="003070A3">
        <w:t>-</w:t>
      </w:r>
      <w:r w:rsidRPr="00BB3C05">
        <w:t>stage resection</w:t>
      </w:r>
      <w:r w:rsidR="00737993">
        <w:t>,</w:t>
      </w:r>
      <w:r w:rsidR="00FD48E2" w:rsidRPr="00BB3C05">
        <w:t xml:space="preserve"> mainly colostomy (stoma creation) and</w:t>
      </w:r>
      <w:r w:rsidRPr="00BB3C05">
        <w:t xml:space="preserve"> </w:t>
      </w:r>
      <w:r w:rsidR="00023F4B" w:rsidRPr="00BB3C05">
        <w:t>Hartmann’s procedure</w:t>
      </w:r>
      <w:r w:rsidR="00737993">
        <w:t>,</w:t>
      </w:r>
      <w:r w:rsidR="00AE71CD">
        <w:t xml:space="preserve"> is performed</w:t>
      </w:r>
      <w:r w:rsidR="00023F4B" w:rsidRPr="00BB3C05">
        <w:t xml:space="preserve"> </w:t>
      </w:r>
      <w:r w:rsidRPr="00BB3C05">
        <w:t xml:space="preserve">(De Salvo et al 2002). </w:t>
      </w:r>
    </w:p>
    <w:p w:rsidR="00532AA8" w:rsidRPr="00BB3C05" w:rsidRDefault="00532AA8" w:rsidP="001443D8">
      <w:pPr>
        <w:numPr>
          <w:ilvl w:val="0"/>
          <w:numId w:val="49"/>
        </w:numPr>
        <w:ind w:hanging="731"/>
      </w:pPr>
      <w:r w:rsidRPr="00BB3C05">
        <w:t xml:space="preserve">Best supportive care  </w:t>
      </w:r>
    </w:p>
    <w:p w:rsidR="00532AA8" w:rsidRPr="006F69C6" w:rsidRDefault="00AE71CD" w:rsidP="001443D8">
      <w:pPr>
        <w:ind w:left="1134"/>
      </w:pPr>
      <w:r>
        <w:t>B</w:t>
      </w:r>
      <w:r w:rsidR="003C1A0C" w:rsidRPr="00BB3C05">
        <w:t>est supportive care regime</w:t>
      </w:r>
      <w:r>
        <w:t>n</w:t>
      </w:r>
      <w:r w:rsidR="00737993">
        <w:t>s</w:t>
      </w:r>
      <w:r w:rsidR="003C1A0C" w:rsidRPr="00BB3C05">
        <w:t xml:space="preserve"> </w:t>
      </w:r>
      <w:r>
        <w:t>comprise a suitable</w:t>
      </w:r>
      <w:r w:rsidR="00532AA8" w:rsidRPr="00BB3C05">
        <w:t xml:space="preserve"> combination of chemotherapy, radiotherapy </w:t>
      </w:r>
      <w:r w:rsidR="006F69C6">
        <w:t>and/</w:t>
      </w:r>
      <w:r w:rsidR="00532AA8" w:rsidRPr="006F69C6">
        <w:t>or palliation</w:t>
      </w:r>
      <w:r>
        <w:t xml:space="preserve">. Patients receiving supportive care may </w:t>
      </w:r>
      <w:r w:rsidR="00532AA8" w:rsidRPr="006F69C6">
        <w:t xml:space="preserve">still </w:t>
      </w:r>
      <w:r>
        <w:t xml:space="preserve">improve </w:t>
      </w:r>
      <w:r w:rsidR="00737993">
        <w:t xml:space="preserve">sufficiently </w:t>
      </w:r>
      <w:r>
        <w:t>to become</w:t>
      </w:r>
      <w:r w:rsidR="00532AA8" w:rsidRPr="006F69C6">
        <w:t xml:space="preserve"> eligible </w:t>
      </w:r>
      <w:r w:rsidR="00737993">
        <w:t>for</w:t>
      </w:r>
      <w:r w:rsidR="00532AA8" w:rsidRPr="006F69C6">
        <w:t xml:space="preserve"> surgery at a later </w:t>
      </w:r>
      <w:r>
        <w:t>date</w:t>
      </w:r>
      <w:r w:rsidR="00532AA8" w:rsidRPr="006F69C6">
        <w:t>.</w:t>
      </w:r>
    </w:p>
    <w:p w:rsidR="002E3709" w:rsidRPr="00F13A5A" w:rsidRDefault="002E3709" w:rsidP="00071527">
      <w:pPr>
        <w:pStyle w:val="Heading2"/>
      </w:pPr>
      <w:bookmarkStart w:id="96" w:name="_Toc214339172"/>
      <w:bookmarkStart w:id="97" w:name="_Toc352924413"/>
      <w:r w:rsidRPr="00F13A5A">
        <w:t>Research questions</w:t>
      </w:r>
      <w:bookmarkEnd w:id="96"/>
      <w:bookmarkEnd w:id="97"/>
    </w:p>
    <w:p w:rsidR="00304119" w:rsidRPr="00E767D0" w:rsidRDefault="00304119" w:rsidP="00FC35F9">
      <w:pPr>
        <w:pStyle w:val="Heading3"/>
      </w:pPr>
      <w:r w:rsidRPr="00E767D0">
        <w:t>Population 1</w:t>
      </w:r>
    </w:p>
    <w:p w:rsidR="00304119" w:rsidRPr="006F69C6" w:rsidRDefault="00304119" w:rsidP="00E16A93">
      <w:r w:rsidRPr="00BE3EA8">
        <w:t>In patients</w:t>
      </w:r>
      <w:r w:rsidR="00767563" w:rsidRPr="00BE3EA8">
        <w:t xml:space="preserve"> (&gt;1</w:t>
      </w:r>
      <w:r w:rsidR="00692F85" w:rsidRPr="00BE3EA8">
        <w:t>7</w:t>
      </w:r>
      <w:r w:rsidR="007A0AD5" w:rsidRPr="00BE3EA8">
        <w:t xml:space="preserve"> years</w:t>
      </w:r>
      <w:r w:rsidR="00AE71CD">
        <w:t xml:space="preserve"> of age</w:t>
      </w:r>
      <w:r w:rsidR="007A0AD5" w:rsidRPr="00BE3EA8">
        <w:t>)</w:t>
      </w:r>
      <w:r w:rsidRPr="00BE3EA8">
        <w:t xml:space="preserve"> with colorectal obstruction due to an unknown diagnosis</w:t>
      </w:r>
      <w:r w:rsidR="00CA7C3F" w:rsidRPr="008F42F9">
        <w:t xml:space="preserve"> </w:t>
      </w:r>
      <w:r w:rsidR="00AE71CD">
        <w:t>who</w:t>
      </w:r>
      <w:r w:rsidR="00AE71CD" w:rsidRPr="008F42F9">
        <w:t xml:space="preserve"> </w:t>
      </w:r>
      <w:r w:rsidR="00CA7C3F" w:rsidRPr="008F42F9">
        <w:t>are</w:t>
      </w:r>
      <w:r w:rsidRPr="008F42F9">
        <w:t xml:space="preserve"> medically fit for surgery, what is the safety, effectiveness and cost-effectiveness of colonic stent</w:t>
      </w:r>
      <w:r w:rsidR="00AE71CD">
        <w:t>ing</w:t>
      </w:r>
      <w:r w:rsidRPr="008F42F9">
        <w:t xml:space="preserve"> with or without active medical management (</w:t>
      </w:r>
      <w:r w:rsidR="00CE0D06">
        <w:t>eg</w:t>
      </w:r>
      <w:r w:rsidR="00A31E22" w:rsidRPr="008F42F9">
        <w:t xml:space="preserve"> </w:t>
      </w:r>
      <w:r w:rsidRPr="00325C69">
        <w:t xml:space="preserve">chemotherapy) compared with </w:t>
      </w:r>
      <w:r w:rsidR="006F69C6">
        <w:t>‘</w:t>
      </w:r>
      <w:r w:rsidRPr="006F69C6">
        <w:t>other surgery</w:t>
      </w:r>
      <w:r w:rsidR="006F69C6">
        <w:t>’</w:t>
      </w:r>
      <w:r w:rsidRPr="006F69C6">
        <w:t xml:space="preserve"> </w:t>
      </w:r>
      <w:r w:rsidR="00AE71CD">
        <w:t>(</w:t>
      </w:r>
      <w:r w:rsidRPr="006F69C6">
        <w:t>with or without chemotherapy</w:t>
      </w:r>
      <w:r w:rsidR="00AE71CD">
        <w:t>)</w:t>
      </w:r>
      <w:r w:rsidRPr="006F69C6">
        <w:t>?</w:t>
      </w:r>
    </w:p>
    <w:p w:rsidR="00304119" w:rsidRPr="00F13A5A" w:rsidRDefault="00304119" w:rsidP="00FC35F9">
      <w:pPr>
        <w:pStyle w:val="Heading3"/>
      </w:pPr>
      <w:r w:rsidRPr="00F13A5A">
        <w:t>Population 2</w:t>
      </w:r>
    </w:p>
    <w:p w:rsidR="00304119" w:rsidRPr="007D5B7C" w:rsidRDefault="00304119" w:rsidP="00E16A93">
      <w:r w:rsidRPr="00E767D0">
        <w:t>In patients</w:t>
      </w:r>
      <w:r w:rsidR="00CF1FED">
        <w:t xml:space="preserve"> </w:t>
      </w:r>
      <w:r w:rsidR="00767563" w:rsidRPr="00BE3EA8">
        <w:t>(&gt;1</w:t>
      </w:r>
      <w:r w:rsidR="00692F85" w:rsidRPr="00BE3EA8">
        <w:t>7</w:t>
      </w:r>
      <w:r w:rsidR="007A0AD5" w:rsidRPr="00BE3EA8">
        <w:t xml:space="preserve"> years</w:t>
      </w:r>
      <w:r w:rsidR="00AE71CD">
        <w:t xml:space="preserve"> of age</w:t>
      </w:r>
      <w:r w:rsidR="007A0AD5" w:rsidRPr="00BE3EA8">
        <w:t>)</w:t>
      </w:r>
      <w:r w:rsidRPr="00BE3EA8">
        <w:t xml:space="preserve"> with colorectal obstruction due to an unknown diagnosis</w:t>
      </w:r>
      <w:r w:rsidR="00CA7C3F" w:rsidRPr="00BE3EA8">
        <w:t xml:space="preserve"> </w:t>
      </w:r>
      <w:r w:rsidR="00AE71CD">
        <w:t xml:space="preserve">who </w:t>
      </w:r>
      <w:r w:rsidR="00CA7C3F" w:rsidRPr="00BE3EA8">
        <w:t>are</w:t>
      </w:r>
      <w:r w:rsidRPr="00A3741F">
        <w:t xml:space="preserve"> medically unfit for su</w:t>
      </w:r>
      <w:r w:rsidRPr="00F2707B">
        <w:t>rgery, what is the safety, effectiveness and cost-effectiveness</w:t>
      </w:r>
      <w:r w:rsidRPr="008F42F9">
        <w:t xml:space="preserve"> of </w:t>
      </w:r>
      <w:r w:rsidR="00AE71CD">
        <w:t xml:space="preserve">colonic </w:t>
      </w:r>
      <w:r w:rsidRPr="008F42F9">
        <w:t>stent</w:t>
      </w:r>
      <w:r w:rsidR="00AE71CD">
        <w:t>ing</w:t>
      </w:r>
      <w:r w:rsidRPr="008F42F9">
        <w:t xml:space="preserve"> with or without active medical management (</w:t>
      </w:r>
      <w:r w:rsidR="00CE0D06">
        <w:t>eg</w:t>
      </w:r>
      <w:r w:rsidR="00A31E22" w:rsidRPr="008F42F9">
        <w:t xml:space="preserve"> </w:t>
      </w:r>
      <w:r w:rsidRPr="008F42F9">
        <w:t xml:space="preserve">chemotherapy) compared with best supportive care </w:t>
      </w:r>
      <w:r w:rsidR="00AE71CD">
        <w:t>(</w:t>
      </w:r>
      <w:r w:rsidRPr="008F42F9">
        <w:t>with or without chemotherapy</w:t>
      </w:r>
      <w:r w:rsidR="00AE71CD">
        <w:t>)</w:t>
      </w:r>
      <w:r w:rsidR="00B2138B" w:rsidRPr="00325C69">
        <w:t>?</w:t>
      </w:r>
    </w:p>
    <w:p w:rsidR="00304119" w:rsidRPr="007D5B7C" w:rsidRDefault="00304119" w:rsidP="00FC35F9">
      <w:pPr>
        <w:pStyle w:val="Heading3"/>
      </w:pPr>
      <w:r w:rsidRPr="007D5B7C">
        <w:t>Population 3</w:t>
      </w:r>
    </w:p>
    <w:p w:rsidR="00304119" w:rsidRPr="006F69C6" w:rsidRDefault="00304119" w:rsidP="00E16A93">
      <w:r w:rsidRPr="007D5B7C">
        <w:t>In patients</w:t>
      </w:r>
      <w:r w:rsidR="00767563" w:rsidRPr="007D5B7C">
        <w:t xml:space="preserve"> (&gt;1</w:t>
      </w:r>
      <w:r w:rsidR="00692F85" w:rsidRPr="007D5B7C">
        <w:t>7</w:t>
      </w:r>
      <w:r w:rsidR="007A0AD5" w:rsidRPr="007D5B7C">
        <w:t xml:space="preserve"> years</w:t>
      </w:r>
      <w:r w:rsidR="00AE71CD">
        <w:t xml:space="preserve"> of age</w:t>
      </w:r>
      <w:r w:rsidR="007A0AD5" w:rsidRPr="007D5B7C">
        <w:t>)</w:t>
      </w:r>
      <w:r w:rsidR="00AE71CD">
        <w:t xml:space="preserve"> with colorectal obstruction due to</w:t>
      </w:r>
      <w:r w:rsidRPr="007D5B7C">
        <w:t xml:space="preserve"> confirmed cancer</w:t>
      </w:r>
      <w:r w:rsidR="00CA7C3F" w:rsidRPr="00960A9E">
        <w:t xml:space="preserve"> </w:t>
      </w:r>
      <w:r w:rsidR="00AE71CD">
        <w:t>who</w:t>
      </w:r>
      <w:r w:rsidR="00AE71CD" w:rsidRPr="00960A9E">
        <w:t xml:space="preserve"> </w:t>
      </w:r>
      <w:r w:rsidR="00CA7C3F" w:rsidRPr="00960A9E">
        <w:t>are</w:t>
      </w:r>
      <w:r w:rsidRPr="00EA2600">
        <w:t xml:space="preserve"> medically fit for surgery, what is the safety, effectiveness and cost-effectiveness of colonic stent</w:t>
      </w:r>
      <w:r w:rsidR="00AE71CD">
        <w:t>ing</w:t>
      </w:r>
      <w:r w:rsidRPr="00EA2600">
        <w:t xml:space="preserve"> with or without active medical management (</w:t>
      </w:r>
      <w:r w:rsidR="00CE0D06">
        <w:t>eg</w:t>
      </w:r>
      <w:r w:rsidR="00A31E22" w:rsidRPr="00430AA8">
        <w:t xml:space="preserve"> </w:t>
      </w:r>
      <w:r w:rsidRPr="00347DAA">
        <w:t xml:space="preserve">chemotherapy) compared with </w:t>
      </w:r>
      <w:r w:rsidRPr="006F69C6">
        <w:t xml:space="preserve">other surgery </w:t>
      </w:r>
      <w:r w:rsidR="00AE71CD">
        <w:t>(</w:t>
      </w:r>
      <w:r w:rsidRPr="006F69C6">
        <w:t>with or without chemotherapy</w:t>
      </w:r>
      <w:r w:rsidR="00AE71CD">
        <w:t>)</w:t>
      </w:r>
      <w:r w:rsidRPr="006F69C6">
        <w:t>?</w:t>
      </w:r>
    </w:p>
    <w:p w:rsidR="00304119" w:rsidRPr="00E767D0" w:rsidRDefault="00304119" w:rsidP="00FC35F9">
      <w:pPr>
        <w:pStyle w:val="Heading3"/>
      </w:pPr>
      <w:r w:rsidRPr="00F13A5A">
        <w:t>Popula</w:t>
      </w:r>
      <w:r w:rsidRPr="00E767D0">
        <w:t>tion 4</w:t>
      </w:r>
    </w:p>
    <w:p w:rsidR="0031303D" w:rsidRPr="00F63C8F" w:rsidRDefault="00304119" w:rsidP="00F63C8F">
      <w:r w:rsidRPr="00F63C8F">
        <w:t>In patients</w:t>
      </w:r>
      <w:r w:rsidR="00767563" w:rsidRPr="00F63C8F">
        <w:t xml:space="preserve"> (&gt;1</w:t>
      </w:r>
      <w:r w:rsidR="00692F85" w:rsidRPr="00F63C8F">
        <w:t>7</w:t>
      </w:r>
      <w:r w:rsidR="007A0AD5" w:rsidRPr="00F63C8F">
        <w:t xml:space="preserve"> years</w:t>
      </w:r>
      <w:r w:rsidR="00AE71CD" w:rsidRPr="00F63C8F">
        <w:t xml:space="preserve"> of age</w:t>
      </w:r>
      <w:r w:rsidR="00767563" w:rsidRPr="00F63C8F">
        <w:t>)</w:t>
      </w:r>
      <w:r w:rsidRPr="00F63C8F">
        <w:t xml:space="preserve"> </w:t>
      </w:r>
      <w:r w:rsidR="00AE71CD" w:rsidRPr="00F63C8F">
        <w:t>with colorectal obstruction due to</w:t>
      </w:r>
      <w:r w:rsidRPr="00F63C8F">
        <w:t xml:space="preserve"> confirmed cancer</w:t>
      </w:r>
      <w:r w:rsidR="00CA7C3F" w:rsidRPr="00F63C8F">
        <w:t xml:space="preserve"> </w:t>
      </w:r>
      <w:r w:rsidR="00AE71CD" w:rsidRPr="00F63C8F">
        <w:t xml:space="preserve">who </w:t>
      </w:r>
      <w:r w:rsidR="00CA7C3F" w:rsidRPr="00F63C8F">
        <w:t>are</w:t>
      </w:r>
      <w:r w:rsidRPr="00F63C8F">
        <w:t xml:space="preserve"> medically unfit for surgery, what is the safety, effectiveness and cost-effectiveness of colonic stent</w:t>
      </w:r>
      <w:r w:rsidR="00AE71CD" w:rsidRPr="00F63C8F">
        <w:t>ing</w:t>
      </w:r>
      <w:r w:rsidRPr="00F63C8F">
        <w:t xml:space="preserve"> with or without active medical management (</w:t>
      </w:r>
      <w:r w:rsidR="00CE0D06" w:rsidRPr="00F63C8F">
        <w:t>eg</w:t>
      </w:r>
      <w:r w:rsidR="00A31E22" w:rsidRPr="00F63C8F">
        <w:t xml:space="preserve"> </w:t>
      </w:r>
      <w:r w:rsidRPr="00F63C8F">
        <w:t xml:space="preserve">chemotherapy) compared with best supportive care </w:t>
      </w:r>
      <w:r w:rsidR="00AE71CD" w:rsidRPr="00F63C8F">
        <w:t>(</w:t>
      </w:r>
      <w:r w:rsidRPr="00F63C8F">
        <w:t>with or without chemotherapy</w:t>
      </w:r>
      <w:r w:rsidR="00AE71CD" w:rsidRPr="00F63C8F">
        <w:t>)</w:t>
      </w:r>
      <w:r w:rsidRPr="00F63C8F">
        <w:t>?</w:t>
      </w:r>
      <w:r w:rsidR="00F63C8F" w:rsidRPr="00F63C8F">
        <w:t xml:space="preserve"> </w:t>
      </w:r>
    </w:p>
    <w:p w:rsidR="008F59A8" w:rsidRPr="00EC591E" w:rsidRDefault="008F59A8" w:rsidP="00071527">
      <w:pPr>
        <w:pStyle w:val="Heading2"/>
      </w:pPr>
      <w:bookmarkStart w:id="98" w:name="_Toc214339173"/>
      <w:bookmarkStart w:id="99" w:name="_Toc352924414"/>
      <w:r w:rsidRPr="00F63C8F">
        <w:lastRenderedPageBreak/>
        <w:t>Review of literature</w:t>
      </w:r>
      <w:bookmarkEnd w:id="98"/>
      <w:bookmarkEnd w:id="99"/>
      <w:r w:rsidRPr="00EC591E">
        <w:t xml:space="preserve"> </w:t>
      </w:r>
    </w:p>
    <w:p w:rsidR="005F3012" w:rsidRPr="00430AA8" w:rsidRDefault="005F3012" w:rsidP="00B2138B">
      <w:pPr>
        <w:pStyle w:val="Heading3"/>
      </w:pPr>
      <w:r w:rsidRPr="00430AA8">
        <w:t>Literature sources and search strategies</w:t>
      </w:r>
    </w:p>
    <w:p w:rsidR="00A87771" w:rsidRPr="008978EE" w:rsidRDefault="00AE71CD" w:rsidP="00071527">
      <w:r>
        <w:t>M</w:t>
      </w:r>
      <w:r w:rsidR="00532AA8" w:rsidRPr="00347DAA">
        <w:t xml:space="preserve">edical literature searches were conducted </w:t>
      </w:r>
      <w:r>
        <w:t>in</w:t>
      </w:r>
      <w:r w:rsidR="00532AA8" w:rsidRPr="00347DAA">
        <w:t xml:space="preserve"> five bibliographic databases</w:t>
      </w:r>
      <w:r w:rsidR="00601AD3">
        <w:t>:</w:t>
      </w:r>
      <w:r>
        <w:t xml:space="preserve"> </w:t>
      </w:r>
      <w:r w:rsidR="00532AA8" w:rsidRPr="00347DAA">
        <w:t>Pub</w:t>
      </w:r>
      <w:r>
        <w:t>M</w:t>
      </w:r>
      <w:r w:rsidR="00532AA8" w:rsidRPr="00347DAA">
        <w:t>ed, E</w:t>
      </w:r>
      <w:r>
        <w:t>MBASE</w:t>
      </w:r>
      <w:r w:rsidR="00532AA8" w:rsidRPr="00347DAA">
        <w:t xml:space="preserve">, CINAHL, </w:t>
      </w:r>
      <w:r w:rsidRPr="003D1B91">
        <w:rPr>
          <w:i/>
        </w:rPr>
        <w:t xml:space="preserve">The </w:t>
      </w:r>
      <w:r w:rsidR="00532AA8" w:rsidRPr="003D1B91">
        <w:rPr>
          <w:i/>
        </w:rPr>
        <w:t>Cochrane</w:t>
      </w:r>
      <w:r w:rsidRPr="003D1B91">
        <w:rPr>
          <w:i/>
        </w:rPr>
        <w:t xml:space="preserve"> Library</w:t>
      </w:r>
      <w:r w:rsidR="00532AA8" w:rsidRPr="00347DAA">
        <w:t xml:space="preserve"> and </w:t>
      </w:r>
      <w:r>
        <w:t xml:space="preserve">the </w:t>
      </w:r>
      <w:r w:rsidR="00532AA8" w:rsidRPr="00347DAA">
        <w:t>Centre for Reviews and Dissemi</w:t>
      </w:r>
      <w:r w:rsidR="00532AA8" w:rsidRPr="009672A9">
        <w:t>nation (CRD) of the University of York</w:t>
      </w:r>
      <w:r>
        <w:t xml:space="preserve"> databases</w:t>
      </w:r>
      <w:r w:rsidR="00532AA8" w:rsidRPr="009672A9">
        <w:t xml:space="preserve">. </w:t>
      </w:r>
      <w:r w:rsidR="008F034A" w:rsidRPr="009672A9">
        <w:t>In addition</w:t>
      </w:r>
      <w:r>
        <w:t>, the</w:t>
      </w:r>
      <w:r w:rsidR="008F034A" w:rsidRPr="009672A9">
        <w:t xml:space="preserve"> websites of </w:t>
      </w:r>
      <w:r>
        <w:t>h</w:t>
      </w:r>
      <w:r w:rsidR="00CA7C3F" w:rsidRPr="00584C29">
        <w:t xml:space="preserve">ealth </w:t>
      </w:r>
      <w:r>
        <w:t>t</w:t>
      </w:r>
      <w:r w:rsidR="00CA7C3F" w:rsidRPr="00584C29">
        <w:t xml:space="preserve">echnology </w:t>
      </w:r>
      <w:r>
        <w:t>a</w:t>
      </w:r>
      <w:r w:rsidR="00CA7C3F" w:rsidRPr="00584C29">
        <w:t>ssessment (</w:t>
      </w:r>
      <w:r w:rsidR="008F034A" w:rsidRPr="00DA0155">
        <w:t>HTA</w:t>
      </w:r>
      <w:r w:rsidR="00CA7C3F" w:rsidRPr="00CF31D5">
        <w:t>)</w:t>
      </w:r>
      <w:r w:rsidR="008F034A" w:rsidRPr="00A550ED">
        <w:t xml:space="preserve"> agencies were also searched</w:t>
      </w:r>
      <w:r w:rsidR="006B38FB" w:rsidRPr="0055406F">
        <w:t xml:space="preserve">, a complete list of </w:t>
      </w:r>
      <w:r>
        <w:t>these</w:t>
      </w:r>
      <w:r w:rsidRPr="0055406F">
        <w:t xml:space="preserve"> </w:t>
      </w:r>
      <w:r w:rsidR="00A57BC5" w:rsidRPr="0055406F">
        <w:t>websites is</w:t>
      </w:r>
      <w:r w:rsidR="006B38FB" w:rsidRPr="004C658D">
        <w:t xml:space="preserve"> provided in</w:t>
      </w:r>
      <w:r w:rsidR="006139A8">
        <w:t xml:space="preserve"> Appendix </w:t>
      </w:r>
      <w:r w:rsidR="00F76B65">
        <w:t>C</w:t>
      </w:r>
      <w:r w:rsidR="006139A8">
        <w:t>.</w:t>
      </w:r>
      <w:r w:rsidR="008F034A" w:rsidRPr="00892811">
        <w:t xml:space="preserve"> </w:t>
      </w:r>
      <w:r>
        <w:t>Potentially r</w:t>
      </w:r>
      <w:r w:rsidR="00532AA8" w:rsidRPr="008978EE">
        <w:t>elevant studies were identified from</w:t>
      </w:r>
      <w:r w:rsidR="00A57BC5" w:rsidRPr="00A30BA9">
        <w:t xml:space="preserve"> the</w:t>
      </w:r>
      <w:r w:rsidR="00532AA8" w:rsidRPr="005646B6">
        <w:t xml:space="preserve"> inception of </w:t>
      </w:r>
      <w:r>
        <w:t>the</w:t>
      </w:r>
      <w:r w:rsidRPr="005646B6">
        <w:t xml:space="preserve"> </w:t>
      </w:r>
      <w:r w:rsidR="00532AA8" w:rsidRPr="005646B6">
        <w:t>databases to 15</w:t>
      </w:r>
      <w:r w:rsidR="00532AA8" w:rsidRPr="00A87C52">
        <w:t xml:space="preserve"> September 2011</w:t>
      </w:r>
      <w:r w:rsidR="001F0A87">
        <w:t>.</w:t>
      </w:r>
      <w:r w:rsidR="00532AA8" w:rsidRPr="00E2422F">
        <w:t xml:space="preserve"> </w:t>
      </w:r>
      <w:r w:rsidR="00715808" w:rsidRPr="00892811">
        <w:t xml:space="preserve">The bibliographies of all included studies were </w:t>
      </w:r>
      <w:r w:rsidR="00737993" w:rsidRPr="00892811">
        <w:t>hand</w:t>
      </w:r>
      <w:r w:rsidR="00737993">
        <w:t>-</w:t>
      </w:r>
      <w:r w:rsidR="00715808" w:rsidRPr="00892811">
        <w:t xml:space="preserve">searched for any relevant references </w:t>
      </w:r>
      <w:r w:rsidR="001F0A87">
        <w:t>that</w:t>
      </w:r>
      <w:r w:rsidR="001F0A87" w:rsidRPr="00892811">
        <w:t xml:space="preserve"> </w:t>
      </w:r>
      <w:r w:rsidR="00715808" w:rsidRPr="00892811">
        <w:t xml:space="preserve">may have been missed </w:t>
      </w:r>
      <w:r w:rsidR="001F0A87">
        <w:t>by</w:t>
      </w:r>
      <w:r w:rsidR="001F0A87" w:rsidRPr="00892811">
        <w:t xml:space="preserve"> </w:t>
      </w:r>
      <w:r w:rsidR="00715808" w:rsidRPr="00892811">
        <w:t>the literature searc</w:t>
      </w:r>
      <w:r w:rsidR="001F0A87">
        <w:t>hes</w:t>
      </w:r>
      <w:r w:rsidR="00715808" w:rsidRPr="00892811">
        <w:t xml:space="preserve"> (pearling)</w:t>
      </w:r>
      <w:r w:rsidR="00715808" w:rsidRPr="008978EE">
        <w:t xml:space="preserve">. </w:t>
      </w:r>
    </w:p>
    <w:p w:rsidR="00AE3F3C" w:rsidRPr="008978EE" w:rsidRDefault="001F0A87" w:rsidP="00E16A93">
      <w:r>
        <w:t>T</w:t>
      </w:r>
      <w:r w:rsidR="00532AA8" w:rsidRPr="009E5C53">
        <w:t xml:space="preserve">he search terms used to identify </w:t>
      </w:r>
      <w:r>
        <w:t xml:space="preserve">relevant </w:t>
      </w:r>
      <w:r w:rsidR="00532AA8" w:rsidRPr="009E5C53">
        <w:t>literature from the databases on the safety and effectiveness of colonic stents</w:t>
      </w:r>
      <w:r>
        <w:t xml:space="preserve"> are listed in</w:t>
      </w:r>
      <w:r w:rsidR="006139A8">
        <w:t xml:space="preserve"> Appendix </w:t>
      </w:r>
      <w:r w:rsidR="00F76B65">
        <w:t>B</w:t>
      </w:r>
      <w:r w:rsidR="006139A8">
        <w:t>.</w:t>
      </w:r>
      <w:r w:rsidR="00532AA8" w:rsidRPr="009E5C53">
        <w:t xml:space="preserve"> </w:t>
      </w:r>
      <w:r w:rsidR="006B38FB" w:rsidRPr="00E2422F">
        <w:t>Similar text words, indexing term</w:t>
      </w:r>
      <w:r w:rsidR="006B38FB" w:rsidRPr="00892811">
        <w:t>s and Boolean operators were employed when searching HTA websites.</w:t>
      </w:r>
    </w:p>
    <w:p w:rsidR="00532AA8" w:rsidRPr="006F69C6" w:rsidRDefault="007A5C4C" w:rsidP="007A5C4C">
      <w:pPr>
        <w:pStyle w:val="Caption"/>
      </w:pPr>
      <w:bookmarkStart w:id="100" w:name="_Ref326934138"/>
      <w:bookmarkStart w:id="101" w:name="_Toc306634218"/>
      <w:bookmarkStart w:id="102" w:name="_Toc327522064"/>
      <w:r>
        <w:t xml:space="preserve">Table </w:t>
      </w:r>
      <w:fldSimple w:instr=" SEQ Table \* ARABIC ">
        <w:r w:rsidR="0071544A">
          <w:rPr>
            <w:noProof/>
          </w:rPr>
          <w:t>20</w:t>
        </w:r>
      </w:fldSimple>
      <w:bookmarkEnd w:id="100"/>
      <w:r w:rsidR="00E872AA" w:rsidRPr="006F69C6">
        <w:tab/>
      </w:r>
      <w:r w:rsidR="00532AA8" w:rsidRPr="006F69C6">
        <w:rPr>
          <w:bCs w:val="0"/>
          <w:lang w:eastAsia="en-US"/>
        </w:rPr>
        <w:t xml:space="preserve">Search terms </w:t>
      </w:r>
      <w:bookmarkEnd w:id="101"/>
      <w:r w:rsidR="001F0A87">
        <w:rPr>
          <w:bCs w:val="0"/>
          <w:lang w:eastAsia="en-US"/>
        </w:rPr>
        <w:t>used to identify relevant literature</w:t>
      </w:r>
      <w:bookmarkEnd w:id="102"/>
    </w:p>
    <w:tbl>
      <w:tblPr>
        <w:tblW w:w="0" w:type="auto"/>
        <w:tblInd w:w="720" w:type="dxa"/>
        <w:tblBorders>
          <w:top w:val="single" w:sz="12" w:space="0" w:color="auto"/>
          <w:bottom w:val="single" w:sz="12" w:space="0" w:color="auto"/>
        </w:tblBorders>
        <w:tblCellMar>
          <w:top w:w="28" w:type="dxa"/>
          <w:left w:w="57" w:type="dxa"/>
          <w:bottom w:w="28" w:type="dxa"/>
          <w:right w:w="57" w:type="dxa"/>
        </w:tblCellMar>
        <w:tblLook w:val="00A0" w:firstRow="1" w:lastRow="0" w:firstColumn="1" w:lastColumn="0" w:noHBand="0" w:noVBand="0"/>
      </w:tblPr>
      <w:tblGrid>
        <w:gridCol w:w="2172"/>
        <w:gridCol w:w="6236"/>
      </w:tblGrid>
      <w:tr w:rsidR="00532AA8" w:rsidRPr="00BB3C05" w:rsidTr="00601AD3">
        <w:tc>
          <w:tcPr>
            <w:tcW w:w="2172" w:type="dxa"/>
            <w:tcBorders>
              <w:top w:val="single" w:sz="12" w:space="0" w:color="auto"/>
              <w:bottom w:val="single" w:sz="4" w:space="0" w:color="auto"/>
            </w:tcBorders>
            <w:vAlign w:val="center"/>
          </w:tcPr>
          <w:p w:rsidR="00532AA8" w:rsidRPr="00E767D0" w:rsidRDefault="00532AA8" w:rsidP="007A5C4C">
            <w:pPr>
              <w:pStyle w:val="TableHeading"/>
              <w:rPr>
                <w:lang w:eastAsia="en-US"/>
              </w:rPr>
            </w:pPr>
            <w:r w:rsidRPr="00F13A5A">
              <w:rPr>
                <w:lang w:eastAsia="en-US"/>
              </w:rPr>
              <w:t>Area of enquiry</w:t>
            </w:r>
          </w:p>
        </w:tc>
        <w:tc>
          <w:tcPr>
            <w:tcW w:w="6236" w:type="dxa"/>
            <w:tcBorders>
              <w:top w:val="single" w:sz="12" w:space="0" w:color="auto"/>
              <w:bottom w:val="single" w:sz="4" w:space="0" w:color="auto"/>
            </w:tcBorders>
          </w:tcPr>
          <w:p w:rsidR="00532AA8" w:rsidRPr="00BE3EA8" w:rsidRDefault="00532AA8" w:rsidP="007A5C4C">
            <w:pPr>
              <w:pStyle w:val="TableHeading"/>
              <w:rPr>
                <w:lang w:eastAsia="en-US"/>
              </w:rPr>
            </w:pPr>
            <w:r w:rsidRPr="00BE3EA8">
              <w:rPr>
                <w:lang w:eastAsia="en-US"/>
              </w:rPr>
              <w:t>Search terms</w:t>
            </w:r>
          </w:p>
        </w:tc>
      </w:tr>
      <w:tr w:rsidR="00532AA8" w:rsidRPr="00BB3C05" w:rsidTr="00601AD3">
        <w:tc>
          <w:tcPr>
            <w:tcW w:w="2172" w:type="dxa"/>
            <w:tcBorders>
              <w:top w:val="single" w:sz="4" w:space="0" w:color="auto"/>
            </w:tcBorders>
          </w:tcPr>
          <w:p w:rsidR="00532AA8" w:rsidRPr="00601AD3" w:rsidRDefault="00532AA8" w:rsidP="00601AD3">
            <w:pPr>
              <w:pStyle w:val="TableText"/>
            </w:pPr>
            <w:r w:rsidRPr="00601AD3">
              <w:t>Intervention</w:t>
            </w:r>
          </w:p>
        </w:tc>
        <w:tc>
          <w:tcPr>
            <w:tcW w:w="6236" w:type="dxa"/>
            <w:tcBorders>
              <w:top w:val="single" w:sz="4" w:space="0" w:color="auto"/>
            </w:tcBorders>
          </w:tcPr>
          <w:p w:rsidR="00532AA8" w:rsidRPr="00601AD3" w:rsidRDefault="00532AA8" w:rsidP="00601AD3">
            <w:pPr>
              <w:pStyle w:val="TableText"/>
            </w:pPr>
            <w:r w:rsidRPr="00601AD3">
              <w:t>MeSH headings</w:t>
            </w:r>
          </w:p>
          <w:p w:rsidR="00532AA8" w:rsidRPr="00601AD3" w:rsidRDefault="00532AA8" w:rsidP="00601AD3">
            <w:pPr>
              <w:pStyle w:val="TableText"/>
            </w:pPr>
            <w:r w:rsidRPr="00601AD3">
              <w:t>Stents</w:t>
            </w:r>
          </w:p>
          <w:p w:rsidR="00532AA8" w:rsidRPr="00601AD3" w:rsidRDefault="00532AA8" w:rsidP="00601AD3">
            <w:pPr>
              <w:pStyle w:val="TableText"/>
            </w:pPr>
            <w:r w:rsidRPr="00601AD3">
              <w:t>Text words</w:t>
            </w:r>
          </w:p>
          <w:p w:rsidR="00532AA8" w:rsidRPr="00601AD3" w:rsidRDefault="00532AA8" w:rsidP="00601AD3">
            <w:pPr>
              <w:pStyle w:val="TableText"/>
            </w:pPr>
            <w:r w:rsidRPr="00601AD3">
              <w:t>Stent*, SEMS, Ultraflex, Wallstent, Wallflex, Z-stent, Z stent, Zstent</w:t>
            </w:r>
          </w:p>
        </w:tc>
      </w:tr>
      <w:tr w:rsidR="00532AA8" w:rsidRPr="00BB3C05" w:rsidTr="00601AD3">
        <w:tc>
          <w:tcPr>
            <w:tcW w:w="2172" w:type="dxa"/>
          </w:tcPr>
          <w:p w:rsidR="00532AA8" w:rsidRPr="00601AD3" w:rsidRDefault="00532AA8" w:rsidP="00601AD3">
            <w:pPr>
              <w:pStyle w:val="TableText"/>
            </w:pPr>
            <w:r w:rsidRPr="00601AD3">
              <w:t>Medical condition</w:t>
            </w:r>
          </w:p>
        </w:tc>
        <w:tc>
          <w:tcPr>
            <w:tcW w:w="6236" w:type="dxa"/>
          </w:tcPr>
          <w:p w:rsidR="00532AA8" w:rsidRPr="00601AD3" w:rsidRDefault="00532AA8" w:rsidP="00601AD3">
            <w:pPr>
              <w:pStyle w:val="TableText"/>
            </w:pPr>
            <w:r w:rsidRPr="00601AD3">
              <w:t>MeSH headings</w:t>
            </w:r>
          </w:p>
          <w:p w:rsidR="00532AA8" w:rsidRPr="00601AD3" w:rsidRDefault="00532AA8" w:rsidP="00601AD3">
            <w:pPr>
              <w:pStyle w:val="TableText"/>
            </w:pPr>
            <w:r w:rsidRPr="00601AD3">
              <w:t>Intestinal obstruction</w:t>
            </w:r>
          </w:p>
          <w:p w:rsidR="00532AA8" w:rsidRPr="00601AD3" w:rsidRDefault="00532AA8" w:rsidP="00601AD3">
            <w:pPr>
              <w:pStyle w:val="TableText"/>
            </w:pPr>
            <w:r w:rsidRPr="00601AD3">
              <w:t>Constriction, pathologic</w:t>
            </w:r>
          </w:p>
          <w:p w:rsidR="00532AA8" w:rsidRPr="00601AD3" w:rsidRDefault="00532AA8" w:rsidP="00601AD3">
            <w:pPr>
              <w:pStyle w:val="TableText"/>
            </w:pPr>
            <w:r w:rsidRPr="00601AD3">
              <w:t>Text words</w:t>
            </w:r>
          </w:p>
          <w:p w:rsidR="00532AA8" w:rsidRPr="00601AD3" w:rsidRDefault="00532AA8" w:rsidP="00601AD3">
            <w:pPr>
              <w:pStyle w:val="TableText"/>
            </w:pPr>
            <w:r w:rsidRPr="00601AD3">
              <w:t>Obstruct*, stricture*, stenos*, narrow*</w:t>
            </w:r>
          </w:p>
        </w:tc>
      </w:tr>
      <w:tr w:rsidR="00532AA8" w:rsidRPr="00BB3C05" w:rsidTr="00601AD3">
        <w:tc>
          <w:tcPr>
            <w:tcW w:w="2172" w:type="dxa"/>
          </w:tcPr>
          <w:p w:rsidR="00532AA8" w:rsidRPr="00601AD3" w:rsidRDefault="00532AA8" w:rsidP="00F87F06">
            <w:pPr>
              <w:pStyle w:val="TableText"/>
            </w:pPr>
            <w:r w:rsidRPr="00601AD3">
              <w:t>Locali</w:t>
            </w:r>
            <w:r w:rsidR="00F87F06">
              <w:t>s</w:t>
            </w:r>
            <w:r w:rsidRPr="00601AD3">
              <w:t>ation</w:t>
            </w:r>
          </w:p>
        </w:tc>
        <w:tc>
          <w:tcPr>
            <w:tcW w:w="6236" w:type="dxa"/>
          </w:tcPr>
          <w:p w:rsidR="00532AA8" w:rsidRPr="00601AD3" w:rsidRDefault="00532AA8" w:rsidP="00601AD3">
            <w:pPr>
              <w:pStyle w:val="TableText"/>
            </w:pPr>
            <w:r w:rsidRPr="00601AD3">
              <w:t>MeSH headings</w:t>
            </w:r>
          </w:p>
          <w:p w:rsidR="00532AA8" w:rsidRPr="00601AD3" w:rsidRDefault="00532AA8" w:rsidP="00601AD3">
            <w:pPr>
              <w:pStyle w:val="TableText"/>
            </w:pPr>
            <w:r w:rsidRPr="00601AD3">
              <w:t>Intestine, Large</w:t>
            </w:r>
          </w:p>
          <w:p w:rsidR="00532AA8" w:rsidRPr="00601AD3" w:rsidRDefault="00532AA8" w:rsidP="00601AD3">
            <w:pPr>
              <w:pStyle w:val="TableText"/>
            </w:pPr>
            <w:r w:rsidRPr="00601AD3">
              <w:t>Text words</w:t>
            </w:r>
          </w:p>
          <w:p w:rsidR="00532AA8" w:rsidRPr="00601AD3" w:rsidRDefault="00532AA8" w:rsidP="00601AD3">
            <w:pPr>
              <w:pStyle w:val="TableText"/>
            </w:pPr>
            <w:r w:rsidRPr="00601AD3">
              <w:t>Intestin*, bow</w:t>
            </w:r>
            <w:r w:rsidR="00737993">
              <w:t>e</w:t>
            </w:r>
            <w:r w:rsidRPr="00601AD3">
              <w:t>l, colorectal, colon*, rectal, rectum</w:t>
            </w:r>
          </w:p>
        </w:tc>
      </w:tr>
    </w:tbl>
    <w:p w:rsidR="00B11459" w:rsidRPr="00BB3C05" w:rsidRDefault="00532AA8" w:rsidP="00601AD3">
      <w:pPr>
        <w:pStyle w:val="TableNotes"/>
        <w:rPr>
          <w:lang w:eastAsia="en-US"/>
        </w:rPr>
      </w:pPr>
      <w:r w:rsidRPr="00BB3C05">
        <w:rPr>
          <w:lang w:eastAsia="en-US"/>
        </w:rPr>
        <w:t xml:space="preserve">MeSH: Medical Subject Headings; SEMS: </w:t>
      </w:r>
      <w:r w:rsidR="00F87F06" w:rsidRPr="00BB3C05">
        <w:rPr>
          <w:lang w:eastAsia="en-US"/>
        </w:rPr>
        <w:t>self expanding metallic stent</w:t>
      </w:r>
      <w:r w:rsidR="00B11459" w:rsidRPr="00BB3C05">
        <w:rPr>
          <w:lang w:eastAsia="en-US"/>
        </w:rPr>
        <w:t xml:space="preserve">; </w:t>
      </w:r>
    </w:p>
    <w:p w:rsidR="00F25DCB" w:rsidRPr="00BB3C05" w:rsidRDefault="00330EB8" w:rsidP="005F15F0">
      <w:pPr>
        <w:pStyle w:val="Heading3"/>
      </w:pPr>
      <w:r w:rsidRPr="00BB3C05">
        <w:t>Selection</w:t>
      </w:r>
      <w:r w:rsidR="00F25DCB" w:rsidRPr="00BB3C05">
        <w:t xml:space="preserve"> criteria</w:t>
      </w:r>
    </w:p>
    <w:p w:rsidR="006B38FB" w:rsidRPr="006F69C6" w:rsidRDefault="006B38FB" w:rsidP="008A15FA">
      <w:r w:rsidRPr="00BB3C05">
        <w:t xml:space="preserve">The </w:t>
      </w:r>
      <w:r w:rsidRPr="009E5C53">
        <w:t>inclusion and exclusion criteria used in this assessment</w:t>
      </w:r>
      <w:r w:rsidR="001F0A87">
        <w:t xml:space="preserve"> are listed in</w:t>
      </w:r>
      <w:r w:rsidR="00601AD3">
        <w:t xml:space="preserve"> </w:t>
      </w:r>
      <w:r w:rsidR="00601AD3">
        <w:fldChar w:fldCharType="begin"/>
      </w:r>
      <w:r w:rsidR="00601AD3">
        <w:instrText xml:space="preserve"> REF _Ref324943092 \h </w:instrText>
      </w:r>
      <w:r w:rsidR="00601AD3">
        <w:fldChar w:fldCharType="separate"/>
      </w:r>
      <w:r w:rsidR="0071544A">
        <w:t xml:space="preserve">Table </w:t>
      </w:r>
      <w:r w:rsidR="0071544A">
        <w:rPr>
          <w:noProof/>
        </w:rPr>
        <w:t>21</w:t>
      </w:r>
      <w:r w:rsidR="00601AD3">
        <w:fldChar w:fldCharType="end"/>
      </w:r>
      <w:r w:rsidRPr="009E5C53">
        <w:t xml:space="preserve">. These criteria were formulated </w:t>
      </w:r>
      <w:r w:rsidR="00524FC8" w:rsidRPr="00E2422F">
        <w:t>in cons</w:t>
      </w:r>
      <w:r w:rsidRPr="00892811">
        <w:t>ultation with clinical experts</w:t>
      </w:r>
      <w:r w:rsidR="00737993">
        <w:t>,</w:t>
      </w:r>
      <w:r w:rsidRPr="00892811">
        <w:t xml:space="preserve"> who provided input </w:t>
      </w:r>
      <w:r w:rsidR="00E63261" w:rsidRPr="008978EE">
        <w:t>throughout</w:t>
      </w:r>
      <w:r w:rsidRPr="008978EE">
        <w:t xml:space="preserve"> the process of proto</w:t>
      </w:r>
      <w:r w:rsidRPr="00A30BA9">
        <w:t>col development and assessment</w:t>
      </w:r>
      <w:r w:rsidR="00E63261" w:rsidRPr="005646B6">
        <w:rPr>
          <w:b/>
        </w:rPr>
        <w:t xml:space="preserve"> </w:t>
      </w:r>
      <w:r w:rsidR="00E63261" w:rsidRPr="00003831">
        <w:t>based on preliminary</w:t>
      </w:r>
      <w:r w:rsidR="005D4C7D" w:rsidRPr="00A87C52">
        <w:t xml:space="preserve"> scoping searches. </w:t>
      </w:r>
    </w:p>
    <w:p w:rsidR="00532AA8" w:rsidRPr="00286445" w:rsidRDefault="00601AD3" w:rsidP="00601AD3">
      <w:pPr>
        <w:pStyle w:val="Caption"/>
      </w:pPr>
      <w:bookmarkStart w:id="103" w:name="_Ref324943092"/>
      <w:bookmarkStart w:id="104" w:name="_Toc327522065"/>
      <w:r>
        <w:lastRenderedPageBreak/>
        <w:t xml:space="preserve">Table </w:t>
      </w:r>
      <w:fldSimple w:instr=" SEQ Table \* ARABIC ">
        <w:r w:rsidR="0071544A">
          <w:rPr>
            <w:noProof/>
          </w:rPr>
          <w:t>21</w:t>
        </w:r>
      </w:fldSimple>
      <w:bookmarkEnd w:id="103"/>
      <w:r w:rsidR="008A15FA" w:rsidRPr="001949E9">
        <w:tab/>
      </w:r>
      <w:r w:rsidR="00532AA8" w:rsidRPr="00286445">
        <w:t>Selection criteria for included studies</w:t>
      </w:r>
      <w:bookmarkEnd w:id="104"/>
    </w:p>
    <w:tbl>
      <w:tblPr>
        <w:tblW w:w="8080" w:type="dxa"/>
        <w:tblInd w:w="840" w:type="dxa"/>
        <w:tblBorders>
          <w:top w:val="single" w:sz="12" w:space="0" w:color="auto"/>
          <w:bottom w:val="single" w:sz="12" w:space="0" w:color="auto"/>
        </w:tblBorders>
        <w:tblLook w:val="0000" w:firstRow="0" w:lastRow="0" w:firstColumn="0" w:lastColumn="0" w:noHBand="0" w:noVBand="0"/>
      </w:tblPr>
      <w:tblGrid>
        <w:gridCol w:w="1201"/>
        <w:gridCol w:w="3848"/>
        <w:gridCol w:w="3031"/>
      </w:tblGrid>
      <w:tr w:rsidR="00F87F06" w:rsidRPr="00BB3C05" w:rsidTr="0007443E">
        <w:trPr>
          <w:trHeight w:val="337"/>
        </w:trPr>
        <w:tc>
          <w:tcPr>
            <w:tcW w:w="1201" w:type="dxa"/>
            <w:tcBorders>
              <w:top w:val="single" w:sz="12" w:space="0" w:color="auto"/>
              <w:bottom w:val="single" w:sz="4" w:space="0" w:color="auto"/>
            </w:tcBorders>
          </w:tcPr>
          <w:p w:rsidR="00532AA8" w:rsidRPr="00286445" w:rsidRDefault="00532AA8" w:rsidP="00FD524F">
            <w:pPr>
              <w:pStyle w:val="TableHeading"/>
              <w:rPr>
                <w:rFonts w:eastAsia="SimSun"/>
              </w:rPr>
            </w:pPr>
            <w:r w:rsidRPr="00286445">
              <w:rPr>
                <w:rFonts w:eastAsia="SimSun"/>
              </w:rPr>
              <w:t>Characteristic</w:t>
            </w:r>
          </w:p>
        </w:tc>
        <w:tc>
          <w:tcPr>
            <w:tcW w:w="3848" w:type="dxa"/>
            <w:tcBorders>
              <w:top w:val="single" w:sz="12" w:space="0" w:color="auto"/>
              <w:bottom w:val="single" w:sz="4" w:space="0" w:color="auto"/>
            </w:tcBorders>
          </w:tcPr>
          <w:p w:rsidR="00532AA8" w:rsidRPr="00CD21F6" w:rsidRDefault="00532AA8" w:rsidP="00FD524F">
            <w:pPr>
              <w:pStyle w:val="TableHeading"/>
              <w:rPr>
                <w:rFonts w:eastAsia="SimSun"/>
              </w:rPr>
            </w:pPr>
            <w:r w:rsidRPr="00CD21F6">
              <w:rPr>
                <w:rFonts w:eastAsia="SimSun"/>
              </w:rPr>
              <w:t xml:space="preserve">Inclusion </w:t>
            </w:r>
            <w:r w:rsidR="00F87F06">
              <w:rPr>
                <w:rFonts w:eastAsia="SimSun"/>
              </w:rPr>
              <w:t>c</w:t>
            </w:r>
            <w:r w:rsidRPr="00CD21F6">
              <w:rPr>
                <w:rFonts w:eastAsia="SimSun"/>
              </w:rPr>
              <w:t>riteria</w:t>
            </w:r>
          </w:p>
        </w:tc>
        <w:tc>
          <w:tcPr>
            <w:tcW w:w="3031" w:type="dxa"/>
            <w:tcBorders>
              <w:top w:val="single" w:sz="12" w:space="0" w:color="auto"/>
              <w:bottom w:val="single" w:sz="4" w:space="0" w:color="auto"/>
            </w:tcBorders>
          </w:tcPr>
          <w:p w:rsidR="00532AA8" w:rsidRPr="0086082D" w:rsidRDefault="00532AA8" w:rsidP="00FD524F">
            <w:pPr>
              <w:pStyle w:val="TableHeading"/>
              <w:rPr>
                <w:rFonts w:eastAsia="SimSun"/>
              </w:rPr>
            </w:pPr>
            <w:r w:rsidRPr="0086082D">
              <w:rPr>
                <w:rFonts w:eastAsia="SimSun"/>
              </w:rPr>
              <w:t>Exclusion criteria</w:t>
            </w:r>
          </w:p>
        </w:tc>
      </w:tr>
      <w:tr w:rsidR="00F87F06" w:rsidRPr="00DF686C" w:rsidTr="0007443E">
        <w:trPr>
          <w:trHeight w:val="1974"/>
        </w:trPr>
        <w:tc>
          <w:tcPr>
            <w:tcW w:w="1201" w:type="dxa"/>
            <w:tcBorders>
              <w:top w:val="single" w:sz="4" w:space="0" w:color="auto"/>
            </w:tcBorders>
          </w:tcPr>
          <w:p w:rsidR="00532AA8" w:rsidRPr="000F3C8B" w:rsidRDefault="00532AA8" w:rsidP="00FD524F">
            <w:pPr>
              <w:pStyle w:val="TableText0"/>
              <w:rPr>
                <w:rFonts w:eastAsia="SimSun"/>
                <w:lang w:val="en-AU"/>
              </w:rPr>
            </w:pPr>
            <w:r w:rsidRPr="000F3C8B">
              <w:rPr>
                <w:rFonts w:eastAsia="SimSun"/>
                <w:lang w:val="en-AU"/>
              </w:rPr>
              <w:t xml:space="preserve">Study design and </w:t>
            </w:r>
            <w:r w:rsidR="001F0A87" w:rsidRPr="000F3C8B">
              <w:rPr>
                <w:rFonts w:eastAsia="SimSun"/>
                <w:lang w:val="en-AU"/>
              </w:rPr>
              <w:t>p</w:t>
            </w:r>
            <w:r w:rsidRPr="000F3C8B">
              <w:rPr>
                <w:rFonts w:eastAsia="SimSun"/>
                <w:lang w:val="en-AU"/>
              </w:rPr>
              <w:t>ublication type</w:t>
            </w:r>
          </w:p>
        </w:tc>
        <w:tc>
          <w:tcPr>
            <w:tcW w:w="3848" w:type="dxa"/>
            <w:tcBorders>
              <w:top w:val="single" w:sz="4" w:space="0" w:color="auto"/>
            </w:tcBorders>
          </w:tcPr>
          <w:p w:rsidR="00532AA8" w:rsidRPr="000F3C8B" w:rsidRDefault="00532AA8" w:rsidP="00FD524F">
            <w:pPr>
              <w:pStyle w:val="TableText0"/>
              <w:rPr>
                <w:rFonts w:eastAsia="SimSun"/>
                <w:lang w:val="en-AU"/>
              </w:rPr>
            </w:pPr>
            <w:r w:rsidRPr="000F3C8B">
              <w:rPr>
                <w:rFonts w:eastAsia="SimSun"/>
                <w:lang w:val="en-AU"/>
              </w:rPr>
              <w:t xml:space="preserve">Systematic reviews, meta-analyses, and comparative clinical studies (including randomised and non-randomised comparative studies). </w:t>
            </w:r>
          </w:p>
          <w:p w:rsidR="00532AA8" w:rsidRPr="000F3C8B" w:rsidRDefault="005322D2" w:rsidP="00FD524F">
            <w:pPr>
              <w:pStyle w:val="TableText0"/>
              <w:rPr>
                <w:rFonts w:eastAsia="SimSun"/>
                <w:lang w:val="en-AU"/>
              </w:rPr>
            </w:pPr>
            <w:r w:rsidRPr="000F3C8B">
              <w:rPr>
                <w:rFonts w:eastAsia="SimSun"/>
                <w:lang w:val="en-AU"/>
              </w:rPr>
              <w:t xml:space="preserve">Pre-test/post-test case </w:t>
            </w:r>
            <w:r w:rsidR="00532AA8" w:rsidRPr="000F3C8B">
              <w:rPr>
                <w:rFonts w:eastAsia="SimSun"/>
                <w:lang w:val="en-AU"/>
              </w:rPr>
              <w:t>series</w:t>
            </w:r>
            <w:r w:rsidR="00A31E22" w:rsidRPr="000F3C8B">
              <w:rPr>
                <w:rFonts w:eastAsia="SimSun"/>
                <w:lang w:val="en-AU"/>
              </w:rPr>
              <w:t xml:space="preserve"> (level IV evide</w:t>
            </w:r>
            <w:r w:rsidR="00E70E70" w:rsidRPr="000F3C8B">
              <w:rPr>
                <w:rFonts w:eastAsia="SimSun"/>
                <w:lang w:val="en-AU"/>
              </w:rPr>
              <w:t>nce)</w:t>
            </w:r>
            <w:r w:rsidR="001F0A87" w:rsidRPr="000F3C8B">
              <w:rPr>
                <w:rFonts w:eastAsia="SimSun"/>
                <w:lang w:val="en-AU"/>
              </w:rPr>
              <w:t xml:space="preserve"> studies of relevance to the Australian context</w:t>
            </w:r>
            <w:r w:rsidR="00532AA8" w:rsidRPr="000F3C8B">
              <w:rPr>
                <w:rFonts w:eastAsia="SimSun"/>
                <w:lang w:val="en-AU"/>
              </w:rPr>
              <w:t xml:space="preserve"> with consecutive patient enrolment </w:t>
            </w:r>
            <w:r w:rsidR="003D1B91" w:rsidRPr="000F3C8B">
              <w:rPr>
                <w:rFonts w:eastAsia="SimSun"/>
                <w:lang w:val="en-AU"/>
              </w:rPr>
              <w:t xml:space="preserve">and </w:t>
            </w:r>
            <w:r w:rsidR="005C55C9" w:rsidRPr="000F3C8B">
              <w:rPr>
                <w:rFonts w:eastAsia="SimSun"/>
                <w:lang w:val="en-AU"/>
              </w:rPr>
              <w:t xml:space="preserve">a minimum </w:t>
            </w:r>
            <w:r w:rsidR="00532AA8" w:rsidRPr="000F3C8B">
              <w:rPr>
                <w:rFonts w:eastAsia="SimSun"/>
                <w:lang w:val="en-AU"/>
              </w:rPr>
              <w:t xml:space="preserve">of </w:t>
            </w:r>
            <w:r w:rsidR="002546BA" w:rsidRPr="000F3C8B">
              <w:rPr>
                <w:rFonts w:eastAsia="SimSun"/>
                <w:lang w:val="en-AU"/>
              </w:rPr>
              <w:t>5</w:t>
            </w:r>
            <w:r w:rsidR="00532AA8" w:rsidRPr="000F3C8B">
              <w:rPr>
                <w:rFonts w:eastAsia="SimSun"/>
                <w:lang w:val="en-AU"/>
              </w:rPr>
              <w:t xml:space="preserve">0 participants will be included </w:t>
            </w:r>
            <w:r w:rsidR="001F0A87" w:rsidRPr="000F3C8B">
              <w:rPr>
                <w:rFonts w:eastAsia="SimSun"/>
                <w:lang w:val="en-AU"/>
              </w:rPr>
              <w:t xml:space="preserve">to </w:t>
            </w:r>
            <w:r w:rsidR="00532AA8" w:rsidRPr="000F3C8B">
              <w:rPr>
                <w:rFonts w:eastAsia="SimSun"/>
                <w:lang w:val="en-AU"/>
              </w:rPr>
              <w:t xml:space="preserve">address safety. </w:t>
            </w:r>
          </w:p>
        </w:tc>
        <w:tc>
          <w:tcPr>
            <w:tcW w:w="3031" w:type="dxa"/>
            <w:tcBorders>
              <w:top w:val="single" w:sz="4" w:space="0" w:color="auto"/>
            </w:tcBorders>
          </w:tcPr>
          <w:p w:rsidR="00532AA8" w:rsidRPr="000F3C8B" w:rsidRDefault="00532AA8" w:rsidP="00FD524F">
            <w:pPr>
              <w:pStyle w:val="TableText0"/>
              <w:spacing w:after="120"/>
              <w:rPr>
                <w:rFonts w:eastAsia="SimSun"/>
                <w:u w:val="single"/>
                <w:lang w:val="en-AU"/>
              </w:rPr>
            </w:pPr>
            <w:r w:rsidRPr="000F3C8B">
              <w:rPr>
                <w:rFonts w:eastAsia="SimSun"/>
                <w:lang w:val="en-AU"/>
              </w:rPr>
              <w:t>Case series</w:t>
            </w:r>
            <w:r w:rsidR="00E97E8E" w:rsidRPr="000F3C8B">
              <w:rPr>
                <w:rFonts w:eastAsia="SimSun"/>
                <w:lang w:val="en-AU"/>
              </w:rPr>
              <w:t xml:space="preserve"> (level IV studies)</w:t>
            </w:r>
            <w:r w:rsidRPr="000F3C8B">
              <w:rPr>
                <w:rFonts w:eastAsia="SimSun"/>
                <w:lang w:val="en-AU"/>
              </w:rPr>
              <w:t xml:space="preserve"> reporting on use of conventional treatment without deployment of stent, case series</w:t>
            </w:r>
            <w:r w:rsidR="00E97E8E" w:rsidRPr="000F3C8B">
              <w:rPr>
                <w:rFonts w:eastAsia="SimSun"/>
                <w:lang w:val="en-AU"/>
              </w:rPr>
              <w:t xml:space="preserve"> (level IV studies)</w:t>
            </w:r>
            <w:r w:rsidRPr="000F3C8B">
              <w:rPr>
                <w:rFonts w:eastAsia="SimSun"/>
                <w:lang w:val="en-AU"/>
              </w:rPr>
              <w:t xml:space="preserve"> with non-consecutively selected patients, narrative reviews, case reports, articles identified as preliminary reports where results are published in later versions, articles in abstract form, letters, editorials, and animal, in</w:t>
            </w:r>
            <w:r w:rsidR="00FE5DAD">
              <w:rPr>
                <w:rFonts w:eastAsia="SimSun"/>
                <w:lang w:val="en-AU"/>
              </w:rPr>
              <w:t xml:space="preserve"> </w:t>
            </w:r>
            <w:r w:rsidRPr="000F3C8B">
              <w:rPr>
                <w:rFonts w:eastAsia="SimSun"/>
                <w:lang w:val="en-AU"/>
              </w:rPr>
              <w:t>vitro and laboratory studies.</w:t>
            </w:r>
          </w:p>
        </w:tc>
      </w:tr>
      <w:tr w:rsidR="00F87F06" w:rsidRPr="00DF686C" w:rsidTr="0007443E">
        <w:trPr>
          <w:trHeight w:val="2644"/>
        </w:trPr>
        <w:tc>
          <w:tcPr>
            <w:tcW w:w="1201" w:type="dxa"/>
          </w:tcPr>
          <w:p w:rsidR="00532AA8" w:rsidRPr="000F3C8B" w:rsidRDefault="00532AA8" w:rsidP="00FD524F">
            <w:pPr>
              <w:pStyle w:val="TableText0"/>
              <w:rPr>
                <w:rFonts w:eastAsia="SimSun"/>
                <w:lang w:val="en-AU"/>
              </w:rPr>
            </w:pPr>
            <w:r w:rsidRPr="000F3C8B">
              <w:rPr>
                <w:rFonts w:eastAsia="SimSun"/>
                <w:lang w:val="en-AU"/>
              </w:rPr>
              <w:t>Population</w:t>
            </w:r>
          </w:p>
        </w:tc>
        <w:tc>
          <w:tcPr>
            <w:tcW w:w="3848" w:type="dxa"/>
          </w:tcPr>
          <w:p w:rsidR="00532AA8" w:rsidRPr="000F3C8B" w:rsidRDefault="00532AA8" w:rsidP="00FD524F">
            <w:pPr>
              <w:pStyle w:val="TableText0"/>
              <w:rPr>
                <w:rFonts w:eastAsia="SimSun"/>
                <w:lang w:val="en-AU"/>
              </w:rPr>
            </w:pPr>
            <w:r w:rsidRPr="000F3C8B">
              <w:rPr>
                <w:rFonts w:eastAsia="SimSun"/>
                <w:lang w:val="en-AU"/>
              </w:rPr>
              <w:t xml:space="preserve">Patients with colorectal obstruction, stricture or stenosis caused by an </w:t>
            </w:r>
            <w:r w:rsidRPr="000F3C8B">
              <w:rPr>
                <w:rFonts w:eastAsia="SimSun"/>
                <w:b/>
                <w:lang w:val="en-AU"/>
              </w:rPr>
              <w:t>unknown diagnosis</w:t>
            </w:r>
            <w:r w:rsidR="00DC433D" w:rsidRPr="00DC433D">
              <w:rPr>
                <w:rFonts w:eastAsia="SimSun"/>
                <w:b/>
                <w:vertAlign w:val="superscript"/>
                <w:lang w:val="en-AU"/>
              </w:rPr>
              <w:t>a</w:t>
            </w:r>
            <w:r w:rsidRPr="000F3C8B">
              <w:rPr>
                <w:rFonts w:eastAsia="SimSun"/>
                <w:lang w:val="en-AU"/>
              </w:rPr>
              <w:t xml:space="preserve">, </w:t>
            </w:r>
            <w:r w:rsidRPr="000F3C8B">
              <w:rPr>
                <w:rFonts w:eastAsia="SimSun"/>
                <w:b/>
                <w:lang w:val="en-AU"/>
              </w:rPr>
              <w:t xml:space="preserve">medically fit </w:t>
            </w:r>
            <w:r w:rsidRPr="000F3C8B">
              <w:rPr>
                <w:rFonts w:eastAsia="SimSun"/>
                <w:lang w:val="en-AU"/>
              </w:rPr>
              <w:t xml:space="preserve">for emergency surgery, but </w:t>
            </w:r>
            <w:r w:rsidR="00511134" w:rsidRPr="000F3C8B">
              <w:rPr>
                <w:rFonts w:eastAsia="SimSun"/>
                <w:lang w:val="en-AU"/>
              </w:rPr>
              <w:t>single-stage</w:t>
            </w:r>
            <w:r w:rsidRPr="000F3C8B">
              <w:rPr>
                <w:rFonts w:eastAsia="SimSun"/>
                <w:lang w:val="en-AU"/>
              </w:rPr>
              <w:t xml:space="preserve">d emergency resection is not appropriate or not successful. </w:t>
            </w:r>
          </w:p>
          <w:p w:rsidR="00532AA8" w:rsidRPr="000F3C8B" w:rsidRDefault="00532AA8" w:rsidP="00FD524F">
            <w:pPr>
              <w:pStyle w:val="TableText0"/>
              <w:rPr>
                <w:rFonts w:eastAsia="SimSun"/>
                <w:lang w:val="en-AU"/>
              </w:rPr>
            </w:pPr>
            <w:r w:rsidRPr="000F3C8B">
              <w:rPr>
                <w:rFonts w:eastAsia="SimSun"/>
                <w:lang w:val="en-AU"/>
              </w:rPr>
              <w:t xml:space="preserve">Patients with colorectal obstruction, stricture or stenosis caused by an </w:t>
            </w:r>
            <w:r w:rsidRPr="000F3C8B">
              <w:rPr>
                <w:rFonts w:eastAsia="SimSun"/>
                <w:b/>
                <w:lang w:val="en-AU"/>
              </w:rPr>
              <w:t>unknown diagnosis</w:t>
            </w:r>
            <w:r w:rsidR="00DC433D" w:rsidRPr="00DC433D">
              <w:rPr>
                <w:rFonts w:eastAsia="SimSun"/>
                <w:b/>
                <w:vertAlign w:val="superscript"/>
                <w:lang w:val="en-AU"/>
              </w:rPr>
              <w:t>a</w:t>
            </w:r>
            <w:r w:rsidRPr="000F3C8B">
              <w:rPr>
                <w:rFonts w:eastAsia="SimSun"/>
                <w:lang w:val="en-AU"/>
              </w:rPr>
              <w:t xml:space="preserve">, </w:t>
            </w:r>
            <w:r w:rsidRPr="000F3C8B">
              <w:rPr>
                <w:rFonts w:eastAsia="SimSun"/>
                <w:b/>
                <w:lang w:val="en-AU"/>
              </w:rPr>
              <w:t>medically unfit</w:t>
            </w:r>
            <w:r w:rsidRPr="000F3C8B">
              <w:rPr>
                <w:rFonts w:eastAsia="SimSun"/>
                <w:lang w:val="en-AU"/>
              </w:rPr>
              <w:t xml:space="preserve"> for surgery</w:t>
            </w:r>
            <w:r w:rsidR="00DA739C">
              <w:rPr>
                <w:rFonts w:eastAsia="SimSun"/>
                <w:lang w:val="en-AU"/>
              </w:rPr>
              <w:t>.</w:t>
            </w:r>
          </w:p>
          <w:p w:rsidR="00532AA8" w:rsidRPr="000F3C8B" w:rsidRDefault="00532AA8" w:rsidP="00FD524F">
            <w:pPr>
              <w:pStyle w:val="TableText0"/>
              <w:rPr>
                <w:rFonts w:eastAsia="SimSun"/>
                <w:lang w:val="en-AU"/>
              </w:rPr>
            </w:pPr>
            <w:r w:rsidRPr="000F3C8B">
              <w:rPr>
                <w:rFonts w:eastAsia="SimSun"/>
                <w:lang w:val="en-AU"/>
              </w:rPr>
              <w:t xml:space="preserve">Patients with colorectal obstruction, stricture or stenosis caused by </w:t>
            </w:r>
            <w:r w:rsidRPr="000F3C8B">
              <w:rPr>
                <w:rFonts w:eastAsia="SimSun"/>
                <w:b/>
                <w:lang w:val="en-AU"/>
              </w:rPr>
              <w:t>confirmed cancer</w:t>
            </w:r>
            <w:r w:rsidRPr="000F3C8B">
              <w:rPr>
                <w:rFonts w:eastAsia="SimSun"/>
                <w:lang w:val="en-AU"/>
              </w:rPr>
              <w:t xml:space="preserve">, </w:t>
            </w:r>
            <w:r w:rsidRPr="000F3C8B">
              <w:rPr>
                <w:rFonts w:eastAsia="SimSun"/>
                <w:b/>
                <w:lang w:val="en-AU"/>
              </w:rPr>
              <w:t>medically fit</w:t>
            </w:r>
            <w:r w:rsidRPr="000F3C8B">
              <w:rPr>
                <w:rFonts w:eastAsia="SimSun"/>
                <w:lang w:val="en-AU"/>
              </w:rPr>
              <w:t xml:space="preserve"> for surgery, but </w:t>
            </w:r>
            <w:r w:rsidR="00511134" w:rsidRPr="000F3C8B">
              <w:rPr>
                <w:rFonts w:eastAsia="SimSun"/>
                <w:lang w:val="en-AU"/>
              </w:rPr>
              <w:t>single-stage</w:t>
            </w:r>
            <w:r w:rsidRPr="000F3C8B">
              <w:rPr>
                <w:rFonts w:eastAsia="SimSun"/>
                <w:lang w:val="en-AU"/>
              </w:rPr>
              <w:t xml:space="preserve">d resection is not appropriate or unsuccessful. </w:t>
            </w:r>
          </w:p>
          <w:p w:rsidR="00532AA8" w:rsidRPr="000F3C8B" w:rsidRDefault="00532AA8" w:rsidP="00FD524F">
            <w:pPr>
              <w:pStyle w:val="TableText0"/>
              <w:spacing w:after="120"/>
              <w:rPr>
                <w:rFonts w:eastAsia="SimSun"/>
                <w:lang w:val="en-AU"/>
              </w:rPr>
            </w:pPr>
            <w:r w:rsidRPr="000F3C8B">
              <w:rPr>
                <w:rFonts w:eastAsia="SimSun"/>
                <w:lang w:val="en-AU"/>
              </w:rPr>
              <w:t xml:space="preserve">Patients with colorectal obstruction, stricture or stenosis caused by </w:t>
            </w:r>
            <w:r w:rsidRPr="000F3C8B">
              <w:rPr>
                <w:rFonts w:eastAsia="SimSun"/>
                <w:b/>
                <w:lang w:val="en-AU"/>
              </w:rPr>
              <w:t>confirmed cancer</w:t>
            </w:r>
            <w:r w:rsidRPr="000F3C8B">
              <w:rPr>
                <w:rFonts w:eastAsia="SimSun"/>
                <w:lang w:val="en-AU"/>
              </w:rPr>
              <w:t xml:space="preserve">, </w:t>
            </w:r>
            <w:r w:rsidRPr="000F3C8B">
              <w:rPr>
                <w:rFonts w:eastAsia="SimSun"/>
                <w:b/>
                <w:lang w:val="en-AU"/>
              </w:rPr>
              <w:t>medically unfit</w:t>
            </w:r>
            <w:r w:rsidRPr="000F3C8B">
              <w:rPr>
                <w:rFonts w:eastAsia="SimSun"/>
                <w:lang w:val="en-AU"/>
              </w:rPr>
              <w:t xml:space="preserve"> for surgery.</w:t>
            </w:r>
          </w:p>
        </w:tc>
        <w:tc>
          <w:tcPr>
            <w:tcW w:w="3031" w:type="dxa"/>
          </w:tcPr>
          <w:p w:rsidR="00532AA8" w:rsidRPr="000F3C8B" w:rsidRDefault="00532AA8" w:rsidP="00FD524F">
            <w:pPr>
              <w:pStyle w:val="TableText0"/>
              <w:rPr>
                <w:rFonts w:eastAsia="SimSun"/>
                <w:u w:val="single"/>
                <w:lang w:val="en-AU"/>
              </w:rPr>
            </w:pPr>
            <w:r w:rsidRPr="000F3C8B">
              <w:rPr>
                <w:rFonts w:eastAsia="SimSun"/>
                <w:lang w:val="en-AU"/>
              </w:rPr>
              <w:t>Patients who are deemed medically fit for single-stage resection.</w:t>
            </w:r>
          </w:p>
        </w:tc>
      </w:tr>
      <w:tr w:rsidR="00F87F06" w:rsidRPr="00DF686C" w:rsidTr="0007443E">
        <w:trPr>
          <w:trHeight w:val="1250"/>
        </w:trPr>
        <w:tc>
          <w:tcPr>
            <w:tcW w:w="1201" w:type="dxa"/>
          </w:tcPr>
          <w:p w:rsidR="00532AA8" w:rsidRPr="000F3C8B" w:rsidRDefault="00532AA8" w:rsidP="00FD524F">
            <w:pPr>
              <w:pStyle w:val="TableText0"/>
              <w:rPr>
                <w:rFonts w:eastAsia="SimSun"/>
                <w:lang w:val="en-AU"/>
              </w:rPr>
            </w:pPr>
            <w:r w:rsidRPr="000F3C8B">
              <w:rPr>
                <w:rFonts w:eastAsia="SimSun"/>
                <w:lang w:val="en-AU"/>
              </w:rPr>
              <w:t>Intervention</w:t>
            </w:r>
          </w:p>
        </w:tc>
        <w:tc>
          <w:tcPr>
            <w:tcW w:w="3848" w:type="dxa"/>
          </w:tcPr>
          <w:p w:rsidR="00532AA8" w:rsidRPr="000F3C8B" w:rsidRDefault="00532AA8" w:rsidP="00FD524F">
            <w:pPr>
              <w:pStyle w:val="TableText0"/>
              <w:rPr>
                <w:rFonts w:eastAsia="SimSun"/>
                <w:lang w:val="en-AU"/>
              </w:rPr>
            </w:pPr>
            <w:r w:rsidRPr="000F3C8B">
              <w:rPr>
                <w:rFonts w:eastAsia="SimSun"/>
                <w:lang w:val="en-AU"/>
              </w:rPr>
              <w:t>Metallic stents, including SEMS and uncovered stents</w:t>
            </w:r>
            <w:r w:rsidR="00DA739C">
              <w:rPr>
                <w:rFonts w:eastAsia="SimSun"/>
                <w:lang w:val="en-AU"/>
              </w:rPr>
              <w:t>, e</w:t>
            </w:r>
            <w:r w:rsidRPr="000F3C8B">
              <w:rPr>
                <w:rFonts w:eastAsia="SimSun"/>
                <w:lang w:val="en-AU"/>
              </w:rPr>
              <w:t>ither as a bridge to surgery</w:t>
            </w:r>
            <w:r w:rsidR="00DA739C">
              <w:rPr>
                <w:rFonts w:eastAsia="SimSun"/>
                <w:lang w:val="en-AU"/>
              </w:rPr>
              <w:t>, o</w:t>
            </w:r>
            <w:r w:rsidRPr="000F3C8B">
              <w:rPr>
                <w:rFonts w:eastAsia="SimSun"/>
                <w:lang w:val="en-AU"/>
              </w:rPr>
              <w:t>r as a definitive procedure (that is stent is used as a palliative intervention)</w:t>
            </w:r>
            <w:r w:rsidR="00DA739C">
              <w:rPr>
                <w:rFonts w:eastAsia="SimSun"/>
                <w:lang w:val="en-AU"/>
              </w:rPr>
              <w:t>.</w:t>
            </w:r>
          </w:p>
        </w:tc>
        <w:tc>
          <w:tcPr>
            <w:tcW w:w="3031" w:type="dxa"/>
          </w:tcPr>
          <w:p w:rsidR="00532AA8" w:rsidRPr="000F3C8B" w:rsidRDefault="00532AA8" w:rsidP="00FD524F">
            <w:pPr>
              <w:pStyle w:val="TableText0"/>
              <w:spacing w:before="0" w:after="0"/>
              <w:rPr>
                <w:rFonts w:eastAsia="SimSun"/>
                <w:lang w:val="en-AU"/>
              </w:rPr>
            </w:pPr>
            <w:r w:rsidRPr="000F3C8B">
              <w:rPr>
                <w:rFonts w:eastAsia="SimSun"/>
                <w:lang w:val="en-AU"/>
              </w:rPr>
              <w:t>Non-metallic stents</w:t>
            </w:r>
          </w:p>
          <w:p w:rsidR="00532AA8" w:rsidRPr="000F3C8B" w:rsidRDefault="00532AA8" w:rsidP="00FD524F">
            <w:pPr>
              <w:pStyle w:val="TableText0"/>
              <w:spacing w:before="0" w:after="0"/>
              <w:rPr>
                <w:rFonts w:eastAsia="SimSun"/>
                <w:lang w:val="en-AU"/>
              </w:rPr>
            </w:pPr>
            <w:r w:rsidRPr="000F3C8B">
              <w:rPr>
                <w:rFonts w:eastAsia="SimSun"/>
                <w:lang w:val="en-AU"/>
              </w:rPr>
              <w:t>Absorbable stents</w:t>
            </w:r>
          </w:p>
          <w:p w:rsidR="00532AA8" w:rsidRPr="000F3C8B" w:rsidRDefault="00532AA8" w:rsidP="00FD524F">
            <w:pPr>
              <w:pStyle w:val="TableText0"/>
              <w:spacing w:before="0" w:after="0"/>
              <w:rPr>
                <w:rFonts w:eastAsia="SimSun"/>
                <w:lang w:val="en-AU"/>
              </w:rPr>
            </w:pPr>
            <w:r w:rsidRPr="000F3C8B">
              <w:rPr>
                <w:rFonts w:eastAsia="SimSun"/>
                <w:lang w:val="en-AU"/>
              </w:rPr>
              <w:t>Oesophageal stents</w:t>
            </w:r>
          </w:p>
          <w:p w:rsidR="00532AA8" w:rsidRPr="000F3C8B" w:rsidRDefault="00532AA8" w:rsidP="00FD524F">
            <w:pPr>
              <w:pStyle w:val="TableText0"/>
              <w:spacing w:before="0" w:after="0"/>
              <w:rPr>
                <w:rFonts w:eastAsia="SimSun"/>
                <w:lang w:val="en-AU"/>
              </w:rPr>
            </w:pPr>
            <w:r w:rsidRPr="000F3C8B">
              <w:rPr>
                <w:rFonts w:eastAsia="SimSun"/>
                <w:lang w:val="en-AU"/>
              </w:rPr>
              <w:t>Gastric stents</w:t>
            </w:r>
          </w:p>
          <w:p w:rsidR="00532AA8" w:rsidRPr="000F3C8B" w:rsidRDefault="00532AA8" w:rsidP="00FD524F">
            <w:pPr>
              <w:pStyle w:val="TableText0"/>
              <w:spacing w:before="0" w:after="0"/>
              <w:rPr>
                <w:rFonts w:eastAsia="SimSun"/>
                <w:lang w:val="en-AU"/>
              </w:rPr>
            </w:pPr>
            <w:r w:rsidRPr="000F3C8B">
              <w:rPr>
                <w:rFonts w:eastAsia="SimSun"/>
                <w:lang w:val="en-AU"/>
              </w:rPr>
              <w:t>Duodenal stents</w:t>
            </w:r>
          </w:p>
          <w:p w:rsidR="00532AA8" w:rsidRPr="000F3C8B" w:rsidRDefault="00532AA8" w:rsidP="00FD524F">
            <w:pPr>
              <w:pStyle w:val="TableText0"/>
              <w:spacing w:before="0" w:after="120"/>
              <w:rPr>
                <w:rFonts w:eastAsia="SimSun"/>
                <w:lang w:val="en-AU"/>
              </w:rPr>
            </w:pPr>
            <w:r w:rsidRPr="000F3C8B">
              <w:rPr>
                <w:rFonts w:eastAsia="SimSun"/>
                <w:lang w:val="en-AU"/>
              </w:rPr>
              <w:t>Anal stents/tubes</w:t>
            </w:r>
          </w:p>
        </w:tc>
      </w:tr>
      <w:tr w:rsidR="00F87F06" w:rsidRPr="00DF686C" w:rsidTr="0007443E">
        <w:trPr>
          <w:trHeight w:val="1724"/>
        </w:trPr>
        <w:tc>
          <w:tcPr>
            <w:tcW w:w="1201" w:type="dxa"/>
          </w:tcPr>
          <w:p w:rsidR="00532AA8" w:rsidRPr="000F3C8B" w:rsidRDefault="00532AA8" w:rsidP="00FD524F">
            <w:pPr>
              <w:pStyle w:val="TableText0"/>
              <w:rPr>
                <w:rFonts w:eastAsia="SimSun"/>
                <w:lang w:val="en-AU"/>
              </w:rPr>
            </w:pPr>
            <w:r w:rsidRPr="000F3C8B">
              <w:rPr>
                <w:rFonts w:eastAsia="SimSun"/>
                <w:lang w:val="en-AU"/>
              </w:rPr>
              <w:t xml:space="preserve">Comparator </w:t>
            </w:r>
          </w:p>
        </w:tc>
        <w:tc>
          <w:tcPr>
            <w:tcW w:w="3848" w:type="dxa"/>
          </w:tcPr>
          <w:p w:rsidR="00532AA8" w:rsidRPr="000F3C8B" w:rsidRDefault="00532AA8" w:rsidP="00FD524F">
            <w:pPr>
              <w:pStyle w:val="TableText0"/>
              <w:rPr>
                <w:rFonts w:eastAsia="SimSun"/>
                <w:lang w:val="en-AU"/>
              </w:rPr>
            </w:pPr>
            <w:r w:rsidRPr="000F3C8B">
              <w:rPr>
                <w:rFonts w:eastAsia="SimSun"/>
                <w:lang w:val="en-AU"/>
              </w:rPr>
              <w:t xml:space="preserve">Other surgery:  </w:t>
            </w:r>
            <w:r w:rsidR="00DA739C">
              <w:rPr>
                <w:rFonts w:eastAsia="SimSun"/>
                <w:lang w:val="en-AU"/>
              </w:rPr>
              <w:t>T</w:t>
            </w:r>
            <w:r w:rsidR="00DA739C" w:rsidRPr="000F3C8B">
              <w:rPr>
                <w:rFonts w:eastAsia="SimSun"/>
                <w:lang w:val="en-AU"/>
              </w:rPr>
              <w:t>wo</w:t>
            </w:r>
            <w:r w:rsidR="00DA739C">
              <w:rPr>
                <w:rFonts w:eastAsia="SimSun"/>
                <w:lang w:val="en-AU"/>
              </w:rPr>
              <w:t>-</w:t>
            </w:r>
            <w:r w:rsidR="00DA739C" w:rsidRPr="000F3C8B">
              <w:rPr>
                <w:rFonts w:eastAsia="SimSun"/>
                <w:lang w:val="en-AU"/>
              </w:rPr>
              <w:t xml:space="preserve"> </w:t>
            </w:r>
            <w:r w:rsidRPr="000F3C8B">
              <w:rPr>
                <w:rFonts w:eastAsia="SimSun"/>
                <w:lang w:val="en-AU"/>
              </w:rPr>
              <w:t>and three</w:t>
            </w:r>
            <w:r w:rsidR="00DA739C">
              <w:rPr>
                <w:rFonts w:eastAsia="SimSun"/>
                <w:lang w:val="en-AU"/>
              </w:rPr>
              <w:t>-</w:t>
            </w:r>
            <w:r w:rsidRPr="000F3C8B">
              <w:rPr>
                <w:rFonts w:eastAsia="SimSun"/>
                <w:lang w:val="en-AU"/>
              </w:rPr>
              <w:t>staged resection techniques used in managing colorectal obstructions, strictures or stenosis. Hartmann’s procedure</w:t>
            </w:r>
            <w:r w:rsidR="002546BA" w:rsidRPr="000F3C8B">
              <w:rPr>
                <w:rFonts w:eastAsia="SimSun"/>
                <w:lang w:val="en-AU"/>
              </w:rPr>
              <w:t xml:space="preserve"> </w:t>
            </w:r>
            <w:r w:rsidRPr="000F3C8B">
              <w:rPr>
                <w:rFonts w:eastAsia="SimSun"/>
                <w:lang w:val="en-AU"/>
              </w:rPr>
              <w:t xml:space="preserve">and anastomosis could be performed by themselves or together with staged surgical resections. </w:t>
            </w:r>
          </w:p>
          <w:p w:rsidR="00532AA8" w:rsidRPr="000F3C8B" w:rsidRDefault="00532AA8" w:rsidP="0007443E">
            <w:pPr>
              <w:pStyle w:val="TableText0"/>
              <w:rPr>
                <w:rFonts w:eastAsia="SimSun"/>
                <w:lang w:val="en-AU"/>
              </w:rPr>
            </w:pPr>
            <w:r w:rsidRPr="000F3C8B">
              <w:rPr>
                <w:rFonts w:eastAsia="SimSun"/>
                <w:lang w:val="en-AU"/>
              </w:rPr>
              <w:t>Best supportive care</w:t>
            </w:r>
            <w:r w:rsidR="00DA739C">
              <w:rPr>
                <w:rFonts w:eastAsia="SimSun"/>
                <w:lang w:val="en-AU"/>
              </w:rPr>
              <w:t>: A</w:t>
            </w:r>
            <w:r w:rsidRPr="000F3C8B">
              <w:rPr>
                <w:rFonts w:eastAsia="SimSun"/>
                <w:lang w:val="en-AU"/>
              </w:rPr>
              <w:t>ny combination of ongoing medical management (chemotherapy, radiotherapy or palliation) is included.</w:t>
            </w:r>
          </w:p>
        </w:tc>
        <w:tc>
          <w:tcPr>
            <w:tcW w:w="3031" w:type="dxa"/>
          </w:tcPr>
          <w:p w:rsidR="00532AA8" w:rsidRPr="000F3C8B" w:rsidRDefault="00532AA8" w:rsidP="00FD524F">
            <w:pPr>
              <w:pStyle w:val="TableText0"/>
              <w:rPr>
                <w:rFonts w:eastAsia="SimSun"/>
                <w:lang w:val="en-AU"/>
              </w:rPr>
            </w:pPr>
            <w:r w:rsidRPr="000F3C8B">
              <w:rPr>
                <w:rFonts w:eastAsia="SimSun"/>
                <w:lang w:val="en-AU"/>
              </w:rPr>
              <w:t>Single-stage resection</w:t>
            </w:r>
          </w:p>
        </w:tc>
      </w:tr>
      <w:tr w:rsidR="00F87F06" w:rsidRPr="00DF686C" w:rsidTr="0007443E">
        <w:trPr>
          <w:trHeight w:val="1206"/>
        </w:trPr>
        <w:tc>
          <w:tcPr>
            <w:tcW w:w="1201" w:type="dxa"/>
          </w:tcPr>
          <w:p w:rsidR="00532AA8" w:rsidRPr="000F3C8B" w:rsidRDefault="00532AA8" w:rsidP="00FD524F">
            <w:pPr>
              <w:pStyle w:val="TableText0"/>
              <w:rPr>
                <w:rFonts w:eastAsia="SimSun"/>
                <w:lang w:val="en-AU"/>
              </w:rPr>
            </w:pPr>
            <w:r w:rsidRPr="000F3C8B">
              <w:rPr>
                <w:rFonts w:eastAsia="SimSun"/>
                <w:lang w:val="en-AU"/>
              </w:rPr>
              <w:t>Outcome</w:t>
            </w:r>
          </w:p>
        </w:tc>
        <w:tc>
          <w:tcPr>
            <w:tcW w:w="3848" w:type="dxa"/>
          </w:tcPr>
          <w:p w:rsidR="00532AA8" w:rsidRPr="000F3C8B" w:rsidRDefault="00532AA8" w:rsidP="00FD524F">
            <w:pPr>
              <w:pStyle w:val="TableText0"/>
              <w:rPr>
                <w:rFonts w:eastAsia="SimSun"/>
                <w:lang w:val="en-AU"/>
              </w:rPr>
            </w:pPr>
            <w:r w:rsidRPr="000F3C8B">
              <w:rPr>
                <w:rFonts w:eastAsia="SimSun"/>
                <w:lang w:val="en-AU"/>
              </w:rPr>
              <w:t>Effectiveness:</w:t>
            </w:r>
          </w:p>
          <w:p w:rsidR="00532AA8" w:rsidRPr="000F3C8B" w:rsidRDefault="00532AA8" w:rsidP="00FD524F">
            <w:pPr>
              <w:pStyle w:val="TableText0"/>
              <w:rPr>
                <w:rFonts w:eastAsia="SimSun"/>
                <w:lang w:val="en-AU"/>
              </w:rPr>
            </w:pPr>
            <w:r w:rsidRPr="000F3C8B">
              <w:rPr>
                <w:rFonts w:eastAsia="SimSun"/>
                <w:lang w:val="en-AU"/>
              </w:rPr>
              <w:t>Primary outcome: Quality of life (QALY)</w:t>
            </w:r>
            <w:r w:rsidR="00DA739C">
              <w:rPr>
                <w:rFonts w:eastAsia="SimSun"/>
                <w:lang w:val="en-AU"/>
              </w:rPr>
              <w:t>.</w:t>
            </w:r>
            <w:r w:rsidRPr="000F3C8B">
              <w:rPr>
                <w:rFonts w:eastAsia="SimSun"/>
                <w:lang w:val="en-AU"/>
              </w:rPr>
              <w:t xml:space="preserve"> </w:t>
            </w:r>
          </w:p>
          <w:p w:rsidR="00532AA8" w:rsidRPr="000F3C8B" w:rsidRDefault="00532AA8" w:rsidP="00FD524F">
            <w:pPr>
              <w:pStyle w:val="TableText0"/>
              <w:rPr>
                <w:rFonts w:eastAsia="SimSun"/>
                <w:lang w:val="en-AU"/>
              </w:rPr>
            </w:pPr>
            <w:r w:rsidRPr="000F3C8B">
              <w:rPr>
                <w:rFonts w:eastAsia="SimSun"/>
                <w:lang w:val="en-AU"/>
              </w:rPr>
              <w:t xml:space="preserve">Secondary outcomes: </w:t>
            </w:r>
            <w:r w:rsidR="00367FF6" w:rsidRPr="000F3C8B">
              <w:rPr>
                <w:rFonts w:eastAsia="SimSun"/>
                <w:lang w:val="en-AU"/>
              </w:rPr>
              <w:t>S</w:t>
            </w:r>
            <w:r w:rsidRPr="000F3C8B">
              <w:rPr>
                <w:rFonts w:eastAsia="SimSun"/>
                <w:lang w:val="en-AU"/>
              </w:rPr>
              <w:t>urvival/mortality (</w:t>
            </w:r>
            <w:r w:rsidR="00CE0D06" w:rsidRPr="000F3C8B">
              <w:rPr>
                <w:rFonts w:eastAsia="SimSun"/>
                <w:lang w:val="en-AU"/>
              </w:rPr>
              <w:t>eg</w:t>
            </w:r>
            <w:r w:rsidRPr="000F3C8B">
              <w:rPr>
                <w:rFonts w:eastAsia="SimSun"/>
                <w:lang w:val="en-AU"/>
              </w:rPr>
              <w:t xml:space="preserve"> at 30 days), </w:t>
            </w:r>
            <w:r w:rsidR="00286445" w:rsidRPr="000F3C8B">
              <w:rPr>
                <w:rFonts w:eastAsia="SimSun"/>
                <w:lang w:val="en-AU"/>
              </w:rPr>
              <w:t xml:space="preserve"> technical/clinical success, </w:t>
            </w:r>
            <w:r w:rsidRPr="000F3C8B">
              <w:rPr>
                <w:rFonts w:eastAsia="SimSun"/>
                <w:lang w:val="en-AU"/>
              </w:rPr>
              <w:t xml:space="preserve">morbidity, avoidance of emergency surgery, hospital and ICU stay, operating time, avoidance of </w:t>
            </w:r>
            <w:r w:rsidR="00DF03CC" w:rsidRPr="000F3C8B">
              <w:rPr>
                <w:rFonts w:eastAsia="SimSun"/>
                <w:lang w:val="en-AU"/>
              </w:rPr>
              <w:t>multi-stage</w:t>
            </w:r>
            <w:r w:rsidRPr="000F3C8B">
              <w:rPr>
                <w:rFonts w:eastAsia="SimSun"/>
                <w:lang w:val="en-AU"/>
              </w:rPr>
              <w:t xml:space="preserve"> surgery, temporary or permanent relief of obstruction, </w:t>
            </w:r>
            <w:r w:rsidR="00286445" w:rsidRPr="000F3C8B">
              <w:rPr>
                <w:rFonts w:eastAsia="SimSun"/>
                <w:lang w:val="en-AU"/>
              </w:rPr>
              <w:t>patency</w:t>
            </w:r>
            <w:r w:rsidRPr="000F3C8B">
              <w:rPr>
                <w:rFonts w:eastAsia="SimSun"/>
                <w:lang w:val="en-AU"/>
              </w:rPr>
              <w:t>, re-stenting.</w:t>
            </w:r>
          </w:p>
          <w:p w:rsidR="00532AA8" w:rsidRPr="000F3C8B" w:rsidRDefault="00532AA8" w:rsidP="00FD524F">
            <w:pPr>
              <w:pStyle w:val="TableText0"/>
              <w:spacing w:after="120"/>
              <w:rPr>
                <w:rFonts w:eastAsia="SimSun"/>
                <w:lang w:val="en-AU"/>
              </w:rPr>
            </w:pPr>
            <w:r w:rsidRPr="000F3C8B">
              <w:rPr>
                <w:rFonts w:eastAsia="SimSun"/>
                <w:lang w:val="en-AU"/>
              </w:rPr>
              <w:t>Safety: all complications and adverse events.</w:t>
            </w:r>
          </w:p>
        </w:tc>
        <w:tc>
          <w:tcPr>
            <w:tcW w:w="3031" w:type="dxa"/>
          </w:tcPr>
          <w:p w:rsidR="00532AA8" w:rsidRPr="000F3C8B" w:rsidRDefault="00532AA8" w:rsidP="00FD524F">
            <w:pPr>
              <w:pStyle w:val="TableText0"/>
              <w:rPr>
                <w:rFonts w:eastAsia="SimSun"/>
                <w:lang w:val="en-AU"/>
              </w:rPr>
            </w:pPr>
            <w:r w:rsidRPr="000F3C8B">
              <w:rPr>
                <w:rFonts w:eastAsia="SimSun"/>
                <w:lang w:val="en-AU"/>
              </w:rPr>
              <w:t>None</w:t>
            </w:r>
          </w:p>
        </w:tc>
      </w:tr>
      <w:tr w:rsidR="00F87F06" w:rsidRPr="00DF686C" w:rsidTr="0007443E">
        <w:trPr>
          <w:trHeight w:val="304"/>
        </w:trPr>
        <w:tc>
          <w:tcPr>
            <w:tcW w:w="1201" w:type="dxa"/>
          </w:tcPr>
          <w:p w:rsidR="00532AA8" w:rsidRPr="000F3C8B" w:rsidRDefault="00532AA8" w:rsidP="00FD524F">
            <w:pPr>
              <w:pStyle w:val="TableText0"/>
              <w:rPr>
                <w:rFonts w:eastAsia="SimSun"/>
                <w:lang w:val="en-AU"/>
              </w:rPr>
            </w:pPr>
            <w:r w:rsidRPr="000F3C8B">
              <w:rPr>
                <w:rFonts w:eastAsia="SimSun"/>
                <w:lang w:val="en-AU"/>
              </w:rPr>
              <w:t>Language</w:t>
            </w:r>
          </w:p>
        </w:tc>
        <w:tc>
          <w:tcPr>
            <w:tcW w:w="3848" w:type="dxa"/>
          </w:tcPr>
          <w:p w:rsidR="00532AA8" w:rsidRPr="000F3C8B" w:rsidRDefault="00532AA8" w:rsidP="00FD524F">
            <w:pPr>
              <w:pStyle w:val="TableText0"/>
              <w:rPr>
                <w:rFonts w:eastAsia="SimSun"/>
                <w:lang w:val="en-AU"/>
              </w:rPr>
            </w:pPr>
            <w:r w:rsidRPr="000F3C8B">
              <w:rPr>
                <w:rFonts w:eastAsia="SimSun"/>
                <w:lang w:val="en-AU"/>
              </w:rPr>
              <w:t xml:space="preserve">English language articles. </w:t>
            </w:r>
          </w:p>
        </w:tc>
        <w:tc>
          <w:tcPr>
            <w:tcW w:w="3031" w:type="dxa"/>
          </w:tcPr>
          <w:p w:rsidR="00012F35" w:rsidRPr="000F3C8B" w:rsidRDefault="00F33464" w:rsidP="00FD524F">
            <w:pPr>
              <w:pStyle w:val="TableText0"/>
              <w:rPr>
                <w:rFonts w:eastAsia="SimSun"/>
                <w:lang w:val="en-AU"/>
              </w:rPr>
            </w:pPr>
            <w:r w:rsidRPr="000F3C8B">
              <w:rPr>
                <w:rFonts w:eastAsia="SimSun"/>
                <w:lang w:val="en-AU"/>
              </w:rPr>
              <w:t>None</w:t>
            </w:r>
          </w:p>
        </w:tc>
      </w:tr>
    </w:tbl>
    <w:p w:rsidR="00715808" w:rsidRPr="00E767D0" w:rsidRDefault="00DC433D" w:rsidP="00DC433D">
      <w:pPr>
        <w:pStyle w:val="TableNotes"/>
        <w:rPr>
          <w:lang w:eastAsia="en-US"/>
        </w:rPr>
      </w:pPr>
      <w:proofErr w:type="gramStart"/>
      <w:r>
        <w:rPr>
          <w:lang w:val="en-AU" w:eastAsia="en-US"/>
        </w:rPr>
        <w:t xml:space="preserve">a </w:t>
      </w:r>
      <w:r w:rsidR="0065227C" w:rsidRPr="00F13A5A">
        <w:rPr>
          <w:lang w:eastAsia="en-US"/>
        </w:rPr>
        <w:t xml:space="preserve"> This</w:t>
      </w:r>
      <w:proofErr w:type="gramEnd"/>
      <w:r w:rsidR="0065227C" w:rsidRPr="00F13A5A">
        <w:rPr>
          <w:lang w:eastAsia="en-US"/>
        </w:rPr>
        <w:t xml:space="preserve"> group may include less than 25% of patients with colonic obstructions of non-malignant aetiologies such as diverticulitis and Crohn’s disease</w:t>
      </w:r>
    </w:p>
    <w:p w:rsidR="00532AA8" w:rsidRPr="009E5C53" w:rsidRDefault="001F0A87" w:rsidP="00532AA8">
      <w:r>
        <w:t>S</w:t>
      </w:r>
      <w:r w:rsidR="00532AA8" w:rsidRPr="00BE3EA8">
        <w:t xml:space="preserve">ystematic reviews were included only if they met all of the following criteria </w:t>
      </w:r>
      <w:r>
        <w:t>(</w:t>
      </w:r>
      <w:r w:rsidR="00532AA8" w:rsidRPr="00BE3EA8">
        <w:t xml:space="preserve">Cook et al </w:t>
      </w:r>
      <w:hyperlink w:anchor="_ENREF_37" w:tooltip="Cook, 1997 #66" w:history="1">
        <w:r w:rsidR="00532AA8" w:rsidRPr="00DF686C">
          <w:fldChar w:fldCharType="begin"/>
        </w:r>
        <w:r w:rsidR="00532AA8" w:rsidRPr="00DF686C">
          <w:instrText xml:space="preserve"> ADDIN EN.CITE &lt;EndNote&gt;&lt;Cite ExcludeAuth="1"&gt;&lt;Author&gt;Cook&lt;/Author&gt;&lt;Year&gt;1997&lt;/Year&gt;&lt;RecNum&gt;66&lt;/RecNum&gt;&lt;DisplayText&gt;1997&lt;/DisplayText&gt;&lt;record&gt;&lt;rec-number&gt;66&lt;/rec-number&gt;&lt;foreign-keys&gt;&lt;key app="EN" db-id="edx5zx22hsss50eddz5x5tvkev0s59wasde9"&gt;66&lt;/key&gt;&lt;/foreign-keys&gt;&lt;ref-type name="Journal Article"&gt;17&lt;/ref-type&gt;&lt;contributors&gt;&lt;authors&gt;&lt;author&gt;Cook, D.J.&lt;/author&gt;&lt;author&gt;Mulrow, C.D.&lt;/author&gt;&lt;author&gt;Haynes, B.&lt;/author&gt;&lt;/authors&gt;&lt;/contributors&gt;&lt;titles&gt;&lt;title&gt;Systematic reviews: synthesis of best evidence for clinical decisions&lt;/title&gt;&lt;secondary-title&gt;Annals of Internal Medicine&lt;/secondary-title&gt;&lt;/titles&gt;&lt;periodical&gt;&lt;full-title&gt;Annals of Internal Medicine&lt;/full-title&gt;&lt;/periodical&gt;&lt;pages&gt;376-380&lt;/pages&gt;&lt;volume&gt;126&lt;/volume&gt;&lt;number&gt;5&lt;/number&gt;&lt;dates&gt;&lt;year&gt;1997&lt;/year&gt;&lt;/dates&gt;&lt;urls&gt;&lt;/urls&gt;&lt;/record&gt;&lt;/Cite&gt;&lt;/EndNote&gt;</w:instrText>
        </w:r>
        <w:r w:rsidR="00532AA8" w:rsidRPr="00DF686C">
          <w:fldChar w:fldCharType="separate"/>
        </w:r>
        <w:r w:rsidR="00532AA8" w:rsidRPr="00DF686C">
          <w:t>1997</w:t>
        </w:r>
        <w:r w:rsidR="00532AA8" w:rsidRPr="00DF686C">
          <w:fldChar w:fldCharType="end"/>
        </w:r>
      </w:hyperlink>
      <w:r w:rsidR="00532AA8" w:rsidRPr="009E5C53">
        <w:t>):</w:t>
      </w:r>
    </w:p>
    <w:p w:rsidR="00532AA8" w:rsidRPr="00E2422F" w:rsidRDefault="00532AA8" w:rsidP="0007443E">
      <w:pPr>
        <w:numPr>
          <w:ilvl w:val="0"/>
          <w:numId w:val="50"/>
        </w:numPr>
        <w:spacing w:after="120"/>
        <w:ind w:hanging="731"/>
        <w:rPr>
          <w:bCs/>
        </w:rPr>
      </w:pPr>
      <w:r w:rsidRPr="009E5C53">
        <w:rPr>
          <w:bCs/>
        </w:rPr>
        <w:t>f</w:t>
      </w:r>
      <w:r w:rsidRPr="00E2422F">
        <w:rPr>
          <w:bCs/>
        </w:rPr>
        <w:t>ocused clinical question;</w:t>
      </w:r>
    </w:p>
    <w:p w:rsidR="00532AA8" w:rsidRPr="008978EE" w:rsidRDefault="00532AA8" w:rsidP="0007443E">
      <w:pPr>
        <w:numPr>
          <w:ilvl w:val="0"/>
          <w:numId w:val="50"/>
        </w:numPr>
        <w:spacing w:after="120"/>
        <w:ind w:hanging="731"/>
        <w:rPr>
          <w:bCs/>
        </w:rPr>
      </w:pPr>
      <w:r w:rsidRPr="00892811">
        <w:rPr>
          <w:bCs/>
        </w:rPr>
        <w:lastRenderedPageBreak/>
        <w:t>comprehensive sources and explicit sea</w:t>
      </w:r>
      <w:r w:rsidRPr="008978EE">
        <w:rPr>
          <w:bCs/>
        </w:rPr>
        <w:t>rch strategy;</w:t>
      </w:r>
    </w:p>
    <w:p w:rsidR="00532AA8" w:rsidRPr="008978EE" w:rsidRDefault="00532AA8" w:rsidP="0007443E">
      <w:pPr>
        <w:numPr>
          <w:ilvl w:val="0"/>
          <w:numId w:val="50"/>
        </w:numPr>
        <w:spacing w:after="120"/>
        <w:ind w:hanging="731"/>
        <w:rPr>
          <w:bCs/>
        </w:rPr>
      </w:pPr>
      <w:r w:rsidRPr="008978EE">
        <w:rPr>
          <w:bCs/>
        </w:rPr>
        <w:t>use of explicit, reproducible and uniformly applied criteria for article selection;</w:t>
      </w:r>
    </w:p>
    <w:p w:rsidR="00532AA8" w:rsidRPr="00003831" w:rsidRDefault="00532AA8" w:rsidP="0007443E">
      <w:pPr>
        <w:numPr>
          <w:ilvl w:val="0"/>
          <w:numId w:val="50"/>
        </w:numPr>
        <w:spacing w:after="120"/>
        <w:ind w:hanging="731"/>
        <w:rPr>
          <w:bCs/>
        </w:rPr>
      </w:pPr>
      <w:r w:rsidRPr="00A30BA9">
        <w:rPr>
          <w:bCs/>
        </w:rPr>
        <w:t>rigorous critical appraisal of included studies;</w:t>
      </w:r>
      <w:r w:rsidR="00CA7C3F" w:rsidRPr="005646B6">
        <w:rPr>
          <w:bCs/>
        </w:rPr>
        <w:t xml:space="preserve"> and</w:t>
      </w:r>
    </w:p>
    <w:p w:rsidR="00532AA8" w:rsidRPr="00A87C52" w:rsidRDefault="00532AA8" w:rsidP="0007443E">
      <w:pPr>
        <w:numPr>
          <w:ilvl w:val="0"/>
          <w:numId w:val="50"/>
        </w:numPr>
        <w:ind w:hanging="731"/>
        <w:rPr>
          <w:bCs/>
        </w:rPr>
      </w:pPr>
      <w:proofErr w:type="gramStart"/>
      <w:r w:rsidRPr="00A87C52">
        <w:rPr>
          <w:bCs/>
        </w:rPr>
        <w:t>qualitative</w:t>
      </w:r>
      <w:proofErr w:type="gramEnd"/>
      <w:r w:rsidRPr="00A87C52">
        <w:rPr>
          <w:bCs/>
        </w:rPr>
        <w:t xml:space="preserve"> or quantitative data synthesis.</w:t>
      </w:r>
    </w:p>
    <w:p w:rsidR="00532AA8" w:rsidRPr="00E734FE" w:rsidRDefault="00532AA8" w:rsidP="002546BA">
      <w:r w:rsidRPr="00DF686C">
        <w:t>Comparative evidence w</w:t>
      </w:r>
      <w:r w:rsidR="00E63261" w:rsidRPr="00DF686C">
        <w:t>as</w:t>
      </w:r>
      <w:r w:rsidRPr="00DF686C">
        <w:t xml:space="preserve"> considered </w:t>
      </w:r>
      <w:r w:rsidR="00E63261" w:rsidRPr="00DF686C">
        <w:t xml:space="preserve">regardless </w:t>
      </w:r>
      <w:r w:rsidR="001F0A87">
        <w:t>of the presence or absence of</w:t>
      </w:r>
      <w:r w:rsidRPr="00DF686C">
        <w:t xml:space="preserve"> </w:t>
      </w:r>
      <w:r w:rsidR="00737993" w:rsidRPr="00DF686C">
        <w:t>randomi</w:t>
      </w:r>
      <w:r w:rsidR="00737993">
        <w:t>s</w:t>
      </w:r>
      <w:r w:rsidR="00737993" w:rsidRPr="00DF686C">
        <w:t>ation</w:t>
      </w:r>
      <w:r w:rsidRPr="00DF686C">
        <w:t xml:space="preserve">. </w:t>
      </w:r>
      <w:r w:rsidR="00700A3B" w:rsidRPr="00DF686C">
        <w:t xml:space="preserve">Both prospective and retrospective comparative studies were </w:t>
      </w:r>
      <w:r w:rsidR="00893DAE" w:rsidRPr="00F13A5A">
        <w:t>included in the assessment</w:t>
      </w:r>
      <w:r w:rsidR="00700A3B" w:rsidRPr="00E734FE">
        <w:t xml:space="preserve">. </w:t>
      </w:r>
      <w:r w:rsidRPr="00E734FE">
        <w:t xml:space="preserve"> </w:t>
      </w:r>
    </w:p>
    <w:p w:rsidR="00532AA8" w:rsidRPr="00DA0155" w:rsidRDefault="001F0A87" w:rsidP="00090AE4">
      <w:r>
        <w:t>Case series (l</w:t>
      </w:r>
      <w:r w:rsidR="00E97E8E" w:rsidRPr="00E767D0">
        <w:t>evel IV</w:t>
      </w:r>
      <w:r>
        <w:t>)</w:t>
      </w:r>
      <w:r w:rsidR="00D03D11" w:rsidRPr="00BE3EA8">
        <w:t xml:space="preserve"> studies</w:t>
      </w:r>
      <w:r w:rsidR="00532AA8" w:rsidRPr="00BE3EA8">
        <w:t xml:space="preserve"> were </w:t>
      </w:r>
      <w:r>
        <w:t>included for the safety analysis only.</w:t>
      </w:r>
      <w:r w:rsidR="00532AA8" w:rsidRPr="00BE3EA8">
        <w:t xml:space="preserve"> Case series</w:t>
      </w:r>
      <w:r w:rsidR="00E97E8E" w:rsidRPr="00BE3EA8">
        <w:t xml:space="preserve"> </w:t>
      </w:r>
      <w:r w:rsidR="00E97E8E" w:rsidRPr="00A3741F">
        <w:t>studies</w:t>
      </w:r>
      <w:r w:rsidR="00532AA8" w:rsidRPr="00F2707B">
        <w:t xml:space="preserve"> with </w:t>
      </w:r>
      <w:r w:rsidR="00E63261" w:rsidRPr="00F2707B">
        <w:t xml:space="preserve">a </w:t>
      </w:r>
      <w:r w:rsidR="00532AA8" w:rsidRPr="00F2707B">
        <w:t xml:space="preserve">minimum of 20 participants were </w:t>
      </w:r>
      <w:r w:rsidR="00E63261" w:rsidRPr="00F2707B">
        <w:t xml:space="preserve">considered </w:t>
      </w:r>
      <w:r w:rsidR="00532AA8" w:rsidRPr="00CC0B1F">
        <w:t xml:space="preserve">to be of relevance to the Australian context. </w:t>
      </w:r>
      <w:r w:rsidR="001F117B" w:rsidRPr="008F42F9">
        <w:t xml:space="preserve">Literature </w:t>
      </w:r>
      <w:r w:rsidR="00104433">
        <w:t xml:space="preserve">that </w:t>
      </w:r>
      <w:r w:rsidR="001F117B" w:rsidRPr="008F42F9">
        <w:t xml:space="preserve">also suggested </w:t>
      </w:r>
      <w:r w:rsidR="005A0C9A">
        <w:t>‘</w:t>
      </w:r>
      <w:r w:rsidR="001F117B" w:rsidRPr="008F42F9">
        <w:t>there is a steep learning curve for use of SEMS in the management of colorectal obstruction, and therefore at least 20 cases required</w:t>
      </w:r>
      <w:r w:rsidR="00104433">
        <w:t xml:space="preserve"> for the</w:t>
      </w:r>
      <w:r w:rsidR="001F117B" w:rsidRPr="008F42F9">
        <w:t xml:space="preserve"> operator to be considered as experienced</w:t>
      </w:r>
      <w:r w:rsidR="005A0C9A">
        <w:t xml:space="preserve">’ </w:t>
      </w:r>
      <w:r w:rsidR="001F117B" w:rsidRPr="008F42F9">
        <w:t xml:space="preserve">(Williams et al 2010). </w:t>
      </w:r>
      <w:r w:rsidR="000C64DE" w:rsidRPr="008F42F9">
        <w:t xml:space="preserve">Since there were </w:t>
      </w:r>
      <w:r w:rsidR="00E63261" w:rsidRPr="008F42F9">
        <w:t xml:space="preserve">an </w:t>
      </w:r>
      <w:r w:rsidR="000C64DE" w:rsidRPr="008F42F9">
        <w:t>unmanageable number of case series</w:t>
      </w:r>
      <w:r w:rsidR="00E97E8E" w:rsidRPr="00325C69">
        <w:t xml:space="preserve"> studies </w:t>
      </w:r>
      <w:r w:rsidR="000C64DE" w:rsidRPr="007D5B7C">
        <w:t xml:space="preserve">with </w:t>
      </w:r>
      <w:r w:rsidR="00CA7C3F" w:rsidRPr="007D5B7C">
        <w:t xml:space="preserve">a </w:t>
      </w:r>
      <w:r w:rsidR="000C64DE" w:rsidRPr="007D5B7C">
        <w:t>minimum of 20 participants</w:t>
      </w:r>
      <w:r w:rsidR="002118A7" w:rsidRPr="007D5B7C">
        <w:t xml:space="preserve">, </w:t>
      </w:r>
      <w:r w:rsidR="00104433">
        <w:t xml:space="preserve">only those with </w:t>
      </w:r>
      <w:r w:rsidR="00E63261" w:rsidRPr="007D5B7C">
        <w:t>a</w:t>
      </w:r>
      <w:r w:rsidR="002118A7" w:rsidRPr="007D5B7C">
        <w:t xml:space="preserve"> </w:t>
      </w:r>
      <w:r w:rsidR="000C64DE" w:rsidRPr="00960A9E">
        <w:t>minimum of 50 patie</w:t>
      </w:r>
      <w:r w:rsidR="000C64DE" w:rsidRPr="00EA2600">
        <w:t xml:space="preserve">nts </w:t>
      </w:r>
      <w:r w:rsidR="00E63261" w:rsidRPr="00EC591E">
        <w:t xml:space="preserve">were </w:t>
      </w:r>
      <w:r w:rsidR="00D03D11" w:rsidRPr="00430AA8">
        <w:t>included</w:t>
      </w:r>
      <w:r w:rsidR="000C64DE" w:rsidRPr="00347DAA">
        <w:t xml:space="preserve"> for this assessment. </w:t>
      </w:r>
      <w:r w:rsidR="00104433">
        <w:t xml:space="preserve">To be included, the </w:t>
      </w:r>
      <w:r w:rsidR="00737993">
        <w:t>case series</w:t>
      </w:r>
      <w:r w:rsidR="00104433">
        <w:t xml:space="preserve"> studies</w:t>
      </w:r>
      <w:r w:rsidR="005C55C9">
        <w:t xml:space="preserve"> </w:t>
      </w:r>
      <w:r w:rsidR="00104433">
        <w:t>also</w:t>
      </w:r>
      <w:r w:rsidR="00532AA8" w:rsidRPr="009672A9">
        <w:t xml:space="preserve"> </w:t>
      </w:r>
      <w:r w:rsidR="00700A3B" w:rsidRPr="00584C29">
        <w:t>needed to</w:t>
      </w:r>
      <w:r w:rsidR="00532AA8" w:rsidRPr="00584C29">
        <w:t xml:space="preserve"> assess </w:t>
      </w:r>
      <w:r w:rsidR="00104433">
        <w:t xml:space="preserve">the </w:t>
      </w:r>
      <w:r w:rsidR="00532AA8" w:rsidRPr="00584C29">
        <w:t xml:space="preserve">outcomes of consecutively enrolled patients </w:t>
      </w:r>
      <w:r w:rsidR="00E63261" w:rsidRPr="00DA0155">
        <w:t>within a</w:t>
      </w:r>
      <w:r w:rsidR="00532AA8" w:rsidRPr="00DA0155">
        <w:t xml:space="preserve"> definite time frame. </w:t>
      </w:r>
    </w:p>
    <w:p w:rsidR="00532AA8" w:rsidRPr="00CF31D5" w:rsidRDefault="00532AA8" w:rsidP="00FE0E7C">
      <w:r w:rsidRPr="00CF31D5">
        <w:t xml:space="preserve">Case reports were excluded. </w:t>
      </w:r>
    </w:p>
    <w:p w:rsidR="00495B32" w:rsidRPr="00A550ED" w:rsidRDefault="00495B32" w:rsidP="000A3AAF">
      <w:pPr>
        <w:pStyle w:val="Heading3"/>
      </w:pPr>
      <w:r w:rsidRPr="00A550ED">
        <w:t>Search results</w:t>
      </w:r>
    </w:p>
    <w:p w:rsidR="00F15357" w:rsidRPr="00601AD3" w:rsidRDefault="00F15357" w:rsidP="00601AD3">
      <w:pPr>
        <w:spacing w:after="0"/>
        <w:rPr>
          <w:noProof/>
        </w:rPr>
      </w:pPr>
      <w:bookmarkStart w:id="105" w:name="_Toc188861182"/>
      <w:r>
        <w:t>The n</w:t>
      </w:r>
      <w:r w:rsidR="00532AA8" w:rsidRPr="0055406F">
        <w:t>umbers of reference citations retrieved from each bibliographic</w:t>
      </w:r>
      <w:r w:rsidR="00090AE4" w:rsidRPr="004C658D">
        <w:t xml:space="preserve"> database </w:t>
      </w:r>
      <w:r>
        <w:t>is listed</w:t>
      </w:r>
      <w:r w:rsidRPr="004C658D">
        <w:t xml:space="preserve"> </w:t>
      </w:r>
      <w:r w:rsidR="00090AE4" w:rsidRPr="004C658D">
        <w:t xml:space="preserve">in </w:t>
      </w:r>
      <w:r w:rsidR="00601AD3">
        <w:rPr>
          <w:color w:val="FF0000"/>
        </w:rPr>
        <w:fldChar w:fldCharType="begin"/>
      </w:r>
      <w:r w:rsidR="00601AD3">
        <w:rPr>
          <w:color w:val="FF0000"/>
        </w:rPr>
        <w:instrText xml:space="preserve"> REF _Ref324943435 \h </w:instrText>
      </w:r>
      <w:r w:rsidR="00601AD3">
        <w:rPr>
          <w:color w:val="FF0000"/>
        </w:rPr>
      </w:r>
      <w:r w:rsidR="00601AD3">
        <w:rPr>
          <w:color w:val="FF0000"/>
        </w:rPr>
        <w:fldChar w:fldCharType="separate"/>
      </w:r>
      <w:r w:rsidR="0071544A">
        <w:t xml:space="preserve">Table </w:t>
      </w:r>
      <w:r w:rsidR="0071544A">
        <w:rPr>
          <w:noProof/>
        </w:rPr>
        <w:t>22</w:t>
      </w:r>
      <w:r w:rsidR="00601AD3">
        <w:rPr>
          <w:color w:val="FF0000"/>
        </w:rPr>
        <w:fldChar w:fldCharType="end"/>
      </w:r>
      <w:r w:rsidRPr="00ED6295">
        <w:t>.</w:t>
      </w:r>
    </w:p>
    <w:p w:rsidR="00F15357" w:rsidRDefault="00F15357" w:rsidP="00B1508A">
      <w:pPr>
        <w:spacing w:after="0"/>
      </w:pPr>
    </w:p>
    <w:p w:rsidR="00F15357" w:rsidRPr="00F15357" w:rsidRDefault="00F15357" w:rsidP="00F15357">
      <w:pPr>
        <w:spacing w:after="0"/>
      </w:pPr>
      <w:r w:rsidRPr="00F15357">
        <w:t xml:space="preserve">These citations were imported into a Reference Manager database (ISI ResearchSoft). A total of 4,074 results were imported and 1,115 duplicates were removed. Of the remaining 2,959 citations, 476 non-English articles were excluded and 2263 studies were excluded by one reviewer based on their abstracts. If there was any doubt about whether to include a study after reading </w:t>
      </w:r>
      <w:r w:rsidR="005A0C9A">
        <w:t>the</w:t>
      </w:r>
      <w:r w:rsidR="005A0C9A" w:rsidRPr="00F15357">
        <w:t xml:space="preserve"> </w:t>
      </w:r>
      <w:r w:rsidRPr="00F15357">
        <w:t xml:space="preserve">abstract, the full text article was retrieved for further </w:t>
      </w:r>
      <w:r w:rsidR="00737993">
        <w:t>examination</w:t>
      </w:r>
      <w:r w:rsidRPr="00F15357">
        <w:t xml:space="preserve">. Most of the narrative reviews, case reports, preliminary reports, conference abstracts, letters, editorials and animal, in vitro and laboratory studies were removed from the database at this stage. The full-text versions of the remaining 220 citations were retrieved for further analysis. </w:t>
      </w:r>
    </w:p>
    <w:p w:rsidR="00BD7D49" w:rsidRPr="007D5B7C" w:rsidRDefault="00BD7D49" w:rsidP="00B1508A">
      <w:pPr>
        <w:spacing w:after="0"/>
      </w:pPr>
      <w:bookmarkStart w:id="106" w:name="_Ref315533971"/>
    </w:p>
    <w:p w:rsidR="00532AA8" w:rsidRPr="00E2422F" w:rsidRDefault="00601AD3" w:rsidP="00601AD3">
      <w:pPr>
        <w:pStyle w:val="Caption"/>
      </w:pPr>
      <w:bookmarkStart w:id="107" w:name="_Ref324943435"/>
      <w:bookmarkStart w:id="108" w:name="_Toc327522066"/>
      <w:bookmarkEnd w:id="106"/>
      <w:r>
        <w:t xml:space="preserve">Table </w:t>
      </w:r>
      <w:fldSimple w:instr=" SEQ Table \* ARABIC ">
        <w:r w:rsidR="0071544A">
          <w:rPr>
            <w:noProof/>
          </w:rPr>
          <w:t>22</w:t>
        </w:r>
      </w:fldSimple>
      <w:bookmarkEnd w:id="107"/>
      <w:r w:rsidR="00136961" w:rsidRPr="009E5C53">
        <w:tab/>
      </w:r>
      <w:r w:rsidR="00532AA8" w:rsidRPr="00E2422F">
        <w:t>Search results from electronic databases searched</w:t>
      </w:r>
      <w:bookmarkEnd w:id="108"/>
    </w:p>
    <w:tbl>
      <w:tblPr>
        <w:tblW w:w="0" w:type="auto"/>
        <w:tblInd w:w="720" w:type="dxa"/>
        <w:tblBorders>
          <w:top w:val="single" w:sz="12" w:space="0" w:color="auto"/>
        </w:tblBorders>
        <w:tblLook w:val="00A0" w:firstRow="1" w:lastRow="0" w:firstColumn="1" w:lastColumn="0" w:noHBand="0" w:noVBand="0"/>
      </w:tblPr>
      <w:tblGrid>
        <w:gridCol w:w="3716"/>
        <w:gridCol w:w="1648"/>
      </w:tblGrid>
      <w:tr w:rsidR="00532AA8" w:rsidRPr="00BB3C05" w:rsidTr="00DC433D">
        <w:tc>
          <w:tcPr>
            <w:tcW w:w="3716" w:type="dxa"/>
            <w:tcBorders>
              <w:top w:val="single" w:sz="12" w:space="0" w:color="auto"/>
              <w:bottom w:val="single" w:sz="4" w:space="0" w:color="auto"/>
            </w:tcBorders>
          </w:tcPr>
          <w:p w:rsidR="00532AA8" w:rsidRPr="00892811" w:rsidRDefault="00532AA8" w:rsidP="002F5F79">
            <w:pPr>
              <w:pStyle w:val="TableHeading"/>
            </w:pPr>
            <w:r w:rsidRPr="00892811">
              <w:t>Database</w:t>
            </w:r>
          </w:p>
        </w:tc>
        <w:tc>
          <w:tcPr>
            <w:tcW w:w="1648" w:type="dxa"/>
            <w:tcBorders>
              <w:top w:val="single" w:sz="12" w:space="0" w:color="auto"/>
              <w:bottom w:val="single" w:sz="4" w:space="0" w:color="auto"/>
            </w:tcBorders>
          </w:tcPr>
          <w:p w:rsidR="00532AA8" w:rsidRPr="008978EE" w:rsidRDefault="00532AA8" w:rsidP="002F5F79">
            <w:pPr>
              <w:pStyle w:val="TableHeading"/>
            </w:pPr>
            <w:r w:rsidRPr="008978EE">
              <w:t>No of search results</w:t>
            </w:r>
          </w:p>
        </w:tc>
      </w:tr>
      <w:tr w:rsidR="00532AA8" w:rsidRPr="00BB3C05" w:rsidTr="00DC433D">
        <w:tc>
          <w:tcPr>
            <w:tcW w:w="3716" w:type="dxa"/>
            <w:tcBorders>
              <w:top w:val="single" w:sz="4" w:space="0" w:color="auto"/>
            </w:tcBorders>
          </w:tcPr>
          <w:p w:rsidR="00532AA8" w:rsidRPr="000F3C8B" w:rsidRDefault="00532AA8" w:rsidP="002F5F79">
            <w:pPr>
              <w:pStyle w:val="TableText0"/>
              <w:rPr>
                <w:lang w:val="en-AU"/>
              </w:rPr>
            </w:pPr>
            <w:r w:rsidRPr="000F3C8B">
              <w:rPr>
                <w:lang w:val="en-AU"/>
              </w:rPr>
              <w:t>Pub</w:t>
            </w:r>
            <w:r w:rsidR="00F15357" w:rsidRPr="000F3C8B">
              <w:rPr>
                <w:lang w:val="en-AU"/>
              </w:rPr>
              <w:t>M</w:t>
            </w:r>
            <w:r w:rsidRPr="000F3C8B">
              <w:rPr>
                <w:lang w:val="en-AU"/>
              </w:rPr>
              <w:t>ed</w:t>
            </w:r>
          </w:p>
        </w:tc>
        <w:tc>
          <w:tcPr>
            <w:tcW w:w="1648" w:type="dxa"/>
            <w:tcBorders>
              <w:top w:val="single" w:sz="4" w:space="0" w:color="auto"/>
            </w:tcBorders>
          </w:tcPr>
          <w:p w:rsidR="00532AA8" w:rsidRPr="000F3C8B" w:rsidRDefault="00532AA8" w:rsidP="002F5F79">
            <w:pPr>
              <w:pStyle w:val="TableText0"/>
              <w:jc w:val="right"/>
              <w:rPr>
                <w:lang w:val="en-AU"/>
              </w:rPr>
            </w:pPr>
            <w:r w:rsidRPr="000F3C8B">
              <w:rPr>
                <w:lang w:val="en-AU"/>
              </w:rPr>
              <w:t>1</w:t>
            </w:r>
            <w:r w:rsidR="00F15357" w:rsidRPr="000F3C8B">
              <w:rPr>
                <w:lang w:val="en-AU"/>
              </w:rPr>
              <w:t>,</w:t>
            </w:r>
            <w:r w:rsidRPr="000F3C8B">
              <w:rPr>
                <w:lang w:val="en-AU"/>
              </w:rPr>
              <w:t>597</w:t>
            </w:r>
          </w:p>
        </w:tc>
      </w:tr>
      <w:tr w:rsidR="00532AA8" w:rsidRPr="00BB3C05" w:rsidTr="00DC433D">
        <w:tc>
          <w:tcPr>
            <w:tcW w:w="3716" w:type="dxa"/>
          </w:tcPr>
          <w:p w:rsidR="00532AA8" w:rsidRPr="000F3C8B" w:rsidRDefault="00532AA8" w:rsidP="002F5F79">
            <w:pPr>
              <w:pStyle w:val="TableText0"/>
              <w:rPr>
                <w:lang w:val="en-AU"/>
              </w:rPr>
            </w:pPr>
            <w:r w:rsidRPr="000F3C8B">
              <w:rPr>
                <w:lang w:val="en-AU"/>
              </w:rPr>
              <w:t>Embase</w:t>
            </w:r>
          </w:p>
        </w:tc>
        <w:tc>
          <w:tcPr>
            <w:tcW w:w="1648" w:type="dxa"/>
          </w:tcPr>
          <w:p w:rsidR="00532AA8" w:rsidRPr="000F3C8B" w:rsidRDefault="00532AA8" w:rsidP="002F5F79">
            <w:pPr>
              <w:pStyle w:val="TableText0"/>
              <w:jc w:val="right"/>
              <w:rPr>
                <w:lang w:val="en-AU"/>
              </w:rPr>
            </w:pPr>
            <w:r w:rsidRPr="000F3C8B">
              <w:rPr>
                <w:lang w:val="en-AU"/>
              </w:rPr>
              <w:t>2</w:t>
            </w:r>
            <w:r w:rsidR="00F15357" w:rsidRPr="000F3C8B">
              <w:rPr>
                <w:lang w:val="en-AU"/>
              </w:rPr>
              <w:t>,</w:t>
            </w:r>
            <w:r w:rsidRPr="000F3C8B">
              <w:rPr>
                <w:lang w:val="en-AU"/>
              </w:rPr>
              <w:t>286</w:t>
            </w:r>
          </w:p>
        </w:tc>
      </w:tr>
      <w:tr w:rsidR="00532AA8" w:rsidRPr="00BB3C05" w:rsidTr="00DC433D">
        <w:tc>
          <w:tcPr>
            <w:tcW w:w="3716" w:type="dxa"/>
          </w:tcPr>
          <w:p w:rsidR="00532AA8" w:rsidRPr="000F3C8B" w:rsidRDefault="00532AA8" w:rsidP="002F5F79">
            <w:pPr>
              <w:pStyle w:val="TableText0"/>
              <w:rPr>
                <w:lang w:val="en-AU"/>
              </w:rPr>
            </w:pPr>
            <w:r w:rsidRPr="000F3C8B">
              <w:rPr>
                <w:lang w:val="en-AU"/>
              </w:rPr>
              <w:t>CINAHL</w:t>
            </w:r>
            <w:r w:rsidR="00736494" w:rsidRPr="000F3C8B">
              <w:rPr>
                <w:lang w:val="en-AU"/>
              </w:rPr>
              <w:t>*</w:t>
            </w:r>
          </w:p>
        </w:tc>
        <w:tc>
          <w:tcPr>
            <w:tcW w:w="1648" w:type="dxa"/>
          </w:tcPr>
          <w:p w:rsidR="00532AA8" w:rsidRPr="000F3C8B" w:rsidRDefault="00532AA8" w:rsidP="002F5F79">
            <w:pPr>
              <w:pStyle w:val="TableText0"/>
              <w:jc w:val="right"/>
              <w:rPr>
                <w:lang w:val="en-AU"/>
              </w:rPr>
            </w:pPr>
            <w:r w:rsidRPr="000F3C8B">
              <w:rPr>
                <w:lang w:val="en-AU"/>
              </w:rPr>
              <w:t>98</w:t>
            </w:r>
          </w:p>
        </w:tc>
      </w:tr>
      <w:tr w:rsidR="00532AA8" w:rsidRPr="00BB3C05" w:rsidTr="00DC433D">
        <w:tc>
          <w:tcPr>
            <w:tcW w:w="3716" w:type="dxa"/>
          </w:tcPr>
          <w:p w:rsidR="00532AA8" w:rsidRPr="000F3C8B" w:rsidRDefault="00F15357" w:rsidP="002F5F79">
            <w:pPr>
              <w:pStyle w:val="TableText0"/>
              <w:rPr>
                <w:lang w:val="en-AU"/>
              </w:rPr>
            </w:pPr>
            <w:r w:rsidRPr="000F3C8B">
              <w:rPr>
                <w:lang w:val="en-AU"/>
              </w:rPr>
              <w:t xml:space="preserve">The </w:t>
            </w:r>
            <w:r w:rsidR="00532AA8" w:rsidRPr="000F3C8B">
              <w:rPr>
                <w:lang w:val="en-AU"/>
              </w:rPr>
              <w:t>Cochrane</w:t>
            </w:r>
            <w:r w:rsidRPr="000F3C8B">
              <w:rPr>
                <w:lang w:val="en-AU"/>
              </w:rPr>
              <w:t xml:space="preserve"> Library</w:t>
            </w:r>
          </w:p>
        </w:tc>
        <w:tc>
          <w:tcPr>
            <w:tcW w:w="1648" w:type="dxa"/>
          </w:tcPr>
          <w:p w:rsidR="00532AA8" w:rsidRPr="000F3C8B" w:rsidRDefault="00532AA8" w:rsidP="002F5F79">
            <w:pPr>
              <w:pStyle w:val="TableText0"/>
              <w:jc w:val="right"/>
              <w:rPr>
                <w:lang w:val="en-AU"/>
              </w:rPr>
            </w:pPr>
            <w:r w:rsidRPr="000F3C8B">
              <w:rPr>
                <w:lang w:val="en-AU"/>
              </w:rPr>
              <w:t>69</w:t>
            </w:r>
          </w:p>
        </w:tc>
      </w:tr>
      <w:tr w:rsidR="00532AA8" w:rsidRPr="00BB3C05" w:rsidTr="00DC433D">
        <w:tc>
          <w:tcPr>
            <w:tcW w:w="3716" w:type="dxa"/>
            <w:tcBorders>
              <w:bottom w:val="nil"/>
            </w:tcBorders>
          </w:tcPr>
          <w:p w:rsidR="00532AA8" w:rsidRPr="000F3C8B" w:rsidRDefault="00532AA8" w:rsidP="002F5F79">
            <w:pPr>
              <w:pStyle w:val="TableText0"/>
              <w:rPr>
                <w:lang w:val="en-AU"/>
              </w:rPr>
            </w:pPr>
            <w:r w:rsidRPr="000F3C8B">
              <w:rPr>
                <w:lang w:val="en-AU"/>
              </w:rPr>
              <w:t>CRD</w:t>
            </w:r>
          </w:p>
        </w:tc>
        <w:tc>
          <w:tcPr>
            <w:tcW w:w="1648" w:type="dxa"/>
            <w:tcBorders>
              <w:bottom w:val="nil"/>
            </w:tcBorders>
          </w:tcPr>
          <w:p w:rsidR="00532AA8" w:rsidRPr="000F3C8B" w:rsidRDefault="00532AA8" w:rsidP="002F5F79">
            <w:pPr>
              <w:pStyle w:val="TableText0"/>
              <w:jc w:val="right"/>
              <w:rPr>
                <w:lang w:val="en-AU"/>
              </w:rPr>
            </w:pPr>
            <w:r w:rsidRPr="000F3C8B">
              <w:rPr>
                <w:lang w:val="en-AU"/>
              </w:rPr>
              <w:t>24</w:t>
            </w:r>
          </w:p>
        </w:tc>
      </w:tr>
      <w:tr w:rsidR="00532AA8" w:rsidRPr="00BB3C05" w:rsidTr="00DC433D">
        <w:tc>
          <w:tcPr>
            <w:tcW w:w="3716" w:type="dxa"/>
            <w:tcBorders>
              <w:top w:val="nil"/>
              <w:bottom w:val="single" w:sz="12" w:space="0" w:color="auto"/>
            </w:tcBorders>
          </w:tcPr>
          <w:p w:rsidR="00532AA8" w:rsidRPr="000F3C8B" w:rsidRDefault="00532AA8" w:rsidP="002F5F79">
            <w:pPr>
              <w:pStyle w:val="TableText0"/>
              <w:rPr>
                <w:lang w:val="en-AU"/>
              </w:rPr>
            </w:pPr>
            <w:r w:rsidRPr="000F3C8B">
              <w:rPr>
                <w:lang w:val="en-AU"/>
              </w:rPr>
              <w:t>Total no of papers</w:t>
            </w:r>
          </w:p>
        </w:tc>
        <w:tc>
          <w:tcPr>
            <w:tcW w:w="1648" w:type="dxa"/>
            <w:tcBorders>
              <w:top w:val="nil"/>
              <w:bottom w:val="single" w:sz="12" w:space="0" w:color="auto"/>
            </w:tcBorders>
          </w:tcPr>
          <w:p w:rsidR="00532AA8" w:rsidRPr="000F3C8B" w:rsidRDefault="00532AA8" w:rsidP="002F5F79">
            <w:pPr>
              <w:pStyle w:val="TableText0"/>
              <w:jc w:val="right"/>
              <w:rPr>
                <w:lang w:val="en-AU"/>
              </w:rPr>
            </w:pPr>
            <w:r w:rsidRPr="000F3C8B">
              <w:rPr>
                <w:lang w:val="en-AU"/>
              </w:rPr>
              <w:t>4</w:t>
            </w:r>
            <w:r w:rsidR="00F15357" w:rsidRPr="000F3C8B">
              <w:rPr>
                <w:lang w:val="en-AU"/>
              </w:rPr>
              <w:t>,</w:t>
            </w:r>
            <w:r w:rsidRPr="000F3C8B">
              <w:rPr>
                <w:lang w:val="en-AU"/>
              </w:rPr>
              <w:t>074</w:t>
            </w:r>
          </w:p>
        </w:tc>
      </w:tr>
    </w:tbl>
    <w:p w:rsidR="00DC433D" w:rsidRPr="00DC433D" w:rsidRDefault="00DC433D" w:rsidP="00DC433D">
      <w:pPr>
        <w:pStyle w:val="TableNotes"/>
        <w:rPr>
          <w:lang w:eastAsia="en-US"/>
        </w:rPr>
      </w:pPr>
      <w:r w:rsidRPr="00DC433D">
        <w:rPr>
          <w:lang w:eastAsia="en-US"/>
        </w:rPr>
        <w:t>CINAHL: Cumulative Index to Nursing and Allied Health Literature; CRD: Centre for Reviews and Dissemination</w:t>
      </w:r>
    </w:p>
    <w:p w:rsidR="00CD0EB9" w:rsidRPr="00FC35F9" w:rsidRDefault="00CD0EB9" w:rsidP="00F154E9">
      <w:pPr>
        <w:pStyle w:val="Heading3"/>
      </w:pPr>
      <w:r w:rsidRPr="00FC35F9">
        <w:lastRenderedPageBreak/>
        <w:t xml:space="preserve">Study selection process </w:t>
      </w:r>
    </w:p>
    <w:p w:rsidR="007A4DD5" w:rsidRPr="008978EE" w:rsidRDefault="00F15357" w:rsidP="00D83329">
      <w:r w:rsidRPr="00F15357">
        <w:t xml:space="preserve">Full-text articles were carefully assessed against the inclusion criteria by one reviewer. If there was any doubt about whether to include a study, it was referred to a second reviewer for assessment. In such cases, decisions about inclusion were made by consensus after discussion between the two reviewers. The study selection process is depicted </w:t>
      </w:r>
      <w:r w:rsidR="00532AA8" w:rsidRPr="00BB3C05">
        <w:t>in</w:t>
      </w:r>
      <w:r w:rsidR="002F5F79">
        <w:t xml:space="preserve"> </w:t>
      </w:r>
      <w:r w:rsidR="002F5F79">
        <w:fldChar w:fldCharType="begin"/>
      </w:r>
      <w:r w:rsidR="002F5F79">
        <w:instrText xml:space="preserve"> REF _Ref324943667 \h </w:instrText>
      </w:r>
      <w:r w:rsidR="002F5F79">
        <w:fldChar w:fldCharType="separate"/>
      </w:r>
      <w:r w:rsidR="0071544A">
        <w:t xml:space="preserve">Figure </w:t>
      </w:r>
      <w:r w:rsidR="0071544A">
        <w:rPr>
          <w:noProof/>
        </w:rPr>
        <w:t>7</w:t>
      </w:r>
      <w:r w:rsidR="002F5F79">
        <w:fldChar w:fldCharType="end"/>
      </w:r>
      <w:r w:rsidR="00532AA8" w:rsidRPr="009E5C53">
        <w:t>.</w:t>
      </w:r>
      <w:bookmarkEnd w:id="105"/>
    </w:p>
    <w:p w:rsidR="00F15357" w:rsidRPr="00F15357" w:rsidRDefault="00F15357" w:rsidP="00F15357">
      <w:pPr>
        <w:rPr>
          <w:lang w:eastAsia="en-US"/>
        </w:rPr>
      </w:pPr>
      <w:r w:rsidRPr="00F15357">
        <w:rPr>
          <w:lang w:eastAsia="en-US"/>
        </w:rPr>
        <w:t xml:space="preserve">Where there were two or more systematic reviews with identical comparators and patient populations, only the most recently published systematic review was included unless it was less comprehensive than the earlier review. In addition, eligible </w:t>
      </w:r>
      <w:r w:rsidR="00603B2D">
        <w:rPr>
          <w:lang w:eastAsia="en-US"/>
        </w:rPr>
        <w:t>randomised controlled trials (</w:t>
      </w:r>
      <w:r w:rsidRPr="00F15357">
        <w:rPr>
          <w:lang w:eastAsia="en-US"/>
        </w:rPr>
        <w:t>RCTs</w:t>
      </w:r>
      <w:r w:rsidR="00603B2D">
        <w:rPr>
          <w:lang w:eastAsia="en-US"/>
        </w:rPr>
        <w:t>)</w:t>
      </w:r>
      <w:r w:rsidRPr="00F15357">
        <w:rPr>
          <w:lang w:eastAsia="en-US"/>
        </w:rPr>
        <w:t xml:space="preserve"> </w:t>
      </w:r>
      <w:r w:rsidR="00DC433D">
        <w:rPr>
          <w:lang w:eastAsia="en-US"/>
        </w:rPr>
        <w:t xml:space="preserve">that were </w:t>
      </w:r>
      <w:r w:rsidRPr="00F15357">
        <w:rPr>
          <w:lang w:eastAsia="en-US"/>
        </w:rPr>
        <w:t xml:space="preserve">published after the search end date of the most recent systematic review were included. </w:t>
      </w:r>
    </w:p>
    <w:p w:rsidR="00F15357" w:rsidRPr="00F15357" w:rsidRDefault="00F15357" w:rsidP="00F15357">
      <w:pPr>
        <w:rPr>
          <w:lang w:eastAsia="en-US"/>
        </w:rPr>
      </w:pPr>
      <w:r w:rsidRPr="00F15357">
        <w:rPr>
          <w:lang w:eastAsia="en-US"/>
        </w:rPr>
        <w:t xml:space="preserve">If no suitable systematic reviews on the topic were available, RCTs and non-randomised comparative studies were selected for inclusion. When multiple publications of the same study were identified, the latest and most comprehensive version was retrieved and the </w:t>
      </w:r>
      <w:r w:rsidR="002F5F79">
        <w:rPr>
          <w:lang w:eastAsia="en-US"/>
        </w:rPr>
        <w:t>duplicates were excluded</w:t>
      </w:r>
      <w:r w:rsidRPr="00F15357">
        <w:rPr>
          <w:lang w:eastAsia="en-US"/>
        </w:rPr>
        <w:t>.</w:t>
      </w:r>
    </w:p>
    <w:p w:rsidR="00F15357" w:rsidRPr="00F15357" w:rsidRDefault="00F15357" w:rsidP="00F15357">
      <w:pPr>
        <w:rPr>
          <w:lang w:eastAsia="en-US"/>
        </w:rPr>
      </w:pPr>
      <w:r w:rsidRPr="00F15357">
        <w:rPr>
          <w:lang w:eastAsia="en-US"/>
        </w:rPr>
        <w:t>The 40 studies that met all of the inclusion criteria are listed in</w:t>
      </w:r>
      <w:r w:rsidR="006139A8">
        <w:rPr>
          <w:lang w:eastAsia="en-US"/>
        </w:rPr>
        <w:t xml:space="preserve"> Appendix </w:t>
      </w:r>
      <w:r w:rsidR="00F76B65">
        <w:rPr>
          <w:lang w:eastAsia="en-US"/>
        </w:rPr>
        <w:t>D</w:t>
      </w:r>
      <w:r w:rsidR="006139A8">
        <w:rPr>
          <w:lang w:eastAsia="en-US"/>
        </w:rPr>
        <w:t>.</w:t>
      </w:r>
      <w:r w:rsidRPr="00F15357">
        <w:rPr>
          <w:lang w:eastAsia="en-US"/>
        </w:rPr>
        <w:t xml:space="preserve"> Ineligible studies and the reasons for their exclusion are listed in</w:t>
      </w:r>
      <w:r w:rsidR="006139A8">
        <w:rPr>
          <w:lang w:eastAsia="en-US"/>
        </w:rPr>
        <w:t xml:space="preserve"> Appendix </w:t>
      </w:r>
      <w:r w:rsidR="00F76B65">
        <w:rPr>
          <w:lang w:eastAsia="en-US"/>
        </w:rPr>
        <w:t>H</w:t>
      </w:r>
      <w:r w:rsidR="006139A8">
        <w:rPr>
          <w:lang w:eastAsia="en-US"/>
        </w:rPr>
        <w:t>.</w:t>
      </w:r>
      <w:r w:rsidRPr="00F15357">
        <w:rPr>
          <w:lang w:eastAsia="en-US"/>
        </w:rPr>
        <w:t xml:space="preserve"> The reasons for excluding 180 studies at the final stage of the selection process are listed in</w:t>
      </w:r>
      <w:r w:rsidR="006139A8">
        <w:rPr>
          <w:lang w:eastAsia="en-US"/>
        </w:rPr>
        <w:t xml:space="preserve"> Appendix </w:t>
      </w:r>
      <w:r w:rsidR="00F76B65">
        <w:rPr>
          <w:lang w:eastAsia="en-US"/>
        </w:rPr>
        <w:t>I</w:t>
      </w:r>
      <w:r w:rsidR="006139A8">
        <w:rPr>
          <w:lang w:eastAsia="en-US"/>
        </w:rPr>
        <w:t>.</w:t>
      </w:r>
    </w:p>
    <w:p w:rsidR="00CD0EB9" w:rsidRPr="00DF686C" w:rsidRDefault="00CD0EB9" w:rsidP="00817861"/>
    <w:p w:rsidR="007A4DD5" w:rsidRPr="002F5F79" w:rsidRDefault="00CC35B5" w:rsidP="002F5F79">
      <w:pPr>
        <w:pStyle w:val="Caption"/>
      </w:pPr>
      <w:bookmarkStart w:id="109" w:name="_Ref315533149"/>
      <w:bookmarkStart w:id="110" w:name="_Toc86678670"/>
      <w:bookmarkStart w:id="111" w:name="_Toc188861228"/>
      <w:r w:rsidRPr="00DF686C">
        <w:br w:type="page"/>
      </w:r>
      <w:bookmarkStart w:id="112" w:name="_Ref324943667"/>
      <w:bookmarkStart w:id="113" w:name="_Toc327522130"/>
      <w:bookmarkEnd w:id="109"/>
      <w:r w:rsidR="002F5F79">
        <w:lastRenderedPageBreak/>
        <w:t xml:space="preserve">Figure </w:t>
      </w:r>
      <w:fldSimple w:instr=" SEQ Figure \* ARABIC ">
        <w:r w:rsidR="0071544A">
          <w:rPr>
            <w:noProof/>
          </w:rPr>
          <w:t>7</w:t>
        </w:r>
      </w:fldSimple>
      <w:bookmarkEnd w:id="112"/>
      <w:r w:rsidR="00817861" w:rsidRPr="00DF686C">
        <w:tab/>
      </w:r>
      <w:r w:rsidR="007A4DD5" w:rsidRPr="00DF686C">
        <w:t xml:space="preserve">Summary of the process used to identify and select studies for the </w:t>
      </w:r>
      <w:r w:rsidR="007A4DD5" w:rsidRPr="002F5F79">
        <w:t>review</w:t>
      </w:r>
      <w:bookmarkEnd w:id="110"/>
      <w:bookmarkEnd w:id="111"/>
      <w:bookmarkEnd w:id="113"/>
    </w:p>
    <w:p w:rsidR="007A4DD5" w:rsidRPr="009E5C53" w:rsidRDefault="00516B5D" w:rsidP="007A4DD5">
      <w:r>
        <w:rPr>
          <w:noProof/>
        </w:rPr>
        <mc:AlternateContent>
          <mc:Choice Requires="wpg">
            <w:drawing>
              <wp:inline distT="0" distB="0" distL="0" distR="0" wp14:anchorId="10DF1741" wp14:editId="598BD2E8">
                <wp:extent cx="4763135" cy="6936105"/>
                <wp:effectExtent l="9525" t="12065" r="8890" b="5080"/>
                <wp:docPr id="17" name="Group 1135" descr="Figure 7 Summary of the process used to identify and select studies for the review" title="Figure 7 Summary of the process used to identify and select studies for the revie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6936105"/>
                          <a:chOff x="1521" y="2884"/>
                          <a:chExt cx="6480" cy="9571"/>
                        </a:xfrm>
                      </wpg:grpSpPr>
                      <wps:wsp>
                        <wps:cNvPr id="18" name="Text Box 1136"/>
                        <wps:cNvSpPr txBox="1">
                          <a:spLocks noChangeArrowheads="1"/>
                        </wps:cNvSpPr>
                        <wps:spPr bwMode="auto">
                          <a:xfrm>
                            <a:off x="1521" y="2884"/>
                            <a:ext cx="3060" cy="853"/>
                          </a:xfrm>
                          <a:prstGeom prst="rect">
                            <a:avLst/>
                          </a:prstGeom>
                          <a:solidFill>
                            <a:srgbClr val="FFFFFF"/>
                          </a:solidFill>
                          <a:ln w="9525">
                            <a:solidFill>
                              <a:srgbClr val="000000"/>
                            </a:solidFill>
                            <a:miter lim="800000"/>
                            <a:headEnd/>
                            <a:tailEnd/>
                          </a:ln>
                        </wps:spPr>
                        <wps:txbx>
                          <w:txbxContent>
                            <w:p w:rsidR="0042762F" w:rsidRPr="00554BF6" w:rsidRDefault="0042762F" w:rsidP="00554BF6">
                              <w:pPr>
                                <w:spacing w:after="0"/>
                                <w:ind w:left="0"/>
                                <w:rPr>
                                  <w:sz w:val="18"/>
                                  <w:szCs w:val="18"/>
                                </w:rPr>
                              </w:pPr>
                              <w:r w:rsidRPr="00554BF6">
                                <w:rPr>
                                  <w:rFonts w:ascii="Arial Narrow" w:hAnsi="Arial Narrow"/>
                                  <w:sz w:val="18"/>
                                  <w:szCs w:val="18"/>
                                </w:rPr>
                                <w:t>Potentially relevant studies identified in the literature search</w:t>
                              </w:r>
                              <w:r>
                                <w:rPr>
                                  <w:rFonts w:ascii="Arial Narrow" w:hAnsi="Arial Narrow"/>
                                  <w:sz w:val="18"/>
                                  <w:szCs w:val="18"/>
                                </w:rPr>
                                <w:t>es</w:t>
                              </w:r>
                              <w:r w:rsidRPr="00554BF6">
                                <w:rPr>
                                  <w:rFonts w:ascii="Arial Narrow" w:hAnsi="Arial Narrow"/>
                                  <w:sz w:val="18"/>
                                  <w:szCs w:val="18"/>
                                </w:rPr>
                                <w:t xml:space="preserve"> (n=4</w:t>
                              </w:r>
                              <w:r>
                                <w:rPr>
                                  <w:rFonts w:ascii="Arial Narrow" w:hAnsi="Arial Narrow"/>
                                  <w:sz w:val="18"/>
                                  <w:szCs w:val="18"/>
                                </w:rPr>
                                <w:t>,</w:t>
                              </w:r>
                              <w:r w:rsidRPr="00554BF6">
                                <w:rPr>
                                  <w:rFonts w:ascii="Arial Narrow" w:hAnsi="Arial Narrow"/>
                                  <w:sz w:val="18"/>
                                  <w:szCs w:val="18"/>
                                </w:rPr>
                                <w:t>074)</w:t>
                              </w:r>
                            </w:p>
                          </w:txbxContent>
                        </wps:txbx>
                        <wps:bodyPr rot="0" vert="horz" wrap="square" lIns="91440" tIns="45720" rIns="91440" bIns="45720" anchor="t" anchorCtr="0" upright="1">
                          <a:noAutofit/>
                        </wps:bodyPr>
                      </wps:wsp>
                      <wps:wsp>
                        <wps:cNvPr id="19" name="Text Box 1137"/>
                        <wps:cNvSpPr txBox="1">
                          <a:spLocks noChangeArrowheads="1"/>
                        </wps:cNvSpPr>
                        <wps:spPr bwMode="auto">
                          <a:xfrm>
                            <a:off x="1521" y="4278"/>
                            <a:ext cx="3060" cy="720"/>
                          </a:xfrm>
                          <a:prstGeom prst="rect">
                            <a:avLst/>
                          </a:prstGeom>
                          <a:solidFill>
                            <a:srgbClr val="FFFFFF"/>
                          </a:solidFill>
                          <a:ln w="9525">
                            <a:solidFill>
                              <a:srgbClr val="000000"/>
                            </a:solidFill>
                            <a:miter lim="800000"/>
                            <a:headEnd/>
                            <a:tailEnd/>
                          </a:ln>
                        </wps:spPr>
                        <wps:txbx>
                          <w:txbxContent>
                            <w:p w:rsidR="0042762F" w:rsidRPr="00554BF6" w:rsidRDefault="0042762F" w:rsidP="009E5C5B">
                              <w:pPr>
                                <w:ind w:left="0"/>
                                <w:rPr>
                                  <w:sz w:val="18"/>
                                  <w:szCs w:val="18"/>
                                </w:rPr>
                              </w:pPr>
                              <w:r w:rsidRPr="00554BF6">
                                <w:rPr>
                                  <w:rFonts w:ascii="Arial Narrow" w:hAnsi="Arial Narrow"/>
                                  <w:sz w:val="18"/>
                                  <w:szCs w:val="18"/>
                                </w:rPr>
                                <w:t xml:space="preserve">Studies </w:t>
                              </w:r>
                              <w:r>
                                <w:rPr>
                                  <w:rFonts w:ascii="Arial Narrow" w:hAnsi="Arial Narrow"/>
                                  <w:sz w:val="18"/>
                                  <w:szCs w:val="18"/>
                                </w:rPr>
                                <w:t>assessed for</w:t>
                              </w:r>
                              <w:r w:rsidRPr="00554BF6">
                                <w:rPr>
                                  <w:rFonts w:ascii="Arial Narrow" w:hAnsi="Arial Narrow"/>
                                  <w:sz w:val="18"/>
                                  <w:szCs w:val="18"/>
                                </w:rPr>
                                <w:t xml:space="preserve"> eligibility based on citation information (n= 2</w:t>
                              </w:r>
                              <w:r>
                                <w:rPr>
                                  <w:rFonts w:ascii="Arial Narrow" w:hAnsi="Arial Narrow"/>
                                  <w:sz w:val="18"/>
                                  <w:szCs w:val="18"/>
                                </w:rPr>
                                <w:t>,</w:t>
                              </w:r>
                              <w:r w:rsidRPr="00554BF6">
                                <w:rPr>
                                  <w:rFonts w:ascii="Arial Narrow" w:hAnsi="Arial Narrow"/>
                                  <w:sz w:val="18"/>
                                  <w:szCs w:val="18"/>
                                </w:rPr>
                                <w:t>959)</w:t>
                              </w:r>
                            </w:p>
                          </w:txbxContent>
                        </wps:txbx>
                        <wps:bodyPr rot="0" vert="horz" wrap="square" lIns="91440" tIns="45720" rIns="91440" bIns="45720" anchor="t" anchorCtr="0" upright="1">
                          <a:noAutofit/>
                        </wps:bodyPr>
                      </wps:wsp>
                      <wps:wsp>
                        <wps:cNvPr id="20" name="Text Box 1138"/>
                        <wps:cNvSpPr txBox="1">
                          <a:spLocks noChangeArrowheads="1"/>
                        </wps:cNvSpPr>
                        <wps:spPr bwMode="auto">
                          <a:xfrm>
                            <a:off x="1521" y="5538"/>
                            <a:ext cx="3060" cy="900"/>
                          </a:xfrm>
                          <a:prstGeom prst="rect">
                            <a:avLst/>
                          </a:prstGeom>
                          <a:solidFill>
                            <a:srgbClr val="FFFFFF"/>
                          </a:solidFill>
                          <a:ln w="9525">
                            <a:solidFill>
                              <a:srgbClr val="000000"/>
                            </a:solidFill>
                            <a:miter lim="800000"/>
                            <a:headEnd/>
                            <a:tailEnd/>
                          </a:ln>
                        </wps:spPr>
                        <wps:txbx>
                          <w:txbxContent>
                            <w:p w:rsidR="0042762F" w:rsidRPr="00554BF6" w:rsidRDefault="0042762F" w:rsidP="009E5C5B">
                              <w:pPr>
                                <w:spacing w:after="0"/>
                                <w:ind w:left="0"/>
                                <w:rPr>
                                  <w:rFonts w:ascii="Arial Narrow" w:hAnsi="Arial Narrow"/>
                                  <w:sz w:val="18"/>
                                  <w:szCs w:val="18"/>
                                </w:rPr>
                              </w:pPr>
                              <w:r w:rsidRPr="00554BF6">
                                <w:rPr>
                                  <w:rFonts w:ascii="Arial Narrow" w:hAnsi="Arial Narrow"/>
                                  <w:sz w:val="18"/>
                                  <w:szCs w:val="18"/>
                                </w:rPr>
                                <w:t xml:space="preserve">Studies </w:t>
                              </w:r>
                              <w:r>
                                <w:rPr>
                                  <w:rFonts w:ascii="Arial Narrow" w:hAnsi="Arial Narrow"/>
                                  <w:sz w:val="18"/>
                                  <w:szCs w:val="18"/>
                                </w:rPr>
                                <w:t>assessed for eligibility based on citation information</w:t>
                              </w:r>
                              <w:r w:rsidRPr="00554BF6">
                                <w:rPr>
                                  <w:rFonts w:ascii="Arial Narrow" w:hAnsi="Arial Narrow"/>
                                  <w:sz w:val="18"/>
                                  <w:szCs w:val="18"/>
                                </w:rPr>
                                <w:t xml:space="preserve"> (n= 2</w:t>
                              </w:r>
                              <w:r>
                                <w:rPr>
                                  <w:rFonts w:ascii="Arial Narrow" w:hAnsi="Arial Narrow"/>
                                  <w:sz w:val="18"/>
                                  <w:szCs w:val="18"/>
                                </w:rPr>
                                <w:t>,</w:t>
                              </w:r>
                              <w:r w:rsidRPr="00554BF6">
                                <w:rPr>
                                  <w:rFonts w:ascii="Arial Narrow" w:hAnsi="Arial Narrow"/>
                                  <w:sz w:val="18"/>
                                  <w:szCs w:val="18"/>
                                </w:rPr>
                                <w:t>483)</w:t>
                              </w:r>
                            </w:p>
                          </w:txbxContent>
                        </wps:txbx>
                        <wps:bodyPr rot="0" vert="horz" wrap="square" lIns="91440" tIns="45720" rIns="91440" bIns="45720" anchor="t" anchorCtr="0" upright="1">
                          <a:noAutofit/>
                        </wps:bodyPr>
                      </wps:wsp>
                      <wps:wsp>
                        <wps:cNvPr id="21" name="Text Box 1139"/>
                        <wps:cNvSpPr txBox="1">
                          <a:spLocks noChangeArrowheads="1"/>
                        </wps:cNvSpPr>
                        <wps:spPr bwMode="auto">
                          <a:xfrm>
                            <a:off x="1521" y="6798"/>
                            <a:ext cx="3060" cy="720"/>
                          </a:xfrm>
                          <a:prstGeom prst="rect">
                            <a:avLst/>
                          </a:prstGeom>
                          <a:solidFill>
                            <a:srgbClr val="FFFFFF"/>
                          </a:solidFill>
                          <a:ln w="9525">
                            <a:solidFill>
                              <a:srgbClr val="000000"/>
                            </a:solidFill>
                            <a:miter lim="800000"/>
                            <a:headEnd/>
                            <a:tailEnd/>
                          </a:ln>
                        </wps:spPr>
                        <wps:txbx>
                          <w:txbxContent>
                            <w:p w:rsidR="0042762F" w:rsidRPr="00554BF6" w:rsidRDefault="0042762F" w:rsidP="00532AA8">
                              <w:pPr>
                                <w:spacing w:after="0"/>
                                <w:ind w:left="0"/>
                                <w:rPr>
                                  <w:sz w:val="18"/>
                                  <w:szCs w:val="18"/>
                                </w:rPr>
                              </w:pPr>
                              <w:r w:rsidRPr="00554BF6">
                                <w:rPr>
                                  <w:rFonts w:ascii="Arial Narrow" w:hAnsi="Arial Narrow"/>
                                  <w:sz w:val="18"/>
                                  <w:szCs w:val="18"/>
                                </w:rPr>
                                <w:t xml:space="preserve">Studies </w:t>
                              </w:r>
                              <w:r>
                                <w:rPr>
                                  <w:rFonts w:ascii="Arial Narrow" w:hAnsi="Arial Narrow"/>
                                  <w:sz w:val="18"/>
                                  <w:szCs w:val="18"/>
                                </w:rPr>
                                <w:t xml:space="preserve">retrieved for detailed examination </w:t>
                              </w:r>
                              <w:r w:rsidRPr="00554BF6">
                                <w:rPr>
                                  <w:rFonts w:ascii="Arial Narrow" w:hAnsi="Arial Narrow"/>
                                  <w:sz w:val="18"/>
                                  <w:szCs w:val="18"/>
                                </w:rPr>
                                <w:t>(n= 220)</w:t>
                              </w:r>
                            </w:p>
                            <w:p w:rsidR="0042762F" w:rsidRPr="00554BF6" w:rsidRDefault="0042762F" w:rsidP="009E5C5B">
                              <w:pPr>
                                <w:ind w:left="0"/>
                                <w:rPr>
                                  <w:sz w:val="18"/>
                                  <w:szCs w:val="18"/>
                                </w:rPr>
                              </w:pPr>
                            </w:p>
                          </w:txbxContent>
                        </wps:txbx>
                        <wps:bodyPr rot="0" vert="horz" wrap="square" lIns="91440" tIns="45720" rIns="91440" bIns="45720" anchor="t" anchorCtr="0" upright="1">
                          <a:noAutofit/>
                        </wps:bodyPr>
                      </wps:wsp>
                      <wps:wsp>
                        <wps:cNvPr id="22" name="Text Box 1140"/>
                        <wps:cNvSpPr txBox="1">
                          <a:spLocks noChangeArrowheads="1"/>
                        </wps:cNvSpPr>
                        <wps:spPr bwMode="auto">
                          <a:xfrm>
                            <a:off x="1521" y="8058"/>
                            <a:ext cx="3060" cy="2385"/>
                          </a:xfrm>
                          <a:prstGeom prst="rect">
                            <a:avLst/>
                          </a:prstGeom>
                          <a:solidFill>
                            <a:srgbClr val="FFFFFF"/>
                          </a:solidFill>
                          <a:ln w="9525">
                            <a:solidFill>
                              <a:srgbClr val="000000"/>
                            </a:solidFill>
                            <a:miter lim="800000"/>
                            <a:headEnd/>
                            <a:tailEnd/>
                          </a:ln>
                        </wps:spPr>
                        <wps:txbx>
                          <w:txbxContent>
                            <w:p w:rsidR="0042762F" w:rsidRPr="00F953F0" w:rsidRDefault="0042762F" w:rsidP="00532AA8">
                              <w:pPr>
                                <w:spacing w:after="0"/>
                                <w:ind w:left="0"/>
                                <w:rPr>
                                  <w:rFonts w:ascii="Arial Narrow" w:hAnsi="Arial Narrow"/>
                                  <w:sz w:val="18"/>
                                  <w:szCs w:val="18"/>
                                </w:rPr>
                              </w:pPr>
                              <w:r w:rsidRPr="00F953F0">
                                <w:rPr>
                                  <w:rFonts w:ascii="Arial Narrow" w:hAnsi="Arial Narrow"/>
                                  <w:sz w:val="18"/>
                                  <w:szCs w:val="18"/>
                                </w:rPr>
                                <w:t>Studies included in the assessment (n=40)</w:t>
                              </w:r>
                            </w:p>
                            <w:p w:rsidR="0042762F" w:rsidRPr="00F953F0" w:rsidRDefault="0042762F" w:rsidP="00532AA8">
                              <w:pPr>
                                <w:spacing w:after="0"/>
                                <w:ind w:left="0"/>
                                <w:rPr>
                                  <w:rFonts w:ascii="Arial Narrow" w:hAnsi="Arial Narrow"/>
                                  <w:sz w:val="18"/>
                                  <w:szCs w:val="18"/>
                                </w:rPr>
                              </w:pPr>
                            </w:p>
                            <w:p w:rsidR="0042762F" w:rsidRPr="00F953F0" w:rsidRDefault="0042762F" w:rsidP="00532AA8">
                              <w:pPr>
                                <w:spacing w:after="0"/>
                                <w:ind w:left="0"/>
                                <w:rPr>
                                  <w:rFonts w:ascii="Arial Narrow" w:hAnsi="Arial Narrow"/>
                                  <w:b/>
                                  <w:sz w:val="18"/>
                                  <w:szCs w:val="18"/>
                                </w:rPr>
                              </w:pPr>
                              <w:r w:rsidRPr="00F953F0">
                                <w:rPr>
                                  <w:rFonts w:ascii="Arial Narrow" w:hAnsi="Arial Narrow"/>
                                  <w:b/>
                                  <w:sz w:val="18"/>
                                  <w:szCs w:val="18"/>
                                </w:rPr>
                                <w:t xml:space="preserve">Comparative </w:t>
                              </w:r>
                              <w:r>
                                <w:rPr>
                                  <w:rFonts w:ascii="Arial Narrow" w:hAnsi="Arial Narrow"/>
                                  <w:b/>
                                  <w:sz w:val="18"/>
                                  <w:szCs w:val="18"/>
                                </w:rPr>
                                <w:t>studies</w:t>
                              </w:r>
                              <w:r w:rsidRPr="00F953F0">
                                <w:rPr>
                                  <w:rFonts w:ascii="Arial Narrow" w:hAnsi="Arial Narrow"/>
                                  <w:b/>
                                  <w:sz w:val="18"/>
                                  <w:szCs w:val="18"/>
                                </w:rPr>
                                <w:t xml:space="preserve"> (n=7)</w:t>
                              </w:r>
                            </w:p>
                            <w:p w:rsidR="0042762F" w:rsidRPr="00F953F0" w:rsidRDefault="0042762F" w:rsidP="00532AA8">
                              <w:pPr>
                                <w:spacing w:after="0"/>
                                <w:ind w:left="0"/>
                                <w:rPr>
                                  <w:rFonts w:ascii="Arial Narrow" w:hAnsi="Arial Narrow"/>
                                  <w:sz w:val="18"/>
                                  <w:szCs w:val="18"/>
                                </w:rPr>
                              </w:pPr>
                              <w:r>
                                <w:rPr>
                                  <w:rFonts w:ascii="Arial Narrow" w:hAnsi="Arial Narrow"/>
                                  <w:sz w:val="18"/>
                                  <w:szCs w:val="18"/>
                                </w:rPr>
                                <w:t xml:space="preserve">Randomised controlled trials </w:t>
                              </w:r>
                              <w:r w:rsidRPr="00F953F0">
                                <w:rPr>
                                  <w:rFonts w:ascii="Arial Narrow" w:hAnsi="Arial Narrow"/>
                                  <w:sz w:val="18"/>
                                  <w:szCs w:val="18"/>
                                </w:rPr>
                                <w:t>(n=2)</w:t>
                              </w:r>
                            </w:p>
                            <w:p w:rsidR="0042762F" w:rsidRPr="00F953F0" w:rsidRDefault="0042762F" w:rsidP="00532AA8">
                              <w:pPr>
                                <w:spacing w:after="0"/>
                                <w:ind w:left="0"/>
                                <w:rPr>
                                  <w:rFonts w:ascii="Arial Narrow" w:hAnsi="Arial Narrow"/>
                                  <w:sz w:val="18"/>
                                  <w:szCs w:val="18"/>
                                </w:rPr>
                              </w:pPr>
                              <w:r>
                                <w:rPr>
                                  <w:rFonts w:ascii="Arial Narrow" w:hAnsi="Arial Narrow"/>
                                  <w:sz w:val="18"/>
                                  <w:szCs w:val="18"/>
                                </w:rPr>
                                <w:t xml:space="preserve">Non-randomised comparative studies </w:t>
                              </w:r>
                              <w:r w:rsidRPr="00F953F0">
                                <w:rPr>
                                  <w:rFonts w:ascii="Arial Narrow" w:hAnsi="Arial Narrow"/>
                                  <w:sz w:val="18"/>
                                  <w:szCs w:val="18"/>
                                </w:rPr>
                                <w:t>(n=5)</w:t>
                              </w:r>
                            </w:p>
                            <w:p w:rsidR="0042762F" w:rsidRPr="00F953F0" w:rsidRDefault="0042762F" w:rsidP="00532AA8">
                              <w:pPr>
                                <w:spacing w:after="0"/>
                                <w:ind w:left="0"/>
                                <w:rPr>
                                  <w:rFonts w:ascii="Arial Narrow" w:hAnsi="Arial Narrow"/>
                                  <w:sz w:val="18"/>
                                  <w:szCs w:val="18"/>
                                </w:rPr>
                              </w:pPr>
                            </w:p>
                            <w:p w:rsidR="0042762F" w:rsidRPr="00F953F0" w:rsidRDefault="0042762F" w:rsidP="00D1474E">
                              <w:pPr>
                                <w:spacing w:after="0"/>
                                <w:ind w:left="0"/>
                                <w:rPr>
                                  <w:rFonts w:ascii="Arial Narrow" w:hAnsi="Arial Narrow"/>
                                  <w:b/>
                                  <w:sz w:val="18"/>
                                  <w:szCs w:val="18"/>
                                </w:rPr>
                              </w:pPr>
                              <w:r w:rsidRPr="00F953F0">
                                <w:rPr>
                                  <w:rFonts w:ascii="Arial Narrow" w:hAnsi="Arial Narrow"/>
                                  <w:b/>
                                  <w:sz w:val="18"/>
                                  <w:szCs w:val="18"/>
                                </w:rPr>
                                <w:t>Case series/</w:t>
                              </w:r>
                              <w:r>
                                <w:rPr>
                                  <w:rFonts w:ascii="Arial Narrow" w:hAnsi="Arial Narrow"/>
                                  <w:b/>
                                  <w:sz w:val="18"/>
                                  <w:szCs w:val="18"/>
                                </w:rPr>
                                <w:t>l</w:t>
                              </w:r>
                              <w:r w:rsidRPr="00F953F0">
                                <w:rPr>
                                  <w:rFonts w:ascii="Arial Narrow" w:hAnsi="Arial Narrow"/>
                                  <w:b/>
                                  <w:sz w:val="18"/>
                                  <w:szCs w:val="18"/>
                                </w:rPr>
                                <w:t xml:space="preserve">evel IV </w:t>
                              </w:r>
                              <w:r>
                                <w:rPr>
                                  <w:rFonts w:ascii="Arial Narrow" w:hAnsi="Arial Narrow"/>
                                  <w:b/>
                                  <w:sz w:val="18"/>
                                  <w:szCs w:val="18"/>
                                </w:rPr>
                                <w:t xml:space="preserve">studies </w:t>
                              </w:r>
                              <w:r w:rsidRPr="00F953F0">
                                <w:rPr>
                                  <w:rFonts w:ascii="Arial Narrow" w:hAnsi="Arial Narrow"/>
                                  <w:b/>
                                  <w:sz w:val="18"/>
                                  <w:szCs w:val="18"/>
                                </w:rPr>
                                <w:t>(n=33)</w:t>
                              </w:r>
                            </w:p>
                            <w:p w:rsidR="0042762F" w:rsidRPr="00F953F0" w:rsidRDefault="0042762F" w:rsidP="00D1474E">
                              <w:pPr>
                                <w:spacing w:after="0"/>
                                <w:ind w:left="0"/>
                                <w:rPr>
                                  <w:rFonts w:ascii="Arial Narrow" w:hAnsi="Arial Narrow"/>
                                  <w:sz w:val="18"/>
                                  <w:szCs w:val="18"/>
                                </w:rPr>
                              </w:pPr>
                              <w:r w:rsidRPr="00F953F0">
                                <w:rPr>
                                  <w:rFonts w:ascii="Arial Narrow" w:hAnsi="Arial Narrow"/>
                                  <w:sz w:val="18"/>
                                  <w:szCs w:val="18"/>
                                </w:rPr>
                                <w:t>Palliative population (n=11)</w:t>
                              </w:r>
                            </w:p>
                            <w:p w:rsidR="0042762F" w:rsidRPr="00F953F0" w:rsidRDefault="0042762F" w:rsidP="00D1474E">
                              <w:pPr>
                                <w:spacing w:after="0"/>
                                <w:ind w:left="0"/>
                                <w:rPr>
                                  <w:rFonts w:ascii="Arial Narrow" w:hAnsi="Arial Narrow"/>
                                  <w:sz w:val="18"/>
                                  <w:szCs w:val="18"/>
                                </w:rPr>
                              </w:pPr>
                              <w:r w:rsidRPr="00F953F0">
                                <w:rPr>
                                  <w:rFonts w:ascii="Arial Narrow" w:hAnsi="Arial Narrow"/>
                                  <w:sz w:val="18"/>
                                  <w:szCs w:val="18"/>
                                </w:rPr>
                                <w:t>Mixed population (n=14)</w:t>
                              </w:r>
                            </w:p>
                            <w:p w:rsidR="0042762F" w:rsidRPr="00F953F0" w:rsidRDefault="0042762F" w:rsidP="00D1474E">
                              <w:pPr>
                                <w:spacing w:after="0"/>
                                <w:ind w:left="0"/>
                                <w:rPr>
                                  <w:rFonts w:ascii="Arial Narrow" w:hAnsi="Arial Narrow"/>
                                  <w:sz w:val="18"/>
                                  <w:szCs w:val="18"/>
                                </w:rPr>
                              </w:pPr>
                              <w:r w:rsidRPr="00F953F0">
                                <w:rPr>
                                  <w:rFonts w:ascii="Arial Narrow" w:hAnsi="Arial Narrow"/>
                                  <w:sz w:val="18"/>
                                  <w:szCs w:val="18"/>
                                </w:rPr>
                                <w:t>Stent as bridge to surgery only (n=2)</w:t>
                              </w:r>
                            </w:p>
                            <w:p w:rsidR="0042762F" w:rsidRPr="00F953F0" w:rsidRDefault="0042762F" w:rsidP="00D1474E">
                              <w:pPr>
                                <w:spacing w:after="0"/>
                                <w:ind w:left="0"/>
                                <w:rPr>
                                  <w:rFonts w:ascii="Arial Narrow" w:hAnsi="Arial Narrow"/>
                                  <w:sz w:val="18"/>
                                  <w:szCs w:val="18"/>
                                </w:rPr>
                              </w:pPr>
                              <w:r>
                                <w:rPr>
                                  <w:rFonts w:ascii="Arial Narrow" w:hAnsi="Arial Narrow"/>
                                  <w:sz w:val="18"/>
                                  <w:szCs w:val="18"/>
                                </w:rPr>
                                <w:t>Comparative studies c</w:t>
                              </w:r>
                              <w:r w:rsidRPr="00F953F0">
                                <w:rPr>
                                  <w:rFonts w:ascii="Arial Narrow" w:hAnsi="Arial Narrow"/>
                                  <w:sz w:val="18"/>
                                  <w:szCs w:val="18"/>
                                </w:rPr>
                                <w:t xml:space="preserve">onsidered as </w:t>
                              </w:r>
                              <w:r>
                                <w:rPr>
                                  <w:rFonts w:ascii="Arial Narrow" w:hAnsi="Arial Narrow"/>
                                  <w:sz w:val="18"/>
                                  <w:szCs w:val="18"/>
                                </w:rPr>
                                <w:t>case series</w:t>
                              </w:r>
                              <w:r>
                                <w:rPr>
                                  <w:rFonts w:ascii="Arial Narrow" w:hAnsi="Arial Narrow"/>
                                  <w:sz w:val="18"/>
                                  <w:szCs w:val="18"/>
                                </w:rPr>
                                <w:br/>
                                <w:t xml:space="preserve">  (</w:t>
                              </w:r>
                              <w:r w:rsidRPr="00F953F0">
                                <w:rPr>
                                  <w:rFonts w:ascii="Arial Narrow" w:hAnsi="Arial Narrow"/>
                                  <w:sz w:val="18"/>
                                  <w:szCs w:val="18"/>
                                </w:rPr>
                                <w:t>level IV</w:t>
                              </w:r>
                              <w:r>
                                <w:rPr>
                                  <w:rFonts w:ascii="Arial Narrow" w:hAnsi="Arial Narrow"/>
                                  <w:sz w:val="18"/>
                                  <w:szCs w:val="18"/>
                                </w:rPr>
                                <w:t>)</w:t>
                              </w:r>
                              <w:r w:rsidRPr="00F953F0">
                                <w:rPr>
                                  <w:rFonts w:ascii="Arial Narrow" w:hAnsi="Arial Narrow"/>
                                  <w:sz w:val="18"/>
                                  <w:szCs w:val="18"/>
                                </w:rPr>
                                <w:t xml:space="preserve"> evidence (n=6)</w:t>
                              </w:r>
                            </w:p>
                          </w:txbxContent>
                        </wps:txbx>
                        <wps:bodyPr rot="0" vert="horz" wrap="square" lIns="91440" tIns="45720" rIns="91440" bIns="45720" anchor="t" anchorCtr="0" upright="1">
                          <a:noAutofit/>
                        </wps:bodyPr>
                      </wps:wsp>
                      <wps:wsp>
                        <wps:cNvPr id="23" name="Text Box 1141"/>
                        <wps:cNvSpPr txBox="1">
                          <a:spLocks noChangeArrowheads="1"/>
                        </wps:cNvSpPr>
                        <wps:spPr bwMode="auto">
                          <a:xfrm>
                            <a:off x="5121" y="4818"/>
                            <a:ext cx="2880" cy="720"/>
                          </a:xfrm>
                          <a:prstGeom prst="rect">
                            <a:avLst/>
                          </a:prstGeom>
                          <a:solidFill>
                            <a:srgbClr val="FFFFFF"/>
                          </a:solidFill>
                          <a:ln w="9525">
                            <a:solidFill>
                              <a:srgbClr val="000000"/>
                            </a:solidFill>
                            <a:miter lim="800000"/>
                            <a:headEnd/>
                            <a:tailEnd/>
                          </a:ln>
                        </wps:spPr>
                        <wps:txbx>
                          <w:txbxContent>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 xml:space="preserve">Non-English </w:t>
                              </w:r>
                              <w:r>
                                <w:rPr>
                                  <w:rFonts w:ascii="Arial Narrow" w:hAnsi="Arial Narrow"/>
                                  <w:sz w:val="18"/>
                                  <w:szCs w:val="18"/>
                                </w:rPr>
                                <w:t xml:space="preserve">language </w:t>
                              </w:r>
                              <w:r w:rsidRPr="00554BF6">
                                <w:rPr>
                                  <w:rFonts w:ascii="Arial Narrow" w:hAnsi="Arial Narrow"/>
                                  <w:sz w:val="18"/>
                                  <w:szCs w:val="18"/>
                                </w:rPr>
                                <w:t>studies excluded (n= 476)</w:t>
                              </w:r>
                            </w:p>
                            <w:p w:rsidR="0042762F" w:rsidRPr="00554BF6" w:rsidRDefault="0042762F" w:rsidP="009E5C5B">
                              <w:pPr>
                                <w:ind w:left="0"/>
                                <w:rPr>
                                  <w:sz w:val="18"/>
                                  <w:szCs w:val="18"/>
                                </w:rPr>
                              </w:pPr>
                            </w:p>
                          </w:txbxContent>
                        </wps:txbx>
                        <wps:bodyPr rot="0" vert="horz" wrap="square" lIns="91440" tIns="45720" rIns="91440" bIns="45720" anchor="t" anchorCtr="0" upright="1">
                          <a:noAutofit/>
                        </wps:bodyPr>
                      </wps:wsp>
                      <wps:wsp>
                        <wps:cNvPr id="24" name="Text Box 1142"/>
                        <wps:cNvSpPr txBox="1">
                          <a:spLocks noChangeArrowheads="1"/>
                        </wps:cNvSpPr>
                        <wps:spPr bwMode="auto">
                          <a:xfrm>
                            <a:off x="5121" y="3557"/>
                            <a:ext cx="2880" cy="720"/>
                          </a:xfrm>
                          <a:prstGeom prst="rect">
                            <a:avLst/>
                          </a:prstGeom>
                          <a:solidFill>
                            <a:srgbClr val="FFFFFF"/>
                          </a:solidFill>
                          <a:ln w="9525">
                            <a:solidFill>
                              <a:srgbClr val="000000"/>
                            </a:solidFill>
                            <a:miter lim="800000"/>
                            <a:headEnd/>
                            <a:tailEnd/>
                          </a:ln>
                        </wps:spPr>
                        <wps:txbx>
                          <w:txbxContent>
                            <w:p w:rsidR="0042762F" w:rsidRPr="00554BF6" w:rsidRDefault="0042762F" w:rsidP="009E5C5B">
                              <w:pPr>
                                <w:ind w:left="0"/>
                                <w:rPr>
                                  <w:sz w:val="18"/>
                                  <w:szCs w:val="18"/>
                                </w:rPr>
                              </w:pPr>
                              <w:r w:rsidRPr="00554BF6">
                                <w:rPr>
                                  <w:rFonts w:ascii="Arial Narrow" w:hAnsi="Arial Narrow"/>
                                  <w:sz w:val="18"/>
                                  <w:szCs w:val="18"/>
                                </w:rPr>
                                <w:t>Duplicate studies excluded (n=1</w:t>
                              </w:r>
                              <w:r>
                                <w:rPr>
                                  <w:rFonts w:ascii="Arial Narrow" w:hAnsi="Arial Narrow"/>
                                  <w:sz w:val="18"/>
                                  <w:szCs w:val="18"/>
                                </w:rPr>
                                <w:t>,</w:t>
                              </w:r>
                              <w:r w:rsidRPr="00554BF6">
                                <w:rPr>
                                  <w:rFonts w:ascii="Arial Narrow" w:hAnsi="Arial Narrow"/>
                                  <w:sz w:val="18"/>
                                  <w:szCs w:val="18"/>
                                </w:rPr>
                                <w:t>115)</w:t>
                              </w:r>
                            </w:p>
                          </w:txbxContent>
                        </wps:txbx>
                        <wps:bodyPr rot="0" vert="horz" wrap="square" lIns="91440" tIns="45720" rIns="91440" bIns="45720" anchor="t" anchorCtr="0" upright="1">
                          <a:noAutofit/>
                        </wps:bodyPr>
                      </wps:wsp>
                      <wps:wsp>
                        <wps:cNvPr id="25" name="Text Box 1143"/>
                        <wps:cNvSpPr txBox="1">
                          <a:spLocks noChangeArrowheads="1"/>
                        </wps:cNvSpPr>
                        <wps:spPr bwMode="auto">
                          <a:xfrm>
                            <a:off x="5121" y="6259"/>
                            <a:ext cx="2880" cy="720"/>
                          </a:xfrm>
                          <a:prstGeom prst="rect">
                            <a:avLst/>
                          </a:prstGeom>
                          <a:solidFill>
                            <a:srgbClr val="FFFFFF"/>
                          </a:solidFill>
                          <a:ln w="9525">
                            <a:solidFill>
                              <a:srgbClr val="000000"/>
                            </a:solidFill>
                            <a:miter lim="800000"/>
                            <a:headEnd/>
                            <a:tailEnd/>
                          </a:ln>
                        </wps:spPr>
                        <wps:txbx>
                          <w:txbxContent>
                            <w:p w:rsidR="0042762F" w:rsidRPr="00AC417A" w:rsidRDefault="0042762F" w:rsidP="00D1474E">
                              <w:pPr>
                                <w:spacing w:after="0"/>
                                <w:ind w:left="0"/>
                                <w:rPr>
                                  <w:rFonts w:ascii="Arial Narrow" w:hAnsi="Arial Narrow"/>
                                  <w:sz w:val="18"/>
                                  <w:szCs w:val="18"/>
                                </w:rPr>
                              </w:pPr>
                              <w:r>
                                <w:rPr>
                                  <w:rFonts w:ascii="Arial Narrow" w:hAnsi="Arial Narrow"/>
                                  <w:sz w:val="18"/>
                                  <w:szCs w:val="18"/>
                                </w:rPr>
                                <w:t>Ineligible s</w:t>
                              </w:r>
                              <w:r w:rsidRPr="00AC417A">
                                <w:rPr>
                                  <w:rFonts w:ascii="Arial Narrow" w:hAnsi="Arial Narrow"/>
                                  <w:sz w:val="18"/>
                                  <w:szCs w:val="18"/>
                                </w:rPr>
                                <w:t>tudies excluded (n= 2</w:t>
                              </w:r>
                              <w:r>
                                <w:rPr>
                                  <w:rFonts w:ascii="Arial Narrow" w:hAnsi="Arial Narrow"/>
                                  <w:sz w:val="18"/>
                                  <w:szCs w:val="18"/>
                                </w:rPr>
                                <w:t>,</w:t>
                              </w:r>
                              <w:r w:rsidRPr="00AC417A">
                                <w:rPr>
                                  <w:rFonts w:ascii="Arial Narrow" w:hAnsi="Arial Narrow"/>
                                  <w:sz w:val="18"/>
                                  <w:szCs w:val="18"/>
                                </w:rPr>
                                <w:t>263)</w:t>
                              </w:r>
                            </w:p>
                          </w:txbxContent>
                        </wps:txbx>
                        <wps:bodyPr rot="0" vert="horz" wrap="square" lIns="91440" tIns="45720" rIns="91440" bIns="45720" anchor="t" anchorCtr="0" upright="1">
                          <a:noAutofit/>
                        </wps:bodyPr>
                      </wps:wsp>
                      <wps:wsp>
                        <wps:cNvPr id="26" name="Text Box 1144"/>
                        <wps:cNvSpPr txBox="1">
                          <a:spLocks noChangeArrowheads="1"/>
                        </wps:cNvSpPr>
                        <wps:spPr bwMode="auto">
                          <a:xfrm>
                            <a:off x="5121" y="7339"/>
                            <a:ext cx="2880" cy="5116"/>
                          </a:xfrm>
                          <a:prstGeom prst="rect">
                            <a:avLst/>
                          </a:prstGeom>
                          <a:solidFill>
                            <a:srgbClr val="FFFFFF"/>
                          </a:solidFill>
                          <a:ln w="9525">
                            <a:solidFill>
                              <a:srgbClr val="000000"/>
                            </a:solidFill>
                            <a:miter lim="800000"/>
                            <a:headEnd/>
                            <a:tailEnd/>
                          </a:ln>
                        </wps:spPr>
                        <wps:txbx>
                          <w:txbxContent>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Studies excluded (n=1</w:t>
                              </w:r>
                              <w:r>
                                <w:rPr>
                                  <w:rFonts w:ascii="Arial Narrow" w:hAnsi="Arial Narrow"/>
                                  <w:sz w:val="18"/>
                                  <w:szCs w:val="18"/>
                                </w:rPr>
                                <w:t>80</w:t>
                              </w:r>
                              <w:r w:rsidRPr="00554BF6">
                                <w:rPr>
                                  <w:rFonts w:ascii="Arial Narrow" w:hAnsi="Arial Narrow"/>
                                  <w:sz w:val="18"/>
                                  <w:szCs w:val="18"/>
                                </w:rPr>
                                <w:t>)</w:t>
                              </w:r>
                            </w:p>
                            <w:p w:rsidR="0042762F" w:rsidRPr="00554BF6" w:rsidRDefault="0042762F" w:rsidP="00532AA8">
                              <w:pPr>
                                <w:spacing w:after="0"/>
                                <w:ind w:left="0"/>
                                <w:rPr>
                                  <w:rFonts w:ascii="Arial Narrow" w:hAnsi="Arial Narrow"/>
                                  <w:sz w:val="18"/>
                                  <w:szCs w:val="18"/>
                                </w:rPr>
                              </w:pPr>
                            </w:p>
                            <w:p w:rsidR="0042762F" w:rsidRPr="00554BF6" w:rsidRDefault="0042762F" w:rsidP="00FF38D0">
                              <w:pPr>
                                <w:spacing w:after="0"/>
                                <w:ind w:left="0"/>
                                <w:rPr>
                                  <w:rFonts w:ascii="Arial Narrow" w:hAnsi="Arial Narrow"/>
                                  <w:b/>
                                  <w:sz w:val="18"/>
                                  <w:szCs w:val="18"/>
                                </w:rPr>
                              </w:pPr>
                              <w:r>
                                <w:rPr>
                                  <w:rFonts w:ascii="Arial Narrow" w:hAnsi="Arial Narrow"/>
                                  <w:b/>
                                  <w:sz w:val="18"/>
                                  <w:szCs w:val="18"/>
                                </w:rPr>
                                <w:t>Health technology assessments</w:t>
                              </w:r>
                              <w:r w:rsidRPr="00554BF6">
                                <w:rPr>
                                  <w:rFonts w:ascii="Arial Narrow" w:hAnsi="Arial Narrow"/>
                                  <w:b/>
                                  <w:sz w:val="18"/>
                                  <w:szCs w:val="18"/>
                                </w:rPr>
                                <w:t xml:space="preserve"> and </w:t>
                              </w:r>
                              <w:r>
                                <w:rPr>
                                  <w:rFonts w:ascii="Arial Narrow" w:hAnsi="Arial Narrow"/>
                                  <w:b/>
                                  <w:sz w:val="18"/>
                                  <w:szCs w:val="18"/>
                                </w:rPr>
                                <w:t>s</w:t>
                              </w:r>
                              <w:r w:rsidRPr="00554BF6">
                                <w:rPr>
                                  <w:rFonts w:ascii="Arial Narrow" w:hAnsi="Arial Narrow"/>
                                  <w:b/>
                                  <w:sz w:val="18"/>
                                  <w:szCs w:val="18"/>
                                </w:rPr>
                                <w:t>ystematic reviews (</w:t>
                              </w:r>
                              <w:r>
                                <w:rPr>
                                  <w:rFonts w:ascii="Arial Narrow" w:hAnsi="Arial Narrow"/>
                                  <w:b/>
                                  <w:sz w:val="18"/>
                                  <w:szCs w:val="18"/>
                                </w:rPr>
                                <w:t>n</w:t>
                              </w:r>
                              <w:r w:rsidRPr="00554BF6">
                                <w:rPr>
                                  <w:rFonts w:ascii="Arial Narrow" w:hAnsi="Arial Narrow"/>
                                  <w:b/>
                                  <w:sz w:val="18"/>
                                  <w:szCs w:val="18"/>
                                </w:rPr>
                                <w:t>=</w:t>
                              </w:r>
                              <w:r>
                                <w:rPr>
                                  <w:rFonts w:ascii="Arial Narrow" w:hAnsi="Arial Narrow"/>
                                  <w:b/>
                                  <w:sz w:val="18"/>
                                  <w:szCs w:val="18"/>
                                </w:rPr>
                                <w:t>20</w:t>
                              </w:r>
                              <w:r w:rsidRPr="00554BF6">
                                <w:rPr>
                                  <w:rFonts w:ascii="Arial Narrow" w:hAnsi="Arial Narrow"/>
                                  <w:b/>
                                  <w:sz w:val="18"/>
                                  <w:szCs w:val="18"/>
                                </w:rPr>
                                <w:t>)</w:t>
                              </w:r>
                            </w:p>
                            <w:p w:rsidR="0042762F" w:rsidRPr="00554BF6" w:rsidRDefault="0042762F" w:rsidP="00FF38D0">
                              <w:pPr>
                                <w:spacing w:after="0"/>
                                <w:ind w:left="0"/>
                                <w:rPr>
                                  <w:rFonts w:ascii="Arial Narrow" w:hAnsi="Arial Narrow"/>
                                  <w:sz w:val="18"/>
                                  <w:szCs w:val="18"/>
                                </w:rPr>
                              </w:pPr>
                              <w:r>
                                <w:rPr>
                                  <w:rFonts w:ascii="Arial Narrow" w:hAnsi="Arial Narrow"/>
                                  <w:sz w:val="18"/>
                                  <w:szCs w:val="18"/>
                                </w:rPr>
                                <w:t>Inappropriate population or comparator (n=4)</w:t>
                              </w:r>
                            </w:p>
                            <w:p w:rsidR="0042762F" w:rsidRDefault="0042762F" w:rsidP="00CC35B5">
                              <w:pPr>
                                <w:spacing w:after="0"/>
                                <w:ind w:left="0"/>
                                <w:rPr>
                                  <w:rFonts w:ascii="Arial Narrow" w:hAnsi="Arial Narrow"/>
                                  <w:sz w:val="18"/>
                                  <w:szCs w:val="18"/>
                                </w:rPr>
                              </w:pPr>
                              <w:r w:rsidRPr="00554BF6">
                                <w:rPr>
                                  <w:rFonts w:ascii="Arial Narrow" w:hAnsi="Arial Narrow"/>
                                  <w:sz w:val="18"/>
                                  <w:szCs w:val="18"/>
                                </w:rPr>
                                <w:t>Did not fulfil systematic review criteria (n=16)</w:t>
                              </w:r>
                            </w:p>
                            <w:p w:rsidR="0042762F" w:rsidRPr="00554BF6" w:rsidRDefault="0042762F" w:rsidP="00FF38D0">
                              <w:pPr>
                                <w:spacing w:after="0"/>
                                <w:ind w:left="0"/>
                                <w:rPr>
                                  <w:rFonts w:ascii="Arial Narrow" w:hAnsi="Arial Narrow"/>
                                  <w:sz w:val="18"/>
                                  <w:szCs w:val="18"/>
                                </w:rPr>
                              </w:pPr>
                            </w:p>
                            <w:p w:rsidR="0042762F" w:rsidRPr="00554BF6" w:rsidRDefault="0042762F" w:rsidP="00532AA8">
                              <w:pPr>
                                <w:spacing w:after="0"/>
                                <w:ind w:left="0"/>
                                <w:rPr>
                                  <w:rFonts w:ascii="Arial Narrow" w:hAnsi="Arial Narrow"/>
                                  <w:b/>
                                  <w:sz w:val="18"/>
                                  <w:szCs w:val="18"/>
                                </w:rPr>
                              </w:pPr>
                              <w:r w:rsidRPr="00554BF6">
                                <w:rPr>
                                  <w:rFonts w:ascii="Arial Narrow" w:hAnsi="Arial Narrow"/>
                                  <w:b/>
                                  <w:sz w:val="18"/>
                                  <w:szCs w:val="18"/>
                                </w:rPr>
                                <w:t xml:space="preserve">Comparative </w:t>
                              </w:r>
                              <w:r>
                                <w:rPr>
                                  <w:rFonts w:ascii="Arial Narrow" w:hAnsi="Arial Narrow"/>
                                  <w:b/>
                                  <w:sz w:val="18"/>
                                  <w:szCs w:val="18"/>
                                </w:rPr>
                                <w:t>studies</w:t>
                              </w:r>
                              <w:r w:rsidRPr="00554BF6">
                                <w:rPr>
                                  <w:rFonts w:ascii="Arial Narrow" w:hAnsi="Arial Narrow"/>
                                  <w:b/>
                                  <w:sz w:val="18"/>
                                  <w:szCs w:val="18"/>
                                </w:rPr>
                                <w:t xml:space="preserve"> (</w:t>
                              </w:r>
                              <w:r>
                                <w:rPr>
                                  <w:rFonts w:ascii="Arial Narrow" w:hAnsi="Arial Narrow"/>
                                  <w:b/>
                                  <w:sz w:val="18"/>
                                  <w:szCs w:val="18"/>
                                </w:rPr>
                                <w:t>n</w:t>
                              </w:r>
                              <w:r w:rsidRPr="00554BF6">
                                <w:rPr>
                                  <w:rFonts w:ascii="Arial Narrow" w:hAnsi="Arial Narrow"/>
                                  <w:b/>
                                  <w:sz w:val="18"/>
                                  <w:szCs w:val="18"/>
                                </w:rPr>
                                <w:t>=32)</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Duplicate</w:t>
                              </w:r>
                              <w:r>
                                <w:rPr>
                                  <w:rFonts w:ascii="Arial Narrow" w:hAnsi="Arial Narrow"/>
                                  <w:sz w:val="18"/>
                                  <w:szCs w:val="18"/>
                                </w:rPr>
                                <w:t xml:space="preserve"> publication</w:t>
                              </w:r>
                              <w:r w:rsidRPr="00554BF6">
                                <w:rPr>
                                  <w:rFonts w:ascii="Arial Narrow" w:hAnsi="Arial Narrow"/>
                                  <w:sz w:val="18"/>
                                  <w:szCs w:val="18"/>
                                </w:rPr>
                                <w:t xml:space="preserve"> (n=1)</w:t>
                              </w:r>
                            </w:p>
                            <w:p w:rsidR="0042762F" w:rsidRPr="00554BF6" w:rsidRDefault="0042762F" w:rsidP="00532AA8">
                              <w:pPr>
                                <w:spacing w:after="0"/>
                                <w:ind w:left="0"/>
                                <w:rPr>
                                  <w:rFonts w:ascii="Arial Narrow" w:hAnsi="Arial Narrow"/>
                                  <w:sz w:val="18"/>
                                  <w:szCs w:val="18"/>
                                </w:rPr>
                              </w:pPr>
                              <w:r>
                                <w:rPr>
                                  <w:rFonts w:ascii="Arial Narrow" w:hAnsi="Arial Narrow"/>
                                  <w:sz w:val="18"/>
                                  <w:szCs w:val="18"/>
                                </w:rPr>
                                <w:t>Non-English</w:t>
                              </w:r>
                              <w:r w:rsidRPr="00554BF6">
                                <w:rPr>
                                  <w:rFonts w:ascii="Arial Narrow" w:hAnsi="Arial Narrow"/>
                                  <w:sz w:val="18"/>
                                  <w:szCs w:val="18"/>
                                </w:rPr>
                                <w:t xml:space="preserve"> language study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comparator (included single-</w:t>
                              </w:r>
                              <w:r>
                                <w:rPr>
                                  <w:rFonts w:ascii="Arial Narrow" w:hAnsi="Arial Narrow"/>
                                  <w:sz w:val="18"/>
                                  <w:szCs w:val="18"/>
                                </w:rPr>
                                <w:t xml:space="preserve"> </w:t>
                              </w:r>
                              <w:r>
                                <w:rPr>
                                  <w:rFonts w:ascii="Arial Narrow" w:hAnsi="Arial Narrow"/>
                                  <w:sz w:val="18"/>
                                  <w:szCs w:val="18"/>
                                </w:rPr>
                                <w:br/>
                                <w:t xml:space="preserve">  </w:t>
                              </w:r>
                              <w:r w:rsidRPr="00554BF6">
                                <w:rPr>
                                  <w:rFonts w:ascii="Arial Narrow" w:hAnsi="Arial Narrow"/>
                                  <w:sz w:val="18"/>
                                  <w:szCs w:val="18"/>
                                </w:rPr>
                                <w:t>stage resection)</w:t>
                              </w:r>
                              <w:r>
                                <w:rPr>
                                  <w:rFonts w:ascii="Arial Narrow" w:hAnsi="Arial Narrow"/>
                                  <w:sz w:val="18"/>
                                  <w:szCs w:val="18"/>
                                </w:rPr>
                                <w:t xml:space="preserve"> </w:t>
                              </w:r>
                              <w:r w:rsidRPr="00554BF6">
                                <w:rPr>
                                  <w:rFonts w:ascii="Arial Narrow" w:hAnsi="Arial Narrow"/>
                                  <w:sz w:val="18"/>
                                  <w:szCs w:val="18"/>
                                </w:rPr>
                                <w:t>(n=23)</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or no clinical data (n=4)</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intervention (n=2)</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Non-consecutive patient enrolment (n=1)</w:t>
                              </w:r>
                            </w:p>
                            <w:p w:rsidR="0042762F" w:rsidRPr="00554BF6" w:rsidRDefault="0042762F" w:rsidP="00532AA8">
                              <w:pPr>
                                <w:spacing w:after="0"/>
                                <w:ind w:left="0"/>
                                <w:rPr>
                                  <w:rFonts w:ascii="Arial Narrow" w:hAnsi="Arial Narrow"/>
                                  <w:sz w:val="18"/>
                                  <w:szCs w:val="18"/>
                                </w:rPr>
                              </w:pPr>
                            </w:p>
                            <w:p w:rsidR="0042762F" w:rsidRPr="00554BF6" w:rsidRDefault="0042762F" w:rsidP="00532AA8">
                              <w:pPr>
                                <w:spacing w:after="0"/>
                                <w:ind w:left="0"/>
                                <w:rPr>
                                  <w:rFonts w:ascii="Arial Narrow" w:hAnsi="Arial Narrow"/>
                                  <w:b/>
                                  <w:sz w:val="18"/>
                                  <w:szCs w:val="18"/>
                                </w:rPr>
                              </w:pPr>
                              <w:r w:rsidRPr="00554BF6">
                                <w:rPr>
                                  <w:rFonts w:ascii="Arial Narrow" w:hAnsi="Arial Narrow"/>
                                  <w:b/>
                                  <w:sz w:val="18"/>
                                  <w:szCs w:val="18"/>
                                </w:rPr>
                                <w:t>Case series</w:t>
                              </w:r>
                              <w:r>
                                <w:rPr>
                                  <w:rFonts w:ascii="Arial Narrow" w:hAnsi="Arial Narrow"/>
                                  <w:b/>
                                  <w:sz w:val="18"/>
                                  <w:szCs w:val="18"/>
                                </w:rPr>
                                <w:t xml:space="preserve"> (level IV) studies</w:t>
                              </w:r>
                              <w:r w:rsidRPr="00554BF6">
                                <w:rPr>
                                  <w:rFonts w:ascii="Arial Narrow" w:hAnsi="Arial Narrow"/>
                                  <w:b/>
                                  <w:sz w:val="18"/>
                                  <w:szCs w:val="18"/>
                                </w:rPr>
                                <w:t xml:space="preserve"> (</w:t>
                              </w:r>
                              <w:r>
                                <w:rPr>
                                  <w:rFonts w:ascii="Arial Narrow" w:hAnsi="Arial Narrow"/>
                                  <w:b/>
                                  <w:sz w:val="18"/>
                                  <w:szCs w:val="18"/>
                                </w:rPr>
                                <w:t>n</w:t>
                              </w:r>
                              <w:r w:rsidRPr="00554BF6">
                                <w:rPr>
                                  <w:rFonts w:ascii="Arial Narrow" w:hAnsi="Arial Narrow"/>
                                  <w:b/>
                                  <w:sz w:val="18"/>
                                  <w:szCs w:val="18"/>
                                </w:rPr>
                                <w:t>=12</w:t>
                              </w:r>
                              <w:r>
                                <w:rPr>
                                  <w:rFonts w:ascii="Arial Narrow" w:hAnsi="Arial Narrow"/>
                                  <w:b/>
                                  <w:sz w:val="18"/>
                                  <w:szCs w:val="18"/>
                                </w:rPr>
                                <w:t>3</w:t>
                              </w:r>
                              <w:r w:rsidRPr="00554BF6">
                                <w:rPr>
                                  <w:rFonts w:ascii="Arial Narrow" w:hAnsi="Arial Narrow"/>
                                  <w:b/>
                                  <w:sz w:val="18"/>
                                  <w:szCs w:val="18"/>
                                </w:rPr>
                                <w:t>)</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population (</w:t>
                              </w:r>
                              <w:r>
                                <w:rPr>
                                  <w:rFonts w:ascii="Arial Narrow" w:hAnsi="Arial Narrow"/>
                                  <w:sz w:val="18"/>
                                  <w:szCs w:val="18"/>
                                </w:rPr>
                                <w:t>b</w:t>
                              </w:r>
                              <w:r w:rsidRPr="00554BF6">
                                <w:rPr>
                                  <w:rFonts w:ascii="Arial Narrow" w:hAnsi="Arial Narrow"/>
                                  <w:sz w:val="18"/>
                                  <w:szCs w:val="18"/>
                                </w:rPr>
                                <w:t xml:space="preserve">enign obstruction </w:t>
                              </w:r>
                              <w:r>
                                <w:rPr>
                                  <w:rFonts w:ascii="Arial Narrow" w:hAnsi="Arial Narrow"/>
                                  <w:sz w:val="18"/>
                                  <w:szCs w:val="18"/>
                                </w:rPr>
                                <w:br/>
                                <w:t xml:space="preserve">  </w:t>
                              </w:r>
                              <w:r w:rsidRPr="00554BF6">
                                <w:rPr>
                                  <w:rFonts w:ascii="Arial Narrow" w:hAnsi="Arial Narrow"/>
                                  <w:sz w:val="18"/>
                                  <w:szCs w:val="18"/>
                                </w:rPr>
                                <w:t>only)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or no clinical data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Fewer than 50 patients (n=99)</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study design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Non-consecutive patient enrolment (n=3)</w:t>
                              </w:r>
                            </w:p>
                            <w:p w:rsidR="0042762F" w:rsidRDefault="0042762F" w:rsidP="00532AA8">
                              <w:pPr>
                                <w:spacing w:after="0"/>
                                <w:ind w:left="0"/>
                                <w:rPr>
                                  <w:rFonts w:ascii="Arial Narrow" w:hAnsi="Arial Narrow"/>
                                  <w:sz w:val="18"/>
                                  <w:szCs w:val="18"/>
                                </w:rPr>
                              </w:pPr>
                              <w:r w:rsidRPr="00554BF6">
                                <w:rPr>
                                  <w:rFonts w:ascii="Arial Narrow" w:hAnsi="Arial Narrow"/>
                                  <w:sz w:val="18"/>
                                  <w:szCs w:val="18"/>
                                </w:rPr>
                                <w:t>Inappropriate intervention (n=17)</w:t>
                              </w:r>
                            </w:p>
                            <w:p w:rsidR="0042762F" w:rsidRPr="00554BF6" w:rsidRDefault="0042762F" w:rsidP="00532AA8">
                              <w:pPr>
                                <w:spacing w:after="0"/>
                                <w:ind w:left="0"/>
                                <w:rPr>
                                  <w:rFonts w:ascii="Arial Narrow" w:hAnsi="Arial Narrow"/>
                                  <w:sz w:val="18"/>
                                  <w:szCs w:val="18"/>
                                </w:rPr>
                              </w:pPr>
                              <w:r>
                                <w:rPr>
                                  <w:rFonts w:ascii="Arial Narrow" w:hAnsi="Arial Narrow"/>
                                  <w:sz w:val="18"/>
                                  <w:szCs w:val="18"/>
                                </w:rPr>
                                <w:t>Patient overlap (n=1)</w:t>
                              </w:r>
                            </w:p>
                            <w:p w:rsidR="0042762F" w:rsidRPr="00554BF6" w:rsidRDefault="0042762F" w:rsidP="00D1474E">
                              <w:pPr>
                                <w:spacing w:after="0"/>
                                <w:ind w:left="0"/>
                                <w:rPr>
                                  <w:rFonts w:ascii="Arial Narrow" w:hAnsi="Arial Narrow"/>
                                  <w:b/>
                                  <w:sz w:val="18"/>
                                  <w:szCs w:val="18"/>
                                </w:rPr>
                              </w:pPr>
                            </w:p>
                            <w:p w:rsidR="0042762F" w:rsidRPr="005C08AD" w:rsidRDefault="0042762F" w:rsidP="005C08AD">
                              <w:pPr>
                                <w:spacing w:after="0"/>
                                <w:ind w:left="0"/>
                                <w:rPr>
                                  <w:rFonts w:ascii="Arial Narrow" w:hAnsi="Arial Narrow"/>
                                  <w:b/>
                                  <w:sz w:val="18"/>
                                  <w:szCs w:val="18"/>
                                </w:rPr>
                              </w:pPr>
                              <w:r w:rsidRPr="00554BF6">
                                <w:rPr>
                                  <w:rFonts w:ascii="Arial Narrow" w:hAnsi="Arial Narrow"/>
                                  <w:b/>
                                  <w:sz w:val="18"/>
                                  <w:szCs w:val="18"/>
                                </w:rPr>
                                <w:t>Study could not be obtained (n=5)</w:t>
                              </w:r>
                            </w:p>
                          </w:txbxContent>
                        </wps:txbx>
                        <wps:bodyPr rot="0" vert="horz" wrap="square" lIns="91440" tIns="45720" rIns="91440" bIns="45720" anchor="t" anchorCtr="0" upright="1">
                          <a:noAutofit/>
                        </wps:bodyPr>
                      </wps:wsp>
                      <wps:wsp>
                        <wps:cNvPr id="27" name="Line 1145"/>
                        <wps:cNvCnPr/>
                        <wps:spPr bwMode="auto">
                          <a:xfrm>
                            <a:off x="2961" y="373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146"/>
                        <wps:cNvCnPr/>
                        <wps:spPr bwMode="auto">
                          <a:xfrm>
                            <a:off x="2961" y="499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147"/>
                        <wps:cNvCnPr/>
                        <wps:spPr bwMode="auto">
                          <a:xfrm>
                            <a:off x="2961" y="64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148"/>
                        <wps:cNvCnPr/>
                        <wps:spPr bwMode="auto">
                          <a:xfrm>
                            <a:off x="2961" y="752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149"/>
                        <wps:cNvCnPr/>
                        <wps:spPr bwMode="auto">
                          <a:xfrm>
                            <a:off x="2961" y="6619"/>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0" name="Line 1150"/>
                        <wps:cNvCnPr/>
                        <wps:spPr bwMode="auto">
                          <a:xfrm>
                            <a:off x="2961" y="7700"/>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 name="Line 1151"/>
                        <wps:cNvCnPr/>
                        <wps:spPr bwMode="auto">
                          <a:xfrm>
                            <a:off x="2961" y="517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2" name="Line 1152"/>
                        <wps:cNvCnPr/>
                        <wps:spPr bwMode="auto">
                          <a:xfrm>
                            <a:off x="2961" y="391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135" o:spid="_x0000_s1353" alt="Title: Figure 7 Summary of the process used to identify and select studies for the review - Description: Figure 7 Summary of the process used to identify and select studies for the review" style="width:375.05pt;height:546.15pt;mso-position-horizontal-relative:char;mso-position-vertical-relative:line" coordorigin="1521,2884" coordsize="6480,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">
                <v:shape id="Text Box 1136" o:spid="_x0000_s1354" type="#_x0000_t202" style="position:absolute;left:1521;top:2884;width:3060;height: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2762F" w:rsidRPr="00554BF6" w:rsidRDefault="0042762F" w:rsidP="00554BF6">
                        <w:pPr>
                          <w:spacing w:after="0"/>
                          <w:ind w:left="0"/>
                          <w:rPr>
                            <w:sz w:val="18"/>
                            <w:szCs w:val="18"/>
                          </w:rPr>
                        </w:pPr>
                        <w:r w:rsidRPr="00554BF6">
                          <w:rPr>
                            <w:rFonts w:ascii="Arial Narrow" w:hAnsi="Arial Narrow"/>
                            <w:sz w:val="18"/>
                            <w:szCs w:val="18"/>
                          </w:rPr>
                          <w:t>Potentially relevant studies identified in the literature search</w:t>
                        </w:r>
                        <w:r>
                          <w:rPr>
                            <w:rFonts w:ascii="Arial Narrow" w:hAnsi="Arial Narrow"/>
                            <w:sz w:val="18"/>
                            <w:szCs w:val="18"/>
                          </w:rPr>
                          <w:t>es</w:t>
                        </w:r>
                        <w:r w:rsidRPr="00554BF6">
                          <w:rPr>
                            <w:rFonts w:ascii="Arial Narrow" w:hAnsi="Arial Narrow"/>
                            <w:sz w:val="18"/>
                            <w:szCs w:val="18"/>
                          </w:rPr>
                          <w:t xml:space="preserve"> (n=4</w:t>
                        </w:r>
                        <w:r>
                          <w:rPr>
                            <w:rFonts w:ascii="Arial Narrow" w:hAnsi="Arial Narrow"/>
                            <w:sz w:val="18"/>
                            <w:szCs w:val="18"/>
                          </w:rPr>
                          <w:t>,</w:t>
                        </w:r>
                        <w:r w:rsidRPr="00554BF6">
                          <w:rPr>
                            <w:rFonts w:ascii="Arial Narrow" w:hAnsi="Arial Narrow"/>
                            <w:sz w:val="18"/>
                            <w:szCs w:val="18"/>
                          </w:rPr>
                          <w:t>074)</w:t>
                        </w:r>
                      </w:p>
                    </w:txbxContent>
                  </v:textbox>
                </v:shape>
                <v:shape id="Text Box 1137" o:spid="_x0000_s1355" type="#_x0000_t202" style="position:absolute;left:1521;top:4278;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2762F" w:rsidRPr="00554BF6" w:rsidRDefault="0042762F" w:rsidP="009E5C5B">
                        <w:pPr>
                          <w:ind w:left="0"/>
                          <w:rPr>
                            <w:sz w:val="18"/>
                            <w:szCs w:val="18"/>
                          </w:rPr>
                        </w:pPr>
                        <w:r w:rsidRPr="00554BF6">
                          <w:rPr>
                            <w:rFonts w:ascii="Arial Narrow" w:hAnsi="Arial Narrow"/>
                            <w:sz w:val="18"/>
                            <w:szCs w:val="18"/>
                          </w:rPr>
                          <w:t xml:space="preserve">Studies </w:t>
                        </w:r>
                        <w:r>
                          <w:rPr>
                            <w:rFonts w:ascii="Arial Narrow" w:hAnsi="Arial Narrow"/>
                            <w:sz w:val="18"/>
                            <w:szCs w:val="18"/>
                          </w:rPr>
                          <w:t>assessed for</w:t>
                        </w:r>
                        <w:r w:rsidRPr="00554BF6">
                          <w:rPr>
                            <w:rFonts w:ascii="Arial Narrow" w:hAnsi="Arial Narrow"/>
                            <w:sz w:val="18"/>
                            <w:szCs w:val="18"/>
                          </w:rPr>
                          <w:t xml:space="preserve"> eligibility based on citation information (n= 2</w:t>
                        </w:r>
                        <w:r>
                          <w:rPr>
                            <w:rFonts w:ascii="Arial Narrow" w:hAnsi="Arial Narrow"/>
                            <w:sz w:val="18"/>
                            <w:szCs w:val="18"/>
                          </w:rPr>
                          <w:t>,</w:t>
                        </w:r>
                        <w:r w:rsidRPr="00554BF6">
                          <w:rPr>
                            <w:rFonts w:ascii="Arial Narrow" w:hAnsi="Arial Narrow"/>
                            <w:sz w:val="18"/>
                            <w:szCs w:val="18"/>
                          </w:rPr>
                          <w:t>959)</w:t>
                        </w:r>
                      </w:p>
                    </w:txbxContent>
                  </v:textbox>
                </v:shape>
                <v:shape id="Text Box 1138" o:spid="_x0000_s1356" type="#_x0000_t202" style="position:absolute;left:1521;top:5538;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42762F" w:rsidRPr="00554BF6" w:rsidRDefault="0042762F" w:rsidP="009E5C5B">
                        <w:pPr>
                          <w:spacing w:after="0"/>
                          <w:ind w:left="0"/>
                          <w:rPr>
                            <w:rFonts w:ascii="Arial Narrow" w:hAnsi="Arial Narrow"/>
                            <w:sz w:val="18"/>
                            <w:szCs w:val="18"/>
                          </w:rPr>
                        </w:pPr>
                        <w:r w:rsidRPr="00554BF6">
                          <w:rPr>
                            <w:rFonts w:ascii="Arial Narrow" w:hAnsi="Arial Narrow"/>
                            <w:sz w:val="18"/>
                            <w:szCs w:val="18"/>
                          </w:rPr>
                          <w:t xml:space="preserve">Studies </w:t>
                        </w:r>
                        <w:r>
                          <w:rPr>
                            <w:rFonts w:ascii="Arial Narrow" w:hAnsi="Arial Narrow"/>
                            <w:sz w:val="18"/>
                            <w:szCs w:val="18"/>
                          </w:rPr>
                          <w:t>assessed for eligibility based on citation information</w:t>
                        </w:r>
                        <w:r w:rsidRPr="00554BF6">
                          <w:rPr>
                            <w:rFonts w:ascii="Arial Narrow" w:hAnsi="Arial Narrow"/>
                            <w:sz w:val="18"/>
                            <w:szCs w:val="18"/>
                          </w:rPr>
                          <w:t xml:space="preserve"> (n= 2</w:t>
                        </w:r>
                        <w:r>
                          <w:rPr>
                            <w:rFonts w:ascii="Arial Narrow" w:hAnsi="Arial Narrow"/>
                            <w:sz w:val="18"/>
                            <w:szCs w:val="18"/>
                          </w:rPr>
                          <w:t>,</w:t>
                        </w:r>
                        <w:r w:rsidRPr="00554BF6">
                          <w:rPr>
                            <w:rFonts w:ascii="Arial Narrow" w:hAnsi="Arial Narrow"/>
                            <w:sz w:val="18"/>
                            <w:szCs w:val="18"/>
                          </w:rPr>
                          <w:t>483)</w:t>
                        </w:r>
                      </w:p>
                    </w:txbxContent>
                  </v:textbox>
                </v:shape>
                <v:shape id="Text Box 1139" o:spid="_x0000_s1357" type="#_x0000_t202" style="position:absolute;left:1521;top:6798;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2762F" w:rsidRPr="00554BF6" w:rsidRDefault="0042762F" w:rsidP="00532AA8">
                        <w:pPr>
                          <w:spacing w:after="0"/>
                          <w:ind w:left="0"/>
                          <w:rPr>
                            <w:sz w:val="18"/>
                            <w:szCs w:val="18"/>
                          </w:rPr>
                        </w:pPr>
                        <w:r w:rsidRPr="00554BF6">
                          <w:rPr>
                            <w:rFonts w:ascii="Arial Narrow" w:hAnsi="Arial Narrow"/>
                            <w:sz w:val="18"/>
                            <w:szCs w:val="18"/>
                          </w:rPr>
                          <w:t xml:space="preserve">Studies </w:t>
                        </w:r>
                        <w:r>
                          <w:rPr>
                            <w:rFonts w:ascii="Arial Narrow" w:hAnsi="Arial Narrow"/>
                            <w:sz w:val="18"/>
                            <w:szCs w:val="18"/>
                          </w:rPr>
                          <w:t xml:space="preserve">retrieved for detailed examination </w:t>
                        </w:r>
                        <w:r w:rsidRPr="00554BF6">
                          <w:rPr>
                            <w:rFonts w:ascii="Arial Narrow" w:hAnsi="Arial Narrow"/>
                            <w:sz w:val="18"/>
                            <w:szCs w:val="18"/>
                          </w:rPr>
                          <w:t>(n= 220)</w:t>
                        </w:r>
                      </w:p>
                      <w:p w:rsidR="0042762F" w:rsidRPr="00554BF6" w:rsidRDefault="0042762F" w:rsidP="009E5C5B">
                        <w:pPr>
                          <w:ind w:left="0"/>
                          <w:rPr>
                            <w:sz w:val="18"/>
                            <w:szCs w:val="18"/>
                          </w:rPr>
                        </w:pPr>
                      </w:p>
                    </w:txbxContent>
                  </v:textbox>
                </v:shape>
                <v:shape id="Text Box 1140" o:spid="_x0000_s1358" type="#_x0000_t202" style="position:absolute;left:1521;top:8058;width:3060;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2762F" w:rsidRPr="00F953F0" w:rsidRDefault="0042762F" w:rsidP="00532AA8">
                        <w:pPr>
                          <w:spacing w:after="0"/>
                          <w:ind w:left="0"/>
                          <w:rPr>
                            <w:rFonts w:ascii="Arial Narrow" w:hAnsi="Arial Narrow"/>
                            <w:sz w:val="18"/>
                            <w:szCs w:val="18"/>
                          </w:rPr>
                        </w:pPr>
                        <w:r w:rsidRPr="00F953F0">
                          <w:rPr>
                            <w:rFonts w:ascii="Arial Narrow" w:hAnsi="Arial Narrow"/>
                            <w:sz w:val="18"/>
                            <w:szCs w:val="18"/>
                          </w:rPr>
                          <w:t>Studies included in the assessment (n=40)</w:t>
                        </w:r>
                      </w:p>
                      <w:p w:rsidR="0042762F" w:rsidRPr="00F953F0" w:rsidRDefault="0042762F" w:rsidP="00532AA8">
                        <w:pPr>
                          <w:spacing w:after="0"/>
                          <w:ind w:left="0"/>
                          <w:rPr>
                            <w:rFonts w:ascii="Arial Narrow" w:hAnsi="Arial Narrow"/>
                            <w:sz w:val="18"/>
                            <w:szCs w:val="18"/>
                          </w:rPr>
                        </w:pPr>
                      </w:p>
                      <w:p w:rsidR="0042762F" w:rsidRPr="00F953F0" w:rsidRDefault="0042762F" w:rsidP="00532AA8">
                        <w:pPr>
                          <w:spacing w:after="0"/>
                          <w:ind w:left="0"/>
                          <w:rPr>
                            <w:rFonts w:ascii="Arial Narrow" w:hAnsi="Arial Narrow"/>
                            <w:b/>
                            <w:sz w:val="18"/>
                            <w:szCs w:val="18"/>
                          </w:rPr>
                        </w:pPr>
                        <w:r w:rsidRPr="00F953F0">
                          <w:rPr>
                            <w:rFonts w:ascii="Arial Narrow" w:hAnsi="Arial Narrow"/>
                            <w:b/>
                            <w:sz w:val="18"/>
                            <w:szCs w:val="18"/>
                          </w:rPr>
                          <w:t xml:space="preserve">Comparative </w:t>
                        </w:r>
                        <w:r>
                          <w:rPr>
                            <w:rFonts w:ascii="Arial Narrow" w:hAnsi="Arial Narrow"/>
                            <w:b/>
                            <w:sz w:val="18"/>
                            <w:szCs w:val="18"/>
                          </w:rPr>
                          <w:t>studies</w:t>
                        </w:r>
                        <w:r w:rsidRPr="00F953F0">
                          <w:rPr>
                            <w:rFonts w:ascii="Arial Narrow" w:hAnsi="Arial Narrow"/>
                            <w:b/>
                            <w:sz w:val="18"/>
                            <w:szCs w:val="18"/>
                          </w:rPr>
                          <w:t xml:space="preserve"> (n=7)</w:t>
                        </w:r>
                      </w:p>
                      <w:p w:rsidR="0042762F" w:rsidRPr="00F953F0" w:rsidRDefault="0042762F" w:rsidP="00532AA8">
                        <w:pPr>
                          <w:spacing w:after="0"/>
                          <w:ind w:left="0"/>
                          <w:rPr>
                            <w:rFonts w:ascii="Arial Narrow" w:hAnsi="Arial Narrow"/>
                            <w:sz w:val="18"/>
                            <w:szCs w:val="18"/>
                          </w:rPr>
                        </w:pPr>
                        <w:r>
                          <w:rPr>
                            <w:rFonts w:ascii="Arial Narrow" w:hAnsi="Arial Narrow"/>
                            <w:sz w:val="18"/>
                            <w:szCs w:val="18"/>
                          </w:rPr>
                          <w:t xml:space="preserve">Randomised controlled trials </w:t>
                        </w:r>
                        <w:r w:rsidRPr="00F953F0">
                          <w:rPr>
                            <w:rFonts w:ascii="Arial Narrow" w:hAnsi="Arial Narrow"/>
                            <w:sz w:val="18"/>
                            <w:szCs w:val="18"/>
                          </w:rPr>
                          <w:t>(n=2)</w:t>
                        </w:r>
                      </w:p>
                      <w:p w:rsidR="0042762F" w:rsidRPr="00F953F0" w:rsidRDefault="0042762F" w:rsidP="00532AA8">
                        <w:pPr>
                          <w:spacing w:after="0"/>
                          <w:ind w:left="0"/>
                          <w:rPr>
                            <w:rFonts w:ascii="Arial Narrow" w:hAnsi="Arial Narrow"/>
                            <w:sz w:val="18"/>
                            <w:szCs w:val="18"/>
                          </w:rPr>
                        </w:pPr>
                        <w:r>
                          <w:rPr>
                            <w:rFonts w:ascii="Arial Narrow" w:hAnsi="Arial Narrow"/>
                            <w:sz w:val="18"/>
                            <w:szCs w:val="18"/>
                          </w:rPr>
                          <w:t xml:space="preserve">Non-randomised comparative studies </w:t>
                        </w:r>
                        <w:r w:rsidRPr="00F953F0">
                          <w:rPr>
                            <w:rFonts w:ascii="Arial Narrow" w:hAnsi="Arial Narrow"/>
                            <w:sz w:val="18"/>
                            <w:szCs w:val="18"/>
                          </w:rPr>
                          <w:t>(n=5)</w:t>
                        </w:r>
                      </w:p>
                      <w:p w:rsidR="0042762F" w:rsidRPr="00F953F0" w:rsidRDefault="0042762F" w:rsidP="00532AA8">
                        <w:pPr>
                          <w:spacing w:after="0"/>
                          <w:ind w:left="0"/>
                          <w:rPr>
                            <w:rFonts w:ascii="Arial Narrow" w:hAnsi="Arial Narrow"/>
                            <w:sz w:val="18"/>
                            <w:szCs w:val="18"/>
                          </w:rPr>
                        </w:pPr>
                      </w:p>
                      <w:p w:rsidR="0042762F" w:rsidRPr="00F953F0" w:rsidRDefault="0042762F" w:rsidP="00D1474E">
                        <w:pPr>
                          <w:spacing w:after="0"/>
                          <w:ind w:left="0"/>
                          <w:rPr>
                            <w:rFonts w:ascii="Arial Narrow" w:hAnsi="Arial Narrow"/>
                            <w:b/>
                            <w:sz w:val="18"/>
                            <w:szCs w:val="18"/>
                          </w:rPr>
                        </w:pPr>
                        <w:r w:rsidRPr="00F953F0">
                          <w:rPr>
                            <w:rFonts w:ascii="Arial Narrow" w:hAnsi="Arial Narrow"/>
                            <w:b/>
                            <w:sz w:val="18"/>
                            <w:szCs w:val="18"/>
                          </w:rPr>
                          <w:t>Case series/</w:t>
                        </w:r>
                        <w:r>
                          <w:rPr>
                            <w:rFonts w:ascii="Arial Narrow" w:hAnsi="Arial Narrow"/>
                            <w:b/>
                            <w:sz w:val="18"/>
                            <w:szCs w:val="18"/>
                          </w:rPr>
                          <w:t>l</w:t>
                        </w:r>
                        <w:r w:rsidRPr="00F953F0">
                          <w:rPr>
                            <w:rFonts w:ascii="Arial Narrow" w:hAnsi="Arial Narrow"/>
                            <w:b/>
                            <w:sz w:val="18"/>
                            <w:szCs w:val="18"/>
                          </w:rPr>
                          <w:t xml:space="preserve">evel IV </w:t>
                        </w:r>
                        <w:r>
                          <w:rPr>
                            <w:rFonts w:ascii="Arial Narrow" w:hAnsi="Arial Narrow"/>
                            <w:b/>
                            <w:sz w:val="18"/>
                            <w:szCs w:val="18"/>
                          </w:rPr>
                          <w:t xml:space="preserve">studies </w:t>
                        </w:r>
                        <w:r w:rsidRPr="00F953F0">
                          <w:rPr>
                            <w:rFonts w:ascii="Arial Narrow" w:hAnsi="Arial Narrow"/>
                            <w:b/>
                            <w:sz w:val="18"/>
                            <w:szCs w:val="18"/>
                          </w:rPr>
                          <w:t>(n=33)</w:t>
                        </w:r>
                      </w:p>
                      <w:p w:rsidR="0042762F" w:rsidRPr="00F953F0" w:rsidRDefault="0042762F" w:rsidP="00D1474E">
                        <w:pPr>
                          <w:spacing w:after="0"/>
                          <w:ind w:left="0"/>
                          <w:rPr>
                            <w:rFonts w:ascii="Arial Narrow" w:hAnsi="Arial Narrow"/>
                            <w:sz w:val="18"/>
                            <w:szCs w:val="18"/>
                          </w:rPr>
                        </w:pPr>
                        <w:r w:rsidRPr="00F953F0">
                          <w:rPr>
                            <w:rFonts w:ascii="Arial Narrow" w:hAnsi="Arial Narrow"/>
                            <w:sz w:val="18"/>
                            <w:szCs w:val="18"/>
                          </w:rPr>
                          <w:t>Palliative population (n=11)</w:t>
                        </w:r>
                      </w:p>
                      <w:p w:rsidR="0042762F" w:rsidRPr="00F953F0" w:rsidRDefault="0042762F" w:rsidP="00D1474E">
                        <w:pPr>
                          <w:spacing w:after="0"/>
                          <w:ind w:left="0"/>
                          <w:rPr>
                            <w:rFonts w:ascii="Arial Narrow" w:hAnsi="Arial Narrow"/>
                            <w:sz w:val="18"/>
                            <w:szCs w:val="18"/>
                          </w:rPr>
                        </w:pPr>
                        <w:r w:rsidRPr="00F953F0">
                          <w:rPr>
                            <w:rFonts w:ascii="Arial Narrow" w:hAnsi="Arial Narrow"/>
                            <w:sz w:val="18"/>
                            <w:szCs w:val="18"/>
                          </w:rPr>
                          <w:t>Mixed population (n=14)</w:t>
                        </w:r>
                      </w:p>
                      <w:p w:rsidR="0042762F" w:rsidRPr="00F953F0" w:rsidRDefault="0042762F" w:rsidP="00D1474E">
                        <w:pPr>
                          <w:spacing w:after="0"/>
                          <w:ind w:left="0"/>
                          <w:rPr>
                            <w:rFonts w:ascii="Arial Narrow" w:hAnsi="Arial Narrow"/>
                            <w:sz w:val="18"/>
                            <w:szCs w:val="18"/>
                          </w:rPr>
                        </w:pPr>
                        <w:r w:rsidRPr="00F953F0">
                          <w:rPr>
                            <w:rFonts w:ascii="Arial Narrow" w:hAnsi="Arial Narrow"/>
                            <w:sz w:val="18"/>
                            <w:szCs w:val="18"/>
                          </w:rPr>
                          <w:t>Stent as bridge to surgery only (n=2)</w:t>
                        </w:r>
                      </w:p>
                      <w:p w:rsidR="0042762F" w:rsidRPr="00F953F0" w:rsidRDefault="0042762F" w:rsidP="00D1474E">
                        <w:pPr>
                          <w:spacing w:after="0"/>
                          <w:ind w:left="0"/>
                          <w:rPr>
                            <w:rFonts w:ascii="Arial Narrow" w:hAnsi="Arial Narrow"/>
                            <w:sz w:val="18"/>
                            <w:szCs w:val="18"/>
                          </w:rPr>
                        </w:pPr>
                        <w:r>
                          <w:rPr>
                            <w:rFonts w:ascii="Arial Narrow" w:hAnsi="Arial Narrow"/>
                            <w:sz w:val="18"/>
                            <w:szCs w:val="18"/>
                          </w:rPr>
                          <w:t>Comparative studies c</w:t>
                        </w:r>
                        <w:r w:rsidRPr="00F953F0">
                          <w:rPr>
                            <w:rFonts w:ascii="Arial Narrow" w:hAnsi="Arial Narrow"/>
                            <w:sz w:val="18"/>
                            <w:szCs w:val="18"/>
                          </w:rPr>
                          <w:t xml:space="preserve">onsidered as </w:t>
                        </w:r>
                        <w:r>
                          <w:rPr>
                            <w:rFonts w:ascii="Arial Narrow" w:hAnsi="Arial Narrow"/>
                            <w:sz w:val="18"/>
                            <w:szCs w:val="18"/>
                          </w:rPr>
                          <w:t>case series</w:t>
                        </w:r>
                        <w:r>
                          <w:rPr>
                            <w:rFonts w:ascii="Arial Narrow" w:hAnsi="Arial Narrow"/>
                            <w:sz w:val="18"/>
                            <w:szCs w:val="18"/>
                          </w:rPr>
                          <w:br/>
                          <w:t xml:space="preserve">  (</w:t>
                        </w:r>
                        <w:r w:rsidRPr="00F953F0">
                          <w:rPr>
                            <w:rFonts w:ascii="Arial Narrow" w:hAnsi="Arial Narrow"/>
                            <w:sz w:val="18"/>
                            <w:szCs w:val="18"/>
                          </w:rPr>
                          <w:t>level IV</w:t>
                        </w:r>
                        <w:r>
                          <w:rPr>
                            <w:rFonts w:ascii="Arial Narrow" w:hAnsi="Arial Narrow"/>
                            <w:sz w:val="18"/>
                            <w:szCs w:val="18"/>
                          </w:rPr>
                          <w:t>)</w:t>
                        </w:r>
                        <w:r w:rsidRPr="00F953F0">
                          <w:rPr>
                            <w:rFonts w:ascii="Arial Narrow" w:hAnsi="Arial Narrow"/>
                            <w:sz w:val="18"/>
                            <w:szCs w:val="18"/>
                          </w:rPr>
                          <w:t xml:space="preserve"> evidence (n=6)</w:t>
                        </w:r>
                      </w:p>
                    </w:txbxContent>
                  </v:textbox>
                </v:shape>
                <v:shape id="Text Box 1141" o:spid="_x0000_s1359" type="#_x0000_t202" style="position:absolute;left:5121;top:4818;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 xml:space="preserve">Non-English </w:t>
                        </w:r>
                        <w:r>
                          <w:rPr>
                            <w:rFonts w:ascii="Arial Narrow" w:hAnsi="Arial Narrow"/>
                            <w:sz w:val="18"/>
                            <w:szCs w:val="18"/>
                          </w:rPr>
                          <w:t xml:space="preserve">language </w:t>
                        </w:r>
                        <w:r w:rsidRPr="00554BF6">
                          <w:rPr>
                            <w:rFonts w:ascii="Arial Narrow" w:hAnsi="Arial Narrow"/>
                            <w:sz w:val="18"/>
                            <w:szCs w:val="18"/>
                          </w:rPr>
                          <w:t>studies excluded (n= 476)</w:t>
                        </w:r>
                      </w:p>
                      <w:p w:rsidR="0042762F" w:rsidRPr="00554BF6" w:rsidRDefault="0042762F" w:rsidP="009E5C5B">
                        <w:pPr>
                          <w:ind w:left="0"/>
                          <w:rPr>
                            <w:sz w:val="18"/>
                            <w:szCs w:val="18"/>
                          </w:rPr>
                        </w:pPr>
                      </w:p>
                    </w:txbxContent>
                  </v:textbox>
                </v:shape>
                <v:shape id="Text Box 1142" o:spid="_x0000_s1360" type="#_x0000_t202" style="position:absolute;left:5121;top:3557;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42762F" w:rsidRPr="00554BF6" w:rsidRDefault="0042762F" w:rsidP="009E5C5B">
                        <w:pPr>
                          <w:ind w:left="0"/>
                          <w:rPr>
                            <w:sz w:val="18"/>
                            <w:szCs w:val="18"/>
                          </w:rPr>
                        </w:pPr>
                        <w:r w:rsidRPr="00554BF6">
                          <w:rPr>
                            <w:rFonts w:ascii="Arial Narrow" w:hAnsi="Arial Narrow"/>
                            <w:sz w:val="18"/>
                            <w:szCs w:val="18"/>
                          </w:rPr>
                          <w:t>Duplicate studies excluded (n=1</w:t>
                        </w:r>
                        <w:r>
                          <w:rPr>
                            <w:rFonts w:ascii="Arial Narrow" w:hAnsi="Arial Narrow"/>
                            <w:sz w:val="18"/>
                            <w:szCs w:val="18"/>
                          </w:rPr>
                          <w:t>,</w:t>
                        </w:r>
                        <w:r w:rsidRPr="00554BF6">
                          <w:rPr>
                            <w:rFonts w:ascii="Arial Narrow" w:hAnsi="Arial Narrow"/>
                            <w:sz w:val="18"/>
                            <w:szCs w:val="18"/>
                          </w:rPr>
                          <w:t>115)</w:t>
                        </w:r>
                      </w:p>
                    </w:txbxContent>
                  </v:textbox>
                </v:shape>
                <v:shape id="Text Box 1143" o:spid="_x0000_s1361" type="#_x0000_t202" style="position:absolute;left:5121;top:6259;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42762F" w:rsidRPr="00AC417A" w:rsidRDefault="0042762F" w:rsidP="00D1474E">
                        <w:pPr>
                          <w:spacing w:after="0"/>
                          <w:ind w:left="0"/>
                          <w:rPr>
                            <w:rFonts w:ascii="Arial Narrow" w:hAnsi="Arial Narrow"/>
                            <w:sz w:val="18"/>
                            <w:szCs w:val="18"/>
                          </w:rPr>
                        </w:pPr>
                        <w:r>
                          <w:rPr>
                            <w:rFonts w:ascii="Arial Narrow" w:hAnsi="Arial Narrow"/>
                            <w:sz w:val="18"/>
                            <w:szCs w:val="18"/>
                          </w:rPr>
                          <w:t>Ineligible s</w:t>
                        </w:r>
                        <w:r w:rsidRPr="00AC417A">
                          <w:rPr>
                            <w:rFonts w:ascii="Arial Narrow" w:hAnsi="Arial Narrow"/>
                            <w:sz w:val="18"/>
                            <w:szCs w:val="18"/>
                          </w:rPr>
                          <w:t>tudies excluded (n= 2</w:t>
                        </w:r>
                        <w:r>
                          <w:rPr>
                            <w:rFonts w:ascii="Arial Narrow" w:hAnsi="Arial Narrow"/>
                            <w:sz w:val="18"/>
                            <w:szCs w:val="18"/>
                          </w:rPr>
                          <w:t>,</w:t>
                        </w:r>
                        <w:r w:rsidRPr="00AC417A">
                          <w:rPr>
                            <w:rFonts w:ascii="Arial Narrow" w:hAnsi="Arial Narrow"/>
                            <w:sz w:val="18"/>
                            <w:szCs w:val="18"/>
                          </w:rPr>
                          <w:t>263)</w:t>
                        </w:r>
                      </w:p>
                    </w:txbxContent>
                  </v:textbox>
                </v:shape>
                <v:shape id="Text Box 1144" o:spid="_x0000_s1362" type="#_x0000_t202" style="position:absolute;left:5121;top:7339;width:2880;height:5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Studies excluded (n=1</w:t>
                        </w:r>
                        <w:r>
                          <w:rPr>
                            <w:rFonts w:ascii="Arial Narrow" w:hAnsi="Arial Narrow"/>
                            <w:sz w:val="18"/>
                            <w:szCs w:val="18"/>
                          </w:rPr>
                          <w:t>80</w:t>
                        </w:r>
                        <w:r w:rsidRPr="00554BF6">
                          <w:rPr>
                            <w:rFonts w:ascii="Arial Narrow" w:hAnsi="Arial Narrow"/>
                            <w:sz w:val="18"/>
                            <w:szCs w:val="18"/>
                          </w:rPr>
                          <w:t>)</w:t>
                        </w:r>
                      </w:p>
                      <w:p w:rsidR="0042762F" w:rsidRPr="00554BF6" w:rsidRDefault="0042762F" w:rsidP="00532AA8">
                        <w:pPr>
                          <w:spacing w:after="0"/>
                          <w:ind w:left="0"/>
                          <w:rPr>
                            <w:rFonts w:ascii="Arial Narrow" w:hAnsi="Arial Narrow"/>
                            <w:sz w:val="18"/>
                            <w:szCs w:val="18"/>
                          </w:rPr>
                        </w:pPr>
                      </w:p>
                      <w:p w:rsidR="0042762F" w:rsidRPr="00554BF6" w:rsidRDefault="0042762F" w:rsidP="00FF38D0">
                        <w:pPr>
                          <w:spacing w:after="0"/>
                          <w:ind w:left="0"/>
                          <w:rPr>
                            <w:rFonts w:ascii="Arial Narrow" w:hAnsi="Arial Narrow"/>
                            <w:b/>
                            <w:sz w:val="18"/>
                            <w:szCs w:val="18"/>
                          </w:rPr>
                        </w:pPr>
                        <w:r>
                          <w:rPr>
                            <w:rFonts w:ascii="Arial Narrow" w:hAnsi="Arial Narrow"/>
                            <w:b/>
                            <w:sz w:val="18"/>
                            <w:szCs w:val="18"/>
                          </w:rPr>
                          <w:t>Health technology assessments</w:t>
                        </w:r>
                        <w:r w:rsidRPr="00554BF6">
                          <w:rPr>
                            <w:rFonts w:ascii="Arial Narrow" w:hAnsi="Arial Narrow"/>
                            <w:b/>
                            <w:sz w:val="18"/>
                            <w:szCs w:val="18"/>
                          </w:rPr>
                          <w:t xml:space="preserve"> and </w:t>
                        </w:r>
                        <w:r>
                          <w:rPr>
                            <w:rFonts w:ascii="Arial Narrow" w:hAnsi="Arial Narrow"/>
                            <w:b/>
                            <w:sz w:val="18"/>
                            <w:szCs w:val="18"/>
                          </w:rPr>
                          <w:t>s</w:t>
                        </w:r>
                        <w:r w:rsidRPr="00554BF6">
                          <w:rPr>
                            <w:rFonts w:ascii="Arial Narrow" w:hAnsi="Arial Narrow"/>
                            <w:b/>
                            <w:sz w:val="18"/>
                            <w:szCs w:val="18"/>
                          </w:rPr>
                          <w:t>ystematic reviews (</w:t>
                        </w:r>
                        <w:r>
                          <w:rPr>
                            <w:rFonts w:ascii="Arial Narrow" w:hAnsi="Arial Narrow"/>
                            <w:b/>
                            <w:sz w:val="18"/>
                            <w:szCs w:val="18"/>
                          </w:rPr>
                          <w:t>n</w:t>
                        </w:r>
                        <w:r w:rsidRPr="00554BF6">
                          <w:rPr>
                            <w:rFonts w:ascii="Arial Narrow" w:hAnsi="Arial Narrow"/>
                            <w:b/>
                            <w:sz w:val="18"/>
                            <w:szCs w:val="18"/>
                          </w:rPr>
                          <w:t>=</w:t>
                        </w:r>
                        <w:r>
                          <w:rPr>
                            <w:rFonts w:ascii="Arial Narrow" w:hAnsi="Arial Narrow"/>
                            <w:b/>
                            <w:sz w:val="18"/>
                            <w:szCs w:val="18"/>
                          </w:rPr>
                          <w:t>20</w:t>
                        </w:r>
                        <w:r w:rsidRPr="00554BF6">
                          <w:rPr>
                            <w:rFonts w:ascii="Arial Narrow" w:hAnsi="Arial Narrow"/>
                            <w:b/>
                            <w:sz w:val="18"/>
                            <w:szCs w:val="18"/>
                          </w:rPr>
                          <w:t>)</w:t>
                        </w:r>
                      </w:p>
                      <w:p w:rsidR="0042762F" w:rsidRPr="00554BF6" w:rsidRDefault="0042762F" w:rsidP="00FF38D0">
                        <w:pPr>
                          <w:spacing w:after="0"/>
                          <w:ind w:left="0"/>
                          <w:rPr>
                            <w:rFonts w:ascii="Arial Narrow" w:hAnsi="Arial Narrow"/>
                            <w:sz w:val="18"/>
                            <w:szCs w:val="18"/>
                          </w:rPr>
                        </w:pPr>
                        <w:r>
                          <w:rPr>
                            <w:rFonts w:ascii="Arial Narrow" w:hAnsi="Arial Narrow"/>
                            <w:sz w:val="18"/>
                            <w:szCs w:val="18"/>
                          </w:rPr>
                          <w:t>Inappropriate population or comparator (n=4)</w:t>
                        </w:r>
                      </w:p>
                      <w:p w:rsidR="0042762F" w:rsidRDefault="0042762F" w:rsidP="00CC35B5">
                        <w:pPr>
                          <w:spacing w:after="0"/>
                          <w:ind w:left="0"/>
                          <w:rPr>
                            <w:rFonts w:ascii="Arial Narrow" w:hAnsi="Arial Narrow"/>
                            <w:sz w:val="18"/>
                            <w:szCs w:val="18"/>
                          </w:rPr>
                        </w:pPr>
                        <w:r w:rsidRPr="00554BF6">
                          <w:rPr>
                            <w:rFonts w:ascii="Arial Narrow" w:hAnsi="Arial Narrow"/>
                            <w:sz w:val="18"/>
                            <w:szCs w:val="18"/>
                          </w:rPr>
                          <w:t>Did not fulfil systematic review criteria (n=16)</w:t>
                        </w:r>
                      </w:p>
                      <w:p w:rsidR="0042762F" w:rsidRPr="00554BF6" w:rsidRDefault="0042762F" w:rsidP="00FF38D0">
                        <w:pPr>
                          <w:spacing w:after="0"/>
                          <w:ind w:left="0"/>
                          <w:rPr>
                            <w:rFonts w:ascii="Arial Narrow" w:hAnsi="Arial Narrow"/>
                            <w:sz w:val="18"/>
                            <w:szCs w:val="18"/>
                          </w:rPr>
                        </w:pPr>
                      </w:p>
                      <w:p w:rsidR="0042762F" w:rsidRPr="00554BF6" w:rsidRDefault="0042762F" w:rsidP="00532AA8">
                        <w:pPr>
                          <w:spacing w:after="0"/>
                          <w:ind w:left="0"/>
                          <w:rPr>
                            <w:rFonts w:ascii="Arial Narrow" w:hAnsi="Arial Narrow"/>
                            <w:b/>
                            <w:sz w:val="18"/>
                            <w:szCs w:val="18"/>
                          </w:rPr>
                        </w:pPr>
                        <w:r w:rsidRPr="00554BF6">
                          <w:rPr>
                            <w:rFonts w:ascii="Arial Narrow" w:hAnsi="Arial Narrow"/>
                            <w:b/>
                            <w:sz w:val="18"/>
                            <w:szCs w:val="18"/>
                          </w:rPr>
                          <w:t xml:space="preserve">Comparative </w:t>
                        </w:r>
                        <w:r>
                          <w:rPr>
                            <w:rFonts w:ascii="Arial Narrow" w:hAnsi="Arial Narrow"/>
                            <w:b/>
                            <w:sz w:val="18"/>
                            <w:szCs w:val="18"/>
                          </w:rPr>
                          <w:t>studies</w:t>
                        </w:r>
                        <w:r w:rsidRPr="00554BF6">
                          <w:rPr>
                            <w:rFonts w:ascii="Arial Narrow" w:hAnsi="Arial Narrow"/>
                            <w:b/>
                            <w:sz w:val="18"/>
                            <w:szCs w:val="18"/>
                          </w:rPr>
                          <w:t xml:space="preserve"> (</w:t>
                        </w:r>
                        <w:r>
                          <w:rPr>
                            <w:rFonts w:ascii="Arial Narrow" w:hAnsi="Arial Narrow"/>
                            <w:b/>
                            <w:sz w:val="18"/>
                            <w:szCs w:val="18"/>
                          </w:rPr>
                          <w:t>n</w:t>
                        </w:r>
                        <w:r w:rsidRPr="00554BF6">
                          <w:rPr>
                            <w:rFonts w:ascii="Arial Narrow" w:hAnsi="Arial Narrow"/>
                            <w:b/>
                            <w:sz w:val="18"/>
                            <w:szCs w:val="18"/>
                          </w:rPr>
                          <w:t>=32)</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Duplicate</w:t>
                        </w:r>
                        <w:r>
                          <w:rPr>
                            <w:rFonts w:ascii="Arial Narrow" w:hAnsi="Arial Narrow"/>
                            <w:sz w:val="18"/>
                            <w:szCs w:val="18"/>
                          </w:rPr>
                          <w:t xml:space="preserve"> publication</w:t>
                        </w:r>
                        <w:r w:rsidRPr="00554BF6">
                          <w:rPr>
                            <w:rFonts w:ascii="Arial Narrow" w:hAnsi="Arial Narrow"/>
                            <w:sz w:val="18"/>
                            <w:szCs w:val="18"/>
                          </w:rPr>
                          <w:t xml:space="preserve"> (n=1)</w:t>
                        </w:r>
                      </w:p>
                      <w:p w:rsidR="0042762F" w:rsidRPr="00554BF6" w:rsidRDefault="0042762F" w:rsidP="00532AA8">
                        <w:pPr>
                          <w:spacing w:after="0"/>
                          <w:ind w:left="0"/>
                          <w:rPr>
                            <w:rFonts w:ascii="Arial Narrow" w:hAnsi="Arial Narrow"/>
                            <w:sz w:val="18"/>
                            <w:szCs w:val="18"/>
                          </w:rPr>
                        </w:pPr>
                        <w:r>
                          <w:rPr>
                            <w:rFonts w:ascii="Arial Narrow" w:hAnsi="Arial Narrow"/>
                            <w:sz w:val="18"/>
                            <w:szCs w:val="18"/>
                          </w:rPr>
                          <w:t>Non-English</w:t>
                        </w:r>
                        <w:r w:rsidRPr="00554BF6">
                          <w:rPr>
                            <w:rFonts w:ascii="Arial Narrow" w:hAnsi="Arial Narrow"/>
                            <w:sz w:val="18"/>
                            <w:szCs w:val="18"/>
                          </w:rPr>
                          <w:t xml:space="preserve"> language study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comparator (included single-</w:t>
                        </w:r>
                        <w:r>
                          <w:rPr>
                            <w:rFonts w:ascii="Arial Narrow" w:hAnsi="Arial Narrow"/>
                            <w:sz w:val="18"/>
                            <w:szCs w:val="18"/>
                          </w:rPr>
                          <w:t xml:space="preserve"> </w:t>
                        </w:r>
                        <w:r>
                          <w:rPr>
                            <w:rFonts w:ascii="Arial Narrow" w:hAnsi="Arial Narrow"/>
                            <w:sz w:val="18"/>
                            <w:szCs w:val="18"/>
                          </w:rPr>
                          <w:br/>
                          <w:t xml:space="preserve">  </w:t>
                        </w:r>
                        <w:r w:rsidRPr="00554BF6">
                          <w:rPr>
                            <w:rFonts w:ascii="Arial Narrow" w:hAnsi="Arial Narrow"/>
                            <w:sz w:val="18"/>
                            <w:szCs w:val="18"/>
                          </w:rPr>
                          <w:t>stage resection)</w:t>
                        </w:r>
                        <w:r>
                          <w:rPr>
                            <w:rFonts w:ascii="Arial Narrow" w:hAnsi="Arial Narrow"/>
                            <w:sz w:val="18"/>
                            <w:szCs w:val="18"/>
                          </w:rPr>
                          <w:t xml:space="preserve"> </w:t>
                        </w:r>
                        <w:r w:rsidRPr="00554BF6">
                          <w:rPr>
                            <w:rFonts w:ascii="Arial Narrow" w:hAnsi="Arial Narrow"/>
                            <w:sz w:val="18"/>
                            <w:szCs w:val="18"/>
                          </w:rPr>
                          <w:t>(n=23)</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or no clinical data (n=4)</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intervention (n=2)</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Non-consecutive patient enrolment (n=1)</w:t>
                        </w:r>
                      </w:p>
                      <w:p w:rsidR="0042762F" w:rsidRPr="00554BF6" w:rsidRDefault="0042762F" w:rsidP="00532AA8">
                        <w:pPr>
                          <w:spacing w:after="0"/>
                          <w:ind w:left="0"/>
                          <w:rPr>
                            <w:rFonts w:ascii="Arial Narrow" w:hAnsi="Arial Narrow"/>
                            <w:sz w:val="18"/>
                            <w:szCs w:val="18"/>
                          </w:rPr>
                        </w:pPr>
                      </w:p>
                      <w:p w:rsidR="0042762F" w:rsidRPr="00554BF6" w:rsidRDefault="0042762F" w:rsidP="00532AA8">
                        <w:pPr>
                          <w:spacing w:after="0"/>
                          <w:ind w:left="0"/>
                          <w:rPr>
                            <w:rFonts w:ascii="Arial Narrow" w:hAnsi="Arial Narrow"/>
                            <w:b/>
                            <w:sz w:val="18"/>
                            <w:szCs w:val="18"/>
                          </w:rPr>
                        </w:pPr>
                        <w:r w:rsidRPr="00554BF6">
                          <w:rPr>
                            <w:rFonts w:ascii="Arial Narrow" w:hAnsi="Arial Narrow"/>
                            <w:b/>
                            <w:sz w:val="18"/>
                            <w:szCs w:val="18"/>
                          </w:rPr>
                          <w:t>Case series</w:t>
                        </w:r>
                        <w:r>
                          <w:rPr>
                            <w:rFonts w:ascii="Arial Narrow" w:hAnsi="Arial Narrow"/>
                            <w:b/>
                            <w:sz w:val="18"/>
                            <w:szCs w:val="18"/>
                          </w:rPr>
                          <w:t xml:space="preserve"> (level IV) studies</w:t>
                        </w:r>
                        <w:r w:rsidRPr="00554BF6">
                          <w:rPr>
                            <w:rFonts w:ascii="Arial Narrow" w:hAnsi="Arial Narrow"/>
                            <w:b/>
                            <w:sz w:val="18"/>
                            <w:szCs w:val="18"/>
                          </w:rPr>
                          <w:t xml:space="preserve"> (</w:t>
                        </w:r>
                        <w:r>
                          <w:rPr>
                            <w:rFonts w:ascii="Arial Narrow" w:hAnsi="Arial Narrow"/>
                            <w:b/>
                            <w:sz w:val="18"/>
                            <w:szCs w:val="18"/>
                          </w:rPr>
                          <w:t>n</w:t>
                        </w:r>
                        <w:r w:rsidRPr="00554BF6">
                          <w:rPr>
                            <w:rFonts w:ascii="Arial Narrow" w:hAnsi="Arial Narrow"/>
                            <w:b/>
                            <w:sz w:val="18"/>
                            <w:szCs w:val="18"/>
                          </w:rPr>
                          <w:t>=12</w:t>
                        </w:r>
                        <w:r>
                          <w:rPr>
                            <w:rFonts w:ascii="Arial Narrow" w:hAnsi="Arial Narrow"/>
                            <w:b/>
                            <w:sz w:val="18"/>
                            <w:szCs w:val="18"/>
                          </w:rPr>
                          <w:t>3</w:t>
                        </w:r>
                        <w:r w:rsidRPr="00554BF6">
                          <w:rPr>
                            <w:rFonts w:ascii="Arial Narrow" w:hAnsi="Arial Narrow"/>
                            <w:b/>
                            <w:sz w:val="18"/>
                            <w:szCs w:val="18"/>
                          </w:rPr>
                          <w:t>)</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population (</w:t>
                        </w:r>
                        <w:r>
                          <w:rPr>
                            <w:rFonts w:ascii="Arial Narrow" w:hAnsi="Arial Narrow"/>
                            <w:sz w:val="18"/>
                            <w:szCs w:val="18"/>
                          </w:rPr>
                          <w:t>b</w:t>
                        </w:r>
                        <w:r w:rsidRPr="00554BF6">
                          <w:rPr>
                            <w:rFonts w:ascii="Arial Narrow" w:hAnsi="Arial Narrow"/>
                            <w:sz w:val="18"/>
                            <w:szCs w:val="18"/>
                          </w:rPr>
                          <w:t xml:space="preserve">enign obstruction </w:t>
                        </w:r>
                        <w:r>
                          <w:rPr>
                            <w:rFonts w:ascii="Arial Narrow" w:hAnsi="Arial Narrow"/>
                            <w:sz w:val="18"/>
                            <w:szCs w:val="18"/>
                          </w:rPr>
                          <w:br/>
                          <w:t xml:space="preserve">  </w:t>
                        </w:r>
                        <w:r w:rsidRPr="00554BF6">
                          <w:rPr>
                            <w:rFonts w:ascii="Arial Narrow" w:hAnsi="Arial Narrow"/>
                            <w:sz w:val="18"/>
                            <w:szCs w:val="18"/>
                          </w:rPr>
                          <w:t>only)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or no clinical data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Fewer than 50 patients (n=99)</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Inappropriate study design (n=1)</w:t>
                        </w:r>
                      </w:p>
                      <w:p w:rsidR="0042762F" w:rsidRPr="00554BF6" w:rsidRDefault="0042762F" w:rsidP="00532AA8">
                        <w:pPr>
                          <w:spacing w:after="0"/>
                          <w:ind w:left="0"/>
                          <w:rPr>
                            <w:rFonts w:ascii="Arial Narrow" w:hAnsi="Arial Narrow"/>
                            <w:sz w:val="18"/>
                            <w:szCs w:val="18"/>
                          </w:rPr>
                        </w:pPr>
                        <w:r w:rsidRPr="00554BF6">
                          <w:rPr>
                            <w:rFonts w:ascii="Arial Narrow" w:hAnsi="Arial Narrow"/>
                            <w:sz w:val="18"/>
                            <w:szCs w:val="18"/>
                          </w:rPr>
                          <w:t>Non-consecutive patient enrolment (n=3)</w:t>
                        </w:r>
                      </w:p>
                      <w:p w:rsidR="0042762F" w:rsidRDefault="0042762F" w:rsidP="00532AA8">
                        <w:pPr>
                          <w:spacing w:after="0"/>
                          <w:ind w:left="0"/>
                          <w:rPr>
                            <w:rFonts w:ascii="Arial Narrow" w:hAnsi="Arial Narrow"/>
                            <w:sz w:val="18"/>
                            <w:szCs w:val="18"/>
                          </w:rPr>
                        </w:pPr>
                        <w:r w:rsidRPr="00554BF6">
                          <w:rPr>
                            <w:rFonts w:ascii="Arial Narrow" w:hAnsi="Arial Narrow"/>
                            <w:sz w:val="18"/>
                            <w:szCs w:val="18"/>
                          </w:rPr>
                          <w:t>Inappropriate intervention (n=17)</w:t>
                        </w:r>
                      </w:p>
                      <w:p w:rsidR="0042762F" w:rsidRPr="00554BF6" w:rsidRDefault="0042762F" w:rsidP="00532AA8">
                        <w:pPr>
                          <w:spacing w:after="0"/>
                          <w:ind w:left="0"/>
                          <w:rPr>
                            <w:rFonts w:ascii="Arial Narrow" w:hAnsi="Arial Narrow"/>
                            <w:sz w:val="18"/>
                            <w:szCs w:val="18"/>
                          </w:rPr>
                        </w:pPr>
                        <w:r>
                          <w:rPr>
                            <w:rFonts w:ascii="Arial Narrow" w:hAnsi="Arial Narrow"/>
                            <w:sz w:val="18"/>
                            <w:szCs w:val="18"/>
                          </w:rPr>
                          <w:t>Patient overlap (n=1)</w:t>
                        </w:r>
                      </w:p>
                      <w:p w:rsidR="0042762F" w:rsidRPr="00554BF6" w:rsidRDefault="0042762F" w:rsidP="00D1474E">
                        <w:pPr>
                          <w:spacing w:after="0"/>
                          <w:ind w:left="0"/>
                          <w:rPr>
                            <w:rFonts w:ascii="Arial Narrow" w:hAnsi="Arial Narrow"/>
                            <w:b/>
                            <w:sz w:val="18"/>
                            <w:szCs w:val="18"/>
                          </w:rPr>
                        </w:pPr>
                      </w:p>
                      <w:p w:rsidR="0042762F" w:rsidRPr="005C08AD" w:rsidRDefault="0042762F" w:rsidP="005C08AD">
                        <w:pPr>
                          <w:spacing w:after="0"/>
                          <w:ind w:left="0"/>
                          <w:rPr>
                            <w:rFonts w:ascii="Arial Narrow" w:hAnsi="Arial Narrow"/>
                            <w:b/>
                            <w:sz w:val="18"/>
                            <w:szCs w:val="18"/>
                          </w:rPr>
                        </w:pPr>
                        <w:r w:rsidRPr="00554BF6">
                          <w:rPr>
                            <w:rFonts w:ascii="Arial Narrow" w:hAnsi="Arial Narrow"/>
                            <w:b/>
                            <w:sz w:val="18"/>
                            <w:szCs w:val="18"/>
                          </w:rPr>
                          <w:t>Study could not be obtained (n=5)</w:t>
                        </w:r>
                      </w:p>
                    </w:txbxContent>
                  </v:textbox>
                </v:shape>
                <v:line id="Line 1145" o:spid="_x0000_s1363" style="position:absolute;visibility:visible;mso-wrap-style:square" from="2961,3738" to="2961,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146" o:spid="_x0000_s1364" style="position:absolute;visibility:visible;mso-wrap-style:square" from="2961,4998" to="2961,5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147" o:spid="_x0000_s1365" style="position:absolute;visibility:visible;mso-wrap-style:square" from="2961,6439" to="2961,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148" o:spid="_x0000_s1366" style="position:absolute;visibility:visible;mso-wrap-style:square" from="2961,7520" to="2961,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149" o:spid="_x0000_s1367" style="position:absolute;visibility:visible;mso-wrap-style:square" from="2961,6619" to="5121,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150" o:spid="_x0000_s1368" style="position:absolute;visibility:visible;mso-wrap-style:square" from="2961,7700" to="5121,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c0SsYAAADdAAAADwAAAGRycy9kb3ducmV2LnhtbESPT0/DMAzF70h8h8hIu7F0HFZWlk2I&#10;CmkHQNof7ew1pqlonKoJXfj2+IDEzdZ7fu/n9Tb7Xk00xi6wgcW8AEXcBNtxa+B0fL1/BBUTssU+&#10;MBn4oQjbze3NGisbrryn6ZBaJSEcKzTgUhoqrWPjyGOch4FYtM8wekyyjq22I14l3Pf6oSiW2mPH&#10;0uBwoBdHzdfh2xsoXb3Xpa7fjh/11C1W+T2fLytjZnf5+QlUopz+zX/XOyv45VL45RsZ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XNErGAAAA3QAAAA8AAAAAAAAA&#10;AAAAAAAAoQIAAGRycy9kb3ducmV2LnhtbFBLBQYAAAAABAAEAPkAAACUAwAAAAA=&#10;">
                  <v:stroke endarrow="block"/>
                </v:line>
                <v:line id="Line 1151" o:spid="_x0000_s1369" style="position:absolute;visibility:visible;mso-wrap-style:square" from="2961,5178" to="5121,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uR0cQAAADdAAAADwAAAGRycy9kb3ducmV2LnhtbERPyWrDMBC9F/oPYgq9NbJ7iBM3Sig1&#10;hR6aQBZynloTy8QaGUt11L+vAoHc5vHWWayi7cRIg28dK8gnGQji2umWGwWH/efLDIQPyBo7x6Tg&#10;jzyslo8PCyy1u/CWxl1oRAphX6ICE0JfSulrQxb9xPXEiTu5wWJIcGikHvCSwm0nX7NsKi22nBoM&#10;9vRhqD7vfq2CwlRbWcjqe7+pxjafx3U8/syVen6K728gAsVwF9/cXzrNL6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HRxAAAAN0AAAAPAAAAAAAAAAAA&#10;AAAAAKECAABkcnMvZG93bnJldi54bWxQSwUGAAAAAAQABAD5AAAAkgMAAAAA&#10;">
                  <v:stroke endarrow="block"/>
                </v:line>
                <v:line id="Line 1152" o:spid="_x0000_s1370" style="position:absolute;visibility:visible;mso-wrap-style:square" from="2961,3918" to="5121,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kPpsMAAADdAAAADwAAAGRycy9kb3ducmV2LnhtbERPS2sCMRC+C/0PYQreNKsHt65GKV0K&#10;PVjBB57HzbhZupksm3RN/31TEHqbj+856220rRio941jBbNpBoK4crrhWsH59D55AeEDssbWMSn4&#10;IQ/bzdNojYV2dz7QcAy1SCHsC1RgQugKKX1lyKKfuo44cTfXWwwJ9rXUPd5TuG3lPMsW0mLDqcFg&#10;R2+Gqq/jt1WQm/Igc1nuTvtyaGbL+Bkv16VS4+f4ugIRKIZ/8cP9odP8fDGHv2/SC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JD6bDAAAA3QAAAA8AAAAAAAAAAAAA&#10;AAAAoQIAAGRycy9kb3ducmV2LnhtbFBLBQYAAAAABAAEAPkAAACRAwAAAAA=&#10;">
                  <v:stroke endarrow="block"/>
                </v:line>
                <w10:anchorlock/>
              </v:group>
            </w:pict>
          </mc:Fallback>
        </mc:AlternateContent>
      </w:r>
    </w:p>
    <w:p w:rsidR="005C08AD" w:rsidRPr="005C08AD" w:rsidRDefault="005C08AD" w:rsidP="005C08AD">
      <w:pPr>
        <w:pStyle w:val="TableNotes"/>
        <w:rPr>
          <w:lang w:eastAsia="en-US"/>
        </w:rPr>
      </w:pPr>
      <w:r w:rsidRPr="005C08AD">
        <w:rPr>
          <w:lang w:eastAsia="en-US"/>
        </w:rPr>
        <w:t>A</w:t>
      </w:r>
      <w:r w:rsidRPr="002F5F79">
        <w:rPr>
          <w:lang w:eastAsia="en-US"/>
        </w:rPr>
        <w:t>dapted from Liberati et</w:t>
      </w:r>
      <w:r>
        <w:rPr>
          <w:lang w:eastAsia="en-US"/>
        </w:rPr>
        <w:t xml:space="preserve"> al 2009</w:t>
      </w:r>
    </w:p>
    <w:p w:rsidR="005046EE" w:rsidRPr="009E5C53" w:rsidRDefault="005046EE" w:rsidP="00CD3A22">
      <w:pPr>
        <w:pStyle w:val="Heading3"/>
      </w:pPr>
      <w:r w:rsidRPr="009E5C53">
        <w:t>Data extraction and analysis</w:t>
      </w:r>
    </w:p>
    <w:p w:rsidR="00A66661" w:rsidRPr="00A66661" w:rsidRDefault="00A66661" w:rsidP="00A66661">
      <w:r w:rsidRPr="00A66661">
        <w:t xml:space="preserve">Data from each study were extracted into </w:t>
      </w:r>
      <w:r w:rsidR="00737993" w:rsidRPr="00A66661">
        <w:t>standardi</w:t>
      </w:r>
      <w:r w:rsidR="00737993">
        <w:t>s</w:t>
      </w:r>
      <w:r w:rsidR="00737993" w:rsidRPr="00A66661">
        <w:t xml:space="preserve">ed </w:t>
      </w:r>
      <w:r w:rsidRPr="00A66661">
        <w:t xml:space="preserve">data extraction tables by one reviewer and then checked by a second. Data for each of the safety and effectiveness outcomes were only extracted if they were stated in the text, tables, graphs or figures of the article, or could be accurately extrapolated from the data presented. If no data were </w:t>
      </w:r>
      <w:r w:rsidRPr="00A66661">
        <w:lastRenderedPageBreak/>
        <w:t>reported for a particular outcome, then no value was tabulated. This was done to avoid the bias caused by incorrectly assigning a value of zero to an outcome measurement on the basis of an unverified assumption by the reviewer. For example, if the procedure-related mortality rate was not reported, the result was not assumed to be zero.</w:t>
      </w:r>
    </w:p>
    <w:p w:rsidR="00ED77ED" w:rsidRPr="00A30BA9" w:rsidRDefault="00ED77ED" w:rsidP="00CD3A22">
      <w:pPr>
        <w:pStyle w:val="Heading2"/>
      </w:pPr>
      <w:bookmarkStart w:id="114" w:name="_Toc214339174"/>
      <w:bookmarkStart w:id="115" w:name="_Toc352924415"/>
      <w:r w:rsidRPr="00A30BA9">
        <w:t>Appraisal of the evidence</w:t>
      </w:r>
      <w:bookmarkEnd w:id="114"/>
      <w:bookmarkEnd w:id="115"/>
    </w:p>
    <w:p w:rsidR="00ED77ED" w:rsidRPr="000B3829" w:rsidRDefault="00ED77ED" w:rsidP="00FF6525">
      <w:r w:rsidRPr="000B3829">
        <w:t>Appraisal of the evidence was conducted at 3 stages:</w:t>
      </w:r>
    </w:p>
    <w:p w:rsidR="00ED77ED" w:rsidRPr="000B3829" w:rsidRDefault="00ED77ED" w:rsidP="0007443E">
      <w:pPr>
        <w:numPr>
          <w:ilvl w:val="0"/>
          <w:numId w:val="51"/>
        </w:numPr>
        <w:ind w:left="1134" w:hanging="425"/>
      </w:pPr>
      <w:r w:rsidRPr="000B3829">
        <w:t xml:space="preserve">Stage 1: </w:t>
      </w:r>
      <w:r w:rsidR="00A66661">
        <w:t>A</w:t>
      </w:r>
      <w:r w:rsidRPr="000B3829">
        <w:t>ppraisal of the applicability and quality of individual studies included in the review</w:t>
      </w:r>
      <w:r w:rsidR="004D5DC0">
        <w:t>;</w:t>
      </w:r>
    </w:p>
    <w:p w:rsidR="00ED77ED" w:rsidRPr="000B3829" w:rsidRDefault="00ED77ED" w:rsidP="0007443E">
      <w:pPr>
        <w:numPr>
          <w:ilvl w:val="0"/>
          <w:numId w:val="51"/>
        </w:numPr>
        <w:ind w:left="1134" w:hanging="425"/>
      </w:pPr>
      <w:r w:rsidRPr="000B3829">
        <w:t xml:space="preserve">Stage 2: </w:t>
      </w:r>
      <w:r w:rsidR="00A66661">
        <w:t>A</w:t>
      </w:r>
      <w:r w:rsidRPr="000B3829">
        <w:t xml:space="preserve">ppraisal of the precision, size and clinical importance of the primary outcomes used to determine the safety and effectiveness of the </w:t>
      </w:r>
      <w:r w:rsidR="00697D1A" w:rsidRPr="000B3829">
        <w:t>intervention</w:t>
      </w:r>
      <w:r w:rsidR="004D5DC0">
        <w:t>;</w:t>
      </w:r>
      <w:r w:rsidRPr="000B3829">
        <w:t xml:space="preserve">  </w:t>
      </w:r>
    </w:p>
    <w:p w:rsidR="00ED77ED" w:rsidRPr="00A30BA9" w:rsidRDefault="00ED77ED" w:rsidP="0007443E">
      <w:pPr>
        <w:numPr>
          <w:ilvl w:val="0"/>
          <w:numId w:val="51"/>
        </w:numPr>
        <w:ind w:left="1134" w:hanging="425"/>
      </w:pPr>
      <w:r w:rsidRPr="009E5C53">
        <w:t xml:space="preserve">Stage 3: </w:t>
      </w:r>
      <w:r w:rsidR="00A66661">
        <w:t>I</w:t>
      </w:r>
      <w:r w:rsidRPr="00892811">
        <w:t xml:space="preserve">ntegration </w:t>
      </w:r>
      <w:r w:rsidRPr="008978EE">
        <w:t>of this evidence for conclusions about the net clinical benefit of the in</w:t>
      </w:r>
      <w:r w:rsidR="00697D1A" w:rsidRPr="008978EE">
        <w:t>tervention</w:t>
      </w:r>
      <w:r w:rsidRPr="00A30BA9">
        <w:t xml:space="preserve"> in the context of Australian clinical practice. </w:t>
      </w:r>
    </w:p>
    <w:p w:rsidR="00F25DCB" w:rsidRPr="005646B6" w:rsidRDefault="00F25DCB" w:rsidP="00CD3A22">
      <w:pPr>
        <w:pStyle w:val="Heading3"/>
      </w:pPr>
      <w:r w:rsidRPr="005646B6">
        <w:t>Validity assessment of individual studies</w:t>
      </w:r>
    </w:p>
    <w:p w:rsidR="00CA7C3F" w:rsidRPr="00DF686C" w:rsidRDefault="00BA4863" w:rsidP="00CA7C3F">
      <w:r w:rsidRPr="00003831">
        <w:t>The evidence presented in the selected studies was assessed and classi</w:t>
      </w:r>
      <w:r w:rsidRPr="00A87C52">
        <w:t>fied using the dimensions of evidence defined by the National Health and Medical Research Council (NHMRC 200</w:t>
      </w:r>
      <w:r w:rsidR="00A80F93" w:rsidRPr="00DF686C">
        <w:t>9</w:t>
      </w:r>
      <w:r w:rsidRPr="00DF686C">
        <w:t xml:space="preserve">). </w:t>
      </w:r>
    </w:p>
    <w:p w:rsidR="00BA4863" w:rsidRPr="00892811" w:rsidRDefault="00BA4863" w:rsidP="00CA7C3F">
      <w:r w:rsidRPr="00DF686C">
        <w:t xml:space="preserve">These dimensions </w:t>
      </w:r>
      <w:r w:rsidRPr="009E5C53">
        <w:t>consider important aspects of the evidence supporting a particular intervention and include three main do</w:t>
      </w:r>
      <w:r w:rsidRPr="00E2422F">
        <w:t>mains: strength of the evidence, size of the effect and relevance of the evidence</w:t>
      </w:r>
      <w:r w:rsidR="002F5F79">
        <w:t xml:space="preserve"> (</w:t>
      </w:r>
      <w:r w:rsidR="006F654A">
        <w:t xml:space="preserve">See </w:t>
      </w:r>
      <w:r w:rsidR="002F5F79">
        <w:fldChar w:fldCharType="begin"/>
      </w:r>
      <w:r w:rsidR="002F5F79">
        <w:instrText xml:space="preserve"> REF _Ref324943841 \h </w:instrText>
      </w:r>
      <w:r w:rsidR="002F5F79">
        <w:fldChar w:fldCharType="separate"/>
      </w:r>
      <w:r w:rsidR="0071544A">
        <w:t xml:space="preserve">Table </w:t>
      </w:r>
      <w:r w:rsidR="0071544A">
        <w:rPr>
          <w:noProof/>
        </w:rPr>
        <w:t>23</w:t>
      </w:r>
      <w:r w:rsidR="002F5F79">
        <w:fldChar w:fldCharType="end"/>
      </w:r>
      <w:r w:rsidR="002F5F79">
        <w:t>)</w:t>
      </w:r>
      <w:r w:rsidRPr="00E2422F">
        <w:t>. The first domain is derived directly from the literature identified as informing a particular intervention. The last two require expert clinical input as part of its de</w:t>
      </w:r>
      <w:r w:rsidRPr="00892811">
        <w:t>termination.</w:t>
      </w:r>
    </w:p>
    <w:p w:rsidR="00BA4863" w:rsidRPr="000B3829" w:rsidRDefault="002F5F79" w:rsidP="002F5F79">
      <w:pPr>
        <w:pStyle w:val="Caption"/>
      </w:pPr>
      <w:bookmarkStart w:id="116" w:name="_Ref324943841"/>
      <w:bookmarkStart w:id="117" w:name="_Toc314226731"/>
      <w:bookmarkStart w:id="118" w:name="_Toc327522067"/>
      <w:r>
        <w:t xml:space="preserve">Table </w:t>
      </w:r>
      <w:fldSimple w:instr=" SEQ Table \* ARABIC ">
        <w:r w:rsidR="0071544A">
          <w:rPr>
            <w:noProof/>
          </w:rPr>
          <w:t>23</w:t>
        </w:r>
      </w:fldSimple>
      <w:bookmarkEnd w:id="116"/>
      <w:r w:rsidR="00F85E97" w:rsidRPr="000B3829">
        <w:tab/>
      </w:r>
      <w:r w:rsidR="00BA4863" w:rsidRPr="000B3829">
        <w:t>Evidence dimensions</w:t>
      </w:r>
      <w:bookmarkEnd w:id="117"/>
      <w:bookmarkEnd w:id="118"/>
    </w:p>
    <w:tbl>
      <w:tblPr>
        <w:tblW w:w="0" w:type="auto"/>
        <w:tblInd w:w="810" w:type="dxa"/>
        <w:tblBorders>
          <w:top w:val="single" w:sz="12" w:space="0" w:color="auto"/>
          <w:bottom w:val="single" w:sz="12" w:space="0" w:color="auto"/>
        </w:tblBorders>
        <w:tblLayout w:type="fixed"/>
        <w:tblLook w:val="0000" w:firstRow="0" w:lastRow="0" w:firstColumn="0" w:lastColumn="0" w:noHBand="0" w:noVBand="0"/>
      </w:tblPr>
      <w:tblGrid>
        <w:gridCol w:w="2058"/>
        <w:gridCol w:w="6120"/>
      </w:tblGrid>
      <w:tr w:rsidR="00BA4863" w:rsidRPr="00BB3C05" w:rsidTr="002F5F79">
        <w:tc>
          <w:tcPr>
            <w:tcW w:w="2058" w:type="dxa"/>
            <w:tcBorders>
              <w:top w:val="single" w:sz="12" w:space="0" w:color="auto"/>
              <w:bottom w:val="single" w:sz="4" w:space="0" w:color="auto"/>
            </w:tcBorders>
          </w:tcPr>
          <w:p w:rsidR="00BA4863" w:rsidRPr="00F13A5A" w:rsidRDefault="00BA4863" w:rsidP="00952C44">
            <w:pPr>
              <w:pStyle w:val="TableHeading"/>
            </w:pPr>
            <w:r w:rsidRPr="00F13A5A">
              <w:t>Type of evidence</w:t>
            </w:r>
          </w:p>
        </w:tc>
        <w:tc>
          <w:tcPr>
            <w:tcW w:w="6120" w:type="dxa"/>
            <w:tcBorders>
              <w:top w:val="single" w:sz="12" w:space="0" w:color="auto"/>
              <w:bottom w:val="single" w:sz="4" w:space="0" w:color="auto"/>
            </w:tcBorders>
          </w:tcPr>
          <w:p w:rsidR="00BA4863" w:rsidRPr="00E767D0" w:rsidRDefault="00BA4863" w:rsidP="00952C44">
            <w:pPr>
              <w:pStyle w:val="TableHeading"/>
            </w:pPr>
            <w:r w:rsidRPr="00E767D0">
              <w:t>Definition</w:t>
            </w:r>
          </w:p>
        </w:tc>
      </w:tr>
      <w:tr w:rsidR="00BA4863" w:rsidRPr="00BB3C05" w:rsidTr="002F5F79">
        <w:tc>
          <w:tcPr>
            <w:tcW w:w="2058" w:type="dxa"/>
            <w:tcBorders>
              <w:top w:val="single" w:sz="4" w:space="0" w:color="auto"/>
            </w:tcBorders>
          </w:tcPr>
          <w:p w:rsidR="00BA4863" w:rsidRPr="00BB3C05" w:rsidRDefault="00BA4863" w:rsidP="002C0029">
            <w:pPr>
              <w:pStyle w:val="TableText"/>
              <w:spacing w:before="0" w:after="0"/>
            </w:pPr>
            <w:r w:rsidRPr="00BB3C05">
              <w:t>Strength of the evidence</w:t>
            </w:r>
          </w:p>
          <w:p w:rsidR="00BA4863" w:rsidRPr="00BB3C05" w:rsidRDefault="00031005" w:rsidP="002C0029">
            <w:pPr>
              <w:pStyle w:val="TableText"/>
              <w:spacing w:before="0" w:after="0"/>
            </w:pPr>
            <w:r>
              <w:t xml:space="preserve">     </w:t>
            </w:r>
            <w:r w:rsidR="00BA4863" w:rsidRPr="00BB3C05">
              <w:t>Level</w:t>
            </w:r>
            <w:r w:rsidR="00BA4863" w:rsidRPr="00BB3C05">
              <w:br/>
            </w:r>
          </w:p>
          <w:p w:rsidR="00BA4863" w:rsidRPr="00BB3C05" w:rsidRDefault="00031005" w:rsidP="002C0029">
            <w:pPr>
              <w:pStyle w:val="TableText"/>
              <w:spacing w:before="0" w:after="0"/>
            </w:pPr>
            <w:r>
              <w:t xml:space="preserve">     </w:t>
            </w:r>
            <w:r w:rsidR="00BA4863" w:rsidRPr="00BB3C05">
              <w:t>Quality</w:t>
            </w:r>
          </w:p>
          <w:p w:rsidR="00BA4863" w:rsidRPr="00BB3C05" w:rsidRDefault="00031005" w:rsidP="002C0029">
            <w:pPr>
              <w:pStyle w:val="TableText"/>
              <w:spacing w:before="0" w:after="0"/>
            </w:pPr>
            <w:r>
              <w:t xml:space="preserve">     </w:t>
            </w:r>
            <w:r w:rsidR="00BA4863" w:rsidRPr="00BB3C05">
              <w:t>Statistical precision</w:t>
            </w:r>
          </w:p>
        </w:tc>
        <w:tc>
          <w:tcPr>
            <w:tcW w:w="6120" w:type="dxa"/>
            <w:tcBorders>
              <w:top w:val="single" w:sz="4" w:space="0" w:color="auto"/>
            </w:tcBorders>
          </w:tcPr>
          <w:p w:rsidR="00BA4863" w:rsidRPr="00BB3C05" w:rsidRDefault="00BA4863" w:rsidP="002C0029">
            <w:pPr>
              <w:pStyle w:val="TableText"/>
              <w:spacing w:before="0" w:after="0"/>
            </w:pPr>
          </w:p>
          <w:p w:rsidR="00BA4863" w:rsidRPr="00BB3C05" w:rsidRDefault="00BA4863" w:rsidP="002C0029">
            <w:pPr>
              <w:pStyle w:val="TableText"/>
              <w:spacing w:before="0" w:after="0"/>
            </w:pPr>
            <w:r w:rsidRPr="00BB3C05">
              <w:t>The study design used, as an indicator of the degree to which bias has been eliminated by design.</w:t>
            </w:r>
            <w:r w:rsidR="005C08AD" w:rsidRPr="005C08AD">
              <w:rPr>
                <w:vertAlign w:val="superscript"/>
              </w:rPr>
              <w:t>a</w:t>
            </w:r>
          </w:p>
          <w:p w:rsidR="00BA4863" w:rsidRPr="00BB3C05" w:rsidRDefault="00BA4863" w:rsidP="002C0029">
            <w:pPr>
              <w:pStyle w:val="TableText"/>
              <w:spacing w:before="0" w:after="0"/>
            </w:pPr>
            <w:r w:rsidRPr="00BB3C05">
              <w:t>The methods used by investigators to minimise bias within a study design.</w:t>
            </w:r>
          </w:p>
          <w:p w:rsidR="00BA4863" w:rsidRPr="00BB3C05" w:rsidRDefault="00BA4863" w:rsidP="002C0029">
            <w:pPr>
              <w:pStyle w:val="TableText"/>
              <w:spacing w:before="0" w:after="0"/>
            </w:pPr>
            <w:r w:rsidRPr="00BB3C05">
              <w:t xml:space="preserve">The </w:t>
            </w:r>
            <w:r w:rsidRPr="00BB3C05">
              <w:rPr>
                <w:i/>
              </w:rPr>
              <w:t>p</w:t>
            </w:r>
            <w:r w:rsidRPr="00BB3C05">
              <w:t>-value or, alternatively, the precision of the estimate of the effect. It reflects the degree of certainty about the existence of a true effect.</w:t>
            </w:r>
          </w:p>
          <w:p w:rsidR="002C0029" w:rsidRPr="00BB3C05" w:rsidRDefault="002C0029" w:rsidP="002C0029">
            <w:pPr>
              <w:pStyle w:val="TableText"/>
              <w:spacing w:before="0" w:after="0"/>
            </w:pPr>
          </w:p>
        </w:tc>
      </w:tr>
      <w:tr w:rsidR="00BA4863" w:rsidRPr="00BB3C05" w:rsidTr="002F5F79">
        <w:tc>
          <w:tcPr>
            <w:tcW w:w="2058" w:type="dxa"/>
          </w:tcPr>
          <w:p w:rsidR="00BA4863" w:rsidRPr="00BB3C05" w:rsidRDefault="00BA4863" w:rsidP="00952C44">
            <w:pPr>
              <w:pStyle w:val="TableText"/>
            </w:pPr>
            <w:r w:rsidRPr="00BB3C05">
              <w:t>Size of effect</w:t>
            </w:r>
          </w:p>
        </w:tc>
        <w:tc>
          <w:tcPr>
            <w:tcW w:w="6120" w:type="dxa"/>
          </w:tcPr>
          <w:p w:rsidR="00BA4863" w:rsidRPr="00BB3C05" w:rsidRDefault="00BA4863" w:rsidP="00952C44">
            <w:pPr>
              <w:pStyle w:val="TableText"/>
            </w:pPr>
            <w:r w:rsidRPr="00BB3C05">
              <w:t xml:space="preserve">The distance of the study estimate from the </w:t>
            </w:r>
            <w:r w:rsidR="00031005">
              <w:t>‘</w:t>
            </w:r>
            <w:r w:rsidRPr="00BB3C05">
              <w:t>null</w:t>
            </w:r>
            <w:r w:rsidR="00031005">
              <w:t>’</w:t>
            </w:r>
            <w:r w:rsidRPr="00BB3C05">
              <w:t xml:space="preserve"> value and the inclusion of only clinically important effects in the confidence interval.</w:t>
            </w:r>
          </w:p>
          <w:p w:rsidR="002C0029" w:rsidRPr="00BB3C05" w:rsidRDefault="002C0029" w:rsidP="00952C44">
            <w:pPr>
              <w:pStyle w:val="TableText"/>
            </w:pPr>
          </w:p>
        </w:tc>
      </w:tr>
      <w:tr w:rsidR="00BA4863" w:rsidRPr="00BB3C05" w:rsidTr="002F5F79">
        <w:tc>
          <w:tcPr>
            <w:tcW w:w="2058" w:type="dxa"/>
          </w:tcPr>
          <w:p w:rsidR="00BA4863" w:rsidRPr="00BB3C05" w:rsidRDefault="00BA4863" w:rsidP="00952C44">
            <w:pPr>
              <w:pStyle w:val="TableText"/>
            </w:pPr>
            <w:r w:rsidRPr="00BB3C05">
              <w:t>Relevance of evidence</w:t>
            </w:r>
          </w:p>
        </w:tc>
        <w:tc>
          <w:tcPr>
            <w:tcW w:w="6120" w:type="dxa"/>
          </w:tcPr>
          <w:p w:rsidR="00BA4863" w:rsidRPr="00BB3C05" w:rsidRDefault="00BA4863" w:rsidP="00952C44">
            <w:pPr>
              <w:pStyle w:val="TableText"/>
            </w:pPr>
            <w:r w:rsidRPr="00BB3C05">
              <w:t>The usefulness of the evidence in clinical practice, particularly the appropriateness of the outcome measures used.</w:t>
            </w:r>
          </w:p>
        </w:tc>
      </w:tr>
    </w:tbl>
    <w:p w:rsidR="00BA4863" w:rsidRPr="00BB3C05" w:rsidRDefault="005C08AD" w:rsidP="00641F14">
      <w:pPr>
        <w:pStyle w:val="TableNotes"/>
      </w:pPr>
      <w:proofErr w:type="gramStart"/>
      <w:r>
        <w:rPr>
          <w:lang w:val="en-AU"/>
        </w:rPr>
        <w:t xml:space="preserve">a </w:t>
      </w:r>
      <w:r w:rsidR="00641F14" w:rsidRPr="00BB3C05">
        <w:t xml:space="preserve"> See</w:t>
      </w:r>
      <w:proofErr w:type="gramEnd"/>
      <w:r w:rsidR="00641F14" w:rsidRPr="00BB3C05">
        <w:t xml:space="preserve"> </w:t>
      </w:r>
      <w:r w:rsidR="00031005">
        <w:rPr>
          <w:color w:val="FF0000"/>
        </w:rPr>
        <w:fldChar w:fldCharType="begin"/>
      </w:r>
      <w:r w:rsidR="00031005">
        <w:rPr>
          <w:color w:val="FF0000"/>
        </w:rPr>
        <w:instrText xml:space="preserve"> REF _Ref324943929 \h </w:instrText>
      </w:r>
      <w:r w:rsidR="00031005">
        <w:rPr>
          <w:color w:val="FF0000"/>
        </w:rPr>
      </w:r>
      <w:r w:rsidR="00031005">
        <w:rPr>
          <w:color w:val="FF0000"/>
        </w:rPr>
        <w:fldChar w:fldCharType="separate"/>
      </w:r>
      <w:r w:rsidR="0071544A">
        <w:t xml:space="preserve">Table </w:t>
      </w:r>
      <w:r w:rsidR="0071544A">
        <w:rPr>
          <w:noProof/>
        </w:rPr>
        <w:t>24</w:t>
      </w:r>
      <w:r w:rsidR="00031005">
        <w:rPr>
          <w:color w:val="FF0000"/>
        </w:rPr>
        <w:fldChar w:fldCharType="end"/>
      </w:r>
      <w:r w:rsidR="00031005">
        <w:rPr>
          <w:color w:val="FF0000"/>
        </w:rPr>
        <w:t>.</w:t>
      </w:r>
    </w:p>
    <w:p w:rsidR="00B479B0" w:rsidRPr="000B3829" w:rsidRDefault="00B479B0" w:rsidP="00FC35F9">
      <w:pPr>
        <w:pStyle w:val="Heading3"/>
      </w:pPr>
      <w:bookmarkStart w:id="119" w:name="_Toc124833662"/>
      <w:r w:rsidRPr="000B3829">
        <w:t>Strength of the evidence</w:t>
      </w:r>
    </w:p>
    <w:bookmarkEnd w:id="119"/>
    <w:p w:rsidR="00B479B0" w:rsidRPr="00E2422F" w:rsidRDefault="003756EE" w:rsidP="00CD3A22">
      <w:r w:rsidRPr="009E5C53">
        <w:t xml:space="preserve">The three sub-domains (level, quality and statistical precision) are collectively a measure of the strength of the evidence. </w:t>
      </w:r>
    </w:p>
    <w:p w:rsidR="00B479B0" w:rsidRPr="00892811" w:rsidRDefault="00B479B0" w:rsidP="00FC35F9">
      <w:pPr>
        <w:pStyle w:val="Heading4"/>
      </w:pPr>
      <w:r w:rsidRPr="00892811">
        <w:lastRenderedPageBreak/>
        <w:t>Level</w:t>
      </w:r>
    </w:p>
    <w:p w:rsidR="00E52A5B" w:rsidRPr="00A30BA9" w:rsidRDefault="003756EE" w:rsidP="00CD3A22">
      <w:r w:rsidRPr="008978EE">
        <w:t>The level of evidence reflects the effectiveness of a study design to answer a particular research question. Effectiveness is based on the probability that the design of the study has reduced or eliminated the impact of bias on the results.</w:t>
      </w:r>
      <w:r w:rsidR="00E52A5B" w:rsidRPr="00A30BA9">
        <w:t xml:space="preserve"> </w:t>
      </w:r>
    </w:p>
    <w:p w:rsidR="00E52A5B" w:rsidRPr="00E2422F" w:rsidRDefault="00E52A5B" w:rsidP="00CD3A22">
      <w:r w:rsidRPr="005646B6">
        <w:t xml:space="preserve">The NHMRC evidence hierarchy provides a ranking of various </w:t>
      </w:r>
      <w:r w:rsidRPr="00003831">
        <w:t xml:space="preserve">study designs (‘levels of evidence’) by the type of research question being </w:t>
      </w:r>
      <w:r w:rsidR="00542570" w:rsidRPr="00A87C52">
        <w:t>addressed</w:t>
      </w:r>
      <w:r w:rsidR="00E204BF" w:rsidRPr="00DF686C">
        <w:t xml:space="preserve"> (see</w:t>
      </w:r>
      <w:r w:rsidR="00D01B95">
        <w:t xml:space="preserve"> </w:t>
      </w:r>
      <w:r w:rsidR="00D01B95">
        <w:fldChar w:fldCharType="begin"/>
      </w:r>
      <w:r w:rsidR="00D01B95">
        <w:instrText xml:space="preserve"> REF _Ref324943929 \h </w:instrText>
      </w:r>
      <w:r w:rsidR="00D01B95">
        <w:fldChar w:fldCharType="separate"/>
      </w:r>
      <w:r w:rsidR="0071544A">
        <w:t xml:space="preserve">Table </w:t>
      </w:r>
      <w:r w:rsidR="0071544A">
        <w:rPr>
          <w:noProof/>
        </w:rPr>
        <w:t>24</w:t>
      </w:r>
      <w:r w:rsidR="00D01B95">
        <w:fldChar w:fldCharType="end"/>
      </w:r>
      <w:r w:rsidR="00E204BF" w:rsidRPr="009E5C53">
        <w:t>)</w:t>
      </w:r>
      <w:r w:rsidRPr="00E2422F">
        <w:t>.</w:t>
      </w:r>
    </w:p>
    <w:p w:rsidR="00720159" w:rsidRPr="00BB3C05" w:rsidRDefault="00D01B95" w:rsidP="00D01B95">
      <w:pPr>
        <w:pStyle w:val="Caption"/>
      </w:pPr>
      <w:bookmarkStart w:id="120" w:name="_Ref324943929"/>
      <w:bookmarkStart w:id="121" w:name="_Toc314226732"/>
      <w:bookmarkStart w:id="122" w:name="_Toc327522068"/>
      <w:r>
        <w:t xml:space="preserve">Table </w:t>
      </w:r>
      <w:fldSimple w:instr=" SEQ Table \* ARABIC ">
        <w:r w:rsidR="0071544A">
          <w:rPr>
            <w:noProof/>
          </w:rPr>
          <w:t>24</w:t>
        </w:r>
      </w:fldSimple>
      <w:bookmarkEnd w:id="120"/>
      <w:r w:rsidR="00CD3A22" w:rsidRPr="00BB3C05">
        <w:tab/>
      </w:r>
      <w:r w:rsidR="00720159" w:rsidRPr="00BB3C05">
        <w:t>Designations of levels of evidence according to type of research question.</w:t>
      </w:r>
      <w:bookmarkEnd w:id="121"/>
      <w:bookmarkEnd w:id="122"/>
    </w:p>
    <w:tbl>
      <w:tblPr>
        <w:tblW w:w="8333" w:type="dxa"/>
        <w:tblInd w:w="720" w:type="dxa"/>
        <w:tblBorders>
          <w:top w:val="single" w:sz="12" w:space="0" w:color="auto"/>
          <w:bottom w:val="single" w:sz="12" w:space="0" w:color="auto"/>
        </w:tblBorders>
        <w:tblLayout w:type="fixed"/>
        <w:tblLook w:val="01E0" w:firstRow="1" w:lastRow="1" w:firstColumn="1" w:lastColumn="1" w:noHBand="0" w:noVBand="0"/>
      </w:tblPr>
      <w:tblGrid>
        <w:gridCol w:w="664"/>
        <w:gridCol w:w="7669"/>
      </w:tblGrid>
      <w:tr w:rsidR="00CD4844" w:rsidRPr="00BB3C05" w:rsidTr="00D01B95">
        <w:trPr>
          <w:trHeight w:val="199"/>
        </w:trPr>
        <w:tc>
          <w:tcPr>
            <w:tcW w:w="664" w:type="dxa"/>
            <w:tcBorders>
              <w:top w:val="single" w:sz="12" w:space="0" w:color="auto"/>
              <w:bottom w:val="single" w:sz="4" w:space="0" w:color="auto"/>
            </w:tcBorders>
          </w:tcPr>
          <w:p w:rsidR="00CD4844" w:rsidRPr="00BB3C05" w:rsidRDefault="00CD4844" w:rsidP="00CD4844">
            <w:pPr>
              <w:pStyle w:val="TableHeading"/>
              <w:spacing w:before="0" w:after="0"/>
            </w:pPr>
            <w:bookmarkStart w:id="123" w:name="_Toc188861188"/>
            <w:r w:rsidRPr="00BB3C05">
              <w:t>Level</w:t>
            </w:r>
          </w:p>
        </w:tc>
        <w:tc>
          <w:tcPr>
            <w:tcW w:w="7669" w:type="dxa"/>
            <w:tcBorders>
              <w:top w:val="single" w:sz="12" w:space="0" w:color="auto"/>
              <w:bottom w:val="single" w:sz="4" w:space="0" w:color="auto"/>
            </w:tcBorders>
          </w:tcPr>
          <w:p w:rsidR="00CD4844" w:rsidRPr="00BB3C05" w:rsidRDefault="00CD4844" w:rsidP="00A049AD">
            <w:pPr>
              <w:pStyle w:val="TableHeading"/>
              <w:spacing w:before="0" w:after="0"/>
            </w:pPr>
            <w:r w:rsidRPr="00BB3C05">
              <w:t>Intervention</w:t>
            </w:r>
            <w:r w:rsidR="005C08AD">
              <w:rPr>
                <w:vertAlign w:val="superscript"/>
              </w:rPr>
              <w:t>a</w:t>
            </w:r>
          </w:p>
        </w:tc>
      </w:tr>
      <w:tr w:rsidR="00CD4844" w:rsidRPr="00BB3C05" w:rsidTr="00D01B95">
        <w:trPr>
          <w:trHeight w:val="413"/>
        </w:trPr>
        <w:tc>
          <w:tcPr>
            <w:tcW w:w="664" w:type="dxa"/>
            <w:tcBorders>
              <w:top w:val="single" w:sz="4" w:space="0" w:color="auto"/>
            </w:tcBorders>
          </w:tcPr>
          <w:p w:rsidR="00CD4844" w:rsidRPr="00BB3C05" w:rsidRDefault="00CD4844" w:rsidP="000029F2">
            <w:pPr>
              <w:pStyle w:val="TableHeading"/>
            </w:pPr>
            <w:r w:rsidRPr="00BB3C05">
              <w:t>I</w:t>
            </w:r>
            <w:r w:rsidR="005C08AD">
              <w:rPr>
                <w:vertAlign w:val="superscript"/>
              </w:rPr>
              <w:t>b</w:t>
            </w:r>
          </w:p>
        </w:tc>
        <w:tc>
          <w:tcPr>
            <w:tcW w:w="7669" w:type="dxa"/>
            <w:tcBorders>
              <w:top w:val="single" w:sz="4" w:space="0" w:color="auto"/>
            </w:tcBorders>
          </w:tcPr>
          <w:p w:rsidR="00CD4844" w:rsidRPr="00BB3C05" w:rsidRDefault="00CD4844" w:rsidP="00CD4844">
            <w:pPr>
              <w:pStyle w:val="TableText"/>
              <w:spacing w:before="0" w:after="0"/>
            </w:pPr>
            <w:r w:rsidRPr="00BB3C05">
              <w:t>A systematic review of level II studies</w:t>
            </w:r>
          </w:p>
          <w:p w:rsidR="00CD4844" w:rsidRPr="00BB3C05" w:rsidRDefault="00CD4844" w:rsidP="00CD4844">
            <w:pPr>
              <w:pStyle w:val="TableText"/>
              <w:spacing w:before="0" w:after="0"/>
            </w:pPr>
          </w:p>
        </w:tc>
      </w:tr>
      <w:tr w:rsidR="00CD4844" w:rsidRPr="00BB3C05" w:rsidTr="00D01B95">
        <w:trPr>
          <w:trHeight w:val="428"/>
        </w:trPr>
        <w:tc>
          <w:tcPr>
            <w:tcW w:w="664" w:type="dxa"/>
          </w:tcPr>
          <w:p w:rsidR="00CD4844" w:rsidRPr="00BB3C05" w:rsidRDefault="00CD4844" w:rsidP="000029F2">
            <w:pPr>
              <w:pStyle w:val="TableHeading"/>
            </w:pPr>
            <w:r w:rsidRPr="00BB3C05">
              <w:t>II</w:t>
            </w:r>
          </w:p>
        </w:tc>
        <w:tc>
          <w:tcPr>
            <w:tcW w:w="7669" w:type="dxa"/>
          </w:tcPr>
          <w:p w:rsidR="00CD4844" w:rsidRPr="00BB3C05" w:rsidRDefault="00CD4844" w:rsidP="00CD4844">
            <w:pPr>
              <w:pStyle w:val="TableText"/>
              <w:spacing w:before="0" w:after="0"/>
            </w:pPr>
            <w:r w:rsidRPr="00BB3C05">
              <w:t>A randomised controlled trial</w:t>
            </w:r>
          </w:p>
          <w:p w:rsidR="00CD4844" w:rsidRPr="00BB3C05" w:rsidRDefault="00CD4844" w:rsidP="00CD4844">
            <w:pPr>
              <w:pStyle w:val="TableText"/>
              <w:spacing w:before="0" w:after="0"/>
            </w:pPr>
          </w:p>
        </w:tc>
      </w:tr>
      <w:tr w:rsidR="00CD4844" w:rsidRPr="00BB3C05" w:rsidTr="00D01B95">
        <w:trPr>
          <w:trHeight w:val="413"/>
        </w:trPr>
        <w:tc>
          <w:tcPr>
            <w:tcW w:w="664" w:type="dxa"/>
          </w:tcPr>
          <w:p w:rsidR="00CD4844" w:rsidRPr="00BB3C05" w:rsidRDefault="00CD4844" w:rsidP="000029F2">
            <w:pPr>
              <w:pStyle w:val="TableHeading"/>
            </w:pPr>
            <w:r w:rsidRPr="00BB3C05">
              <w:t>III-1</w:t>
            </w:r>
          </w:p>
        </w:tc>
        <w:tc>
          <w:tcPr>
            <w:tcW w:w="7669" w:type="dxa"/>
          </w:tcPr>
          <w:p w:rsidR="00CD4844" w:rsidRPr="00BB3C05" w:rsidRDefault="00CD4844" w:rsidP="00CD4844">
            <w:pPr>
              <w:pStyle w:val="TableText"/>
              <w:spacing w:before="0" w:after="0"/>
            </w:pPr>
            <w:r w:rsidRPr="00BB3C05">
              <w:t>A pseudo</w:t>
            </w:r>
            <w:r w:rsidR="003A5436">
              <w:t>-</w:t>
            </w:r>
            <w:r w:rsidRPr="00BB3C05">
              <w:t>randomised controlled trial</w:t>
            </w:r>
            <w:r w:rsidR="003A5436">
              <w:t xml:space="preserve"> </w:t>
            </w:r>
            <w:r w:rsidRPr="00BB3C05">
              <w:t>(ie alternate allocation or some other method)</w:t>
            </w:r>
          </w:p>
          <w:p w:rsidR="00CD4844" w:rsidRPr="00BB3C05" w:rsidRDefault="00CD4844" w:rsidP="00CD4844">
            <w:pPr>
              <w:pStyle w:val="TableText"/>
              <w:spacing w:before="0" w:after="0"/>
            </w:pPr>
          </w:p>
        </w:tc>
      </w:tr>
      <w:tr w:rsidR="00CD4844" w:rsidRPr="00BB3C05" w:rsidTr="00D01B95">
        <w:trPr>
          <w:trHeight w:val="1268"/>
        </w:trPr>
        <w:tc>
          <w:tcPr>
            <w:tcW w:w="664" w:type="dxa"/>
          </w:tcPr>
          <w:p w:rsidR="00CD4844" w:rsidRPr="00BB3C05" w:rsidRDefault="00CD4844" w:rsidP="000029F2">
            <w:pPr>
              <w:pStyle w:val="TableHeading"/>
            </w:pPr>
            <w:r w:rsidRPr="00BB3C05">
              <w:t>III-2</w:t>
            </w:r>
          </w:p>
        </w:tc>
        <w:tc>
          <w:tcPr>
            <w:tcW w:w="7669" w:type="dxa"/>
          </w:tcPr>
          <w:p w:rsidR="00CD4844" w:rsidRPr="00BB3C05" w:rsidRDefault="00CD4844" w:rsidP="00CD4844">
            <w:pPr>
              <w:pStyle w:val="TableText"/>
              <w:spacing w:before="0" w:after="0"/>
            </w:pPr>
            <w:r w:rsidRPr="00BB3C05">
              <w:t>A comparative study with concurrent controls:</w:t>
            </w:r>
          </w:p>
          <w:p w:rsidR="00CD4844" w:rsidRPr="00BB3C05" w:rsidRDefault="00CD4844" w:rsidP="00CD4844">
            <w:pPr>
              <w:pStyle w:val="TableText"/>
              <w:spacing w:before="0" w:after="0"/>
            </w:pPr>
            <w:r w:rsidRPr="00BB3C05">
              <w:t xml:space="preserve">▪ </w:t>
            </w:r>
            <w:r w:rsidR="00405BE6" w:rsidRPr="00BB3C05">
              <w:t>non-randomised, experimental trial</w:t>
            </w:r>
            <w:r w:rsidR="005C08AD">
              <w:rPr>
                <w:vertAlign w:val="superscript"/>
              </w:rPr>
              <w:t>c</w:t>
            </w:r>
          </w:p>
          <w:p w:rsidR="00CD4844" w:rsidRPr="00BB3C05" w:rsidRDefault="00405BE6" w:rsidP="00CD4844">
            <w:pPr>
              <w:pStyle w:val="TableText"/>
              <w:spacing w:before="0" w:after="0"/>
            </w:pPr>
            <w:r w:rsidRPr="00BB3C05">
              <w:t>▪ cohort study</w:t>
            </w:r>
          </w:p>
          <w:p w:rsidR="00CD4844" w:rsidRPr="00BB3C05" w:rsidRDefault="00405BE6" w:rsidP="00CD4844">
            <w:pPr>
              <w:pStyle w:val="TableText"/>
              <w:spacing w:before="0" w:after="0"/>
            </w:pPr>
            <w:r w:rsidRPr="00BB3C05">
              <w:t>▪ case-control study</w:t>
            </w:r>
          </w:p>
          <w:p w:rsidR="00CD4844" w:rsidRPr="00BB3C05" w:rsidRDefault="00405BE6" w:rsidP="00CD4844">
            <w:pPr>
              <w:pStyle w:val="TableText"/>
              <w:spacing w:before="0" w:after="0"/>
            </w:pPr>
            <w:r w:rsidRPr="00BB3C05">
              <w:t xml:space="preserve">▪ interrupted </w:t>
            </w:r>
            <w:r w:rsidR="00CD4844" w:rsidRPr="00BB3C05">
              <w:t>time series with a control group</w:t>
            </w:r>
          </w:p>
          <w:p w:rsidR="00CD4844" w:rsidRPr="00BB3C05" w:rsidRDefault="00CD4844" w:rsidP="00CD4844">
            <w:pPr>
              <w:pStyle w:val="TableText"/>
              <w:spacing w:before="0" w:after="0"/>
            </w:pPr>
          </w:p>
        </w:tc>
      </w:tr>
      <w:tr w:rsidR="00CD4844" w:rsidRPr="00BB3C05" w:rsidTr="00D01B95">
        <w:trPr>
          <w:trHeight w:val="1054"/>
        </w:trPr>
        <w:tc>
          <w:tcPr>
            <w:tcW w:w="664" w:type="dxa"/>
          </w:tcPr>
          <w:p w:rsidR="00CD4844" w:rsidRPr="00BB3C05" w:rsidRDefault="00CD4844" w:rsidP="000029F2">
            <w:pPr>
              <w:pStyle w:val="TableHeading"/>
            </w:pPr>
            <w:r w:rsidRPr="00BB3C05">
              <w:t>III-3</w:t>
            </w:r>
          </w:p>
        </w:tc>
        <w:tc>
          <w:tcPr>
            <w:tcW w:w="7669" w:type="dxa"/>
          </w:tcPr>
          <w:p w:rsidR="00CD4844" w:rsidRPr="00BB3C05" w:rsidRDefault="00CD4844" w:rsidP="00CD4844">
            <w:pPr>
              <w:pStyle w:val="TableText"/>
              <w:spacing w:before="0" w:after="0"/>
            </w:pPr>
            <w:r w:rsidRPr="00BB3C05">
              <w:t>A comparative study without concurrent controls:</w:t>
            </w:r>
          </w:p>
          <w:p w:rsidR="00CD4844" w:rsidRPr="00BB3C05" w:rsidRDefault="00CD4844" w:rsidP="00CD4844">
            <w:pPr>
              <w:pStyle w:val="TableText"/>
              <w:spacing w:before="0" w:after="0"/>
            </w:pPr>
            <w:r w:rsidRPr="00BB3C05">
              <w:t xml:space="preserve">▪ </w:t>
            </w:r>
            <w:r w:rsidR="00405BE6" w:rsidRPr="00BB3C05">
              <w:t>historical control study</w:t>
            </w:r>
          </w:p>
          <w:p w:rsidR="00CD4844" w:rsidRPr="00BB3C05" w:rsidRDefault="00405BE6" w:rsidP="00CD4844">
            <w:pPr>
              <w:pStyle w:val="TableText"/>
              <w:spacing w:before="0" w:after="0"/>
            </w:pPr>
            <w:r w:rsidRPr="00BB3C05">
              <w:t>▪ two or more single arm study</w:t>
            </w:r>
            <w:r w:rsidR="005C08AD">
              <w:rPr>
                <w:vertAlign w:val="superscript"/>
              </w:rPr>
              <w:t>d</w:t>
            </w:r>
          </w:p>
          <w:p w:rsidR="00CD4844" w:rsidRPr="00BB3C05" w:rsidRDefault="00405BE6" w:rsidP="00CD4844">
            <w:pPr>
              <w:pStyle w:val="TableText"/>
              <w:spacing w:before="0" w:after="0"/>
            </w:pPr>
            <w:r w:rsidRPr="00BB3C05">
              <w:t xml:space="preserve">▪ interrupted time series </w:t>
            </w:r>
            <w:r w:rsidR="00CD4844" w:rsidRPr="00BB3C05">
              <w:t>without a parallel control group</w:t>
            </w:r>
          </w:p>
          <w:p w:rsidR="00CD4844" w:rsidRPr="00BB3C05" w:rsidRDefault="00CD4844" w:rsidP="00CD4844">
            <w:pPr>
              <w:pStyle w:val="TableText"/>
              <w:spacing w:before="0" w:after="0"/>
            </w:pPr>
          </w:p>
        </w:tc>
      </w:tr>
      <w:tr w:rsidR="00CD4844" w:rsidRPr="00BB3C05" w:rsidTr="00D01B95">
        <w:trPr>
          <w:trHeight w:val="305"/>
        </w:trPr>
        <w:tc>
          <w:tcPr>
            <w:tcW w:w="664" w:type="dxa"/>
          </w:tcPr>
          <w:p w:rsidR="00CD4844" w:rsidRPr="00BB3C05" w:rsidRDefault="00CD4844" w:rsidP="000029F2">
            <w:pPr>
              <w:pStyle w:val="TableHeading"/>
            </w:pPr>
            <w:r w:rsidRPr="00BB3C05">
              <w:t>IV</w:t>
            </w:r>
          </w:p>
        </w:tc>
        <w:tc>
          <w:tcPr>
            <w:tcW w:w="7669" w:type="dxa"/>
          </w:tcPr>
          <w:p w:rsidR="00CD4844" w:rsidRPr="00BB3C05" w:rsidRDefault="00CD4844" w:rsidP="00CD4844">
            <w:pPr>
              <w:pStyle w:val="TableText"/>
              <w:spacing w:before="0" w:after="0"/>
            </w:pPr>
            <w:r w:rsidRPr="00BB3C05">
              <w:t>Case series with either post-test or pre-test/post-test outcomes</w:t>
            </w:r>
          </w:p>
        </w:tc>
      </w:tr>
    </w:tbl>
    <w:p w:rsidR="00A66661" w:rsidRDefault="00A66661" w:rsidP="00952C44">
      <w:pPr>
        <w:pStyle w:val="TableNotes"/>
        <w:rPr>
          <w:szCs w:val="13"/>
          <w:vertAlign w:val="superscript"/>
        </w:rPr>
      </w:pPr>
      <w:r w:rsidRPr="00BB3C05">
        <w:t>Source:  NHMRC (2009)</w:t>
      </w:r>
    </w:p>
    <w:p w:rsidR="00ED61AA" w:rsidRPr="00BB3C05" w:rsidRDefault="005C08AD" w:rsidP="00952C44">
      <w:pPr>
        <w:pStyle w:val="TableNotes"/>
      </w:pPr>
      <w:proofErr w:type="gramStart"/>
      <w:r>
        <w:rPr>
          <w:szCs w:val="13"/>
          <w:lang w:val="en-AU"/>
        </w:rPr>
        <w:t>a</w:t>
      </w:r>
      <w:r w:rsidR="00325743">
        <w:rPr>
          <w:szCs w:val="13"/>
        </w:rPr>
        <w:t xml:space="preserve"> </w:t>
      </w:r>
      <w:r w:rsidR="00437A90" w:rsidRPr="00BB3C05">
        <w:rPr>
          <w:szCs w:val="13"/>
        </w:rPr>
        <w:t xml:space="preserve"> </w:t>
      </w:r>
      <w:r w:rsidR="00ED61AA" w:rsidRPr="00BB3C05">
        <w:t>Definitions</w:t>
      </w:r>
      <w:proofErr w:type="gramEnd"/>
      <w:r w:rsidR="00ED61AA" w:rsidRPr="00BB3C05">
        <w:t xml:space="preserve"> of these study designs are provided</w:t>
      </w:r>
      <w:r w:rsidR="00A66661">
        <w:t xml:space="preserve"> in NHMRC (2000)</w:t>
      </w:r>
      <w:r w:rsidR="00ED61AA" w:rsidRPr="00BB3C05">
        <w:t xml:space="preserve"> on pages 7-8</w:t>
      </w:r>
      <w:r w:rsidR="00A66661">
        <w:t>.</w:t>
      </w:r>
    </w:p>
    <w:p w:rsidR="00ED61AA" w:rsidRPr="00BB3C05" w:rsidRDefault="005C08AD" w:rsidP="00EF5024">
      <w:pPr>
        <w:pStyle w:val="TableNotes"/>
      </w:pPr>
      <w:proofErr w:type="gramStart"/>
      <w:r>
        <w:rPr>
          <w:szCs w:val="13"/>
          <w:lang w:val="en-AU"/>
        </w:rPr>
        <w:t>b</w:t>
      </w:r>
      <w:r w:rsidR="00ED61AA" w:rsidRPr="00BB3C05">
        <w:rPr>
          <w:szCs w:val="13"/>
        </w:rPr>
        <w:t xml:space="preserve"> </w:t>
      </w:r>
      <w:r w:rsidR="00325743">
        <w:rPr>
          <w:szCs w:val="13"/>
        </w:rPr>
        <w:t xml:space="preserve"> </w:t>
      </w:r>
      <w:r w:rsidR="00ED61AA" w:rsidRPr="00BB3C05">
        <w:t>A</w:t>
      </w:r>
      <w:proofErr w:type="gramEnd"/>
      <w:r w:rsidR="00ED61AA" w:rsidRPr="00BB3C05">
        <w:t xml:space="preserve"> systematic review will only be assigned a level of evidence as high as the studies it contains, excepting where those studies are of level II evidence. Systematic reviews of level II evidence provide more data than the individual studies and any meta-analyses will increase the precision of the overall results, reducing the likelihood that the results are affected by chance. Systematic reviews of lower level evidence present results of likely poor internal validity and thus are rated on the likelihood that the results have been affected by bias, rather than whether the systematic review itself is of good quality. Systematic review quality should be assessed separately. A systematic review should consist of at least two studies. In systematic reviews that include different study designs, the overall level of evidence should relate to each individual outcome/result, as different studies (and study designs) might contribute to each different outcome.</w:t>
      </w:r>
    </w:p>
    <w:p w:rsidR="00ED61AA" w:rsidRPr="00BB3C05" w:rsidRDefault="005C08AD" w:rsidP="00952C44">
      <w:pPr>
        <w:pStyle w:val="TableNotes"/>
      </w:pPr>
      <w:proofErr w:type="gramStart"/>
      <w:r>
        <w:rPr>
          <w:szCs w:val="13"/>
          <w:lang w:val="en-AU"/>
        </w:rPr>
        <w:t>c</w:t>
      </w:r>
      <w:r w:rsidR="00437A90" w:rsidRPr="00BB3C05">
        <w:rPr>
          <w:szCs w:val="13"/>
        </w:rPr>
        <w:t xml:space="preserve"> </w:t>
      </w:r>
      <w:r w:rsidR="00325743">
        <w:rPr>
          <w:szCs w:val="13"/>
        </w:rPr>
        <w:t xml:space="preserve"> </w:t>
      </w:r>
      <w:r w:rsidR="00437A90" w:rsidRPr="00BB3C05">
        <w:rPr>
          <w:szCs w:val="13"/>
        </w:rPr>
        <w:t>This</w:t>
      </w:r>
      <w:proofErr w:type="gramEnd"/>
      <w:r w:rsidR="00ED61AA" w:rsidRPr="00BB3C05">
        <w:t xml:space="preserve"> also includes controlled before-and-after (pre-test/post-test) studies, as well as a</w:t>
      </w:r>
      <w:r w:rsidR="009E5DD8" w:rsidRPr="00BB3C05">
        <w:t>djusted indirect comparisons (i</w:t>
      </w:r>
      <w:r w:rsidR="00A66661">
        <w:t>e</w:t>
      </w:r>
      <w:r w:rsidR="00ED61AA" w:rsidRPr="00BB3C05">
        <w:t xml:space="preserve"> utilise A vs B and B vs C, to determine A vs C with statistical adjustment for B).</w:t>
      </w:r>
    </w:p>
    <w:p w:rsidR="00ED61AA" w:rsidRPr="00BB3C05" w:rsidRDefault="005C08AD" w:rsidP="00952C44">
      <w:pPr>
        <w:pStyle w:val="TableNotes"/>
      </w:pPr>
      <w:proofErr w:type="gramStart"/>
      <w:r>
        <w:rPr>
          <w:szCs w:val="13"/>
          <w:lang w:val="en-AU"/>
        </w:rPr>
        <w:t>d</w:t>
      </w:r>
      <w:r w:rsidR="004534F3" w:rsidRPr="00BB3C05">
        <w:rPr>
          <w:szCs w:val="13"/>
        </w:rPr>
        <w:t xml:space="preserve"> </w:t>
      </w:r>
      <w:r w:rsidR="00325743">
        <w:rPr>
          <w:szCs w:val="13"/>
        </w:rPr>
        <w:t xml:space="preserve"> </w:t>
      </w:r>
      <w:r w:rsidR="009E5DD8" w:rsidRPr="00BB3C05">
        <w:t>Comparing</w:t>
      </w:r>
      <w:proofErr w:type="gramEnd"/>
      <w:r w:rsidR="009E5DD8" w:rsidRPr="00BB3C05">
        <w:t xml:space="preserve"> single</w:t>
      </w:r>
      <w:r w:rsidR="00DE2782">
        <w:t>-</w:t>
      </w:r>
      <w:r w:rsidR="009E5DD8" w:rsidRPr="00BB3C05">
        <w:t>arm studies i</w:t>
      </w:r>
      <w:r w:rsidR="00A66661">
        <w:t>e</w:t>
      </w:r>
      <w:r w:rsidR="00ED61AA" w:rsidRPr="00BB3C05">
        <w:t xml:space="preserve"> case series from two studies. This would also include una</w:t>
      </w:r>
      <w:r w:rsidR="009E5DD8" w:rsidRPr="00BB3C05">
        <w:t>djusted indirect comparisons (i</w:t>
      </w:r>
      <w:r w:rsidR="00A66661">
        <w:t>e</w:t>
      </w:r>
      <w:r w:rsidR="00ED61AA" w:rsidRPr="00BB3C05">
        <w:t xml:space="preserve"> utilise A vs B and B vs C, to determine A vs C but where there is no statistical adjustment for B).</w:t>
      </w:r>
    </w:p>
    <w:p w:rsidR="00ED61AA" w:rsidRPr="00BB3C05" w:rsidRDefault="00ED61AA" w:rsidP="00D67F1E">
      <w:pPr>
        <w:pStyle w:val="TableNotes"/>
      </w:pPr>
      <w:r w:rsidRPr="00BB3C05">
        <w:t xml:space="preserve">Note A: Assessment of comparative harms/safety should occur according to the hierarchy presented for each of the research questions, with the proviso that this assessment occurs within the context of the </w:t>
      </w:r>
      <w:r w:rsidR="009E5DD8" w:rsidRPr="00BB3C05">
        <w:t>topic being assessed. Some harms</w:t>
      </w:r>
      <w:r w:rsidRPr="00BB3C05">
        <w:t xml:space="preserve"> are rare and cannot feasibly be captured within randomised controlled trials; physical harms and psychological harms may need to be addressed by different study designs; harms from diagnostic testing include the likelihood of false positive and false negative results; harms from screening include the likelihood of false alarm and false reassurance results.</w:t>
      </w:r>
    </w:p>
    <w:p w:rsidR="002003A2" w:rsidRPr="00BB3C05" w:rsidRDefault="00ED61AA" w:rsidP="00007F2C">
      <w:pPr>
        <w:pStyle w:val="TableNotes"/>
        <w:rPr>
          <w:szCs w:val="22"/>
        </w:rPr>
      </w:pPr>
      <w:r w:rsidRPr="00BB3C05">
        <w:t xml:space="preserve">Note B: When a level of evidence is attributed in the text of a document, it should also be framed according to its corresponding research question </w:t>
      </w:r>
      <w:r w:rsidR="00CE0D06">
        <w:t>eg</w:t>
      </w:r>
      <w:r w:rsidRPr="00BB3C05">
        <w:t xml:space="preserve"> level II intervention evidence</w:t>
      </w:r>
      <w:r w:rsidR="00DE2782">
        <w:t>,</w:t>
      </w:r>
      <w:r w:rsidRPr="00BB3C05">
        <w:t xml:space="preserve"> level IV diagnostic evidence</w:t>
      </w:r>
      <w:r w:rsidR="00DE2782">
        <w:t>,</w:t>
      </w:r>
      <w:r w:rsidRPr="00BB3C05">
        <w:t xml:space="preserve"> level III-2 prognostic evidence.</w:t>
      </w:r>
      <w:bookmarkEnd w:id="123"/>
    </w:p>
    <w:p w:rsidR="00E56B21" w:rsidRPr="00BB3C05" w:rsidRDefault="00E56B21" w:rsidP="00FC35F9">
      <w:pPr>
        <w:pStyle w:val="Heading4"/>
      </w:pPr>
      <w:r w:rsidRPr="00BB3C05">
        <w:t>Quality</w:t>
      </w:r>
    </w:p>
    <w:p w:rsidR="0051176B" w:rsidRPr="00892811" w:rsidRDefault="0032733E" w:rsidP="0032733E">
      <w:r w:rsidRPr="00BB3C05">
        <w:t xml:space="preserve">Included </w:t>
      </w:r>
      <w:r w:rsidR="000404D4" w:rsidRPr="00BB3C05">
        <w:t xml:space="preserve">comparative </w:t>
      </w:r>
      <w:r w:rsidRPr="00BB3C05">
        <w:t xml:space="preserve">studies were critically appraised for study quality according to the guidelines in Chapter 8 of the </w:t>
      </w:r>
      <w:r w:rsidRPr="005C55C9">
        <w:rPr>
          <w:i/>
        </w:rPr>
        <w:t>Cochrane Handbook</w:t>
      </w:r>
      <w:r w:rsidR="00A66661" w:rsidRPr="005C55C9">
        <w:rPr>
          <w:i/>
        </w:rPr>
        <w:t xml:space="preserve"> for Systematic Reviews of </w:t>
      </w:r>
      <w:r w:rsidR="00A66661" w:rsidRPr="00A66661">
        <w:rPr>
          <w:i/>
        </w:rPr>
        <w:t>Interventions</w:t>
      </w:r>
      <w:r w:rsidRPr="00BB3C05">
        <w:t xml:space="preserve"> (</w:t>
      </w:r>
      <w:r w:rsidR="00DE2782">
        <w:t xml:space="preserve">eds </w:t>
      </w:r>
      <w:hyperlink w:anchor="_ENREF_90" w:tooltip="Higgins, 2011 #70" w:history="1">
        <w:r w:rsidRPr="000B3829">
          <w:fldChar w:fldCharType="begin"/>
        </w:r>
        <w:r w:rsidRPr="000B3829">
          <w:instrText xml:space="preserve"> ADDIN EN.CITE &lt;EndNote&gt;&lt;Cite&gt;&lt;Author&gt;Higgins&lt;/Author&gt;&lt;Year&gt;2011&lt;/Year&gt;&lt;RecNum&gt;70&lt;/RecNum&gt;&lt;DisplayText&gt;Higgins &amp;amp; Green 2011&lt;/DisplayText&gt;&lt;record&gt;&lt;rec-number&gt;70&lt;/rec-number&gt;&lt;foreign-keys&gt;&lt;key app="EN" db-id="edx5zx22hsss50eddz5x5tvkev0s59wasde9"&gt;70&lt;/key&gt;&lt;/foreign-keys&gt;&lt;ref-type name="Edited Book"&gt;28&lt;/ref-type&gt;&lt;contributors&gt;&lt;authors&gt;&lt;author&gt;Higgins, J.P.T.&lt;/author&gt;&lt;author&gt;Green, S.&lt;/author&gt;&lt;/authors&gt;&lt;/contributors&gt;&lt;titles&gt;&lt;title&gt;Cochrane Handbook for Systematic Reviews of Interventions &lt;/title&gt;&lt;secondary-title&gt;Version 5.1.0  [updated March 2011]&lt;/secondary-title&gt;&lt;/titles&gt;&lt;edition&gt;Version 5.1.0&lt;/edition&gt;&lt;dates&gt;&lt;year&gt;2011&lt;/year&gt;&lt;pub-dates&gt;&lt;date&gt;[updated March 2011] &lt;/date&gt;&lt;/pub-dates&gt;&lt;/dates&gt;&lt;publisher&gt;The Cochrane Collaboration&lt;/publisher&gt;&lt;urls&gt;&lt;/urls&gt;&lt;/record&gt;&lt;/Cite&gt;&lt;/EndNote&gt;</w:instrText>
        </w:r>
        <w:r w:rsidRPr="000B3829">
          <w:fldChar w:fldCharType="separate"/>
        </w:r>
        <w:r w:rsidRPr="000B3829">
          <w:rPr>
            <w:noProof/>
          </w:rPr>
          <w:t>Higgins and Green 2011</w:t>
        </w:r>
        <w:r w:rsidRPr="000B3829">
          <w:fldChar w:fldCharType="end"/>
        </w:r>
      </w:hyperlink>
      <w:r w:rsidRPr="009E5C53">
        <w:t xml:space="preserve">). Included </w:t>
      </w:r>
      <w:r w:rsidRPr="00892811">
        <w:t>RCTs</w:t>
      </w:r>
      <w:r w:rsidRPr="008978EE">
        <w:t xml:space="preserve"> were e</w:t>
      </w:r>
      <w:r w:rsidRPr="00A30BA9">
        <w:t xml:space="preserve">xamined with respect to the adequacy of allocation concealment and blinding (if </w:t>
      </w:r>
      <w:r w:rsidR="00A66661">
        <w:t>appropriate</w:t>
      </w:r>
      <w:r w:rsidRPr="00A30BA9">
        <w:t xml:space="preserve">), handling of losses to follow-up, and any other aspect of study design or execution that may have introduced bias, with reference to the </w:t>
      </w:r>
      <w:r w:rsidRPr="000B3829">
        <w:t>Consolidated Standards of Reporting Trials</w:t>
      </w:r>
      <w:r w:rsidRPr="009E5C53">
        <w:t xml:space="preserve"> (CONSORT) statement (</w:t>
      </w:r>
      <w:hyperlink w:anchor="_ENREF_5" w:tooltip="Altman, 2001 #71" w:history="1">
        <w:r w:rsidRPr="000B3829">
          <w:fldChar w:fldCharType="begin"/>
        </w:r>
        <w:r w:rsidRPr="000B3829">
          <w:instrText xml:space="preserve"> ADDIN EN.CITE &lt;EndNote&gt;&lt;Cite&gt;&lt;Author&gt;Altman&lt;/Author&gt;&lt;Year&gt;2001&lt;/Year&gt;&lt;RecNum&gt;71&lt;/RecNum&gt;&lt;DisplayText&gt;Altman et al 2001&lt;/DisplayText&gt;&lt;record&gt;&lt;rec-number&gt;71&lt;/rec-number&gt;&lt;foreign-keys&gt;&lt;key app="EN" db-id="edx5zx22hsss50eddz5x5tvkev0s59wasde9"&gt;71&lt;/key&gt;&lt;/foreign-keys&gt;&lt;ref-type name="Journal Article"&gt;17&lt;/ref-type&gt;&lt;contributors&gt;&lt;authors&gt;&lt;author&gt;Altman, D.G.&lt;/author&gt;&lt;author&gt;Schulz, K.F.&lt;/author&gt;&lt;author&gt;Moher, D.&lt;/author&gt;&lt;author&gt;Egger, M.&lt;/author&gt;&lt;author&gt;Davidoff, F.&lt;/author&gt;&lt;author&gt;Elbourne, D.&lt;/author&gt;&lt;author&gt;Gøtzsche, P.C.&lt;/author&gt;&lt;author&gt;Lang, T.&lt;/author&gt;&lt;/authors&gt;&lt;/contributors&gt;&lt;titles&gt;&lt;title&gt;The revised CONSORT statement for reporting randomized trials: explanation and elaboration&lt;/title&gt;&lt;secondary-title&gt;Ann Intern Med&lt;/secondary-title&gt;&lt;/titles&gt;&lt;periodical&gt;&lt;full-title&gt;Ann Intern Med&lt;/full-title&gt;&lt;/periodical&gt;&lt;pages&gt;663-694&lt;/pages&gt;&lt;volume&gt;134&lt;/volume&gt;&lt;number&gt;8&lt;/number&gt;&lt;dates&gt;&lt;year&gt;2001&lt;/year&gt;&lt;/dates&gt;&lt;urls&gt;&lt;/urls&gt;&lt;/record&gt;&lt;/Cite&gt;&lt;/EndNote&gt;</w:instrText>
        </w:r>
        <w:r w:rsidRPr="000B3829">
          <w:fldChar w:fldCharType="separate"/>
        </w:r>
        <w:r w:rsidRPr="000B3829">
          <w:rPr>
            <w:noProof/>
          </w:rPr>
          <w:t>Altman et al 2001</w:t>
        </w:r>
        <w:r w:rsidRPr="000B3829">
          <w:fldChar w:fldCharType="end"/>
        </w:r>
      </w:hyperlink>
      <w:r w:rsidRPr="009E5C53">
        <w:t>).</w:t>
      </w:r>
      <w:r w:rsidRPr="00E2422F">
        <w:t xml:space="preserve"> </w:t>
      </w:r>
      <w:r w:rsidR="0051176B" w:rsidRPr="00892811">
        <w:t xml:space="preserve">Non-randomised comparative studies and case series were evaluated for the method of patient selection, completeness of follow-up and any other feature of the study design or execution that may have introduced bias. </w:t>
      </w:r>
    </w:p>
    <w:p w:rsidR="0032733E" w:rsidRPr="00003831" w:rsidRDefault="0032733E" w:rsidP="0032733E">
      <w:r w:rsidRPr="008978EE">
        <w:lastRenderedPageBreak/>
        <w:t xml:space="preserve">Two </w:t>
      </w:r>
      <w:r w:rsidR="00A66661">
        <w:t xml:space="preserve">reviewers independently </w:t>
      </w:r>
      <w:r w:rsidRPr="008978EE">
        <w:t>appraised each of the included studies</w:t>
      </w:r>
      <w:r w:rsidRPr="005646B6">
        <w:t>, and any differences in interpretation were resolved through discussion. A quality score was not assigned</w:t>
      </w:r>
      <w:r w:rsidR="00B463D8">
        <w:t>;</w:t>
      </w:r>
      <w:r w:rsidRPr="005646B6">
        <w:t xml:space="preserve"> instead the quality of the included studies was described in a narrative </w:t>
      </w:r>
      <w:r w:rsidRPr="00003831">
        <w:t>fashion, and any important quality issues were highlighted in the discussion of outcomes.</w:t>
      </w:r>
    </w:p>
    <w:p w:rsidR="00E56B21" w:rsidRPr="00003831" w:rsidRDefault="00E56B21" w:rsidP="00FC35F9">
      <w:pPr>
        <w:pStyle w:val="Heading4"/>
      </w:pPr>
      <w:r w:rsidRPr="00003831">
        <w:t>Statistical precision</w:t>
      </w:r>
    </w:p>
    <w:p w:rsidR="00E52A5B" w:rsidRPr="008978EE" w:rsidRDefault="00E56B21" w:rsidP="00667777">
      <w:r w:rsidRPr="00A87C52">
        <w:t xml:space="preserve">Statistical precision was determined using statistical principles. Small confidence intervals and </w:t>
      </w:r>
      <w:r w:rsidRPr="0007443E">
        <w:rPr>
          <w:i/>
        </w:rPr>
        <w:t>p</w:t>
      </w:r>
      <w:r w:rsidRPr="00A87C52">
        <w:t>-values give an indication as to t</w:t>
      </w:r>
      <w:r w:rsidRPr="00DF686C">
        <w:t xml:space="preserve">he </w:t>
      </w:r>
      <w:r w:rsidR="000404D4" w:rsidRPr="00DF686C">
        <w:t xml:space="preserve">likelihood </w:t>
      </w:r>
      <w:r w:rsidRPr="00DF686C">
        <w:t xml:space="preserve">that the reported effect is real and not attributable to chance </w:t>
      </w:r>
      <w:r w:rsidRPr="00E2422F">
        <w:fldChar w:fldCharType="begin"/>
      </w:r>
      <w:r w:rsidRPr="007D0320">
        <w:instrText xml:space="preserve"> ADDIN EN.CITE &lt;EndNote&gt;&lt;Cite&gt;&lt;Author&gt;NHMRC&lt;/Author&gt;&lt;Year&gt;2000&lt;/Year&gt;&lt;RecNum&gt;25&lt;/RecNum&gt;&lt;record&gt;&lt;rec-number&gt;25&lt;/rec-number&gt;&lt;ref-type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Pr="00E2422F">
        <w:fldChar w:fldCharType="separate"/>
      </w:r>
      <w:r w:rsidRPr="00E2422F">
        <w:t>(NHMRC 2000)</w:t>
      </w:r>
      <w:r w:rsidRPr="00E2422F">
        <w:fldChar w:fldCharType="end"/>
      </w:r>
      <w:r w:rsidRPr="009E5C53">
        <w:t>. Studies need</w:t>
      </w:r>
      <w:r w:rsidR="00864E43">
        <w:t>ed</w:t>
      </w:r>
      <w:r w:rsidRPr="009E5C53">
        <w:t xml:space="preserve"> to be appropriately </w:t>
      </w:r>
      <w:r w:rsidR="000404D4" w:rsidRPr="00E2422F">
        <w:t xml:space="preserve">powered </w:t>
      </w:r>
      <w:r w:rsidRPr="00892811">
        <w:t xml:space="preserve">to ensure that a real difference between groups </w:t>
      </w:r>
      <w:r w:rsidR="00864E43">
        <w:t>would</w:t>
      </w:r>
      <w:r w:rsidR="00864E43" w:rsidRPr="00892811">
        <w:t xml:space="preserve"> </w:t>
      </w:r>
      <w:r w:rsidRPr="00892811">
        <w:t>be detected in the statistical analysis.</w:t>
      </w:r>
    </w:p>
    <w:p w:rsidR="008E22DE" w:rsidRPr="007D0320" w:rsidRDefault="008E22DE" w:rsidP="00FC35F9">
      <w:pPr>
        <w:pStyle w:val="Heading3"/>
      </w:pPr>
      <w:bookmarkStart w:id="124" w:name="_Toc124833665"/>
      <w:bookmarkStart w:id="125" w:name="_Toc134415510"/>
      <w:r w:rsidRPr="007D0320">
        <w:t>Size of effect</w:t>
      </w:r>
      <w:bookmarkEnd w:id="124"/>
      <w:bookmarkEnd w:id="125"/>
    </w:p>
    <w:p w:rsidR="008E22DE" w:rsidRPr="00E767D0" w:rsidRDefault="008E22DE" w:rsidP="00776092">
      <w:r w:rsidRPr="009E5C53">
        <w:t xml:space="preserve">For </w:t>
      </w:r>
      <w:r w:rsidR="000404D4" w:rsidRPr="00E2422F">
        <w:t xml:space="preserve">the comparative </w:t>
      </w:r>
      <w:r w:rsidRPr="00892811">
        <w:t>studies</w:t>
      </w:r>
      <w:r w:rsidR="000404D4" w:rsidRPr="008978EE">
        <w:t>,</w:t>
      </w:r>
      <w:r w:rsidRPr="008978EE">
        <w:t xml:space="preserve"> it was important to assess whether statistically significa</w:t>
      </w:r>
      <w:r w:rsidRPr="00A30BA9">
        <w:t xml:space="preserve">nt differences </w:t>
      </w:r>
      <w:r w:rsidR="00FB531B" w:rsidRPr="005646B6">
        <w:t xml:space="preserve">between the </w:t>
      </w:r>
      <w:r w:rsidR="000404D4" w:rsidRPr="00003831">
        <w:t>treatment</w:t>
      </w:r>
      <w:r w:rsidR="00737993">
        <w:t>s</w:t>
      </w:r>
      <w:r w:rsidR="000404D4" w:rsidRPr="00003831">
        <w:t xml:space="preserve"> </w:t>
      </w:r>
      <w:r w:rsidR="00FB531B" w:rsidRPr="00A87C52">
        <w:t>were</w:t>
      </w:r>
      <w:r w:rsidRPr="00DF686C">
        <w:t xml:space="preserve"> also clinically important. The </w:t>
      </w:r>
      <w:r w:rsidR="00B463D8">
        <w:t xml:space="preserve">minimum effect </w:t>
      </w:r>
      <w:r w:rsidRPr="00DF686C">
        <w:t xml:space="preserve">size </w:t>
      </w:r>
      <w:r w:rsidR="00B463D8">
        <w:t>and</w:t>
      </w:r>
      <w:r w:rsidRPr="00DF686C">
        <w:t xml:space="preserve"> whether the 95</w:t>
      </w:r>
      <w:r w:rsidR="00A148C0">
        <w:t xml:space="preserve"> </w:t>
      </w:r>
      <w:r w:rsidR="00864E43">
        <w:t>per cent</w:t>
      </w:r>
      <w:r w:rsidR="00864E43" w:rsidRPr="00DF686C">
        <w:t xml:space="preserve"> </w:t>
      </w:r>
      <w:r w:rsidRPr="00DF686C">
        <w:t>confidence interval include</w:t>
      </w:r>
      <w:r w:rsidR="00FB531B" w:rsidRPr="00F13A5A">
        <w:t>d</w:t>
      </w:r>
      <w:r w:rsidRPr="00E767D0">
        <w:t xml:space="preserve"> only clinically important effects</w:t>
      </w:r>
      <w:r w:rsidR="00B463D8">
        <w:t xml:space="preserve"> were determined for each study by the study authors</w:t>
      </w:r>
      <w:r w:rsidRPr="00E767D0">
        <w:t xml:space="preserve">. </w:t>
      </w:r>
    </w:p>
    <w:p w:rsidR="008E22DE" w:rsidRPr="007D0320" w:rsidRDefault="008E22DE" w:rsidP="00FC35F9">
      <w:pPr>
        <w:pStyle w:val="Heading3"/>
      </w:pPr>
      <w:bookmarkStart w:id="126" w:name="_Toc124833666"/>
      <w:bookmarkStart w:id="127" w:name="_Toc134415511"/>
      <w:r w:rsidRPr="007D0320">
        <w:t>Relevance of evidence</w:t>
      </w:r>
      <w:bookmarkEnd w:id="126"/>
      <w:bookmarkEnd w:id="127"/>
    </w:p>
    <w:p w:rsidR="008E22DE" w:rsidRPr="00E2422F" w:rsidRDefault="00FB531B" w:rsidP="00776092">
      <w:r w:rsidRPr="009E5C53">
        <w:t>T</w:t>
      </w:r>
      <w:r w:rsidR="008E22DE" w:rsidRPr="00E2422F">
        <w:t>he</w:t>
      </w:r>
      <w:r w:rsidR="008E22DE" w:rsidRPr="00892811">
        <w:t xml:space="preserve"> outcome</w:t>
      </w:r>
      <w:r w:rsidRPr="008978EE">
        <w:t>s</w:t>
      </w:r>
      <w:r w:rsidR="008E22DE" w:rsidRPr="008978EE">
        <w:t xml:space="preserve"> being measured</w:t>
      </w:r>
      <w:r w:rsidRPr="00A30BA9">
        <w:t xml:space="preserve"> </w:t>
      </w:r>
      <w:r w:rsidR="008E22DE" w:rsidRPr="005646B6">
        <w:t>should be appropriate and clinically relevant. Inadequately validated (predictive) surrogate measures of a clinically relevant outcome should be avoided</w:t>
      </w:r>
      <w:r w:rsidR="007A1C6E" w:rsidRPr="00003831">
        <w:t xml:space="preserve"> </w:t>
      </w:r>
      <w:r w:rsidR="00484F13" w:rsidRPr="00E2422F">
        <w:fldChar w:fldCharType="begin"/>
      </w:r>
      <w:r w:rsidR="00484F13" w:rsidRPr="007D0320">
        <w:instrText xml:space="preserve"> ADDIN EN.CITE &lt;EndNote&gt;&lt;Cite&gt;&lt;Author&gt;NHMRC&lt;/Author&gt;&lt;Year&gt;2000&lt;/Year&gt;&lt;RecNum&gt;25&lt;/RecNum&gt;&lt;record&gt;&lt;rec-number&gt;25&lt;/rec-number&gt;&lt;ref-type name="Report"&gt;27&lt;/ref-type&gt;&lt;contributors&gt;&lt;authors&gt;&lt;author&gt;NHMRC,&lt;/author&gt;&lt;/authors&gt;&lt;/contributors&gt;&lt;titles&gt;&lt;title&gt;How to use the evidence: assessment and application of scientific evidence&lt;/title&gt;&lt;/titles&gt;&lt;pages&gt;84&lt;/pages&gt;&lt;keywords&gt;&lt;keyword&gt;Practice guidelines&lt;/keyword&gt;&lt;keyword&gt;Review literature&lt;/keyword&gt;&lt;keyword&gt;Australia&lt;/keyword&gt;&lt;keyword&gt;Evidence-Based Medicine&lt;/keyword&gt;&lt;/keywords&gt;&lt;dates&gt;&lt;year&gt;2000&lt;/year&gt;&lt;pub-dates&gt;&lt;date&gt;February 2000&lt;/date&gt;&lt;/pub-dates&gt;&lt;/dates&gt;&lt;pub-location&gt;Canberra&lt;/pub-location&gt;&lt;publisher&gt;National Health and Medical Research Council&lt;/publisher&gt;&lt;call-num&gt;SHELF 7&lt;/call-num&gt;&lt;label&gt;evidence ; treatment path ; clinical decisions ; guidelines; methodology; health technology;&lt;/label&gt;&lt;work-type&gt;Handbook series on preparing clinical practice guidelines&lt;/work-type&gt;&lt;urls&gt;&lt;/urls&gt;&lt;/record&gt;&lt;/Cite&gt;&lt;/EndNote&gt;</w:instrText>
      </w:r>
      <w:r w:rsidR="00484F13" w:rsidRPr="00E2422F">
        <w:fldChar w:fldCharType="separate"/>
      </w:r>
      <w:r w:rsidR="00484F13" w:rsidRPr="00E2422F">
        <w:t>(NHMRC 2000)</w:t>
      </w:r>
      <w:r w:rsidR="00484F13" w:rsidRPr="00E2422F">
        <w:fldChar w:fldCharType="end"/>
      </w:r>
      <w:r w:rsidR="008E22DE" w:rsidRPr="009E5C53">
        <w:t xml:space="preserve">. </w:t>
      </w:r>
    </w:p>
    <w:p w:rsidR="000404D4" w:rsidRPr="008978EE" w:rsidRDefault="00B463D8" w:rsidP="00776092">
      <w:r>
        <w:t>Q</w:t>
      </w:r>
      <w:r w:rsidR="000404D4" w:rsidRPr="00892811">
        <w:t>uality of life was considered as the primary effectiveness outcome</w:t>
      </w:r>
      <w:r>
        <w:t xml:space="preserve"> for this review</w:t>
      </w:r>
      <w:r w:rsidR="000404D4" w:rsidRPr="00892811">
        <w:t xml:space="preserve">. Owing </w:t>
      </w:r>
      <w:r w:rsidR="00737993">
        <w:t xml:space="preserve">to </w:t>
      </w:r>
      <w:r w:rsidR="000404D4" w:rsidRPr="00892811">
        <w:t>the nature of the disease, the majo</w:t>
      </w:r>
      <w:r w:rsidR="000404D4" w:rsidRPr="008978EE">
        <w:t xml:space="preserve">rity of secondary effectiveness and safety outcomes evaluated were also clinically relevant. </w:t>
      </w:r>
    </w:p>
    <w:p w:rsidR="008E22DE" w:rsidRPr="007D0320" w:rsidRDefault="008E22DE" w:rsidP="00F519A7">
      <w:pPr>
        <w:pStyle w:val="Heading2"/>
      </w:pPr>
      <w:bookmarkStart w:id="128" w:name="_Toc122538326"/>
      <w:bookmarkStart w:id="129" w:name="_Toc143663862"/>
      <w:bookmarkStart w:id="130" w:name="_Ref144697268"/>
      <w:bookmarkStart w:id="131" w:name="_Ref144697275"/>
      <w:bookmarkStart w:id="132" w:name="_Toc214339175"/>
      <w:bookmarkStart w:id="133" w:name="_Toc352924416"/>
      <w:r w:rsidRPr="007D0320">
        <w:t>Assessment of the body of evidence</w:t>
      </w:r>
      <w:bookmarkEnd w:id="128"/>
      <w:bookmarkEnd w:id="129"/>
      <w:bookmarkEnd w:id="130"/>
      <w:bookmarkEnd w:id="131"/>
      <w:bookmarkEnd w:id="132"/>
      <w:bookmarkEnd w:id="133"/>
    </w:p>
    <w:p w:rsidR="008E22DE" w:rsidRPr="00E2422F" w:rsidRDefault="008E22DE" w:rsidP="00776092">
      <w:r w:rsidRPr="009E5C53">
        <w:t>Appraisal of the body of evidence was conducted along the lines suggested by the NHMRC in their guidance on clinical practice guidel</w:t>
      </w:r>
      <w:r w:rsidRPr="00E2422F">
        <w:t xml:space="preserve">ine </w:t>
      </w:r>
      <w:r w:rsidR="007A1C6E" w:rsidRPr="00892811">
        <w:t>development</w:t>
      </w:r>
      <w:r w:rsidR="00996503" w:rsidRPr="008978EE">
        <w:t xml:space="preserve"> </w:t>
      </w:r>
      <w:r w:rsidR="00BA0A30" w:rsidRPr="00E2422F">
        <w:fldChar w:fldCharType="begin"/>
      </w:r>
      <w:r w:rsidR="00BA0A30" w:rsidRPr="007D0320">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E2422F">
        <w:fldChar w:fldCharType="separate"/>
      </w:r>
      <w:r w:rsidR="00BA0A30" w:rsidRPr="00E2422F">
        <w:t xml:space="preserve">(NHMRC </w:t>
      </w:r>
      <w:r w:rsidR="00864E43" w:rsidRPr="00E2422F">
        <w:t>200</w:t>
      </w:r>
      <w:r w:rsidR="00864E43">
        <w:t>9</w:t>
      </w:r>
      <w:r w:rsidR="00BA0A30" w:rsidRPr="00E2422F">
        <w:t>)</w:t>
      </w:r>
      <w:r w:rsidR="00BA0A30" w:rsidRPr="00E2422F">
        <w:fldChar w:fldCharType="end"/>
      </w:r>
      <w:r w:rsidRPr="009E5C53">
        <w:t>. Five components are considered essential by the NHM</w:t>
      </w:r>
      <w:r w:rsidRPr="00E2422F">
        <w:t xml:space="preserve">RC when judging the body of evidence: </w:t>
      </w:r>
    </w:p>
    <w:p w:rsidR="008E22DE" w:rsidRPr="005646B6" w:rsidRDefault="00864E43" w:rsidP="00864E43">
      <w:pPr>
        <w:numPr>
          <w:ilvl w:val="0"/>
          <w:numId w:val="13"/>
        </w:numPr>
        <w:ind w:left="1134" w:hanging="425"/>
      </w:pPr>
      <w:r>
        <w:t>t</w:t>
      </w:r>
      <w:r w:rsidR="008E22DE" w:rsidRPr="00892811">
        <w:t>he evidence</w:t>
      </w:r>
      <w:r w:rsidR="00932174" w:rsidRPr="008978EE">
        <w:t xml:space="preserve"> base</w:t>
      </w:r>
      <w:r w:rsidR="008E22DE" w:rsidRPr="008978EE">
        <w:t xml:space="preserve"> – which includes the number of studies sorted by their methodological quality and relevance to patients</w:t>
      </w:r>
      <w:r w:rsidR="007D0235" w:rsidRPr="00A30BA9">
        <w:t>;</w:t>
      </w:r>
    </w:p>
    <w:p w:rsidR="008E22DE" w:rsidRPr="007D0320" w:rsidRDefault="00864E43" w:rsidP="00864E43">
      <w:pPr>
        <w:numPr>
          <w:ilvl w:val="0"/>
          <w:numId w:val="13"/>
        </w:numPr>
        <w:ind w:left="1134" w:hanging="425"/>
      </w:pPr>
      <w:r>
        <w:t>t</w:t>
      </w:r>
      <w:r w:rsidR="008E22DE" w:rsidRPr="00003831">
        <w:t xml:space="preserve">he consistency of the study results – whether the better quality studies had </w:t>
      </w:r>
      <w:r w:rsidR="008E22DE" w:rsidRPr="00A87C52">
        <w:t>results of a similar magnitude and in the same direction i</w:t>
      </w:r>
      <w:r w:rsidR="008E22DE" w:rsidRPr="00DF686C">
        <w:t>e</w:t>
      </w:r>
      <w:r w:rsidR="008E22DE" w:rsidRPr="000B3829">
        <w:t xml:space="preserve"> homogenous or heterogen</w:t>
      </w:r>
      <w:r w:rsidR="007D0320">
        <w:t>e</w:t>
      </w:r>
      <w:r w:rsidR="008E22DE" w:rsidRPr="000B3829">
        <w:t>ous findings</w:t>
      </w:r>
      <w:r w:rsidR="007D0235" w:rsidRPr="007D0320">
        <w:t>;</w:t>
      </w:r>
    </w:p>
    <w:p w:rsidR="008E22DE" w:rsidRPr="00BE3EA8" w:rsidRDefault="00864E43" w:rsidP="00864E43">
      <w:pPr>
        <w:numPr>
          <w:ilvl w:val="0"/>
          <w:numId w:val="13"/>
        </w:numPr>
        <w:ind w:left="1134" w:hanging="425"/>
      </w:pPr>
      <w:r>
        <w:t>t</w:t>
      </w:r>
      <w:r w:rsidR="008E22DE" w:rsidRPr="00F13A5A">
        <w:t>he potential clinical impact - appraisal of the precision, size and clinical importance or relevance of the primary outcomes used to determine</w:t>
      </w:r>
      <w:r w:rsidR="008E22DE" w:rsidRPr="00E767D0">
        <w:t xml:space="preserve"> the safety and effectiveness of the test</w:t>
      </w:r>
      <w:r w:rsidR="007D0235" w:rsidRPr="00BE3EA8">
        <w:t>;</w:t>
      </w:r>
    </w:p>
    <w:p w:rsidR="008E22DE" w:rsidRPr="007D0320" w:rsidRDefault="00864E43" w:rsidP="00864E43">
      <w:pPr>
        <w:numPr>
          <w:ilvl w:val="0"/>
          <w:numId w:val="13"/>
        </w:numPr>
        <w:ind w:left="1134" w:hanging="425"/>
      </w:pPr>
      <w:r>
        <w:t>t</w:t>
      </w:r>
      <w:r w:rsidR="008E22DE" w:rsidRPr="008F42F9">
        <w:t>he generali</w:t>
      </w:r>
      <w:r>
        <w:t>s</w:t>
      </w:r>
      <w:r w:rsidR="008E22DE" w:rsidRPr="007D0320">
        <w:t>ability of the evidence to the target population; and</w:t>
      </w:r>
    </w:p>
    <w:p w:rsidR="008E22DE" w:rsidRPr="00E767D0" w:rsidRDefault="00864E43" w:rsidP="00864E43">
      <w:pPr>
        <w:numPr>
          <w:ilvl w:val="0"/>
          <w:numId w:val="13"/>
        </w:numPr>
        <w:ind w:left="1134" w:hanging="425"/>
      </w:pPr>
      <w:proofErr w:type="gramStart"/>
      <w:r>
        <w:t>t</w:t>
      </w:r>
      <w:r w:rsidR="008E22DE" w:rsidRPr="00F13A5A">
        <w:t>he</w:t>
      </w:r>
      <w:proofErr w:type="gramEnd"/>
      <w:r w:rsidR="008E22DE" w:rsidRPr="00F13A5A">
        <w:t xml:space="preserve"> applicability of the evidence - integration of this evidence for conclusions about the net clinical benefit of the intervention in the contex</w:t>
      </w:r>
      <w:r w:rsidR="008E22DE" w:rsidRPr="00E767D0">
        <w:t>t of Australian clinical practice.</w:t>
      </w:r>
    </w:p>
    <w:p w:rsidR="002C04E2" w:rsidRPr="00E2422F" w:rsidRDefault="008E22DE" w:rsidP="00776092">
      <w:r w:rsidRPr="00BE3EA8">
        <w:lastRenderedPageBreak/>
        <w:t>A matrix for assessing the body of evidence for each research question, according to the components above, was used for this assessment (</w:t>
      </w:r>
      <w:r w:rsidR="006F654A">
        <w:t xml:space="preserve">See </w:t>
      </w:r>
      <w:r w:rsidR="0051533D">
        <w:fldChar w:fldCharType="begin"/>
      </w:r>
      <w:r w:rsidR="0051533D">
        <w:instrText xml:space="preserve"> REF _Ref324944023 \h </w:instrText>
      </w:r>
      <w:r w:rsidR="0051533D">
        <w:fldChar w:fldCharType="separate"/>
      </w:r>
      <w:r w:rsidR="0071544A">
        <w:t xml:space="preserve">Table </w:t>
      </w:r>
      <w:r w:rsidR="0071544A">
        <w:rPr>
          <w:noProof/>
        </w:rPr>
        <w:t>25</w:t>
      </w:r>
      <w:r w:rsidR="0051533D">
        <w:fldChar w:fldCharType="end"/>
      </w:r>
      <w:r w:rsidRPr="009E5C53">
        <w:t>)</w:t>
      </w:r>
      <w:r w:rsidR="00996503" w:rsidRPr="00E2422F">
        <w:t xml:space="preserve"> </w:t>
      </w:r>
      <w:r w:rsidR="00BA0A30" w:rsidRPr="00E2422F">
        <w:fldChar w:fldCharType="begin"/>
      </w:r>
      <w:r w:rsidR="00BA0A30" w:rsidRPr="007D0320">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E2422F">
        <w:fldChar w:fldCharType="separate"/>
      </w:r>
      <w:r w:rsidR="00BA0A30" w:rsidRPr="00E2422F">
        <w:t>(NHMRC 200</w:t>
      </w:r>
      <w:r w:rsidR="00864E43">
        <w:t>9</w:t>
      </w:r>
      <w:r w:rsidR="00BA0A30" w:rsidRPr="00E2422F">
        <w:t>)</w:t>
      </w:r>
      <w:r w:rsidR="00BA0A30" w:rsidRPr="00E2422F">
        <w:fldChar w:fldCharType="end"/>
      </w:r>
      <w:r w:rsidRPr="009E5C53">
        <w:t>.</w:t>
      </w:r>
    </w:p>
    <w:p w:rsidR="008E22DE" w:rsidRPr="007D0320" w:rsidRDefault="0051533D" w:rsidP="0051533D">
      <w:pPr>
        <w:pStyle w:val="Caption"/>
      </w:pPr>
      <w:bookmarkStart w:id="134" w:name="_Ref324944023"/>
      <w:bookmarkStart w:id="135" w:name="_Toc122538733"/>
      <w:bookmarkStart w:id="136" w:name="_Toc314226733"/>
      <w:bookmarkStart w:id="137" w:name="_Toc327522069"/>
      <w:r>
        <w:t xml:space="preserve">Table </w:t>
      </w:r>
      <w:fldSimple w:instr=" SEQ Table \* ARABIC ">
        <w:r w:rsidR="0071544A">
          <w:rPr>
            <w:noProof/>
          </w:rPr>
          <w:t>25</w:t>
        </w:r>
      </w:fldSimple>
      <w:bookmarkEnd w:id="134"/>
      <w:r w:rsidR="00667777" w:rsidRPr="007D0320">
        <w:tab/>
      </w:r>
      <w:r w:rsidR="008E22DE" w:rsidRPr="007D0320">
        <w:t>Body of evidence assessment matrix</w:t>
      </w:r>
      <w:bookmarkEnd w:id="135"/>
      <w:bookmarkEnd w:id="136"/>
      <w:bookmarkEnd w:id="137"/>
    </w:p>
    <w:tbl>
      <w:tblPr>
        <w:tblW w:w="8441" w:type="dxa"/>
        <w:tblInd w:w="739" w:type="dxa"/>
        <w:tblBorders>
          <w:top w:val="single" w:sz="12" w:space="0" w:color="auto"/>
          <w:bottom w:val="single" w:sz="12" w:space="0" w:color="auto"/>
        </w:tblBorders>
        <w:tblLook w:val="01E0" w:firstRow="1" w:lastRow="1" w:firstColumn="1" w:lastColumn="1" w:noHBand="0" w:noVBand="0"/>
      </w:tblPr>
      <w:tblGrid>
        <w:gridCol w:w="1663"/>
        <w:gridCol w:w="1694"/>
        <w:gridCol w:w="1695"/>
        <w:gridCol w:w="1694"/>
        <w:gridCol w:w="1695"/>
      </w:tblGrid>
      <w:tr w:rsidR="00C53400" w:rsidRPr="00BB3C05" w:rsidTr="003C77BD">
        <w:trPr>
          <w:cantSplit/>
        </w:trPr>
        <w:tc>
          <w:tcPr>
            <w:tcW w:w="1663" w:type="dxa"/>
            <w:vMerge w:val="restart"/>
            <w:tcBorders>
              <w:top w:val="single" w:sz="12" w:space="0" w:color="auto"/>
              <w:bottom w:val="nil"/>
            </w:tcBorders>
            <w:shd w:val="clear" w:color="auto" w:fill="auto"/>
            <w:tcMar>
              <w:right w:w="57" w:type="dxa"/>
            </w:tcMar>
            <w:vAlign w:val="center"/>
          </w:tcPr>
          <w:p w:rsidR="00C53400" w:rsidRPr="00F13A5A" w:rsidRDefault="00C53400" w:rsidP="00C53400">
            <w:pPr>
              <w:pStyle w:val="TableHeading"/>
              <w:jc w:val="center"/>
            </w:pPr>
            <w:r w:rsidRPr="00F13A5A">
              <w:t>Component</w:t>
            </w:r>
          </w:p>
        </w:tc>
        <w:tc>
          <w:tcPr>
            <w:tcW w:w="1694" w:type="dxa"/>
            <w:tcBorders>
              <w:top w:val="single" w:sz="12" w:space="0" w:color="auto"/>
              <w:bottom w:val="nil"/>
            </w:tcBorders>
            <w:shd w:val="clear" w:color="auto" w:fill="auto"/>
          </w:tcPr>
          <w:p w:rsidR="00C53400" w:rsidRPr="00E767D0" w:rsidRDefault="00C53400" w:rsidP="00C53400">
            <w:pPr>
              <w:pStyle w:val="TableHeading"/>
              <w:jc w:val="center"/>
            </w:pPr>
            <w:r w:rsidRPr="00E767D0">
              <w:t>A</w:t>
            </w:r>
          </w:p>
        </w:tc>
        <w:tc>
          <w:tcPr>
            <w:tcW w:w="1695" w:type="dxa"/>
            <w:tcBorders>
              <w:top w:val="single" w:sz="12" w:space="0" w:color="auto"/>
              <w:bottom w:val="nil"/>
            </w:tcBorders>
            <w:shd w:val="clear" w:color="auto" w:fill="auto"/>
          </w:tcPr>
          <w:p w:rsidR="00C53400" w:rsidRPr="00BE3EA8" w:rsidRDefault="00C53400" w:rsidP="00C53400">
            <w:pPr>
              <w:pStyle w:val="TableHeading"/>
              <w:jc w:val="center"/>
            </w:pPr>
            <w:r w:rsidRPr="00BE3EA8">
              <w:t>B</w:t>
            </w:r>
          </w:p>
        </w:tc>
        <w:tc>
          <w:tcPr>
            <w:tcW w:w="1694" w:type="dxa"/>
            <w:tcBorders>
              <w:top w:val="single" w:sz="12" w:space="0" w:color="auto"/>
              <w:bottom w:val="nil"/>
            </w:tcBorders>
            <w:shd w:val="clear" w:color="auto" w:fill="auto"/>
          </w:tcPr>
          <w:p w:rsidR="00C53400" w:rsidRPr="00BE3EA8" w:rsidRDefault="00C53400" w:rsidP="00C53400">
            <w:pPr>
              <w:pStyle w:val="TableHeading"/>
              <w:jc w:val="center"/>
            </w:pPr>
            <w:r w:rsidRPr="00BE3EA8">
              <w:t>C</w:t>
            </w:r>
          </w:p>
        </w:tc>
        <w:tc>
          <w:tcPr>
            <w:tcW w:w="1695" w:type="dxa"/>
            <w:tcBorders>
              <w:top w:val="single" w:sz="12" w:space="0" w:color="auto"/>
              <w:bottom w:val="nil"/>
            </w:tcBorders>
            <w:shd w:val="clear" w:color="auto" w:fill="auto"/>
          </w:tcPr>
          <w:p w:rsidR="00C53400" w:rsidRPr="008F42F9" w:rsidRDefault="00C53400" w:rsidP="00C53400">
            <w:pPr>
              <w:pStyle w:val="TableHeading"/>
              <w:jc w:val="center"/>
            </w:pPr>
            <w:r w:rsidRPr="008F42F9">
              <w:t>D</w:t>
            </w:r>
          </w:p>
        </w:tc>
      </w:tr>
      <w:tr w:rsidR="00C53400" w:rsidRPr="00BB3C05" w:rsidTr="003C77BD">
        <w:trPr>
          <w:cantSplit/>
        </w:trPr>
        <w:tc>
          <w:tcPr>
            <w:tcW w:w="1663" w:type="dxa"/>
            <w:vMerge/>
            <w:tcBorders>
              <w:top w:val="nil"/>
              <w:bottom w:val="single" w:sz="4" w:space="0" w:color="auto"/>
            </w:tcBorders>
            <w:shd w:val="clear" w:color="auto" w:fill="auto"/>
            <w:tcMar>
              <w:left w:w="57" w:type="dxa"/>
            </w:tcMar>
            <w:vAlign w:val="bottom"/>
          </w:tcPr>
          <w:p w:rsidR="00C53400" w:rsidRPr="00BB3C05" w:rsidRDefault="00C53400" w:rsidP="00C53400">
            <w:pPr>
              <w:pStyle w:val="TableHeading"/>
              <w:jc w:val="center"/>
            </w:pPr>
          </w:p>
        </w:tc>
        <w:tc>
          <w:tcPr>
            <w:tcW w:w="1694" w:type="dxa"/>
            <w:tcBorders>
              <w:top w:val="nil"/>
              <w:bottom w:val="single" w:sz="4" w:space="0" w:color="auto"/>
            </w:tcBorders>
            <w:shd w:val="clear" w:color="auto" w:fill="auto"/>
          </w:tcPr>
          <w:p w:rsidR="00C53400" w:rsidRPr="00BB3C05" w:rsidRDefault="00C53400" w:rsidP="00C53400">
            <w:pPr>
              <w:pStyle w:val="TableHeading"/>
              <w:jc w:val="center"/>
            </w:pPr>
            <w:r w:rsidRPr="00BB3C05">
              <w:t>Excellent</w:t>
            </w:r>
          </w:p>
        </w:tc>
        <w:tc>
          <w:tcPr>
            <w:tcW w:w="1695" w:type="dxa"/>
            <w:tcBorders>
              <w:top w:val="nil"/>
              <w:bottom w:val="single" w:sz="4" w:space="0" w:color="auto"/>
            </w:tcBorders>
            <w:shd w:val="clear" w:color="auto" w:fill="auto"/>
          </w:tcPr>
          <w:p w:rsidR="00C53400" w:rsidRPr="00BB3C05" w:rsidRDefault="00C53400" w:rsidP="00C53400">
            <w:pPr>
              <w:pStyle w:val="TableHeading"/>
              <w:jc w:val="center"/>
            </w:pPr>
            <w:r w:rsidRPr="00BB3C05">
              <w:t>Good</w:t>
            </w:r>
          </w:p>
        </w:tc>
        <w:tc>
          <w:tcPr>
            <w:tcW w:w="1694" w:type="dxa"/>
            <w:tcBorders>
              <w:top w:val="nil"/>
              <w:bottom w:val="single" w:sz="4" w:space="0" w:color="auto"/>
            </w:tcBorders>
            <w:shd w:val="clear" w:color="auto" w:fill="auto"/>
          </w:tcPr>
          <w:p w:rsidR="00C53400" w:rsidRPr="00BB3C05" w:rsidRDefault="00C53400" w:rsidP="00C53400">
            <w:pPr>
              <w:pStyle w:val="TableHeading"/>
              <w:jc w:val="center"/>
            </w:pPr>
            <w:r w:rsidRPr="00BB3C05">
              <w:t>Satisfactory</w:t>
            </w:r>
          </w:p>
        </w:tc>
        <w:tc>
          <w:tcPr>
            <w:tcW w:w="1695" w:type="dxa"/>
            <w:tcBorders>
              <w:top w:val="nil"/>
              <w:bottom w:val="single" w:sz="4" w:space="0" w:color="auto"/>
            </w:tcBorders>
            <w:shd w:val="clear" w:color="auto" w:fill="auto"/>
          </w:tcPr>
          <w:p w:rsidR="00C53400" w:rsidRPr="00BB3C05" w:rsidRDefault="00C53400" w:rsidP="00C53400">
            <w:pPr>
              <w:pStyle w:val="TableHeading"/>
              <w:jc w:val="center"/>
            </w:pPr>
            <w:r w:rsidRPr="00BB3C05">
              <w:t>Poor</w:t>
            </w:r>
          </w:p>
        </w:tc>
      </w:tr>
      <w:tr w:rsidR="008E22DE" w:rsidRPr="00BB3C05" w:rsidTr="003C77BD">
        <w:tblPrEx>
          <w:tblCellMar>
            <w:right w:w="57" w:type="dxa"/>
          </w:tblCellMar>
        </w:tblPrEx>
        <w:trPr>
          <w:cantSplit/>
        </w:trPr>
        <w:tc>
          <w:tcPr>
            <w:tcW w:w="1663" w:type="dxa"/>
            <w:tcBorders>
              <w:top w:val="single" w:sz="4" w:space="0" w:color="auto"/>
            </w:tcBorders>
            <w:shd w:val="clear" w:color="auto" w:fill="auto"/>
          </w:tcPr>
          <w:p w:rsidR="008E22DE" w:rsidRPr="00BB3C05" w:rsidRDefault="00421129" w:rsidP="00862A16">
            <w:pPr>
              <w:pStyle w:val="TableText"/>
              <w:rPr>
                <w:b/>
                <w:vertAlign w:val="superscript"/>
              </w:rPr>
            </w:pPr>
            <w:r w:rsidRPr="00BB3C05">
              <w:rPr>
                <w:b/>
              </w:rPr>
              <w:t xml:space="preserve">Evidence </w:t>
            </w:r>
            <w:r w:rsidR="00E77387" w:rsidRPr="00BB3C05">
              <w:rPr>
                <w:b/>
              </w:rPr>
              <w:t>base</w:t>
            </w:r>
            <w:r w:rsidR="00E77387" w:rsidRPr="00BB3C05">
              <w:rPr>
                <w:b/>
                <w:vertAlign w:val="superscript"/>
              </w:rPr>
              <w:t>a</w:t>
            </w:r>
          </w:p>
        </w:tc>
        <w:tc>
          <w:tcPr>
            <w:tcW w:w="1694" w:type="dxa"/>
            <w:tcBorders>
              <w:top w:val="single" w:sz="4" w:space="0" w:color="auto"/>
            </w:tcBorders>
            <w:shd w:val="clear" w:color="auto" w:fill="auto"/>
          </w:tcPr>
          <w:p w:rsidR="008E22DE" w:rsidRPr="00BB3C05" w:rsidRDefault="00E77387" w:rsidP="007E0E61">
            <w:pPr>
              <w:pStyle w:val="TableText"/>
              <w:ind w:left="45"/>
            </w:pPr>
            <w:r w:rsidRPr="00BB3C05">
              <w:t>One or more</w:t>
            </w:r>
            <w:r w:rsidR="008E22DE" w:rsidRPr="00BB3C05">
              <w:t xml:space="preserve"> level I </w:t>
            </w:r>
            <w:r w:rsidRPr="00BB3C05">
              <w:t xml:space="preserve">studies with a low risk of bias </w:t>
            </w:r>
            <w:r w:rsidR="008E22DE" w:rsidRPr="00BB3C05">
              <w:t xml:space="preserve">or </w:t>
            </w:r>
            <w:r w:rsidRPr="00BB3C05">
              <w:t xml:space="preserve">several level </w:t>
            </w:r>
            <w:r w:rsidR="008E22DE" w:rsidRPr="00BB3C05">
              <w:t>II studies with low risk of bias</w:t>
            </w:r>
            <w:r w:rsidR="00DA739C">
              <w:t>.</w:t>
            </w:r>
          </w:p>
        </w:tc>
        <w:tc>
          <w:tcPr>
            <w:tcW w:w="1695" w:type="dxa"/>
            <w:tcBorders>
              <w:top w:val="single" w:sz="4" w:space="0" w:color="auto"/>
            </w:tcBorders>
            <w:shd w:val="clear" w:color="auto" w:fill="auto"/>
          </w:tcPr>
          <w:p w:rsidR="008E22DE" w:rsidRPr="00BB3C05" w:rsidRDefault="00864E43" w:rsidP="007E0E61">
            <w:pPr>
              <w:pStyle w:val="TableText"/>
              <w:ind w:left="45"/>
            </w:pPr>
            <w:r>
              <w:t>O</w:t>
            </w:r>
            <w:r w:rsidR="008E22DE" w:rsidRPr="00BB3C05">
              <w:t>ne or two level II studies with low risk of bias or a</w:t>
            </w:r>
            <w:r>
              <w:t>n</w:t>
            </w:r>
            <w:r w:rsidR="008E22DE" w:rsidRPr="00BB3C05">
              <w:t xml:space="preserve"> SR/multiple level III studies with low risk of bias</w:t>
            </w:r>
            <w:r w:rsidR="00DA739C">
              <w:t>.</w:t>
            </w:r>
            <w:r w:rsidR="008E22DE" w:rsidRPr="00BB3C05">
              <w:t xml:space="preserve"> </w:t>
            </w:r>
          </w:p>
        </w:tc>
        <w:tc>
          <w:tcPr>
            <w:tcW w:w="1694" w:type="dxa"/>
            <w:tcBorders>
              <w:top w:val="single" w:sz="4" w:space="0" w:color="auto"/>
            </w:tcBorders>
            <w:shd w:val="clear" w:color="auto" w:fill="auto"/>
          </w:tcPr>
          <w:p w:rsidR="008E22DE" w:rsidRPr="00BB3C05" w:rsidRDefault="00E77387" w:rsidP="007E0E61">
            <w:pPr>
              <w:pStyle w:val="TableText"/>
              <w:ind w:left="45"/>
            </w:pPr>
            <w:r w:rsidRPr="00BB3C05">
              <w:t xml:space="preserve">One or two </w:t>
            </w:r>
            <w:r w:rsidR="008E22DE" w:rsidRPr="00BB3C05">
              <w:t>level III studies with low risk of bias, or level I or II studies with moderate risk of bias</w:t>
            </w:r>
            <w:r w:rsidR="00DA739C">
              <w:t>.</w:t>
            </w:r>
          </w:p>
        </w:tc>
        <w:tc>
          <w:tcPr>
            <w:tcW w:w="1695" w:type="dxa"/>
            <w:tcBorders>
              <w:top w:val="single" w:sz="4" w:space="0" w:color="auto"/>
            </w:tcBorders>
            <w:shd w:val="clear" w:color="auto" w:fill="auto"/>
          </w:tcPr>
          <w:p w:rsidR="008E22DE" w:rsidRPr="00BB3C05" w:rsidRDefault="00864E43" w:rsidP="007E0E61">
            <w:pPr>
              <w:pStyle w:val="TableText"/>
              <w:ind w:left="45"/>
            </w:pPr>
            <w:r>
              <w:t>L</w:t>
            </w:r>
            <w:r w:rsidR="008E22DE" w:rsidRPr="00BB3C05">
              <w:t>evel IV studies, or level I to III studies with high risk of bias</w:t>
            </w:r>
            <w:r w:rsidR="00DA739C">
              <w:t>.</w:t>
            </w:r>
          </w:p>
        </w:tc>
      </w:tr>
      <w:tr w:rsidR="008E22DE" w:rsidRPr="00BB3C05" w:rsidTr="0051533D">
        <w:tblPrEx>
          <w:tblCellMar>
            <w:right w:w="57" w:type="dxa"/>
          </w:tblCellMar>
        </w:tblPrEx>
        <w:trPr>
          <w:cantSplit/>
        </w:trPr>
        <w:tc>
          <w:tcPr>
            <w:tcW w:w="1663" w:type="dxa"/>
            <w:shd w:val="clear" w:color="auto" w:fill="auto"/>
          </w:tcPr>
          <w:p w:rsidR="008E22DE" w:rsidRPr="00BB3C05" w:rsidRDefault="008E22DE" w:rsidP="00862A16">
            <w:pPr>
              <w:pStyle w:val="TableText"/>
              <w:rPr>
                <w:b/>
                <w:vertAlign w:val="superscript"/>
              </w:rPr>
            </w:pPr>
            <w:r w:rsidRPr="00BB3C05">
              <w:rPr>
                <w:b/>
              </w:rPr>
              <w:t>Consistency</w:t>
            </w:r>
            <w:r w:rsidR="00DD1557" w:rsidRPr="00BB3C05">
              <w:rPr>
                <w:b/>
                <w:vertAlign w:val="superscript"/>
              </w:rPr>
              <w:t>b</w:t>
            </w:r>
          </w:p>
        </w:tc>
        <w:tc>
          <w:tcPr>
            <w:tcW w:w="1694" w:type="dxa"/>
            <w:shd w:val="clear" w:color="auto" w:fill="auto"/>
          </w:tcPr>
          <w:p w:rsidR="008E22DE" w:rsidRPr="00BB3C05" w:rsidRDefault="00B463D8" w:rsidP="007E0E61">
            <w:pPr>
              <w:pStyle w:val="TableText"/>
              <w:ind w:left="45"/>
            </w:pPr>
            <w:r>
              <w:t>A</w:t>
            </w:r>
            <w:r w:rsidR="008E22DE" w:rsidRPr="00BB3C05">
              <w:t>ll studies consistent</w:t>
            </w:r>
            <w:r w:rsidR="00DA739C">
              <w:t>.</w:t>
            </w:r>
          </w:p>
        </w:tc>
        <w:tc>
          <w:tcPr>
            <w:tcW w:w="1695" w:type="dxa"/>
            <w:shd w:val="clear" w:color="auto" w:fill="auto"/>
          </w:tcPr>
          <w:p w:rsidR="008E22DE" w:rsidRPr="00BB3C05" w:rsidRDefault="00864E43" w:rsidP="007E0E61">
            <w:pPr>
              <w:pStyle w:val="TableText"/>
              <w:ind w:left="45"/>
            </w:pPr>
            <w:r>
              <w:t>M</w:t>
            </w:r>
            <w:r w:rsidR="008E22DE" w:rsidRPr="00BB3C05">
              <w:t>ost studies consistent and inconsistency may be explained</w:t>
            </w:r>
            <w:r w:rsidR="00DA739C">
              <w:t>.</w:t>
            </w:r>
          </w:p>
        </w:tc>
        <w:tc>
          <w:tcPr>
            <w:tcW w:w="1694" w:type="dxa"/>
            <w:shd w:val="clear" w:color="auto" w:fill="auto"/>
          </w:tcPr>
          <w:p w:rsidR="008E22DE" w:rsidRPr="00BB3C05" w:rsidRDefault="00864E43" w:rsidP="007E0E61">
            <w:pPr>
              <w:pStyle w:val="TableText"/>
              <w:ind w:left="45"/>
            </w:pPr>
            <w:r>
              <w:t>S</w:t>
            </w:r>
            <w:r w:rsidR="008E22DE" w:rsidRPr="00BB3C05">
              <w:t>ome inconsistency reflecting genuine uncertainty around clinical question</w:t>
            </w:r>
            <w:r w:rsidR="00DA739C">
              <w:t>.</w:t>
            </w:r>
          </w:p>
        </w:tc>
        <w:tc>
          <w:tcPr>
            <w:tcW w:w="1695" w:type="dxa"/>
            <w:shd w:val="clear" w:color="auto" w:fill="auto"/>
          </w:tcPr>
          <w:p w:rsidR="008E22DE" w:rsidRPr="00BB3C05" w:rsidRDefault="00864E43" w:rsidP="007E0E61">
            <w:pPr>
              <w:pStyle w:val="TableText"/>
              <w:ind w:left="45"/>
            </w:pPr>
            <w:r>
              <w:t>E</w:t>
            </w:r>
            <w:r w:rsidR="008E22DE" w:rsidRPr="00BB3C05">
              <w:t>vidence is inconsistent</w:t>
            </w:r>
            <w:r w:rsidR="00DA739C">
              <w:t>.</w:t>
            </w:r>
          </w:p>
        </w:tc>
      </w:tr>
      <w:tr w:rsidR="008E22DE" w:rsidRPr="00BB3C05" w:rsidTr="0051533D">
        <w:tblPrEx>
          <w:tblCellMar>
            <w:right w:w="57" w:type="dxa"/>
          </w:tblCellMar>
        </w:tblPrEx>
        <w:trPr>
          <w:cantSplit/>
          <w:trHeight w:val="462"/>
        </w:trPr>
        <w:tc>
          <w:tcPr>
            <w:tcW w:w="1663" w:type="dxa"/>
            <w:shd w:val="clear" w:color="auto" w:fill="auto"/>
          </w:tcPr>
          <w:p w:rsidR="008E22DE" w:rsidRPr="00BB3C05" w:rsidRDefault="008E22DE" w:rsidP="00862A16">
            <w:pPr>
              <w:pStyle w:val="TableText"/>
              <w:rPr>
                <w:b/>
              </w:rPr>
            </w:pPr>
            <w:r w:rsidRPr="00BB3C05">
              <w:rPr>
                <w:b/>
              </w:rPr>
              <w:t>Clinical impact</w:t>
            </w:r>
          </w:p>
        </w:tc>
        <w:tc>
          <w:tcPr>
            <w:tcW w:w="1694" w:type="dxa"/>
            <w:shd w:val="clear" w:color="auto" w:fill="auto"/>
          </w:tcPr>
          <w:p w:rsidR="008E22DE" w:rsidRPr="00BB3C05" w:rsidRDefault="00B463D8" w:rsidP="007E0E61">
            <w:pPr>
              <w:pStyle w:val="TableText"/>
              <w:ind w:left="45"/>
            </w:pPr>
            <w:r>
              <w:t>V</w:t>
            </w:r>
            <w:r w:rsidR="008E22DE" w:rsidRPr="00BB3C05">
              <w:t>ery large</w:t>
            </w:r>
            <w:r w:rsidR="00DA739C">
              <w:t>.</w:t>
            </w:r>
          </w:p>
        </w:tc>
        <w:tc>
          <w:tcPr>
            <w:tcW w:w="1695" w:type="dxa"/>
            <w:shd w:val="clear" w:color="auto" w:fill="auto"/>
          </w:tcPr>
          <w:p w:rsidR="008E22DE" w:rsidRPr="00BB3C05" w:rsidRDefault="00864E43" w:rsidP="007E0E61">
            <w:pPr>
              <w:pStyle w:val="TableText"/>
              <w:ind w:left="45"/>
            </w:pPr>
            <w:r>
              <w:t>S</w:t>
            </w:r>
            <w:r w:rsidR="008E22DE" w:rsidRPr="00BB3C05">
              <w:t>ubstantial</w:t>
            </w:r>
            <w:r w:rsidR="00DA739C">
              <w:t>.</w:t>
            </w:r>
            <w:r w:rsidR="008E22DE" w:rsidRPr="00BB3C05">
              <w:t xml:space="preserve"> </w:t>
            </w:r>
          </w:p>
        </w:tc>
        <w:tc>
          <w:tcPr>
            <w:tcW w:w="1694" w:type="dxa"/>
            <w:shd w:val="clear" w:color="auto" w:fill="auto"/>
          </w:tcPr>
          <w:p w:rsidR="008E22DE" w:rsidRPr="00BB3C05" w:rsidRDefault="00864E43" w:rsidP="007E0E61">
            <w:pPr>
              <w:pStyle w:val="TableText"/>
              <w:ind w:left="45"/>
            </w:pPr>
            <w:r>
              <w:t>M</w:t>
            </w:r>
            <w:r w:rsidR="008E22DE" w:rsidRPr="00BB3C05">
              <w:t>oderate</w:t>
            </w:r>
            <w:r w:rsidR="00DA739C">
              <w:t>.</w:t>
            </w:r>
          </w:p>
        </w:tc>
        <w:tc>
          <w:tcPr>
            <w:tcW w:w="1695" w:type="dxa"/>
            <w:shd w:val="clear" w:color="auto" w:fill="auto"/>
          </w:tcPr>
          <w:p w:rsidR="008E22DE" w:rsidRPr="00BB3C05" w:rsidRDefault="00864E43" w:rsidP="007E0E61">
            <w:pPr>
              <w:pStyle w:val="TableText"/>
              <w:ind w:left="45"/>
            </w:pPr>
            <w:r>
              <w:t>S</w:t>
            </w:r>
            <w:r w:rsidR="008E22DE" w:rsidRPr="00BB3C05">
              <w:t>light or restricted</w:t>
            </w:r>
            <w:r w:rsidR="00DA739C">
              <w:t>.</w:t>
            </w:r>
          </w:p>
        </w:tc>
      </w:tr>
      <w:tr w:rsidR="008E22DE" w:rsidRPr="00BB3C05" w:rsidTr="0051533D">
        <w:tblPrEx>
          <w:tblCellMar>
            <w:right w:w="57" w:type="dxa"/>
          </w:tblCellMar>
        </w:tblPrEx>
        <w:trPr>
          <w:cantSplit/>
        </w:trPr>
        <w:tc>
          <w:tcPr>
            <w:tcW w:w="1663" w:type="dxa"/>
            <w:shd w:val="clear" w:color="auto" w:fill="auto"/>
          </w:tcPr>
          <w:p w:rsidR="008E22DE" w:rsidRPr="00BB3C05" w:rsidRDefault="008E22DE" w:rsidP="00862A16">
            <w:pPr>
              <w:pStyle w:val="TableText"/>
              <w:rPr>
                <w:b/>
              </w:rPr>
            </w:pPr>
            <w:r w:rsidRPr="00BB3C05">
              <w:rPr>
                <w:b/>
              </w:rPr>
              <w:t>Generalisability</w:t>
            </w:r>
          </w:p>
        </w:tc>
        <w:tc>
          <w:tcPr>
            <w:tcW w:w="1694" w:type="dxa"/>
            <w:shd w:val="clear" w:color="auto" w:fill="auto"/>
          </w:tcPr>
          <w:p w:rsidR="008E22DE" w:rsidRPr="00BB3C05" w:rsidRDefault="00B463D8" w:rsidP="007E0E61">
            <w:pPr>
              <w:pStyle w:val="TableText"/>
              <w:ind w:left="45"/>
            </w:pPr>
            <w:r>
              <w:t>P</w:t>
            </w:r>
            <w:r w:rsidR="008E22DE" w:rsidRPr="00BB3C05">
              <w:t xml:space="preserve">opulation/s studied in body of evidence </w:t>
            </w:r>
            <w:proofErr w:type="gramStart"/>
            <w:r w:rsidR="008E22DE" w:rsidRPr="00BB3C05">
              <w:t>are</w:t>
            </w:r>
            <w:proofErr w:type="gramEnd"/>
            <w:r w:rsidR="008E22DE" w:rsidRPr="00BB3C05">
              <w:t xml:space="preserve"> the same as the target population</w:t>
            </w:r>
            <w:r w:rsidR="00DA739C">
              <w:t>.</w:t>
            </w:r>
            <w:r w:rsidR="008E22DE" w:rsidRPr="00BB3C05">
              <w:t xml:space="preserve"> </w:t>
            </w:r>
          </w:p>
        </w:tc>
        <w:tc>
          <w:tcPr>
            <w:tcW w:w="1695" w:type="dxa"/>
            <w:shd w:val="clear" w:color="auto" w:fill="auto"/>
          </w:tcPr>
          <w:p w:rsidR="008E22DE" w:rsidRPr="00BB3C05" w:rsidRDefault="00864E43" w:rsidP="007E0E61">
            <w:pPr>
              <w:pStyle w:val="TableText"/>
              <w:ind w:left="45"/>
            </w:pPr>
            <w:r>
              <w:t>P</w:t>
            </w:r>
            <w:r w:rsidR="008E22DE" w:rsidRPr="00BB3C05">
              <w:t xml:space="preserve">opulation/s studied in the body of evidence </w:t>
            </w:r>
            <w:proofErr w:type="gramStart"/>
            <w:r w:rsidR="008E22DE" w:rsidRPr="00BB3C05">
              <w:t>are</w:t>
            </w:r>
            <w:proofErr w:type="gramEnd"/>
            <w:r w:rsidR="008E22DE" w:rsidRPr="00BB3C05">
              <w:t xml:space="preserve"> similar to the target population</w:t>
            </w:r>
            <w:r w:rsidR="00DA739C">
              <w:t>.</w:t>
            </w:r>
            <w:r w:rsidR="008E22DE" w:rsidRPr="00BB3C05">
              <w:t xml:space="preserve"> </w:t>
            </w:r>
          </w:p>
        </w:tc>
        <w:tc>
          <w:tcPr>
            <w:tcW w:w="1694" w:type="dxa"/>
            <w:shd w:val="clear" w:color="auto" w:fill="auto"/>
          </w:tcPr>
          <w:p w:rsidR="008E22DE" w:rsidRPr="00BB3C05" w:rsidRDefault="00864E43" w:rsidP="007E0E61">
            <w:pPr>
              <w:pStyle w:val="TableText"/>
              <w:ind w:left="45"/>
            </w:pPr>
            <w:r>
              <w:t>P</w:t>
            </w:r>
            <w:r w:rsidR="008E22DE" w:rsidRPr="00BB3C05">
              <w:t>opulation/s studied in body of evidence different to target population for guideline but it is clinically sensible to apply this evidence to target population</w:t>
            </w:r>
            <w:r w:rsidR="00DA739C">
              <w:t>.</w:t>
            </w:r>
            <w:r w:rsidR="008E22DE" w:rsidRPr="00BB3C05">
              <w:t xml:space="preserve"> </w:t>
            </w:r>
          </w:p>
        </w:tc>
        <w:tc>
          <w:tcPr>
            <w:tcW w:w="1695" w:type="dxa"/>
            <w:shd w:val="clear" w:color="auto" w:fill="auto"/>
          </w:tcPr>
          <w:p w:rsidR="008E22DE" w:rsidRPr="00BB3C05" w:rsidRDefault="00864E43" w:rsidP="007E0E61">
            <w:pPr>
              <w:pStyle w:val="TableText"/>
              <w:ind w:left="45"/>
            </w:pPr>
            <w:r>
              <w:t>P</w:t>
            </w:r>
            <w:r w:rsidR="008E22DE" w:rsidRPr="00BB3C05">
              <w:t>opulation/s studied in body of evidence different to target population and hard to judge whether it is sensible to generalise to target population</w:t>
            </w:r>
            <w:r w:rsidR="00DA739C">
              <w:t>.</w:t>
            </w:r>
          </w:p>
        </w:tc>
      </w:tr>
      <w:tr w:rsidR="008E22DE" w:rsidRPr="00BB3C05" w:rsidTr="0051533D">
        <w:tblPrEx>
          <w:tblCellMar>
            <w:right w:w="57" w:type="dxa"/>
          </w:tblCellMar>
        </w:tblPrEx>
        <w:trPr>
          <w:cantSplit/>
        </w:trPr>
        <w:tc>
          <w:tcPr>
            <w:tcW w:w="1663" w:type="dxa"/>
            <w:shd w:val="clear" w:color="auto" w:fill="auto"/>
          </w:tcPr>
          <w:p w:rsidR="008E22DE" w:rsidRPr="00BB3C05" w:rsidRDefault="008E22DE" w:rsidP="00862A16">
            <w:pPr>
              <w:pStyle w:val="TableText"/>
              <w:rPr>
                <w:b/>
              </w:rPr>
            </w:pPr>
            <w:r w:rsidRPr="00BB3C05">
              <w:rPr>
                <w:b/>
              </w:rPr>
              <w:t>Applicability</w:t>
            </w:r>
          </w:p>
        </w:tc>
        <w:tc>
          <w:tcPr>
            <w:tcW w:w="1694" w:type="dxa"/>
            <w:shd w:val="clear" w:color="auto" w:fill="auto"/>
          </w:tcPr>
          <w:p w:rsidR="008E22DE" w:rsidRPr="00BB3C05" w:rsidRDefault="00B463D8" w:rsidP="007E0E61">
            <w:pPr>
              <w:pStyle w:val="TableText"/>
              <w:ind w:left="45"/>
            </w:pPr>
            <w:r>
              <w:t>D</w:t>
            </w:r>
            <w:r w:rsidR="008E22DE" w:rsidRPr="00BB3C05">
              <w:t>irectly applicable to Australian healthcare context</w:t>
            </w:r>
            <w:r w:rsidR="00DA739C">
              <w:t>.</w:t>
            </w:r>
          </w:p>
        </w:tc>
        <w:tc>
          <w:tcPr>
            <w:tcW w:w="1695" w:type="dxa"/>
            <w:shd w:val="clear" w:color="auto" w:fill="auto"/>
          </w:tcPr>
          <w:p w:rsidR="008E22DE" w:rsidRPr="00BB3C05" w:rsidRDefault="00864E43" w:rsidP="007E0E61">
            <w:pPr>
              <w:pStyle w:val="TableText"/>
              <w:ind w:left="45"/>
            </w:pPr>
            <w:r>
              <w:t>A</w:t>
            </w:r>
            <w:r w:rsidR="008E22DE" w:rsidRPr="00BB3C05">
              <w:t>pplicable to Australian healthcare context with few caveats</w:t>
            </w:r>
            <w:r w:rsidR="00DA739C">
              <w:t>.</w:t>
            </w:r>
            <w:r w:rsidR="008E22DE" w:rsidRPr="00BB3C05">
              <w:t xml:space="preserve"> </w:t>
            </w:r>
          </w:p>
        </w:tc>
        <w:tc>
          <w:tcPr>
            <w:tcW w:w="1694" w:type="dxa"/>
            <w:shd w:val="clear" w:color="auto" w:fill="auto"/>
          </w:tcPr>
          <w:p w:rsidR="008E22DE" w:rsidRPr="00BB3C05" w:rsidRDefault="00864E43" w:rsidP="007E0E61">
            <w:pPr>
              <w:pStyle w:val="TableText"/>
              <w:ind w:left="45"/>
            </w:pPr>
            <w:r>
              <w:t>P</w:t>
            </w:r>
            <w:r w:rsidR="008E22DE" w:rsidRPr="00BB3C05">
              <w:t>robably applicable to Australian healthcare context with some caveats</w:t>
            </w:r>
            <w:r w:rsidR="00DA739C">
              <w:t>.</w:t>
            </w:r>
          </w:p>
        </w:tc>
        <w:tc>
          <w:tcPr>
            <w:tcW w:w="1695" w:type="dxa"/>
            <w:shd w:val="clear" w:color="auto" w:fill="auto"/>
          </w:tcPr>
          <w:p w:rsidR="008E22DE" w:rsidRPr="00BB3C05" w:rsidRDefault="00864E43" w:rsidP="007E0E61">
            <w:pPr>
              <w:pStyle w:val="TableText"/>
              <w:ind w:left="45"/>
            </w:pPr>
            <w:r>
              <w:t>N</w:t>
            </w:r>
            <w:r w:rsidR="008E22DE" w:rsidRPr="00BB3C05">
              <w:t>ot applicable to Australian healthcare context</w:t>
            </w:r>
            <w:r w:rsidR="00DA739C">
              <w:t>.</w:t>
            </w:r>
          </w:p>
        </w:tc>
      </w:tr>
    </w:tbl>
    <w:p w:rsidR="00DD1557" w:rsidRPr="005C08AD" w:rsidRDefault="00DD1557" w:rsidP="00B01B95">
      <w:pPr>
        <w:pStyle w:val="TableNotes"/>
        <w:spacing w:after="100" w:afterAutospacing="1"/>
        <w:rPr>
          <w:lang w:val="en-AU"/>
        </w:rPr>
      </w:pPr>
      <w:r w:rsidRPr="0007443E">
        <w:t>a</w:t>
      </w:r>
      <w:r w:rsidRPr="00BB3C05">
        <w:rPr>
          <w:vertAlign w:val="superscript"/>
        </w:rPr>
        <w:t xml:space="preserve"> </w:t>
      </w:r>
      <w:r w:rsidR="00325743">
        <w:rPr>
          <w:vertAlign w:val="superscript"/>
        </w:rPr>
        <w:t xml:space="preserve"> </w:t>
      </w:r>
      <w:r w:rsidRPr="00BB3C05">
        <w:t xml:space="preserve">Level of </w:t>
      </w:r>
      <w:r w:rsidR="007A6655" w:rsidRPr="00BB3C05">
        <w:t>evidence</w:t>
      </w:r>
      <w:r w:rsidRPr="00BB3C05">
        <w:t xml:space="preserve"> determined from the NHMRC </w:t>
      </w:r>
      <w:r w:rsidR="007A6655" w:rsidRPr="00BB3C05">
        <w:t>evidence</w:t>
      </w:r>
      <w:r w:rsidRPr="00BB3C05">
        <w:t xml:space="preserve"> hierarchy (</w:t>
      </w:r>
      <w:r w:rsidR="006F654A">
        <w:t xml:space="preserve">See </w:t>
      </w:r>
      <w:r w:rsidR="00603B2D">
        <w:fldChar w:fldCharType="begin"/>
      </w:r>
      <w:r w:rsidR="00603B2D">
        <w:instrText xml:space="preserve"> REF _Ref324943929 \h </w:instrText>
      </w:r>
      <w:r w:rsidR="00603B2D">
        <w:fldChar w:fldCharType="separate"/>
      </w:r>
      <w:r w:rsidR="0071544A">
        <w:t xml:space="preserve">Table </w:t>
      </w:r>
      <w:r w:rsidR="0071544A">
        <w:rPr>
          <w:noProof/>
        </w:rPr>
        <w:t>24</w:t>
      </w:r>
      <w:r w:rsidR="00603B2D">
        <w:fldChar w:fldCharType="end"/>
      </w:r>
      <w:r w:rsidR="00603B2D">
        <w:t>).</w:t>
      </w:r>
    </w:p>
    <w:p w:rsidR="00DD1557" w:rsidRPr="00BB3C05" w:rsidRDefault="00DD1557" w:rsidP="00B01B95">
      <w:pPr>
        <w:pStyle w:val="TableNotes"/>
        <w:spacing w:after="100" w:afterAutospacing="1"/>
      </w:pPr>
      <w:r w:rsidRPr="0007443E">
        <w:t>b</w:t>
      </w:r>
      <w:r w:rsidRPr="00BB3C05">
        <w:rPr>
          <w:vertAlign w:val="superscript"/>
        </w:rPr>
        <w:t xml:space="preserve"> </w:t>
      </w:r>
      <w:r w:rsidR="00325743">
        <w:rPr>
          <w:vertAlign w:val="superscript"/>
        </w:rPr>
        <w:t xml:space="preserve"> </w:t>
      </w:r>
      <w:r w:rsidRPr="00BB3C05">
        <w:t xml:space="preserve">If there is only one study, rank this component as ‘not applicable’. </w:t>
      </w:r>
    </w:p>
    <w:p w:rsidR="008E22DE" w:rsidRPr="00BB3C05" w:rsidRDefault="00996503" w:rsidP="00B01B95">
      <w:pPr>
        <w:pStyle w:val="TableNotes"/>
        <w:spacing w:after="100" w:afterAutospacing="1"/>
      </w:pPr>
      <w:r w:rsidRPr="00BB3C05">
        <w:t>Adapted from</w:t>
      </w:r>
      <w:r w:rsidR="00603B2D">
        <w:t xml:space="preserve"> </w:t>
      </w:r>
      <w:r w:rsidR="00603B2D" w:rsidRPr="00BB3C05">
        <w:t>NHMRC</w:t>
      </w:r>
      <w:r w:rsidRPr="00BB3C05">
        <w:t xml:space="preserve"> </w:t>
      </w:r>
      <w:r w:rsidR="00BA0A30" w:rsidRPr="00BB3C05">
        <w:fldChar w:fldCharType="begin"/>
      </w:r>
      <w:r w:rsidR="00BA0A30" w:rsidRPr="00BB3C05">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00BA0A30" w:rsidRPr="00BB3C05">
        <w:fldChar w:fldCharType="separate"/>
      </w:r>
      <w:r w:rsidR="00DD1557" w:rsidRPr="00BB3C05">
        <w:t>(2009</w:t>
      </w:r>
      <w:r w:rsidR="00BA0A30" w:rsidRPr="00BB3C05">
        <w:t>)</w:t>
      </w:r>
      <w:r w:rsidR="00BA0A30" w:rsidRPr="00BB3C05">
        <w:fldChar w:fldCharType="end"/>
      </w:r>
      <w:r w:rsidR="00603B2D">
        <w:t>.</w:t>
      </w:r>
    </w:p>
    <w:p w:rsidR="00056BE2" w:rsidRPr="00BB3C05" w:rsidRDefault="00056BE2" w:rsidP="00E77387">
      <w:pPr>
        <w:pStyle w:val="Heading2"/>
      </w:pPr>
      <w:bookmarkStart w:id="138" w:name="_Toc86028813"/>
      <w:bookmarkStart w:id="139" w:name="_Toc188861190"/>
      <w:bookmarkStart w:id="140" w:name="_Toc214339176"/>
      <w:bookmarkStart w:id="141" w:name="_Toc352924417"/>
      <w:r w:rsidRPr="00BB3C05">
        <w:t>Expert advice</w:t>
      </w:r>
      <w:bookmarkEnd w:id="138"/>
      <w:bookmarkEnd w:id="139"/>
      <w:bookmarkEnd w:id="140"/>
      <w:r w:rsidR="00A37D64">
        <w:t>: Health Expert Standing Panel (HESP)</w:t>
      </w:r>
      <w:bookmarkEnd w:id="141"/>
      <w:r w:rsidRPr="00BB3C05">
        <w:t xml:space="preserve"> </w:t>
      </w:r>
    </w:p>
    <w:p w:rsidR="00A37D64" w:rsidRDefault="00A37D64" w:rsidP="00A37D64">
      <w:pPr>
        <w:jc w:val="both"/>
        <w:rPr>
          <w:rFonts w:ascii="Times New Roman" w:hAnsi="Times New Roman"/>
        </w:rPr>
      </w:pPr>
      <w:r w:rsidRPr="00862B3C">
        <w:rPr>
          <w:rFonts w:ascii="Times New Roman" w:hAnsi="Times New Roman"/>
        </w:rPr>
        <w:t>HESP has been established as</w:t>
      </w:r>
      <w:r>
        <w:rPr>
          <w:rFonts w:ascii="Times New Roman" w:hAnsi="Times New Roman"/>
        </w:rPr>
        <w:t xml:space="preserve"> a</w:t>
      </w:r>
      <w:r w:rsidRPr="00862B3C">
        <w:rPr>
          <w:rFonts w:ascii="Times New Roman" w:hAnsi="Times New Roman"/>
        </w:rPr>
        <w:t xml:space="preserve"> </w:t>
      </w:r>
      <w:r>
        <w:rPr>
          <w:rFonts w:ascii="Times New Roman" w:hAnsi="Times New Roman"/>
        </w:rPr>
        <w:t xml:space="preserve">panel of the </w:t>
      </w:r>
      <w:r w:rsidRPr="00862B3C">
        <w:rPr>
          <w:rFonts w:ascii="Times New Roman" w:hAnsi="Times New Roman"/>
        </w:rPr>
        <w:t>Medical Ser</w:t>
      </w:r>
      <w:r>
        <w:rPr>
          <w:rFonts w:ascii="Times New Roman" w:hAnsi="Times New Roman"/>
        </w:rPr>
        <w:t xml:space="preserve">vices Advisory Committee (MSAC) and is </w:t>
      </w:r>
      <w:r w:rsidRPr="00862B3C">
        <w:rPr>
          <w:rFonts w:ascii="Times New Roman" w:hAnsi="Times New Roman"/>
        </w:rPr>
        <w:t xml:space="preserve">a pool of experts </w:t>
      </w:r>
      <w:r>
        <w:rPr>
          <w:rFonts w:ascii="Times New Roman" w:hAnsi="Times New Roman"/>
        </w:rPr>
        <w:t>collated</w:t>
      </w:r>
      <w:r w:rsidRPr="00862B3C">
        <w:rPr>
          <w:rFonts w:ascii="Times New Roman" w:hAnsi="Times New Roman"/>
        </w:rPr>
        <w:t xml:space="preserve"> from </w:t>
      </w:r>
      <w:r>
        <w:rPr>
          <w:rFonts w:ascii="Times New Roman" w:hAnsi="Times New Roman"/>
        </w:rPr>
        <w:t>various</w:t>
      </w:r>
      <w:r w:rsidRPr="00862B3C">
        <w:rPr>
          <w:rFonts w:ascii="Times New Roman" w:hAnsi="Times New Roman"/>
        </w:rPr>
        <w:t xml:space="preserve"> medical fields who are nominated by their associated professional body or by applicant</w:t>
      </w:r>
      <w:r>
        <w:rPr>
          <w:rFonts w:ascii="Times New Roman" w:hAnsi="Times New Roman"/>
        </w:rPr>
        <w:t>s</w:t>
      </w:r>
      <w:r w:rsidRPr="00862B3C">
        <w:rPr>
          <w:rFonts w:ascii="Times New Roman" w:hAnsi="Times New Roman"/>
        </w:rPr>
        <w:t xml:space="preserve">.  </w:t>
      </w:r>
    </w:p>
    <w:p w:rsidR="00A37D64" w:rsidRPr="00BB3C05" w:rsidRDefault="00A37D64" w:rsidP="00A37D64">
      <w:r w:rsidRPr="00862B3C">
        <w:rPr>
          <w:rFonts w:ascii="Times New Roman" w:hAnsi="Times New Roman"/>
        </w:rPr>
        <w:t xml:space="preserve">HESP members are </w:t>
      </w:r>
      <w:r>
        <w:rPr>
          <w:rFonts w:ascii="Times New Roman" w:hAnsi="Times New Roman"/>
        </w:rPr>
        <w:t xml:space="preserve">engaged </w:t>
      </w:r>
      <w:r w:rsidRPr="00862B3C">
        <w:rPr>
          <w:rFonts w:ascii="Times New Roman" w:hAnsi="Times New Roman"/>
        </w:rPr>
        <w:t xml:space="preserve">to provide practical, professional advice to evaluators which directly </w:t>
      </w:r>
      <w:r>
        <w:rPr>
          <w:rFonts w:ascii="Times New Roman" w:hAnsi="Times New Roman"/>
        </w:rPr>
        <w:t>relates to</w:t>
      </w:r>
      <w:r w:rsidRPr="00862B3C">
        <w:rPr>
          <w:rFonts w:ascii="Times New Roman" w:hAnsi="Times New Roman"/>
        </w:rPr>
        <w:t xml:space="preserve"> </w:t>
      </w:r>
      <w:r>
        <w:rPr>
          <w:rFonts w:ascii="Times New Roman" w:hAnsi="Times New Roman"/>
        </w:rPr>
        <w:t xml:space="preserve">each application and </w:t>
      </w:r>
      <w:r w:rsidRPr="00862B3C">
        <w:rPr>
          <w:rFonts w:ascii="Times New Roman" w:hAnsi="Times New Roman"/>
        </w:rPr>
        <w:t>the service being proposed for the M</w:t>
      </w:r>
      <w:r>
        <w:rPr>
          <w:rFonts w:ascii="Times New Roman" w:hAnsi="Times New Roman"/>
        </w:rPr>
        <w:t xml:space="preserve">BS. </w:t>
      </w:r>
      <w:r w:rsidRPr="00862B3C">
        <w:rPr>
          <w:rFonts w:ascii="Times New Roman" w:hAnsi="Times New Roman"/>
        </w:rPr>
        <w:t xml:space="preserve"> </w:t>
      </w:r>
      <w:r>
        <w:rPr>
          <w:rFonts w:ascii="Times New Roman" w:hAnsi="Times New Roman"/>
        </w:rPr>
        <w:t xml:space="preserve">HESP members are not members of either MSAC or its subcommittees ESC and PASC.  Their </w:t>
      </w:r>
      <w:r w:rsidRPr="00862B3C">
        <w:rPr>
          <w:rFonts w:ascii="Times New Roman" w:hAnsi="Times New Roman"/>
        </w:rPr>
        <w:t xml:space="preserve">role is limited to providing </w:t>
      </w:r>
      <w:r>
        <w:rPr>
          <w:rFonts w:ascii="Times New Roman" w:hAnsi="Times New Roman"/>
        </w:rPr>
        <w:t>input</w:t>
      </w:r>
      <w:r w:rsidRPr="00862B3C">
        <w:rPr>
          <w:rFonts w:ascii="Times New Roman" w:hAnsi="Times New Roman"/>
        </w:rPr>
        <w:t xml:space="preserve"> </w:t>
      </w:r>
      <w:r>
        <w:rPr>
          <w:rFonts w:ascii="Times New Roman" w:hAnsi="Times New Roman"/>
        </w:rPr>
        <w:t xml:space="preserve">and guidance </w:t>
      </w:r>
      <w:r w:rsidRPr="00862B3C">
        <w:rPr>
          <w:rFonts w:ascii="Times New Roman" w:hAnsi="Times New Roman"/>
        </w:rPr>
        <w:t>to the assessment groups</w:t>
      </w:r>
      <w:r>
        <w:rPr>
          <w:rFonts w:ascii="Times New Roman" w:hAnsi="Times New Roman"/>
        </w:rPr>
        <w:t xml:space="preserve"> </w:t>
      </w:r>
      <w:r w:rsidRPr="00862B3C">
        <w:rPr>
          <w:rFonts w:ascii="Times New Roman" w:hAnsi="Times New Roman"/>
        </w:rPr>
        <w:t xml:space="preserve">to ensure that the </w:t>
      </w:r>
      <w:r>
        <w:rPr>
          <w:rFonts w:ascii="Times New Roman" w:hAnsi="Times New Roman"/>
        </w:rPr>
        <w:t>pathway is</w:t>
      </w:r>
      <w:r w:rsidRPr="00862B3C">
        <w:rPr>
          <w:rFonts w:ascii="Times New Roman" w:hAnsi="Times New Roman"/>
        </w:rPr>
        <w:t xml:space="preserve"> clinically relevant and t</w:t>
      </w:r>
      <w:r>
        <w:rPr>
          <w:rFonts w:ascii="Times New Roman" w:hAnsi="Times New Roman"/>
        </w:rPr>
        <w:t xml:space="preserve">akes </w:t>
      </w:r>
      <w:r w:rsidRPr="00862B3C">
        <w:rPr>
          <w:rFonts w:ascii="Times New Roman" w:hAnsi="Times New Roman"/>
        </w:rPr>
        <w:t>into account consumer interests</w:t>
      </w:r>
      <w:r>
        <w:rPr>
          <w:rFonts w:ascii="Times New Roman" w:hAnsi="Times New Roman"/>
        </w:rPr>
        <w:t xml:space="preserve">.  HESP member’s advice is </w:t>
      </w:r>
      <w:r w:rsidRPr="00862B3C">
        <w:rPr>
          <w:rFonts w:ascii="Times New Roman" w:hAnsi="Times New Roman"/>
        </w:rPr>
        <w:t xml:space="preserve">to inform the deliberations </w:t>
      </w:r>
      <w:r>
        <w:rPr>
          <w:rFonts w:ascii="Times New Roman" w:hAnsi="Times New Roman"/>
        </w:rPr>
        <w:t>MSAC presents to the Minister.</w:t>
      </w:r>
    </w:p>
    <w:p w:rsidR="00C9014F" w:rsidRPr="00BB3C05" w:rsidRDefault="00C9014F"/>
    <w:p w:rsidR="00C9014F" w:rsidRPr="00BB3C05" w:rsidRDefault="00C9014F" w:rsidP="00D67F1E">
      <w:pPr>
        <w:sectPr w:rsidR="00C9014F" w:rsidRPr="00BB3C05" w:rsidSect="00A90770">
          <w:footerReference w:type="even" r:id="rId27"/>
          <w:footerReference w:type="default" r:id="rId28"/>
          <w:pgSz w:w="11909" w:h="16834" w:code="9"/>
          <w:pgMar w:top="1440" w:right="1440" w:bottom="1440" w:left="1440" w:header="709" w:footer="709" w:gutter="0"/>
          <w:cols w:space="720"/>
        </w:sectPr>
      </w:pPr>
      <w:bookmarkStart w:id="142" w:name="_Ref124760357"/>
    </w:p>
    <w:p w:rsidR="008F59A8" w:rsidRPr="00BB3C05" w:rsidRDefault="008F59A8" w:rsidP="00F171E7">
      <w:pPr>
        <w:pStyle w:val="Heading1"/>
      </w:pPr>
      <w:bookmarkStart w:id="143" w:name="_Toc214339177"/>
      <w:bookmarkStart w:id="144" w:name="_Toc352924418"/>
      <w:bookmarkEnd w:id="142"/>
      <w:r w:rsidRPr="00BB3C05">
        <w:lastRenderedPageBreak/>
        <w:t>Results of assessment</w:t>
      </w:r>
      <w:bookmarkEnd w:id="143"/>
      <w:bookmarkEnd w:id="144"/>
      <w:r w:rsidRPr="00BB3C05">
        <w:t xml:space="preserve"> </w:t>
      </w:r>
    </w:p>
    <w:p w:rsidR="00BA31A5" w:rsidRPr="00BB3C05" w:rsidRDefault="00BA31A5" w:rsidP="00F171E7">
      <w:pPr>
        <w:pStyle w:val="Heading2"/>
      </w:pPr>
      <w:bookmarkStart w:id="145" w:name="_Toc352924419"/>
      <w:bookmarkStart w:id="146" w:name="_Toc214339178"/>
      <w:r w:rsidRPr="00BB3C05">
        <w:t>Health technology assessment and systematic review</w:t>
      </w:r>
      <w:bookmarkEnd w:id="145"/>
    </w:p>
    <w:p w:rsidR="00BA31A5" w:rsidRPr="00BB3C05" w:rsidRDefault="004D2383" w:rsidP="00C768AC">
      <w:r w:rsidRPr="00BB3C05">
        <w:t>There were no systematic review</w:t>
      </w:r>
      <w:r w:rsidR="00134344">
        <w:t>s</w:t>
      </w:r>
      <w:r w:rsidRPr="00BB3C05">
        <w:t xml:space="preserve"> identified directly addressing the research question of the present review. </w:t>
      </w:r>
    </w:p>
    <w:p w:rsidR="00BA31A5" w:rsidRPr="00BB3C05" w:rsidRDefault="006C0551" w:rsidP="00F171E7">
      <w:pPr>
        <w:pStyle w:val="Heading2"/>
      </w:pPr>
      <w:bookmarkStart w:id="147" w:name="_Toc352924420"/>
      <w:r w:rsidRPr="00BB3C05">
        <w:t>C</w:t>
      </w:r>
      <w:r w:rsidR="00BA31A5" w:rsidRPr="00BB3C05">
        <w:t xml:space="preserve">haracteristics of included </w:t>
      </w:r>
      <w:r w:rsidR="00F171E7" w:rsidRPr="00BB3C05">
        <w:t>studies</w:t>
      </w:r>
      <w:bookmarkEnd w:id="147"/>
    </w:p>
    <w:p w:rsidR="00B463D8" w:rsidRPr="00B463D8" w:rsidRDefault="007D0464" w:rsidP="00CA04FA">
      <w:r>
        <w:fldChar w:fldCharType="begin"/>
      </w:r>
      <w:r>
        <w:instrText xml:space="preserve"> REF _Ref324944127 \h </w:instrText>
      </w:r>
      <w:r w:rsidR="00CA04FA">
        <w:instrText xml:space="preserve"> \* MERGEFORMAT </w:instrText>
      </w:r>
      <w:r>
        <w:fldChar w:fldCharType="separate"/>
      </w:r>
      <w:r w:rsidR="0071544A">
        <w:t>Table 26</w:t>
      </w:r>
      <w:r>
        <w:fldChar w:fldCharType="end"/>
      </w:r>
      <w:r>
        <w:t xml:space="preserve"> </w:t>
      </w:r>
      <w:r w:rsidR="00B463D8" w:rsidRPr="00B463D8">
        <w:t xml:space="preserve">and </w:t>
      </w:r>
      <w:r w:rsidR="00CA04FA">
        <w:fldChar w:fldCharType="begin"/>
      </w:r>
      <w:r w:rsidR="00CA04FA">
        <w:instrText xml:space="preserve"> REF _Ref327455381 \h </w:instrText>
      </w:r>
      <w:r w:rsidR="00CA04FA">
        <w:fldChar w:fldCharType="separate"/>
      </w:r>
      <w:r w:rsidR="0071544A">
        <w:t xml:space="preserve">Table </w:t>
      </w:r>
      <w:r w:rsidR="0071544A">
        <w:rPr>
          <w:noProof/>
        </w:rPr>
        <w:t>27</w:t>
      </w:r>
      <w:r w:rsidR="00CA04FA">
        <w:fldChar w:fldCharType="end"/>
      </w:r>
      <w:r w:rsidR="00CA04FA">
        <w:t xml:space="preserve"> </w:t>
      </w:r>
      <w:r>
        <w:t>summaris</w:t>
      </w:r>
      <w:r w:rsidR="00B463D8" w:rsidRPr="00B463D8">
        <w:t xml:space="preserve">ed study characteristics of each included study. </w:t>
      </w:r>
      <w:r w:rsidR="006139A8">
        <w:t xml:space="preserve">Appendix </w:t>
      </w:r>
      <w:r w:rsidR="00F76B65">
        <w:t>F</w:t>
      </w:r>
      <w:r w:rsidR="006139A8">
        <w:t xml:space="preserve">, Appendix </w:t>
      </w:r>
      <w:r w:rsidR="00F76B65">
        <w:t>G</w:t>
      </w:r>
      <w:r w:rsidR="006139A8">
        <w:t xml:space="preserve"> and Appendix </w:t>
      </w:r>
      <w:r w:rsidR="00F76B65">
        <w:t>H</w:t>
      </w:r>
      <w:r w:rsidR="006139A8">
        <w:t xml:space="preserve"> </w:t>
      </w:r>
      <w:r>
        <w:t>summaris</w:t>
      </w:r>
      <w:r w:rsidR="00B463D8" w:rsidRPr="00B463D8">
        <w:t>e the data extraction.</w:t>
      </w:r>
    </w:p>
    <w:p w:rsidR="00727759" w:rsidRPr="00BB3C05" w:rsidRDefault="00FD465A" w:rsidP="00FD465A">
      <w:r w:rsidRPr="00BB3C05">
        <w:t>A total of 4</w:t>
      </w:r>
      <w:r w:rsidR="005B7C3D" w:rsidRPr="00BB3C05">
        <w:t>0</w:t>
      </w:r>
      <w:r w:rsidRPr="00BB3C05">
        <w:t xml:space="preserve"> primary studies were included in this assessment, of which seven </w:t>
      </w:r>
      <w:r w:rsidR="001E6B4F" w:rsidRPr="00BB3C05">
        <w:t>were</w:t>
      </w:r>
      <w:r w:rsidRPr="00BB3C05">
        <w:t xml:space="preserve"> comparative and 3</w:t>
      </w:r>
      <w:r w:rsidR="005B7C3D" w:rsidRPr="00BB3C05">
        <w:t>3</w:t>
      </w:r>
      <w:r w:rsidRPr="00BB3C05">
        <w:t xml:space="preserve"> </w:t>
      </w:r>
      <w:r w:rsidR="005B5359">
        <w:t xml:space="preserve">were </w:t>
      </w:r>
      <w:r w:rsidRPr="00BB3C05">
        <w:t>leve</w:t>
      </w:r>
      <w:r w:rsidR="007A6655" w:rsidRPr="00BB3C05">
        <w:t>l IV</w:t>
      </w:r>
      <w:r w:rsidRPr="00BB3C05">
        <w:t xml:space="preserve"> studies. </w:t>
      </w:r>
      <w:r w:rsidR="00656C4D" w:rsidRPr="00BB3C05">
        <w:t>In no instance was a conflict of interest mentioned by the study authors.</w:t>
      </w:r>
    </w:p>
    <w:p w:rsidR="00727759" w:rsidRPr="00892811" w:rsidRDefault="00FD465A" w:rsidP="00FD465A">
      <w:r w:rsidRPr="00BB3C05">
        <w:t>Comparative evidence included t</w:t>
      </w:r>
      <w:r w:rsidR="00415D14" w:rsidRPr="00BB3C05">
        <w:t>wo RCTs</w:t>
      </w:r>
      <w:r w:rsidR="00E71511" w:rsidRPr="00BB3C05">
        <w:t xml:space="preserve"> (Fiori et </w:t>
      </w:r>
      <w:r w:rsidR="00A3249D" w:rsidRPr="00BB3C05">
        <w:t>al 2004</w:t>
      </w:r>
      <w:r w:rsidR="002E3524">
        <w:t>;</w:t>
      </w:r>
      <w:r w:rsidR="00A3249D" w:rsidRPr="00BB3C05">
        <w:t xml:space="preserve"> Xinopoulos et al 2004), one level III</w:t>
      </w:r>
      <w:r w:rsidR="00AE6041" w:rsidRPr="00BB3C05">
        <w:t xml:space="preserve">-2 study (Nagula et al 2010) </w:t>
      </w:r>
      <w:r w:rsidR="00E71511" w:rsidRPr="00BB3C05">
        <w:t xml:space="preserve">and </w:t>
      </w:r>
      <w:r w:rsidR="00AE6041" w:rsidRPr="00BB3C05">
        <w:t>four</w:t>
      </w:r>
      <w:r w:rsidR="00727759" w:rsidRPr="00BB3C05">
        <w:t xml:space="preserve"> level</w:t>
      </w:r>
      <w:r w:rsidR="00A3249D" w:rsidRPr="00BB3C05">
        <w:t xml:space="preserve"> III</w:t>
      </w:r>
      <w:r w:rsidR="00E71511" w:rsidRPr="00BB3C05">
        <w:t>-3 studies</w:t>
      </w:r>
      <w:r w:rsidR="0011256D" w:rsidRPr="00BB3C05">
        <w:t xml:space="preserve">. Three of the comparative studies were prospective while the rest </w:t>
      </w:r>
      <w:r w:rsidR="001E6B4F" w:rsidRPr="00BB3C05">
        <w:t xml:space="preserve">were </w:t>
      </w:r>
      <w:r w:rsidR="0011256D" w:rsidRPr="00BB3C05">
        <w:t>retrospective</w:t>
      </w:r>
      <w:r w:rsidR="00E71511" w:rsidRPr="009E5C53">
        <w:t xml:space="preserve">. </w:t>
      </w:r>
      <w:r w:rsidR="00353348" w:rsidRPr="00E2422F">
        <w:t xml:space="preserve">SEMS cohorts were small in general and ranged </w:t>
      </w:r>
      <w:r w:rsidR="005B5359">
        <w:t>from</w:t>
      </w:r>
      <w:r w:rsidR="005B5359" w:rsidRPr="00E2422F">
        <w:t xml:space="preserve"> </w:t>
      </w:r>
      <w:r w:rsidR="00353348" w:rsidRPr="00E2422F">
        <w:t>11 to 30 patients</w:t>
      </w:r>
      <w:r w:rsidR="002460A9" w:rsidRPr="00892811">
        <w:t xml:space="preserve"> only</w:t>
      </w:r>
      <w:r w:rsidR="00353348" w:rsidRPr="008978EE">
        <w:t xml:space="preserve">. Most </w:t>
      </w:r>
      <w:r w:rsidR="00824882" w:rsidRPr="008978EE">
        <w:t xml:space="preserve">authors </w:t>
      </w:r>
      <w:r w:rsidR="00353348" w:rsidRPr="00A30BA9">
        <w:t>did n</w:t>
      </w:r>
      <w:r w:rsidR="007D0464">
        <w:t xml:space="preserve">ot specify </w:t>
      </w:r>
      <w:r w:rsidR="005B5359">
        <w:t>follow-</w:t>
      </w:r>
      <w:r w:rsidR="007D0464">
        <w:t>up durations</w:t>
      </w:r>
      <w:r w:rsidR="00353348" w:rsidRPr="009E5C53">
        <w:t xml:space="preserve">. </w:t>
      </w:r>
      <w:r w:rsidR="00B24BEA" w:rsidRPr="00E2422F">
        <w:t>All seven</w:t>
      </w:r>
      <w:r w:rsidR="005B5359">
        <w:t xml:space="preserve"> comparative</w:t>
      </w:r>
      <w:r w:rsidR="00B24BEA" w:rsidRPr="00E2422F">
        <w:t xml:space="preserve"> studies compared stents to surgical procedures. No study compared stents to best supportive care or conservative management. </w:t>
      </w:r>
    </w:p>
    <w:p w:rsidR="00656C4D" w:rsidRPr="00E2422F" w:rsidRDefault="00656C4D" w:rsidP="00656C4D">
      <w:r w:rsidRPr="008978EE">
        <w:t>Of the seven comparative studies</w:t>
      </w:r>
      <w:r w:rsidR="005B5359">
        <w:t>,</w:t>
      </w:r>
      <w:r w:rsidRPr="008978EE">
        <w:t xml:space="preserve"> six included only patients with a diagnosis of confirmed malignancy</w:t>
      </w:r>
      <w:r w:rsidR="005B5359">
        <w:t>,</w:t>
      </w:r>
      <w:r w:rsidRPr="008978EE">
        <w:t xml:space="preserve"> whilst one study did not report diagnosis. Additionally</w:t>
      </w:r>
      <w:r w:rsidR="005B5359">
        <w:t>,</w:t>
      </w:r>
      <w:r w:rsidRPr="008978EE">
        <w:t xml:space="preserve"> of the seven studies</w:t>
      </w:r>
      <w:r w:rsidR="005B5359">
        <w:t>,</w:t>
      </w:r>
      <w:r w:rsidRPr="008978EE">
        <w:t xml:space="preserve"> five did not report whether balloon dilation was performed </w:t>
      </w:r>
      <w:proofErr w:type="gramStart"/>
      <w:r w:rsidRPr="008978EE">
        <w:t>nor</w:t>
      </w:r>
      <w:proofErr w:type="gramEnd"/>
      <w:r w:rsidRPr="008978EE">
        <w:t xml:space="preserve"> whether covered or uncovered stents were used.  One study reported that balloon dilation was not performed</w:t>
      </w:r>
      <w:r w:rsidRPr="00A30BA9">
        <w:t xml:space="preserve"> and that mixed stent types we</w:t>
      </w:r>
      <w:r w:rsidR="006C0551" w:rsidRPr="005646B6">
        <w:t>re used</w:t>
      </w:r>
      <w:r w:rsidR="0023632C">
        <w:t>;</w:t>
      </w:r>
      <w:r w:rsidR="006C0551" w:rsidRPr="005646B6">
        <w:t xml:space="preserve"> a second study employed</w:t>
      </w:r>
      <w:r w:rsidRPr="00003831">
        <w:t xml:space="preserve"> balloon dilation in all patients and only uncovered stents were used (Xinopoulos et al 2004). None of these studies reported whether adjunct medical treatment such as chemotherapy w</w:t>
      </w:r>
      <w:r w:rsidRPr="00A87C52">
        <w:t>as used. The detailed inclusion criteria and patient characteristics of</w:t>
      </w:r>
      <w:r w:rsidR="006C0551" w:rsidRPr="00DF686C">
        <w:t xml:space="preserve"> the studies are summari</w:t>
      </w:r>
      <w:r w:rsidR="007D0464">
        <w:t>s</w:t>
      </w:r>
      <w:r w:rsidR="006C0551" w:rsidRPr="00DF686C">
        <w:t>ed in</w:t>
      </w:r>
      <w:r w:rsidR="006139A8">
        <w:t xml:space="preserve"> Appendix </w:t>
      </w:r>
      <w:r w:rsidR="00F76B65">
        <w:t>F</w:t>
      </w:r>
      <w:r w:rsidR="00B76D38">
        <w:t xml:space="preserve"> </w:t>
      </w:r>
      <w:r w:rsidRPr="007D0464">
        <w:t>and</w:t>
      </w:r>
      <w:r w:rsidR="006139A8">
        <w:t xml:space="preserve"> Appendix </w:t>
      </w:r>
      <w:r w:rsidR="00F76B65">
        <w:t>G</w:t>
      </w:r>
      <w:r w:rsidRPr="009E5C53">
        <w:t>.</w:t>
      </w:r>
      <w:r w:rsidRPr="00E2422F">
        <w:t xml:space="preserve"> </w:t>
      </w:r>
    </w:p>
    <w:p w:rsidR="00656C4D" w:rsidRPr="008978EE" w:rsidRDefault="00656C4D" w:rsidP="00656C4D">
      <w:r w:rsidRPr="00892811">
        <w:t xml:space="preserve">A statistical analysis of the </w:t>
      </w:r>
      <w:r w:rsidR="00987ADE">
        <w:t>pre-operative</w:t>
      </w:r>
      <w:r w:rsidRPr="00892811">
        <w:t xml:space="preserve"> parameters of the st</w:t>
      </w:r>
      <w:r w:rsidRPr="008978EE">
        <w:t>udy groups was not carried out in any of the non-</w:t>
      </w:r>
      <w:r w:rsidR="005B5359" w:rsidRPr="008978EE">
        <w:t>randomi</w:t>
      </w:r>
      <w:r w:rsidR="005B5359">
        <w:t>s</w:t>
      </w:r>
      <w:r w:rsidR="005B5359" w:rsidRPr="008978EE">
        <w:t xml:space="preserve">ed </w:t>
      </w:r>
      <w:r w:rsidRPr="008978EE">
        <w:t xml:space="preserve">comparative evidence.  </w:t>
      </w:r>
    </w:p>
    <w:p w:rsidR="0072100A" w:rsidRPr="00892811" w:rsidRDefault="001E6B4F" w:rsidP="00FD465A">
      <w:r w:rsidRPr="008978EE">
        <w:t>The l</w:t>
      </w:r>
      <w:r w:rsidR="007A6655" w:rsidRPr="00A30BA9">
        <w:t>evel IV</w:t>
      </w:r>
      <w:r w:rsidR="0072100A" w:rsidRPr="005646B6">
        <w:t xml:space="preserve"> evidence</w:t>
      </w:r>
      <w:r w:rsidR="00353348" w:rsidRPr="00003831">
        <w:t xml:space="preserve"> base</w:t>
      </w:r>
      <w:r w:rsidR="0072100A" w:rsidRPr="00A87C52">
        <w:t xml:space="preserve"> </w:t>
      </w:r>
      <w:r w:rsidR="00353348" w:rsidRPr="00DF686C">
        <w:t>included</w:t>
      </w:r>
      <w:r w:rsidR="0072100A" w:rsidRPr="00DF686C">
        <w:t xml:space="preserve"> six studies that were originally designed</w:t>
      </w:r>
      <w:r w:rsidR="00824882" w:rsidRPr="00DF686C">
        <w:t xml:space="preserve"> as comparative</w:t>
      </w:r>
      <w:r w:rsidR="0072100A" w:rsidRPr="00F13A5A">
        <w:t xml:space="preserve">. Their </w:t>
      </w:r>
      <w:r w:rsidR="00824882" w:rsidRPr="00E767D0">
        <w:t>comparators were</w:t>
      </w:r>
      <w:r w:rsidR="0072100A" w:rsidRPr="00BE3EA8">
        <w:t xml:space="preserve"> </w:t>
      </w:r>
      <w:r w:rsidR="005B5359">
        <w:t>not considered relevant to</w:t>
      </w:r>
      <w:r w:rsidR="0072100A" w:rsidRPr="00BE3EA8">
        <w:t xml:space="preserve"> </w:t>
      </w:r>
      <w:r w:rsidR="00824882" w:rsidRPr="00BE3EA8">
        <w:t>our</w:t>
      </w:r>
      <w:r w:rsidR="0072100A" w:rsidRPr="00A3741F">
        <w:t xml:space="preserve"> </w:t>
      </w:r>
      <w:r w:rsidR="00353348" w:rsidRPr="00F2707B">
        <w:t>research questions</w:t>
      </w:r>
      <w:r w:rsidR="0072100A" w:rsidRPr="00F2707B">
        <w:t xml:space="preserve"> and </w:t>
      </w:r>
      <w:r w:rsidR="005B5359">
        <w:t xml:space="preserve">were </w:t>
      </w:r>
      <w:r w:rsidR="0072100A" w:rsidRPr="00F2707B">
        <w:t xml:space="preserve">therefore </w:t>
      </w:r>
      <w:r w:rsidR="00554112" w:rsidRPr="008F42F9">
        <w:t>considered</w:t>
      </w:r>
      <w:r w:rsidR="007A6655" w:rsidRPr="008F42F9">
        <w:t xml:space="preserve"> as level IV</w:t>
      </w:r>
      <w:r w:rsidR="0072100A" w:rsidRPr="008F42F9">
        <w:t xml:space="preserve"> evidence </w:t>
      </w:r>
      <w:r w:rsidR="005B5359">
        <w:t>for</w:t>
      </w:r>
      <w:r w:rsidR="005B5359" w:rsidRPr="008F42F9">
        <w:t xml:space="preserve"> </w:t>
      </w:r>
      <w:r w:rsidR="00824882" w:rsidRPr="008F42F9">
        <w:t>this</w:t>
      </w:r>
      <w:r w:rsidR="0072100A" w:rsidRPr="008F42F9">
        <w:t xml:space="preserve"> </w:t>
      </w:r>
      <w:r w:rsidR="00353348" w:rsidRPr="008F42F9">
        <w:t>assessment</w:t>
      </w:r>
      <w:r w:rsidR="0072100A" w:rsidRPr="00325C69">
        <w:t xml:space="preserve">. </w:t>
      </w:r>
      <w:r w:rsidR="005B5359">
        <w:t>Of the level IV evidence,</w:t>
      </w:r>
      <w:r w:rsidR="0072100A" w:rsidRPr="00325C69">
        <w:t xml:space="preserve"> 2</w:t>
      </w:r>
      <w:r w:rsidR="005B7C3D" w:rsidRPr="007D5B7C">
        <w:t>7</w:t>
      </w:r>
      <w:r w:rsidR="0072100A" w:rsidRPr="007D5B7C">
        <w:t xml:space="preserve"> </w:t>
      </w:r>
      <w:r w:rsidR="005B5359">
        <w:t xml:space="preserve">were </w:t>
      </w:r>
      <w:r w:rsidR="0072100A" w:rsidRPr="007D5B7C">
        <w:t xml:space="preserve">case series. </w:t>
      </w:r>
      <w:r w:rsidR="005B5359">
        <w:t>The a</w:t>
      </w:r>
      <w:r w:rsidR="00DA2DE9" w:rsidRPr="007D5B7C">
        <w:t>uthors of 1</w:t>
      </w:r>
      <w:r w:rsidR="005B7C3D" w:rsidRPr="007D5B7C">
        <w:t>5</w:t>
      </w:r>
      <w:r w:rsidR="00DA2DE9" w:rsidRPr="007D5B7C">
        <w:t xml:space="preserve"> studies</w:t>
      </w:r>
      <w:r w:rsidR="00824882" w:rsidRPr="00960A9E">
        <w:t xml:space="preserve"> did</w:t>
      </w:r>
      <w:r w:rsidR="00DA2DE9" w:rsidRPr="00EA2600">
        <w:t xml:space="preserve"> not </w:t>
      </w:r>
      <w:r w:rsidR="005B5359">
        <w:t>indicate specific</w:t>
      </w:r>
      <w:r w:rsidR="00DA2DE9" w:rsidRPr="00EA2600">
        <w:t xml:space="preserve"> </w:t>
      </w:r>
      <w:r w:rsidR="005B5359" w:rsidRPr="00EA2600">
        <w:t>follow</w:t>
      </w:r>
      <w:r w:rsidR="005B5359">
        <w:t>-</w:t>
      </w:r>
      <w:r w:rsidR="00DA2DE9" w:rsidRPr="00EA2600">
        <w:t xml:space="preserve">up </w:t>
      </w:r>
      <w:r w:rsidRPr="00EA2600">
        <w:t>periods;</w:t>
      </w:r>
      <w:r w:rsidR="00DA2DE9" w:rsidRPr="00EA2600">
        <w:t xml:space="preserve"> </w:t>
      </w:r>
      <w:r w:rsidR="005B5359">
        <w:t xml:space="preserve">while for the </w:t>
      </w:r>
      <w:r w:rsidR="00FD2683" w:rsidRPr="00EC591E">
        <w:t>remaining studies</w:t>
      </w:r>
      <w:r w:rsidR="005B5359">
        <w:t>, follow-up periods ranged from a</w:t>
      </w:r>
      <w:r w:rsidR="00FD2683" w:rsidRPr="00CF31D5">
        <w:t xml:space="preserve"> few days to 1.5 years</w:t>
      </w:r>
      <w:r w:rsidR="003F0186" w:rsidRPr="00E2422F">
        <w:t xml:space="preserve">. </w:t>
      </w:r>
      <w:r w:rsidR="0072100A" w:rsidRPr="00892811">
        <w:t xml:space="preserve"> </w:t>
      </w:r>
    </w:p>
    <w:p w:rsidR="00656C4D" w:rsidRPr="007D5B7C" w:rsidRDefault="00656C4D" w:rsidP="00656C4D">
      <w:r w:rsidRPr="008978EE">
        <w:t xml:space="preserve">Within the level IV evidence base there was a large degree of variation in reporting of study </w:t>
      </w:r>
      <w:r w:rsidR="003A2B28" w:rsidRPr="008978EE">
        <w:t xml:space="preserve">patient </w:t>
      </w:r>
      <w:r w:rsidRPr="00A30BA9">
        <w:t xml:space="preserve">characteristics and procedures. </w:t>
      </w:r>
      <w:r w:rsidR="008D17C3" w:rsidRPr="005646B6">
        <w:t>The present review included patients who received SEMS ins</w:t>
      </w:r>
      <w:r w:rsidR="008D17C3" w:rsidRPr="00003831">
        <w:t>ertion for palliative rea</w:t>
      </w:r>
      <w:r w:rsidR="00DE5380" w:rsidRPr="00A87C52">
        <w:t>sons or as a bridge to surgery</w:t>
      </w:r>
      <w:r w:rsidR="007E2DA9" w:rsidRPr="00DF686C">
        <w:t>. These</w:t>
      </w:r>
      <w:r w:rsidR="00DE5380" w:rsidRPr="00DF686C">
        <w:t xml:space="preserve"> populations are generally distinct in terms of baseline morbidity</w:t>
      </w:r>
      <w:r w:rsidR="007E2DA9" w:rsidRPr="00DF686C">
        <w:t xml:space="preserve"> and prognosis, making it difficult to generalise outcomes across all relevant patient populations.</w:t>
      </w:r>
      <w:r w:rsidR="00DE5380" w:rsidRPr="00F13A5A">
        <w:t xml:space="preserve"> F</w:t>
      </w:r>
      <w:r w:rsidR="007E2DA9" w:rsidRPr="00E767D0">
        <w:t>u</w:t>
      </w:r>
      <w:r w:rsidR="007E2DA9" w:rsidRPr="00BE3EA8">
        <w:t>rthermore, f</w:t>
      </w:r>
      <w:r w:rsidR="00DE5380" w:rsidRPr="00BE3EA8">
        <w:t xml:space="preserve">ew authors reported whether patients were indicated for palliative treatment or as a bridge to </w:t>
      </w:r>
      <w:r w:rsidR="00DE5380" w:rsidRPr="00BE3EA8">
        <w:lastRenderedPageBreak/>
        <w:t xml:space="preserve">surgery at </w:t>
      </w:r>
      <w:r w:rsidR="005B5359">
        <w:t xml:space="preserve">the </w:t>
      </w:r>
      <w:r w:rsidR="00DE5380" w:rsidRPr="00BE3EA8">
        <w:t>time of SEMS insertion</w:t>
      </w:r>
      <w:r w:rsidR="00633EAC">
        <w:t>.</w:t>
      </w:r>
      <w:r w:rsidR="00DE5380" w:rsidRPr="00BE3EA8">
        <w:t xml:space="preserve"> </w:t>
      </w:r>
      <w:r w:rsidR="005B5359">
        <w:t>I</w:t>
      </w:r>
      <w:r w:rsidR="00DE5380" w:rsidRPr="00BE3EA8">
        <w:t xml:space="preserve">t is possible that a number of patients </w:t>
      </w:r>
      <w:r w:rsidR="007E2DA9" w:rsidRPr="00BE3EA8">
        <w:t xml:space="preserve">initially </w:t>
      </w:r>
      <w:r w:rsidR="00DE5380" w:rsidRPr="00A3741F">
        <w:t>receiving SEMS as a</w:t>
      </w:r>
      <w:r w:rsidR="00DE5380" w:rsidRPr="00F2707B">
        <w:t xml:space="preserve"> bridge to surgery may have died with the </w:t>
      </w:r>
      <w:r w:rsidR="00DE5380" w:rsidRPr="008F42F9">
        <w:t xml:space="preserve">SEMS in place, while </w:t>
      </w:r>
      <w:r w:rsidR="007E2DA9" w:rsidRPr="008F42F9">
        <w:t xml:space="preserve">some </w:t>
      </w:r>
      <w:r w:rsidR="00DE5380" w:rsidRPr="008F42F9">
        <w:t xml:space="preserve">patients </w:t>
      </w:r>
      <w:r w:rsidR="007E2DA9" w:rsidRPr="008F42F9">
        <w:t xml:space="preserve">initially </w:t>
      </w:r>
      <w:r w:rsidR="00DE5380" w:rsidRPr="008F42F9">
        <w:t xml:space="preserve">receiving palliative treatment may have improved and received surgery at a later stage. </w:t>
      </w:r>
      <w:r w:rsidRPr="008F42F9">
        <w:t>Of the 3</w:t>
      </w:r>
      <w:r w:rsidR="005B7C3D" w:rsidRPr="00325C69">
        <w:t>3</w:t>
      </w:r>
      <w:r w:rsidRPr="007D5B7C">
        <w:t xml:space="preserve"> studies</w:t>
      </w:r>
      <w:r w:rsidR="005B5359">
        <w:t>,</w:t>
      </w:r>
      <w:r w:rsidRPr="007D5B7C">
        <w:t xml:space="preserve"> seven reported patients with both benign and malignant diagnoses, </w:t>
      </w:r>
      <w:r w:rsidR="005B5359">
        <w:t>while</w:t>
      </w:r>
      <w:r w:rsidR="005B5359" w:rsidRPr="007D5B7C">
        <w:t xml:space="preserve"> </w:t>
      </w:r>
      <w:r w:rsidRPr="007D5B7C">
        <w:t xml:space="preserve">the remainder </w:t>
      </w:r>
      <w:r w:rsidR="005B5359">
        <w:t>reported</w:t>
      </w:r>
      <w:r w:rsidR="005B5359" w:rsidRPr="007D5B7C">
        <w:t xml:space="preserve"> </w:t>
      </w:r>
      <w:r w:rsidRPr="007D5B7C">
        <w:t>patients with a malignant diagnosis only. Within those seven studies mentioned</w:t>
      </w:r>
      <w:r w:rsidR="005B5359">
        <w:t>,</w:t>
      </w:r>
      <w:r w:rsidRPr="007D5B7C">
        <w:t xml:space="preserve"> the percentage of treated patients w</w:t>
      </w:r>
      <w:r w:rsidR="00616558" w:rsidRPr="007D5B7C">
        <w:t xml:space="preserve">ith a benign diagnosis </w:t>
      </w:r>
      <w:r w:rsidR="005B5359">
        <w:t xml:space="preserve">did not </w:t>
      </w:r>
      <w:r w:rsidR="00616558" w:rsidRPr="007D5B7C">
        <w:t>exceed 22.4</w:t>
      </w:r>
      <w:r w:rsidR="00B463D8">
        <w:t xml:space="preserve"> per cent</w:t>
      </w:r>
      <w:r w:rsidRPr="007D5B7C">
        <w:t xml:space="preserve">. </w:t>
      </w:r>
    </w:p>
    <w:p w:rsidR="00B24BEA" w:rsidRPr="00E2422F" w:rsidRDefault="005B7C3D" w:rsidP="00B24BEA">
      <w:r w:rsidRPr="00960A9E">
        <w:t xml:space="preserve">Nineteen </w:t>
      </w:r>
      <w:r w:rsidR="00656C4D" w:rsidRPr="00EA2600">
        <w:t>of the 3</w:t>
      </w:r>
      <w:r w:rsidRPr="00EA2600">
        <w:t>3</w:t>
      </w:r>
      <w:r w:rsidR="00656C4D" w:rsidRPr="00EA2600">
        <w:t xml:space="preserve"> studies did not report whether the stents </w:t>
      </w:r>
      <w:r w:rsidR="00656C4D" w:rsidRPr="00EC591E">
        <w:t xml:space="preserve">used were uncovered or covered, </w:t>
      </w:r>
      <w:r w:rsidR="001A6CD8" w:rsidRPr="00430AA8">
        <w:t>six</w:t>
      </w:r>
      <w:r w:rsidR="00656C4D" w:rsidRPr="00347DAA">
        <w:t xml:space="preserve"> reported using exclusively uncovered stents</w:t>
      </w:r>
      <w:r w:rsidR="003F2C2B">
        <w:t>,</w:t>
      </w:r>
      <w:r w:rsidR="00656C4D" w:rsidRPr="00347DAA">
        <w:t xml:space="preserve"> </w:t>
      </w:r>
      <w:r w:rsidR="005B5359">
        <w:t>while</w:t>
      </w:r>
      <w:r w:rsidR="005B5359" w:rsidRPr="00347DAA">
        <w:t xml:space="preserve"> </w:t>
      </w:r>
      <w:r w:rsidR="001A6CD8" w:rsidRPr="009672A9">
        <w:t>eight</w:t>
      </w:r>
      <w:r w:rsidR="00656C4D" w:rsidRPr="009672A9">
        <w:t xml:space="preserve"> </w:t>
      </w:r>
      <w:r w:rsidR="005B5359">
        <w:t>studies included</w:t>
      </w:r>
      <w:r w:rsidR="00656C4D" w:rsidRPr="009672A9">
        <w:t xml:space="preserve"> both covered and uncovered stents. Balloon dilation was not performed in seven studies</w:t>
      </w:r>
      <w:r w:rsidR="005B5359">
        <w:t>, whil</w:t>
      </w:r>
      <w:r w:rsidR="003F2C2B">
        <w:t>e</w:t>
      </w:r>
      <w:r w:rsidR="005B5359">
        <w:t xml:space="preserve"> in 12 studies</w:t>
      </w:r>
      <w:r w:rsidR="00656C4D" w:rsidRPr="009672A9">
        <w:t xml:space="preserve"> </w:t>
      </w:r>
      <w:r w:rsidR="00656C4D" w:rsidRPr="00584C29">
        <w:t xml:space="preserve">the use of balloon dilation was </w:t>
      </w:r>
      <w:r w:rsidR="005B5359">
        <w:t>referred to</w:t>
      </w:r>
      <w:r w:rsidR="005B5359" w:rsidRPr="00584C29">
        <w:t xml:space="preserve"> </w:t>
      </w:r>
      <w:r w:rsidR="00656C4D" w:rsidRPr="00584C29">
        <w:t>in terms of patients u</w:t>
      </w:r>
      <w:r w:rsidR="00656C4D" w:rsidRPr="00DA0155">
        <w:t xml:space="preserve">ndergoing balloon dilation or </w:t>
      </w:r>
      <w:r w:rsidR="005B5359">
        <w:t xml:space="preserve">the </w:t>
      </w:r>
      <w:r w:rsidR="00656C4D" w:rsidRPr="00DA0155">
        <w:t xml:space="preserve">type of balloon dilation used (n = NR). </w:t>
      </w:r>
      <w:r w:rsidR="005B5359">
        <w:t>The remaining 14 studies</w:t>
      </w:r>
      <w:r w:rsidR="00656C4D" w:rsidRPr="00A550ED">
        <w:t xml:space="preserve"> did not report whether balloon dilation was performed. Of the 3</w:t>
      </w:r>
      <w:r w:rsidR="00DA1EA1" w:rsidRPr="0055406F">
        <w:t>3</w:t>
      </w:r>
      <w:r w:rsidR="00656C4D" w:rsidRPr="004C658D">
        <w:t xml:space="preserve"> studies</w:t>
      </w:r>
      <w:r w:rsidR="005B5359">
        <w:t>,</w:t>
      </w:r>
      <w:r w:rsidR="00656C4D" w:rsidRPr="004C658D">
        <w:t xml:space="preserve"> 19 report</w:t>
      </w:r>
      <w:r w:rsidR="005B5359">
        <w:t>ed</w:t>
      </w:r>
      <w:r w:rsidR="00656C4D" w:rsidRPr="004C658D">
        <w:t xml:space="preserve"> that some patients received chemotherapy as well as stenting</w:t>
      </w:r>
      <w:r w:rsidR="005B5359">
        <w:t>,</w:t>
      </w:r>
      <w:r w:rsidR="00656C4D" w:rsidRPr="004C658D">
        <w:t xml:space="preserve"> and a further</w:t>
      </w:r>
      <w:r w:rsidR="00656C4D" w:rsidRPr="00B1508A">
        <w:t xml:space="preserve"> five reported the use of stool softeners and/or laxatives post procedure. In the remaining </w:t>
      </w:r>
      <w:r w:rsidR="003F2C2B">
        <w:t>nine</w:t>
      </w:r>
      <w:r w:rsidR="003F2C2B" w:rsidRPr="00B1508A">
        <w:t xml:space="preserve"> </w:t>
      </w:r>
      <w:r w:rsidR="00656C4D" w:rsidRPr="00B1508A">
        <w:t>studies</w:t>
      </w:r>
      <w:r w:rsidR="005B5359">
        <w:t>,</w:t>
      </w:r>
      <w:r w:rsidR="00656C4D" w:rsidRPr="00B1508A">
        <w:t xml:space="preserve"> no co</w:t>
      </w:r>
      <w:r w:rsidR="001A6CD8" w:rsidRPr="00B1508A">
        <w:t>-</w:t>
      </w:r>
      <w:r w:rsidR="00656C4D" w:rsidRPr="001949E9">
        <w:t>interventions were reported. The level of detail in the reporting of these co</w:t>
      </w:r>
      <w:r w:rsidR="001A6CD8" w:rsidRPr="00286445">
        <w:t>-</w:t>
      </w:r>
      <w:r w:rsidR="00656C4D" w:rsidRPr="00286445">
        <w:t xml:space="preserve">interventions </w:t>
      </w:r>
      <w:r w:rsidR="005B5359" w:rsidRPr="00286445">
        <w:t>varie</w:t>
      </w:r>
      <w:r w:rsidR="005B5359">
        <w:t>d</w:t>
      </w:r>
      <w:r w:rsidR="005B5359" w:rsidRPr="00286445">
        <w:t xml:space="preserve"> </w:t>
      </w:r>
      <w:r w:rsidR="00656C4D" w:rsidRPr="00286445">
        <w:t>significantly between studies.  The characterist</w:t>
      </w:r>
      <w:r w:rsidR="00656C4D" w:rsidRPr="00CD21F6">
        <w:t>ics of these studies are presented in detail in</w:t>
      </w:r>
      <w:r w:rsidR="006139A8">
        <w:t xml:space="preserve"> Appendix </w:t>
      </w:r>
      <w:r w:rsidR="00F76B65">
        <w:t>H</w:t>
      </w:r>
      <w:r w:rsidR="006139A8">
        <w:t>.</w:t>
      </w:r>
    </w:p>
    <w:p w:rsidR="0011256D" w:rsidRPr="007D5B7C" w:rsidRDefault="0072100A" w:rsidP="00FD465A">
      <w:r w:rsidRPr="00892811">
        <w:t>In general, s</w:t>
      </w:r>
      <w:r w:rsidR="00727759" w:rsidRPr="008978EE">
        <w:t>tudy da</w:t>
      </w:r>
      <w:r w:rsidRPr="008978EE">
        <w:t xml:space="preserve">tes of </w:t>
      </w:r>
      <w:r w:rsidR="001E6B4F" w:rsidRPr="00A30BA9">
        <w:t xml:space="preserve">the </w:t>
      </w:r>
      <w:r w:rsidRPr="005646B6">
        <w:t>included 4</w:t>
      </w:r>
      <w:r w:rsidR="00DA1EA1" w:rsidRPr="00003831">
        <w:t>0</w:t>
      </w:r>
      <w:r w:rsidRPr="00A87C52">
        <w:t xml:space="preserve"> studies </w:t>
      </w:r>
      <w:r w:rsidR="00727759" w:rsidRPr="00DF686C">
        <w:t xml:space="preserve">spanned </w:t>
      </w:r>
      <w:r w:rsidR="005B5359">
        <w:t>from</w:t>
      </w:r>
      <w:r w:rsidR="00727759" w:rsidRPr="00DF686C">
        <w:t xml:space="preserve"> 1993 to </w:t>
      </w:r>
      <w:r w:rsidR="00993CAF">
        <w:t>2009</w:t>
      </w:r>
      <w:r w:rsidR="00645327">
        <w:t>,</w:t>
      </w:r>
      <w:r w:rsidR="003F0186" w:rsidRPr="00DF686C">
        <w:t xml:space="preserve"> </w:t>
      </w:r>
      <w:r w:rsidR="005B5359">
        <w:t>with</w:t>
      </w:r>
      <w:r w:rsidR="005B5359" w:rsidRPr="00DF686C">
        <w:t xml:space="preserve"> </w:t>
      </w:r>
      <w:r w:rsidR="003F0186" w:rsidRPr="00DF686C">
        <w:t>mo</w:t>
      </w:r>
      <w:r w:rsidR="00353348" w:rsidRPr="00F13A5A">
        <w:t xml:space="preserve">re than half </w:t>
      </w:r>
      <w:r w:rsidR="00353348" w:rsidRPr="00BE3EA8">
        <w:t>conducted during</w:t>
      </w:r>
      <w:r w:rsidR="00824882" w:rsidRPr="00A3741F">
        <w:t xml:space="preserve"> the</w:t>
      </w:r>
      <w:r w:rsidR="00353348" w:rsidRPr="00F2707B">
        <w:t xml:space="preserve"> last decade. </w:t>
      </w:r>
      <w:r w:rsidR="001E6B4F" w:rsidRPr="00F2707B">
        <w:t>It is noted that studies</w:t>
      </w:r>
      <w:r w:rsidR="00FD2683" w:rsidRPr="008F42F9">
        <w:t xml:space="preserve"> were in</w:t>
      </w:r>
      <w:r w:rsidRPr="008F42F9">
        <w:t>consistent</w:t>
      </w:r>
      <w:r w:rsidR="00006694" w:rsidRPr="008F42F9">
        <w:t xml:space="preserve"> </w:t>
      </w:r>
      <w:r w:rsidR="005B5359">
        <w:t>as to</w:t>
      </w:r>
      <w:r w:rsidR="00006694" w:rsidRPr="008F42F9">
        <w:t xml:space="preserve"> whether </w:t>
      </w:r>
      <w:r w:rsidR="005B5359">
        <w:t xml:space="preserve">the </w:t>
      </w:r>
      <w:r w:rsidR="00006694" w:rsidRPr="008F42F9">
        <w:t xml:space="preserve">diagnosis of cancer </w:t>
      </w:r>
      <w:r w:rsidR="005B5359" w:rsidRPr="008F42F9">
        <w:t>w</w:t>
      </w:r>
      <w:r w:rsidR="005B5359">
        <w:t>as</w:t>
      </w:r>
      <w:r w:rsidR="005B5359" w:rsidRPr="008F42F9">
        <w:t xml:space="preserve"> </w:t>
      </w:r>
      <w:r w:rsidRPr="008F42F9">
        <w:t>established</w:t>
      </w:r>
      <w:r w:rsidR="00006694" w:rsidRPr="008F42F9">
        <w:t xml:space="preserve"> prior to the treatment or after. </w:t>
      </w:r>
      <w:r w:rsidRPr="008F42F9">
        <w:t>This is especially apparent</w:t>
      </w:r>
      <w:r w:rsidR="00824882" w:rsidRPr="00325C69">
        <w:t xml:space="preserve"> when the authors did</w:t>
      </w:r>
      <w:r w:rsidRPr="007D5B7C">
        <w:t xml:space="preserve"> not specify their inclusion criteria for enrolment. </w:t>
      </w:r>
    </w:p>
    <w:p w:rsidR="000D0A88" w:rsidRPr="007D5B7C" w:rsidRDefault="000D0A88" w:rsidP="009A1953">
      <w:pPr>
        <w:ind w:left="0"/>
        <w:rPr>
          <w:rFonts w:ascii="Tahoma" w:hAnsi="Tahoma" w:cs="Tahoma"/>
          <w:b/>
          <w:sz w:val="28"/>
          <w:szCs w:val="28"/>
        </w:rPr>
      </w:pPr>
    </w:p>
    <w:p w:rsidR="000D0A88" w:rsidRPr="00BB3C05" w:rsidRDefault="000D0A88" w:rsidP="009A1953">
      <w:pPr>
        <w:ind w:left="0"/>
        <w:rPr>
          <w:rFonts w:ascii="Tahoma" w:hAnsi="Tahoma" w:cs="Tahoma"/>
          <w:b/>
          <w:sz w:val="28"/>
          <w:szCs w:val="28"/>
        </w:rPr>
        <w:sectPr w:rsidR="000D0A88" w:rsidRPr="00BB3C05" w:rsidSect="00287570">
          <w:headerReference w:type="even" r:id="rId29"/>
          <w:headerReference w:type="default" r:id="rId30"/>
          <w:footerReference w:type="even" r:id="rId31"/>
          <w:headerReference w:type="first" r:id="rId32"/>
          <w:pgSz w:w="11906" w:h="16838"/>
          <w:pgMar w:top="1440" w:right="1440" w:bottom="1440" w:left="1440" w:header="720" w:footer="720" w:gutter="0"/>
          <w:paperSrc w:first="2" w:other="2"/>
          <w:cols w:space="720"/>
          <w:docGrid w:linePitch="326"/>
        </w:sectPr>
      </w:pPr>
    </w:p>
    <w:p w:rsidR="000D0A88" w:rsidRPr="00BB3C05" w:rsidRDefault="007D0464" w:rsidP="00287570">
      <w:pPr>
        <w:pStyle w:val="Caption"/>
      </w:pPr>
      <w:bookmarkStart w:id="148" w:name="_Ref324944127"/>
      <w:bookmarkStart w:id="149" w:name="_Toc327522070"/>
      <w:r>
        <w:lastRenderedPageBreak/>
        <w:t xml:space="preserve">Table </w:t>
      </w:r>
      <w:fldSimple w:instr=" SEQ Table \* ARABIC ">
        <w:r w:rsidR="0071544A">
          <w:rPr>
            <w:noProof/>
          </w:rPr>
          <w:t>26</w:t>
        </w:r>
      </w:fldSimple>
      <w:bookmarkEnd w:id="148"/>
      <w:r w:rsidR="00D14AC6" w:rsidRPr="00BB3C05">
        <w:tab/>
        <w:t>S</w:t>
      </w:r>
      <w:r w:rsidR="000D0A88" w:rsidRPr="00BB3C05">
        <w:t>ummary of included comparative studies</w:t>
      </w:r>
      <w:bookmarkEnd w:id="149"/>
    </w:p>
    <w:tbl>
      <w:tblPr>
        <w:tblW w:w="13113" w:type="dxa"/>
        <w:tblInd w:w="720" w:type="dxa"/>
        <w:tblBorders>
          <w:top w:val="single" w:sz="12" w:space="0" w:color="auto"/>
          <w:bottom w:val="single" w:sz="12" w:space="0" w:color="auto"/>
        </w:tblBorders>
        <w:tblLook w:val="04A0" w:firstRow="1" w:lastRow="0" w:firstColumn="1" w:lastColumn="0" w:noHBand="0" w:noVBand="1"/>
      </w:tblPr>
      <w:tblGrid>
        <w:gridCol w:w="1450"/>
        <w:gridCol w:w="862"/>
        <w:gridCol w:w="1443"/>
        <w:gridCol w:w="2248"/>
        <w:gridCol w:w="1828"/>
        <w:gridCol w:w="1130"/>
        <w:gridCol w:w="1854"/>
        <w:gridCol w:w="2298"/>
      </w:tblGrid>
      <w:tr w:rsidR="009D1E29" w:rsidRPr="007D0320" w:rsidTr="005C08AD">
        <w:trPr>
          <w:trHeight w:val="384"/>
        </w:trPr>
        <w:tc>
          <w:tcPr>
            <w:tcW w:w="1450" w:type="dxa"/>
            <w:tcBorders>
              <w:top w:val="single" w:sz="12" w:space="0" w:color="auto"/>
              <w:bottom w:val="single" w:sz="4" w:space="0" w:color="auto"/>
            </w:tcBorders>
            <w:shd w:val="clear" w:color="auto" w:fill="auto"/>
          </w:tcPr>
          <w:p w:rsidR="00210DE3" w:rsidRPr="009E5C53" w:rsidRDefault="00210DE3" w:rsidP="00873907">
            <w:pPr>
              <w:spacing w:after="0"/>
              <w:ind w:left="0"/>
              <w:rPr>
                <w:rFonts w:ascii="Arial Narrow" w:hAnsi="Arial Narrow"/>
                <w:sz w:val="18"/>
                <w:szCs w:val="18"/>
              </w:rPr>
            </w:pPr>
            <w:r w:rsidRPr="007D0320">
              <w:rPr>
                <w:rFonts w:ascii="Arial Narrow" w:hAnsi="Arial Narrow" w:cs="Calibri"/>
                <w:b/>
                <w:bCs/>
                <w:color w:val="000000"/>
                <w:sz w:val="18"/>
                <w:szCs w:val="18"/>
                <w:lang w:eastAsia="en-US"/>
              </w:rPr>
              <w:t>Study</w:t>
            </w:r>
          </w:p>
        </w:tc>
        <w:tc>
          <w:tcPr>
            <w:tcW w:w="862" w:type="dxa"/>
            <w:tcBorders>
              <w:top w:val="single" w:sz="12" w:space="0" w:color="auto"/>
              <w:bottom w:val="single" w:sz="4" w:space="0" w:color="auto"/>
            </w:tcBorders>
            <w:shd w:val="clear" w:color="auto" w:fill="auto"/>
          </w:tcPr>
          <w:p w:rsidR="00210DE3" w:rsidRPr="00892811" w:rsidRDefault="00210DE3" w:rsidP="00873907">
            <w:pPr>
              <w:spacing w:after="0"/>
              <w:ind w:left="0"/>
              <w:rPr>
                <w:rFonts w:ascii="Arial Narrow" w:hAnsi="Arial Narrow"/>
                <w:sz w:val="18"/>
                <w:szCs w:val="18"/>
                <w:vertAlign w:val="superscript"/>
              </w:rPr>
            </w:pPr>
            <w:r w:rsidRPr="00E2422F">
              <w:rPr>
                <w:rFonts w:ascii="Arial Narrow" w:hAnsi="Arial Narrow"/>
                <w:sz w:val="18"/>
                <w:szCs w:val="18"/>
              </w:rPr>
              <w:t>Level of evidence</w:t>
            </w:r>
            <w:r w:rsidRPr="00892811">
              <w:rPr>
                <w:rFonts w:ascii="Arial Narrow" w:hAnsi="Arial Narrow"/>
                <w:sz w:val="18"/>
                <w:szCs w:val="18"/>
                <w:vertAlign w:val="superscript"/>
              </w:rPr>
              <w:t>a</w:t>
            </w:r>
          </w:p>
        </w:tc>
        <w:tc>
          <w:tcPr>
            <w:tcW w:w="1443" w:type="dxa"/>
            <w:tcBorders>
              <w:top w:val="single" w:sz="12" w:space="0" w:color="auto"/>
              <w:bottom w:val="single" w:sz="4" w:space="0" w:color="auto"/>
            </w:tcBorders>
            <w:shd w:val="clear" w:color="auto" w:fill="auto"/>
          </w:tcPr>
          <w:p w:rsidR="00210DE3" w:rsidRPr="009E5C53" w:rsidRDefault="00210DE3" w:rsidP="005B5359">
            <w:pPr>
              <w:spacing w:after="0"/>
              <w:ind w:left="0"/>
              <w:rPr>
                <w:rFonts w:ascii="Arial Narrow" w:hAnsi="Arial Narrow"/>
                <w:sz w:val="18"/>
                <w:szCs w:val="18"/>
              </w:rPr>
            </w:pPr>
            <w:r w:rsidRPr="007D0320">
              <w:rPr>
                <w:rFonts w:ascii="Arial Narrow" w:hAnsi="Arial Narrow" w:cs="Calibri"/>
                <w:b/>
                <w:bCs/>
                <w:color w:val="000000"/>
                <w:sz w:val="18"/>
                <w:szCs w:val="18"/>
                <w:lang w:eastAsia="en-US"/>
              </w:rPr>
              <w:t xml:space="preserve">Study </w:t>
            </w:r>
            <w:r w:rsidR="005B5359">
              <w:rPr>
                <w:rFonts w:ascii="Arial Narrow" w:hAnsi="Arial Narrow" w:cs="Calibri"/>
                <w:b/>
                <w:bCs/>
                <w:color w:val="000000"/>
                <w:sz w:val="18"/>
                <w:szCs w:val="18"/>
                <w:lang w:eastAsia="en-US"/>
              </w:rPr>
              <w:t>d</w:t>
            </w:r>
            <w:r w:rsidR="005B5359" w:rsidRPr="007D0320">
              <w:rPr>
                <w:rFonts w:ascii="Arial Narrow" w:hAnsi="Arial Narrow" w:cs="Calibri"/>
                <w:b/>
                <w:bCs/>
                <w:color w:val="000000"/>
                <w:sz w:val="18"/>
                <w:szCs w:val="18"/>
                <w:lang w:eastAsia="en-US"/>
              </w:rPr>
              <w:t>esign</w:t>
            </w:r>
          </w:p>
        </w:tc>
        <w:tc>
          <w:tcPr>
            <w:tcW w:w="2248" w:type="dxa"/>
            <w:tcBorders>
              <w:top w:val="single" w:sz="12" w:space="0" w:color="auto"/>
              <w:bottom w:val="single" w:sz="4" w:space="0" w:color="auto"/>
            </w:tcBorders>
            <w:shd w:val="clear" w:color="auto" w:fill="auto"/>
          </w:tcPr>
          <w:p w:rsidR="00210DE3" w:rsidRPr="009E5C53" w:rsidRDefault="00210DE3" w:rsidP="005B5359">
            <w:pPr>
              <w:spacing w:after="0"/>
              <w:ind w:left="0"/>
              <w:rPr>
                <w:rFonts w:ascii="Arial Narrow" w:hAnsi="Arial Narrow"/>
                <w:sz w:val="18"/>
                <w:szCs w:val="18"/>
              </w:rPr>
            </w:pPr>
            <w:r w:rsidRPr="007D0320">
              <w:rPr>
                <w:rFonts w:ascii="Arial Narrow" w:hAnsi="Arial Narrow" w:cs="Calibri"/>
                <w:b/>
                <w:bCs/>
                <w:color w:val="000000"/>
                <w:sz w:val="18"/>
                <w:szCs w:val="18"/>
                <w:lang w:eastAsia="en-US"/>
              </w:rPr>
              <w:t xml:space="preserve">Study </w:t>
            </w:r>
            <w:r w:rsidR="005B5359">
              <w:rPr>
                <w:rFonts w:ascii="Arial Narrow" w:hAnsi="Arial Narrow" w:cs="Calibri"/>
                <w:b/>
                <w:bCs/>
                <w:color w:val="000000"/>
                <w:sz w:val="18"/>
                <w:szCs w:val="18"/>
                <w:lang w:eastAsia="en-US"/>
              </w:rPr>
              <w:t>p</w:t>
            </w:r>
            <w:r w:rsidR="00AB2E41" w:rsidRPr="007D0320">
              <w:rPr>
                <w:rFonts w:ascii="Arial Narrow" w:hAnsi="Arial Narrow" w:cs="Calibri"/>
                <w:b/>
                <w:bCs/>
                <w:color w:val="000000"/>
                <w:sz w:val="18"/>
                <w:szCs w:val="18"/>
                <w:lang w:eastAsia="en-US"/>
              </w:rPr>
              <w:t>eriod</w:t>
            </w:r>
          </w:p>
        </w:tc>
        <w:tc>
          <w:tcPr>
            <w:tcW w:w="1828" w:type="dxa"/>
            <w:tcBorders>
              <w:top w:val="single" w:sz="12" w:space="0" w:color="auto"/>
              <w:bottom w:val="single" w:sz="4" w:space="0" w:color="auto"/>
            </w:tcBorders>
            <w:shd w:val="clear" w:color="auto" w:fill="auto"/>
          </w:tcPr>
          <w:p w:rsidR="00210DE3" w:rsidRPr="009E5C53" w:rsidRDefault="00210DE3" w:rsidP="00873907">
            <w:pPr>
              <w:spacing w:after="0"/>
              <w:ind w:left="0"/>
              <w:rPr>
                <w:rFonts w:ascii="Arial Narrow" w:hAnsi="Arial Narrow"/>
                <w:sz w:val="18"/>
                <w:szCs w:val="18"/>
              </w:rPr>
            </w:pPr>
            <w:r w:rsidRPr="007D0320">
              <w:rPr>
                <w:rFonts w:ascii="Arial Narrow" w:hAnsi="Arial Narrow" w:cs="Calibri"/>
                <w:b/>
                <w:bCs/>
                <w:color w:val="000000"/>
                <w:sz w:val="18"/>
                <w:szCs w:val="18"/>
                <w:lang w:eastAsia="en-US"/>
              </w:rPr>
              <w:t>N</w:t>
            </w:r>
          </w:p>
        </w:tc>
        <w:tc>
          <w:tcPr>
            <w:tcW w:w="1130" w:type="dxa"/>
            <w:tcBorders>
              <w:top w:val="single" w:sz="12" w:space="0" w:color="auto"/>
              <w:bottom w:val="single" w:sz="4" w:space="0" w:color="auto"/>
            </w:tcBorders>
            <w:shd w:val="clear" w:color="auto" w:fill="auto"/>
          </w:tcPr>
          <w:p w:rsidR="00210DE3" w:rsidRPr="009E5C53" w:rsidRDefault="00210DE3" w:rsidP="00873907">
            <w:pPr>
              <w:spacing w:after="0"/>
              <w:ind w:left="0"/>
              <w:rPr>
                <w:rFonts w:ascii="Arial Narrow" w:hAnsi="Arial Narrow"/>
                <w:sz w:val="18"/>
                <w:szCs w:val="18"/>
              </w:rPr>
            </w:pPr>
            <w:r w:rsidRPr="007D0320">
              <w:rPr>
                <w:rFonts w:ascii="Arial Narrow" w:hAnsi="Arial Narrow" w:cs="Calibri"/>
                <w:b/>
                <w:bCs/>
                <w:color w:val="000000"/>
                <w:sz w:val="18"/>
                <w:szCs w:val="18"/>
                <w:lang w:eastAsia="en-US"/>
              </w:rPr>
              <w:t>Diagnosis of cancer</w:t>
            </w:r>
            <w:r w:rsidRPr="007D0320">
              <w:rPr>
                <w:rFonts w:ascii="Arial Narrow" w:hAnsi="Arial Narrow" w:cs="Calibri"/>
                <w:b/>
                <w:bCs/>
                <w:color w:val="000000"/>
                <w:sz w:val="18"/>
                <w:szCs w:val="18"/>
                <w:vertAlign w:val="superscript"/>
                <w:lang w:eastAsia="en-US"/>
              </w:rPr>
              <w:t>b</w:t>
            </w:r>
          </w:p>
        </w:tc>
        <w:tc>
          <w:tcPr>
            <w:tcW w:w="1854" w:type="dxa"/>
            <w:tcBorders>
              <w:top w:val="single" w:sz="12" w:space="0" w:color="auto"/>
              <w:bottom w:val="single" w:sz="4" w:space="0" w:color="auto"/>
            </w:tcBorders>
            <w:shd w:val="clear" w:color="auto" w:fill="auto"/>
          </w:tcPr>
          <w:p w:rsidR="00210DE3" w:rsidRPr="009E5C53" w:rsidRDefault="00210DE3" w:rsidP="00873907">
            <w:pPr>
              <w:spacing w:after="0"/>
              <w:ind w:left="0"/>
              <w:rPr>
                <w:rFonts w:ascii="Arial Narrow" w:hAnsi="Arial Narrow"/>
                <w:sz w:val="18"/>
                <w:szCs w:val="18"/>
              </w:rPr>
            </w:pPr>
            <w:r w:rsidRPr="007D0320">
              <w:rPr>
                <w:rFonts w:ascii="Arial Narrow" w:hAnsi="Arial Narrow" w:cs="Calibri"/>
                <w:b/>
                <w:bCs/>
                <w:color w:val="000000"/>
                <w:sz w:val="18"/>
                <w:szCs w:val="18"/>
                <w:lang w:eastAsia="en-US"/>
              </w:rPr>
              <w:t>Indication for the intervention</w:t>
            </w:r>
          </w:p>
        </w:tc>
        <w:tc>
          <w:tcPr>
            <w:tcW w:w="2298" w:type="dxa"/>
            <w:tcBorders>
              <w:top w:val="single" w:sz="12" w:space="0" w:color="auto"/>
              <w:bottom w:val="single" w:sz="4" w:space="0" w:color="auto"/>
            </w:tcBorders>
            <w:shd w:val="clear" w:color="auto" w:fill="auto"/>
          </w:tcPr>
          <w:p w:rsidR="00210DE3" w:rsidRPr="009E5C53" w:rsidRDefault="00AB2E41" w:rsidP="005B5359">
            <w:pPr>
              <w:spacing w:after="0"/>
              <w:ind w:left="0"/>
              <w:rPr>
                <w:rFonts w:ascii="Arial Narrow" w:hAnsi="Arial Narrow"/>
                <w:sz w:val="18"/>
                <w:szCs w:val="18"/>
              </w:rPr>
            </w:pPr>
            <w:r w:rsidRPr="007D0320">
              <w:rPr>
                <w:rFonts w:ascii="Arial Narrow" w:hAnsi="Arial Narrow" w:cs="Calibri"/>
                <w:b/>
                <w:bCs/>
                <w:color w:val="000000"/>
                <w:sz w:val="18"/>
                <w:szCs w:val="18"/>
                <w:lang w:eastAsia="en-US"/>
              </w:rPr>
              <w:t xml:space="preserve">Length of </w:t>
            </w:r>
            <w:r w:rsidR="005B5359">
              <w:rPr>
                <w:rFonts w:ascii="Arial Narrow" w:hAnsi="Arial Narrow" w:cs="Calibri"/>
                <w:b/>
                <w:bCs/>
                <w:color w:val="000000"/>
                <w:sz w:val="18"/>
                <w:szCs w:val="18"/>
                <w:lang w:eastAsia="en-US"/>
              </w:rPr>
              <w:t>f</w:t>
            </w:r>
            <w:r w:rsidR="005B5359" w:rsidRPr="007D0320">
              <w:rPr>
                <w:rFonts w:ascii="Arial Narrow" w:hAnsi="Arial Narrow" w:cs="Calibri"/>
                <w:b/>
                <w:bCs/>
                <w:color w:val="000000"/>
                <w:sz w:val="18"/>
                <w:szCs w:val="18"/>
                <w:lang w:eastAsia="en-US"/>
              </w:rPr>
              <w:t>ollow</w:t>
            </w:r>
            <w:r w:rsidR="00210DE3" w:rsidRPr="007D0320">
              <w:rPr>
                <w:rFonts w:ascii="Arial Narrow" w:hAnsi="Arial Narrow" w:cs="Calibri"/>
                <w:b/>
                <w:bCs/>
                <w:color w:val="000000"/>
                <w:sz w:val="18"/>
                <w:szCs w:val="18"/>
                <w:lang w:eastAsia="en-US"/>
              </w:rPr>
              <w:t>-up</w:t>
            </w:r>
          </w:p>
        </w:tc>
      </w:tr>
      <w:tr w:rsidR="000566E6" w:rsidRPr="007D0320" w:rsidTr="005C08AD">
        <w:trPr>
          <w:trHeight w:val="218"/>
        </w:trPr>
        <w:tc>
          <w:tcPr>
            <w:tcW w:w="1450" w:type="dxa"/>
            <w:tcBorders>
              <w:top w:val="single" w:sz="4" w:space="0" w:color="auto"/>
            </w:tcBorders>
            <w:shd w:val="clear" w:color="auto" w:fill="auto"/>
          </w:tcPr>
          <w:p w:rsidR="000566E6" w:rsidRPr="007D0320" w:rsidRDefault="000566E6"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Fiori et al 2004</w:t>
            </w:r>
          </w:p>
        </w:tc>
        <w:tc>
          <w:tcPr>
            <w:tcW w:w="862" w:type="dxa"/>
            <w:tcBorders>
              <w:top w:val="single" w:sz="4" w:space="0" w:color="auto"/>
            </w:tcBorders>
            <w:shd w:val="clear" w:color="auto" w:fill="auto"/>
          </w:tcPr>
          <w:p w:rsidR="000566E6" w:rsidRPr="009E5C53" w:rsidRDefault="000566E6" w:rsidP="009169A7">
            <w:pPr>
              <w:spacing w:after="0"/>
              <w:ind w:left="0"/>
              <w:rPr>
                <w:rFonts w:ascii="Arial Narrow" w:hAnsi="Arial Narrow"/>
                <w:sz w:val="18"/>
                <w:szCs w:val="18"/>
              </w:rPr>
            </w:pPr>
            <w:r w:rsidRPr="009E5C53">
              <w:rPr>
                <w:rFonts w:ascii="Arial Narrow" w:hAnsi="Arial Narrow"/>
                <w:sz w:val="18"/>
                <w:szCs w:val="18"/>
              </w:rPr>
              <w:t>ll</w:t>
            </w:r>
          </w:p>
        </w:tc>
        <w:tc>
          <w:tcPr>
            <w:tcW w:w="1443" w:type="dxa"/>
            <w:tcBorders>
              <w:top w:val="single" w:sz="4" w:space="0" w:color="auto"/>
            </w:tcBorders>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Prospective</w:t>
            </w:r>
          </w:p>
        </w:tc>
        <w:tc>
          <w:tcPr>
            <w:tcW w:w="2248" w:type="dxa"/>
            <w:tcBorders>
              <w:top w:val="single" w:sz="4" w:space="0" w:color="auto"/>
            </w:tcBorders>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Jan 2001 to May 2003</w:t>
            </w:r>
          </w:p>
        </w:tc>
        <w:tc>
          <w:tcPr>
            <w:tcW w:w="1828" w:type="dxa"/>
            <w:tcBorders>
              <w:top w:val="single" w:sz="4" w:space="0" w:color="auto"/>
            </w:tcBorders>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11</w:t>
            </w:r>
          </w:p>
        </w:tc>
        <w:tc>
          <w:tcPr>
            <w:tcW w:w="1130" w:type="dxa"/>
            <w:tcBorders>
              <w:top w:val="single" w:sz="4" w:space="0" w:color="auto"/>
            </w:tcBorders>
            <w:shd w:val="clear" w:color="auto" w:fill="auto"/>
          </w:tcPr>
          <w:p w:rsidR="000566E6" w:rsidRPr="007D0320" w:rsidRDefault="000566E6"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11</w:t>
            </w:r>
          </w:p>
        </w:tc>
        <w:tc>
          <w:tcPr>
            <w:tcW w:w="1854" w:type="dxa"/>
            <w:tcBorders>
              <w:top w:val="single" w:sz="4" w:space="0" w:color="auto"/>
            </w:tcBorders>
            <w:shd w:val="clear" w:color="auto" w:fill="auto"/>
          </w:tcPr>
          <w:p w:rsidR="000566E6" w:rsidRPr="007D0320" w:rsidRDefault="00A85BE9" w:rsidP="0098307F">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11/11</w:t>
            </w:r>
          </w:p>
        </w:tc>
        <w:tc>
          <w:tcPr>
            <w:tcW w:w="2298" w:type="dxa"/>
            <w:tcBorders>
              <w:top w:val="single" w:sz="4" w:space="0" w:color="auto"/>
            </w:tcBorders>
            <w:shd w:val="clear" w:color="auto" w:fill="auto"/>
          </w:tcPr>
          <w:p w:rsidR="000566E6" w:rsidRPr="007D0320" w:rsidRDefault="000566E6" w:rsidP="009A7493">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NR</w:t>
            </w:r>
          </w:p>
        </w:tc>
      </w:tr>
      <w:tr w:rsidR="000566E6" w:rsidRPr="007D0320" w:rsidTr="005C08AD">
        <w:trPr>
          <w:trHeight w:val="422"/>
        </w:trPr>
        <w:tc>
          <w:tcPr>
            <w:tcW w:w="1450" w:type="dxa"/>
            <w:shd w:val="clear" w:color="auto" w:fill="auto"/>
          </w:tcPr>
          <w:p w:rsidR="000566E6" w:rsidRPr="007D0320" w:rsidRDefault="000566E6" w:rsidP="00A85BE9">
            <w:pPr>
              <w:spacing w:after="0"/>
              <w:ind w:left="0"/>
              <w:rPr>
                <w:rFonts w:ascii="Arial Narrow" w:hAnsi="Arial Narrow" w:cs="Calibri"/>
                <w:color w:val="000000"/>
                <w:sz w:val="18"/>
                <w:szCs w:val="18"/>
                <w:lang w:eastAsia="en-US"/>
              </w:rPr>
            </w:pPr>
          </w:p>
        </w:tc>
        <w:tc>
          <w:tcPr>
            <w:tcW w:w="862" w:type="dxa"/>
            <w:shd w:val="clear" w:color="auto" w:fill="auto"/>
          </w:tcPr>
          <w:p w:rsidR="000566E6" w:rsidRPr="009E5C53" w:rsidRDefault="000566E6" w:rsidP="009169A7">
            <w:pPr>
              <w:spacing w:after="0"/>
              <w:ind w:left="0"/>
              <w:rPr>
                <w:rFonts w:ascii="Arial Narrow" w:hAnsi="Arial Narrow"/>
                <w:sz w:val="18"/>
                <w:szCs w:val="18"/>
              </w:rPr>
            </w:pPr>
          </w:p>
        </w:tc>
        <w:tc>
          <w:tcPr>
            <w:tcW w:w="1443"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p>
        </w:tc>
        <w:tc>
          <w:tcPr>
            <w:tcW w:w="224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p>
        </w:tc>
        <w:tc>
          <w:tcPr>
            <w:tcW w:w="182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Colostomy: 11</w:t>
            </w:r>
          </w:p>
        </w:tc>
        <w:tc>
          <w:tcPr>
            <w:tcW w:w="1130" w:type="dxa"/>
            <w:shd w:val="clear" w:color="auto" w:fill="auto"/>
          </w:tcPr>
          <w:p w:rsidR="000566E6" w:rsidRPr="007D0320" w:rsidRDefault="000566E6"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11</w:t>
            </w:r>
          </w:p>
        </w:tc>
        <w:tc>
          <w:tcPr>
            <w:tcW w:w="1854" w:type="dxa"/>
            <w:shd w:val="clear" w:color="auto" w:fill="auto"/>
          </w:tcPr>
          <w:p w:rsidR="000566E6" w:rsidRPr="007D0320" w:rsidRDefault="00A85BE9" w:rsidP="0098307F">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11/1</w:t>
            </w:r>
            <w:r w:rsidR="0098307F">
              <w:rPr>
                <w:rFonts w:ascii="Arial Narrow" w:hAnsi="Arial Narrow" w:cs="Calibri"/>
                <w:color w:val="000000"/>
                <w:sz w:val="18"/>
                <w:szCs w:val="18"/>
                <w:lang w:eastAsia="en-US"/>
              </w:rPr>
              <w:t>1</w:t>
            </w:r>
          </w:p>
        </w:tc>
        <w:tc>
          <w:tcPr>
            <w:tcW w:w="2298" w:type="dxa"/>
            <w:shd w:val="clear" w:color="auto" w:fill="auto"/>
          </w:tcPr>
          <w:p w:rsidR="000566E6" w:rsidRPr="007D0320" w:rsidRDefault="000566E6" w:rsidP="009A7493">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Surgery: NR</w:t>
            </w:r>
          </w:p>
        </w:tc>
      </w:tr>
      <w:tr w:rsidR="000566E6" w:rsidRPr="007D0320" w:rsidTr="005C08AD">
        <w:trPr>
          <w:trHeight w:val="422"/>
        </w:trPr>
        <w:tc>
          <w:tcPr>
            <w:tcW w:w="1450" w:type="dxa"/>
            <w:shd w:val="clear" w:color="auto" w:fill="auto"/>
          </w:tcPr>
          <w:p w:rsidR="000566E6" w:rsidRPr="007D0320" w:rsidRDefault="000566E6"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Xinopoulos et al 2004</w:t>
            </w:r>
          </w:p>
        </w:tc>
        <w:tc>
          <w:tcPr>
            <w:tcW w:w="862" w:type="dxa"/>
            <w:shd w:val="clear" w:color="auto" w:fill="auto"/>
          </w:tcPr>
          <w:p w:rsidR="000566E6" w:rsidRPr="009E5C53" w:rsidRDefault="000566E6" w:rsidP="009169A7">
            <w:pPr>
              <w:spacing w:after="0"/>
              <w:ind w:left="0"/>
              <w:rPr>
                <w:rFonts w:ascii="Arial Narrow" w:hAnsi="Arial Narrow"/>
                <w:sz w:val="18"/>
                <w:szCs w:val="18"/>
              </w:rPr>
            </w:pPr>
            <w:r w:rsidRPr="007D0320">
              <w:rPr>
                <w:rFonts w:ascii="Arial Narrow" w:hAnsi="Arial Narrow" w:cs="Calibri"/>
                <w:color w:val="000000"/>
                <w:sz w:val="18"/>
                <w:szCs w:val="18"/>
                <w:lang w:eastAsia="en-US"/>
              </w:rPr>
              <w:t>ll</w:t>
            </w:r>
          </w:p>
        </w:tc>
        <w:tc>
          <w:tcPr>
            <w:tcW w:w="1443"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Prospective</w:t>
            </w:r>
          </w:p>
        </w:tc>
        <w:tc>
          <w:tcPr>
            <w:tcW w:w="224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Mar 1998 to Apr 2002</w:t>
            </w:r>
          </w:p>
        </w:tc>
        <w:tc>
          <w:tcPr>
            <w:tcW w:w="182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15</w:t>
            </w:r>
            <w:r w:rsidR="0098307F">
              <w:rPr>
                <w:rFonts w:ascii="Arial Narrow" w:hAnsi="Arial Narrow" w:cs="Calibri"/>
                <w:color w:val="000000"/>
                <w:sz w:val="18"/>
                <w:szCs w:val="18"/>
                <w:lang w:eastAsia="en-US"/>
              </w:rPr>
              <w:br/>
            </w:r>
            <w:r w:rsidR="0098307F" w:rsidRPr="007D0320">
              <w:rPr>
                <w:rFonts w:ascii="Arial Narrow" w:hAnsi="Arial Narrow" w:cs="Calibri"/>
                <w:color w:val="000000"/>
                <w:sz w:val="18"/>
                <w:szCs w:val="18"/>
                <w:lang w:eastAsia="en-US"/>
              </w:rPr>
              <w:t>Colostomy: 15</w:t>
            </w:r>
          </w:p>
        </w:tc>
        <w:tc>
          <w:tcPr>
            <w:tcW w:w="1130" w:type="dxa"/>
            <w:shd w:val="clear" w:color="auto" w:fill="auto"/>
          </w:tcPr>
          <w:p w:rsidR="000566E6" w:rsidRDefault="000566E6"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15</w:t>
            </w:r>
          </w:p>
          <w:p w:rsidR="0098307F" w:rsidRPr="007D0320" w:rsidRDefault="0098307F" w:rsidP="00D744B7">
            <w:pPr>
              <w:spacing w:after="0"/>
              <w:ind w:left="0"/>
              <w:rPr>
                <w:rFonts w:ascii="Arial Narrow" w:hAnsi="Arial Narrow" w:cs="Calibri"/>
                <w:color w:val="000000"/>
                <w:sz w:val="18"/>
                <w:szCs w:val="18"/>
                <w:lang w:eastAsia="en-US"/>
              </w:rPr>
            </w:pPr>
            <w:r w:rsidRPr="0098307F">
              <w:rPr>
                <w:rFonts w:ascii="Arial Narrow" w:hAnsi="Arial Narrow" w:cs="Calibri"/>
                <w:color w:val="000000"/>
                <w:sz w:val="18"/>
                <w:szCs w:val="18"/>
                <w:lang w:eastAsia="en-US"/>
              </w:rPr>
              <w:t>15</w:t>
            </w:r>
          </w:p>
        </w:tc>
        <w:tc>
          <w:tcPr>
            <w:tcW w:w="1854" w:type="dxa"/>
            <w:shd w:val="clear" w:color="auto" w:fill="auto"/>
          </w:tcPr>
          <w:p w:rsidR="000566E6" w:rsidRPr="007D0320" w:rsidRDefault="00A85BE9" w:rsidP="0098307F">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15/15</w:t>
            </w:r>
            <w:r w:rsidR="0098307F">
              <w:rPr>
                <w:rFonts w:ascii="Arial Narrow" w:hAnsi="Arial Narrow" w:cs="Calibri"/>
                <w:color w:val="000000"/>
                <w:sz w:val="18"/>
                <w:szCs w:val="18"/>
                <w:lang w:eastAsia="en-US"/>
              </w:rPr>
              <w:br/>
            </w:r>
            <w:r w:rsidR="0098307F" w:rsidRPr="0098307F">
              <w:rPr>
                <w:rFonts w:ascii="Arial Narrow" w:hAnsi="Arial Narrow" w:cs="Calibri"/>
                <w:color w:val="000000"/>
                <w:sz w:val="18"/>
                <w:szCs w:val="18"/>
                <w:lang w:eastAsia="en-US"/>
              </w:rPr>
              <w:t>Pal: 15/15</w:t>
            </w:r>
          </w:p>
        </w:tc>
        <w:tc>
          <w:tcPr>
            <w:tcW w:w="2298" w:type="dxa"/>
            <w:shd w:val="clear" w:color="auto" w:fill="auto"/>
          </w:tcPr>
          <w:p w:rsidR="000566E6" w:rsidRPr="007D0320" w:rsidRDefault="000566E6" w:rsidP="009A7493">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mean 11</w:t>
            </w:r>
            <w:r w:rsidR="00FE5DAD">
              <w:rPr>
                <w:rFonts w:ascii="Arial Narrow" w:hAnsi="Arial Narrow" w:cs="Calibri"/>
                <w:color w:val="000000"/>
                <w:sz w:val="18"/>
                <w:szCs w:val="18"/>
                <w:lang w:eastAsia="en-US"/>
              </w:rPr>
              <w:t xml:space="preserve"> weeks (range 6-18) </w:t>
            </w:r>
            <w:r w:rsidR="0098307F">
              <w:rPr>
                <w:rFonts w:ascii="Arial Narrow" w:hAnsi="Arial Narrow" w:cs="Calibri"/>
                <w:color w:val="000000"/>
                <w:sz w:val="18"/>
                <w:szCs w:val="18"/>
                <w:lang w:eastAsia="en-US"/>
              </w:rPr>
              <w:br/>
            </w:r>
            <w:r w:rsidR="0098307F" w:rsidRPr="0098307F">
              <w:rPr>
                <w:rFonts w:ascii="Arial Narrow" w:hAnsi="Arial Narrow" w:cs="Calibri"/>
                <w:color w:val="000000"/>
                <w:sz w:val="18"/>
                <w:szCs w:val="18"/>
                <w:lang w:eastAsia="en-US"/>
              </w:rPr>
              <w:t>Surgery: NR</w:t>
            </w:r>
          </w:p>
        </w:tc>
      </w:tr>
      <w:tr w:rsidR="000566E6" w:rsidRPr="007D0320" w:rsidTr="005C08AD">
        <w:trPr>
          <w:trHeight w:val="221"/>
        </w:trPr>
        <w:tc>
          <w:tcPr>
            <w:tcW w:w="1450" w:type="dxa"/>
            <w:shd w:val="clear" w:color="auto" w:fill="auto"/>
          </w:tcPr>
          <w:p w:rsidR="000566E6" w:rsidRPr="007D0320" w:rsidRDefault="000566E6" w:rsidP="00A85BE9">
            <w:pPr>
              <w:spacing w:after="0"/>
              <w:ind w:left="0"/>
              <w:rPr>
                <w:rFonts w:ascii="Arial Narrow" w:hAnsi="Arial Narrow" w:cs="Calibri"/>
                <w:color w:val="000000"/>
                <w:sz w:val="18"/>
                <w:szCs w:val="18"/>
                <w:lang w:eastAsia="en-US"/>
              </w:rPr>
            </w:pPr>
          </w:p>
        </w:tc>
        <w:tc>
          <w:tcPr>
            <w:tcW w:w="862" w:type="dxa"/>
            <w:shd w:val="clear" w:color="auto" w:fill="auto"/>
          </w:tcPr>
          <w:p w:rsidR="000566E6" w:rsidRPr="009E5C53" w:rsidRDefault="000566E6" w:rsidP="009169A7">
            <w:pPr>
              <w:spacing w:after="0"/>
              <w:ind w:left="0"/>
              <w:rPr>
                <w:rFonts w:ascii="Arial Narrow" w:hAnsi="Arial Narrow"/>
                <w:sz w:val="18"/>
                <w:szCs w:val="18"/>
              </w:rPr>
            </w:pPr>
          </w:p>
        </w:tc>
        <w:tc>
          <w:tcPr>
            <w:tcW w:w="1443"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p>
        </w:tc>
        <w:tc>
          <w:tcPr>
            <w:tcW w:w="224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p>
        </w:tc>
        <w:tc>
          <w:tcPr>
            <w:tcW w:w="182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p>
        </w:tc>
        <w:tc>
          <w:tcPr>
            <w:tcW w:w="1130" w:type="dxa"/>
            <w:shd w:val="clear" w:color="auto" w:fill="auto"/>
          </w:tcPr>
          <w:p w:rsidR="000566E6" w:rsidRPr="007D0320" w:rsidRDefault="000566E6" w:rsidP="00D744B7">
            <w:pPr>
              <w:spacing w:after="0"/>
              <w:ind w:left="0"/>
              <w:rPr>
                <w:rFonts w:ascii="Arial Narrow" w:hAnsi="Arial Narrow" w:cs="Calibri"/>
                <w:color w:val="000000"/>
                <w:sz w:val="18"/>
                <w:szCs w:val="18"/>
                <w:lang w:eastAsia="en-US"/>
              </w:rPr>
            </w:pPr>
          </w:p>
        </w:tc>
        <w:tc>
          <w:tcPr>
            <w:tcW w:w="1854" w:type="dxa"/>
            <w:shd w:val="clear" w:color="auto" w:fill="auto"/>
          </w:tcPr>
          <w:p w:rsidR="000566E6" w:rsidRPr="007D0320" w:rsidRDefault="000566E6" w:rsidP="00265FA2">
            <w:pPr>
              <w:spacing w:after="0"/>
              <w:ind w:left="0"/>
              <w:rPr>
                <w:rFonts w:ascii="Arial Narrow" w:hAnsi="Arial Narrow" w:cs="Calibri"/>
                <w:color w:val="000000"/>
                <w:sz w:val="18"/>
                <w:szCs w:val="18"/>
                <w:lang w:eastAsia="en-US"/>
              </w:rPr>
            </w:pPr>
          </w:p>
        </w:tc>
        <w:tc>
          <w:tcPr>
            <w:tcW w:w="2298" w:type="dxa"/>
            <w:shd w:val="clear" w:color="auto" w:fill="auto"/>
          </w:tcPr>
          <w:p w:rsidR="000566E6" w:rsidRPr="007D0320" w:rsidRDefault="000566E6" w:rsidP="009A7493">
            <w:pPr>
              <w:spacing w:after="0"/>
              <w:ind w:left="0"/>
              <w:rPr>
                <w:rFonts w:ascii="Arial Narrow" w:hAnsi="Arial Narrow" w:cs="Calibri"/>
                <w:color w:val="000000"/>
                <w:sz w:val="18"/>
                <w:szCs w:val="18"/>
                <w:lang w:eastAsia="en-US"/>
              </w:rPr>
            </w:pPr>
          </w:p>
        </w:tc>
      </w:tr>
      <w:tr w:rsidR="000566E6" w:rsidRPr="007D0320" w:rsidTr="005C08AD">
        <w:trPr>
          <w:trHeight w:val="217"/>
        </w:trPr>
        <w:tc>
          <w:tcPr>
            <w:tcW w:w="1450" w:type="dxa"/>
            <w:shd w:val="clear" w:color="auto" w:fill="auto"/>
          </w:tcPr>
          <w:p w:rsidR="000566E6" w:rsidRPr="007D0320" w:rsidRDefault="000566E6"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Nagula et al 2010</w:t>
            </w:r>
          </w:p>
        </w:tc>
        <w:tc>
          <w:tcPr>
            <w:tcW w:w="862" w:type="dxa"/>
            <w:shd w:val="clear" w:color="auto" w:fill="auto"/>
          </w:tcPr>
          <w:p w:rsidR="000566E6" w:rsidRPr="009E5C53" w:rsidRDefault="000566E6" w:rsidP="009169A7">
            <w:pPr>
              <w:spacing w:after="0"/>
              <w:ind w:left="0"/>
              <w:rPr>
                <w:rFonts w:ascii="Arial Narrow" w:hAnsi="Arial Narrow"/>
                <w:sz w:val="18"/>
                <w:szCs w:val="18"/>
              </w:rPr>
            </w:pPr>
            <w:r w:rsidRPr="009E5C53">
              <w:rPr>
                <w:rFonts w:ascii="Arial Narrow" w:hAnsi="Arial Narrow"/>
                <w:sz w:val="18"/>
                <w:szCs w:val="18"/>
              </w:rPr>
              <w:t>lll-2</w:t>
            </w:r>
          </w:p>
        </w:tc>
        <w:tc>
          <w:tcPr>
            <w:tcW w:w="1443"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Prospective</w:t>
            </w:r>
          </w:p>
        </w:tc>
        <w:tc>
          <w:tcPr>
            <w:tcW w:w="224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Feb 2002 to Jul 2006</w:t>
            </w:r>
          </w:p>
        </w:tc>
        <w:tc>
          <w:tcPr>
            <w:tcW w:w="182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w:t>
            </w:r>
            <w:r w:rsidR="005B5359">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30</w:t>
            </w:r>
          </w:p>
        </w:tc>
        <w:tc>
          <w:tcPr>
            <w:tcW w:w="1130" w:type="dxa"/>
            <w:shd w:val="clear" w:color="auto" w:fill="auto"/>
          </w:tcPr>
          <w:p w:rsidR="000566E6" w:rsidRPr="007D0320" w:rsidRDefault="000566E6"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30</w:t>
            </w:r>
          </w:p>
        </w:tc>
        <w:tc>
          <w:tcPr>
            <w:tcW w:w="1854" w:type="dxa"/>
            <w:shd w:val="clear" w:color="auto" w:fill="auto"/>
          </w:tcPr>
          <w:p w:rsidR="000566E6" w:rsidRPr="007D0320" w:rsidRDefault="00A85BE9" w:rsidP="00C02CAD">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30/30</w:t>
            </w:r>
          </w:p>
        </w:tc>
        <w:tc>
          <w:tcPr>
            <w:tcW w:w="2298" w:type="dxa"/>
            <w:shd w:val="clear" w:color="auto" w:fill="auto"/>
          </w:tcPr>
          <w:p w:rsidR="000566E6" w:rsidRPr="007D0320" w:rsidRDefault="000566E6" w:rsidP="00265FA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SEMS: 24 </w:t>
            </w:r>
            <w:r w:rsidR="004C075A">
              <w:rPr>
                <w:rFonts w:ascii="Arial Narrow" w:hAnsi="Arial Narrow" w:cs="Calibri"/>
                <w:color w:val="000000"/>
                <w:sz w:val="18"/>
                <w:szCs w:val="18"/>
                <w:lang w:eastAsia="en-US"/>
              </w:rPr>
              <w:t>week</w:t>
            </w:r>
            <w:r w:rsidRPr="007D0320">
              <w:rPr>
                <w:rFonts w:ascii="Arial Narrow" w:hAnsi="Arial Narrow" w:cs="Calibri"/>
                <w:color w:val="000000"/>
                <w:sz w:val="18"/>
                <w:szCs w:val="18"/>
                <w:lang w:eastAsia="en-US"/>
              </w:rPr>
              <w:t>s</w:t>
            </w:r>
          </w:p>
        </w:tc>
      </w:tr>
      <w:tr w:rsidR="000566E6" w:rsidRPr="007D0320" w:rsidTr="005C08AD">
        <w:trPr>
          <w:trHeight w:val="422"/>
        </w:trPr>
        <w:tc>
          <w:tcPr>
            <w:tcW w:w="1450" w:type="dxa"/>
            <w:shd w:val="clear" w:color="auto" w:fill="auto"/>
          </w:tcPr>
          <w:p w:rsidR="000566E6" w:rsidRPr="007D0320" w:rsidRDefault="000566E6" w:rsidP="00A85BE9">
            <w:pPr>
              <w:spacing w:after="0"/>
              <w:ind w:left="0"/>
              <w:rPr>
                <w:rFonts w:ascii="Arial Narrow" w:hAnsi="Arial Narrow" w:cs="Calibri"/>
                <w:color w:val="000000"/>
                <w:sz w:val="18"/>
                <w:szCs w:val="18"/>
                <w:lang w:eastAsia="en-US"/>
              </w:rPr>
            </w:pPr>
          </w:p>
        </w:tc>
        <w:tc>
          <w:tcPr>
            <w:tcW w:w="862" w:type="dxa"/>
            <w:shd w:val="clear" w:color="auto" w:fill="auto"/>
          </w:tcPr>
          <w:p w:rsidR="000566E6" w:rsidRPr="009E5C53" w:rsidRDefault="000566E6" w:rsidP="009169A7">
            <w:pPr>
              <w:spacing w:after="0"/>
              <w:ind w:left="0"/>
              <w:rPr>
                <w:rFonts w:ascii="Arial Narrow" w:hAnsi="Arial Narrow"/>
                <w:sz w:val="18"/>
                <w:szCs w:val="18"/>
              </w:rPr>
            </w:pPr>
          </w:p>
        </w:tc>
        <w:tc>
          <w:tcPr>
            <w:tcW w:w="1443"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p>
        </w:tc>
        <w:tc>
          <w:tcPr>
            <w:tcW w:w="224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p>
        </w:tc>
        <w:tc>
          <w:tcPr>
            <w:tcW w:w="1828" w:type="dxa"/>
            <w:shd w:val="clear" w:color="auto" w:fill="auto"/>
          </w:tcPr>
          <w:p w:rsidR="000566E6" w:rsidRPr="007D0320" w:rsidRDefault="000566E6"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Colostomy or internal bypass: 14</w:t>
            </w:r>
            <w:r w:rsidR="0098307F">
              <w:rPr>
                <w:rFonts w:ascii="Arial Narrow" w:hAnsi="Arial Narrow" w:cs="Calibri"/>
                <w:color w:val="000000"/>
                <w:sz w:val="18"/>
                <w:szCs w:val="18"/>
                <w:lang w:eastAsia="en-US"/>
              </w:rPr>
              <w:br/>
            </w:r>
          </w:p>
        </w:tc>
        <w:tc>
          <w:tcPr>
            <w:tcW w:w="1130" w:type="dxa"/>
            <w:shd w:val="clear" w:color="auto" w:fill="auto"/>
          </w:tcPr>
          <w:p w:rsidR="000566E6" w:rsidRPr="007D0320" w:rsidRDefault="000566E6"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14</w:t>
            </w:r>
          </w:p>
        </w:tc>
        <w:tc>
          <w:tcPr>
            <w:tcW w:w="1854" w:type="dxa"/>
            <w:shd w:val="clear" w:color="auto" w:fill="auto"/>
          </w:tcPr>
          <w:p w:rsidR="000566E6" w:rsidRPr="007D0320" w:rsidRDefault="000566E6" w:rsidP="00C02CAD">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Re</w:t>
            </w:r>
            <w:r w:rsidR="0098307F">
              <w:rPr>
                <w:rFonts w:ascii="Arial Narrow" w:hAnsi="Arial Narrow" w:cs="Calibri"/>
                <w:color w:val="000000"/>
                <w:sz w:val="18"/>
                <w:szCs w:val="18"/>
                <w:lang w:eastAsia="en-US"/>
              </w:rPr>
              <w:t>-</w:t>
            </w:r>
            <w:r w:rsidRPr="007D0320">
              <w:rPr>
                <w:rFonts w:ascii="Arial Narrow" w:hAnsi="Arial Narrow" w:cs="Calibri"/>
                <w:color w:val="000000"/>
                <w:sz w:val="18"/>
                <w:szCs w:val="18"/>
                <w:lang w:eastAsia="en-US"/>
              </w:rPr>
              <w:t>anastomosis: 14/14</w:t>
            </w:r>
          </w:p>
        </w:tc>
        <w:tc>
          <w:tcPr>
            <w:tcW w:w="2298" w:type="dxa"/>
            <w:shd w:val="clear" w:color="auto" w:fill="auto"/>
          </w:tcPr>
          <w:p w:rsidR="000566E6" w:rsidRPr="007D0320" w:rsidRDefault="000566E6" w:rsidP="00265FA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Surgery: 24 </w:t>
            </w:r>
            <w:r w:rsidR="004C075A">
              <w:rPr>
                <w:rFonts w:ascii="Arial Narrow" w:hAnsi="Arial Narrow" w:cs="Calibri"/>
                <w:color w:val="000000"/>
                <w:sz w:val="18"/>
                <w:szCs w:val="18"/>
                <w:lang w:eastAsia="en-US"/>
              </w:rPr>
              <w:t>week</w:t>
            </w:r>
            <w:r w:rsidRPr="007D0320">
              <w:rPr>
                <w:rFonts w:ascii="Arial Narrow" w:hAnsi="Arial Narrow" w:cs="Calibri"/>
                <w:color w:val="000000"/>
                <w:sz w:val="18"/>
                <w:szCs w:val="18"/>
                <w:lang w:eastAsia="en-US"/>
              </w:rPr>
              <w:t>s</w:t>
            </w:r>
          </w:p>
        </w:tc>
      </w:tr>
      <w:tr w:rsidR="00A85BE9" w:rsidRPr="007D0320" w:rsidTr="005C08AD">
        <w:trPr>
          <w:trHeight w:val="422"/>
        </w:trPr>
        <w:tc>
          <w:tcPr>
            <w:tcW w:w="1450"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Varadarajulu et al 2011</w:t>
            </w:r>
          </w:p>
        </w:tc>
        <w:tc>
          <w:tcPr>
            <w:tcW w:w="862" w:type="dxa"/>
            <w:shd w:val="clear" w:color="auto" w:fill="auto"/>
          </w:tcPr>
          <w:p w:rsidR="00A85BE9" w:rsidRPr="009E5C53" w:rsidRDefault="00A85BE9" w:rsidP="00A85BE9">
            <w:pPr>
              <w:spacing w:after="0"/>
              <w:ind w:left="0"/>
              <w:rPr>
                <w:rFonts w:ascii="Arial Narrow" w:hAnsi="Arial Narrow"/>
                <w:sz w:val="18"/>
                <w:szCs w:val="18"/>
              </w:rPr>
            </w:pPr>
            <w:r w:rsidRPr="009E5C53">
              <w:rPr>
                <w:rFonts w:ascii="Arial Narrow" w:hAnsi="Arial Narrow"/>
                <w:sz w:val="18"/>
                <w:szCs w:val="18"/>
              </w:rPr>
              <w:t>lll-3</w:t>
            </w:r>
          </w:p>
        </w:tc>
        <w:tc>
          <w:tcPr>
            <w:tcW w:w="1443"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Retrospective</w:t>
            </w:r>
          </w:p>
        </w:tc>
        <w:tc>
          <w:tcPr>
            <w:tcW w:w="2248"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2007 to 2008</w:t>
            </w:r>
          </w:p>
        </w:tc>
        <w:tc>
          <w:tcPr>
            <w:tcW w:w="1828"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w:t>
            </w:r>
            <w:r w:rsidR="0098307F">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12</w:t>
            </w:r>
          </w:p>
        </w:tc>
        <w:tc>
          <w:tcPr>
            <w:tcW w:w="1130"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12</w:t>
            </w:r>
          </w:p>
        </w:tc>
        <w:tc>
          <w:tcPr>
            <w:tcW w:w="1854" w:type="dxa"/>
            <w:shd w:val="clear" w:color="auto" w:fill="auto"/>
          </w:tcPr>
          <w:p w:rsidR="00A85BE9" w:rsidRPr="007D0320" w:rsidRDefault="00A85BE9" w:rsidP="00BC5F5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6/12</w:t>
            </w:r>
          </w:p>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BTS: 6/12</w:t>
            </w:r>
          </w:p>
        </w:tc>
        <w:tc>
          <w:tcPr>
            <w:tcW w:w="2298"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NR</w:t>
            </w:r>
          </w:p>
        </w:tc>
      </w:tr>
      <w:tr w:rsidR="00A85BE9" w:rsidRPr="007D0320" w:rsidTr="005C08AD">
        <w:trPr>
          <w:trHeight w:val="422"/>
        </w:trPr>
        <w:tc>
          <w:tcPr>
            <w:tcW w:w="1450"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p>
        </w:tc>
        <w:tc>
          <w:tcPr>
            <w:tcW w:w="862" w:type="dxa"/>
            <w:shd w:val="clear" w:color="auto" w:fill="auto"/>
          </w:tcPr>
          <w:p w:rsidR="00A85BE9" w:rsidRPr="009E5C53" w:rsidRDefault="00A85BE9" w:rsidP="00A85BE9">
            <w:pPr>
              <w:spacing w:after="0"/>
              <w:ind w:left="0"/>
              <w:rPr>
                <w:rFonts w:ascii="Arial Narrow" w:hAnsi="Arial Narrow"/>
                <w:sz w:val="18"/>
                <w:szCs w:val="18"/>
              </w:rPr>
            </w:pPr>
          </w:p>
        </w:tc>
        <w:tc>
          <w:tcPr>
            <w:tcW w:w="1443"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p>
        </w:tc>
        <w:tc>
          <w:tcPr>
            <w:tcW w:w="2248"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p>
        </w:tc>
        <w:tc>
          <w:tcPr>
            <w:tcW w:w="1828"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Colostomy:</w:t>
            </w:r>
            <w:r w:rsidR="005B5359">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24</w:t>
            </w:r>
          </w:p>
        </w:tc>
        <w:tc>
          <w:tcPr>
            <w:tcW w:w="1130"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24</w:t>
            </w:r>
          </w:p>
        </w:tc>
        <w:tc>
          <w:tcPr>
            <w:tcW w:w="1854" w:type="dxa"/>
            <w:shd w:val="clear" w:color="auto" w:fill="auto"/>
          </w:tcPr>
          <w:p w:rsidR="00A85BE9" w:rsidRPr="007D0320" w:rsidRDefault="00A85BE9" w:rsidP="00BC5F5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NR</w:t>
            </w:r>
          </w:p>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Re</w:t>
            </w:r>
            <w:r w:rsidR="0098307F">
              <w:rPr>
                <w:rFonts w:ascii="Arial Narrow" w:hAnsi="Arial Narrow" w:cs="Calibri"/>
                <w:color w:val="000000"/>
                <w:sz w:val="18"/>
                <w:szCs w:val="18"/>
                <w:lang w:eastAsia="en-US"/>
              </w:rPr>
              <w:t>-</w:t>
            </w:r>
            <w:r w:rsidRPr="007D0320">
              <w:rPr>
                <w:rFonts w:ascii="Arial Narrow" w:hAnsi="Arial Narrow" w:cs="Calibri"/>
                <w:color w:val="000000"/>
                <w:sz w:val="18"/>
                <w:szCs w:val="18"/>
                <w:lang w:eastAsia="en-US"/>
              </w:rPr>
              <w:t>anastomosis: 5/24</w:t>
            </w:r>
            <w:r w:rsidR="0098307F">
              <w:rPr>
                <w:rFonts w:ascii="Arial Narrow" w:hAnsi="Arial Narrow" w:cs="Calibri"/>
                <w:color w:val="000000"/>
                <w:sz w:val="18"/>
                <w:szCs w:val="18"/>
                <w:lang w:eastAsia="en-US"/>
              </w:rPr>
              <w:br/>
            </w:r>
          </w:p>
        </w:tc>
        <w:tc>
          <w:tcPr>
            <w:tcW w:w="2298"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Surgery: Median 29 </w:t>
            </w:r>
            <w:r w:rsidR="004C075A">
              <w:rPr>
                <w:rFonts w:ascii="Arial Narrow" w:hAnsi="Arial Narrow" w:cs="Calibri"/>
                <w:color w:val="000000"/>
                <w:sz w:val="18"/>
                <w:szCs w:val="18"/>
                <w:lang w:eastAsia="en-US"/>
              </w:rPr>
              <w:t xml:space="preserve">months </w:t>
            </w:r>
            <w:r w:rsidRPr="007D0320">
              <w:rPr>
                <w:rFonts w:ascii="Arial Narrow" w:hAnsi="Arial Narrow" w:cs="Calibri"/>
                <w:color w:val="000000"/>
                <w:sz w:val="18"/>
                <w:szCs w:val="18"/>
                <w:lang w:eastAsia="en-US"/>
              </w:rPr>
              <w:t>(</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13-46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w:t>
            </w:r>
          </w:p>
        </w:tc>
      </w:tr>
      <w:tr w:rsidR="00A85BE9" w:rsidRPr="007D0320" w:rsidTr="005C08AD">
        <w:trPr>
          <w:trHeight w:val="187"/>
        </w:trPr>
        <w:tc>
          <w:tcPr>
            <w:tcW w:w="1450" w:type="dxa"/>
            <w:shd w:val="clear" w:color="auto" w:fill="auto"/>
          </w:tcPr>
          <w:p w:rsidR="00A85BE9" w:rsidRPr="007D0320" w:rsidRDefault="00A85BE9" w:rsidP="00BB3C05">
            <w:pPr>
              <w:spacing w:before="20" w:after="2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Baik et al 2006</w:t>
            </w:r>
          </w:p>
        </w:tc>
        <w:tc>
          <w:tcPr>
            <w:tcW w:w="862" w:type="dxa"/>
            <w:shd w:val="clear" w:color="auto" w:fill="auto"/>
          </w:tcPr>
          <w:p w:rsidR="00A85BE9" w:rsidRPr="009E5C53" w:rsidRDefault="00A85BE9" w:rsidP="00BB3C05">
            <w:pPr>
              <w:spacing w:before="20" w:after="20"/>
              <w:ind w:left="0"/>
              <w:rPr>
                <w:rFonts w:ascii="Arial Narrow" w:hAnsi="Arial Narrow"/>
                <w:sz w:val="18"/>
                <w:szCs w:val="18"/>
              </w:rPr>
            </w:pPr>
            <w:r w:rsidRPr="009E5C53">
              <w:rPr>
                <w:rFonts w:ascii="Arial Narrow" w:hAnsi="Arial Narrow"/>
                <w:sz w:val="18"/>
                <w:szCs w:val="18"/>
              </w:rPr>
              <w:t>lll-3</w:t>
            </w:r>
          </w:p>
        </w:tc>
        <w:tc>
          <w:tcPr>
            <w:tcW w:w="1443" w:type="dxa"/>
            <w:shd w:val="clear" w:color="auto" w:fill="auto"/>
          </w:tcPr>
          <w:p w:rsidR="00A85BE9" w:rsidRPr="007D0320" w:rsidRDefault="00A85BE9" w:rsidP="00BB3C05">
            <w:pPr>
              <w:spacing w:before="20" w:after="2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Retrospective</w:t>
            </w:r>
          </w:p>
        </w:tc>
        <w:tc>
          <w:tcPr>
            <w:tcW w:w="2248" w:type="dxa"/>
            <w:shd w:val="clear" w:color="auto" w:fill="auto"/>
          </w:tcPr>
          <w:p w:rsidR="00A85BE9" w:rsidRPr="007D0320" w:rsidRDefault="00A85BE9" w:rsidP="00BB3C05">
            <w:pPr>
              <w:spacing w:before="20" w:after="2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Apr 2000 to Jul 2008</w:t>
            </w:r>
          </w:p>
        </w:tc>
        <w:tc>
          <w:tcPr>
            <w:tcW w:w="1828" w:type="dxa"/>
            <w:shd w:val="clear" w:color="auto" w:fill="auto"/>
          </w:tcPr>
          <w:p w:rsidR="00A85BE9" w:rsidRPr="007D0320" w:rsidRDefault="00A85BE9" w:rsidP="00BB3C05">
            <w:pPr>
              <w:spacing w:before="20" w:after="2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w:t>
            </w:r>
            <w:r w:rsidR="0098307F">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18</w:t>
            </w:r>
          </w:p>
        </w:tc>
        <w:tc>
          <w:tcPr>
            <w:tcW w:w="1130" w:type="dxa"/>
            <w:shd w:val="clear" w:color="auto" w:fill="auto"/>
          </w:tcPr>
          <w:p w:rsidR="00A85BE9" w:rsidRPr="007D0320" w:rsidRDefault="00A85BE9" w:rsidP="00BB3C05">
            <w:pPr>
              <w:spacing w:before="20" w:after="2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18</w:t>
            </w:r>
          </w:p>
        </w:tc>
        <w:tc>
          <w:tcPr>
            <w:tcW w:w="1854" w:type="dxa"/>
            <w:shd w:val="clear" w:color="auto" w:fill="auto"/>
          </w:tcPr>
          <w:p w:rsidR="00A85BE9" w:rsidRPr="007D0320" w:rsidRDefault="00A85BE9" w:rsidP="00BB3C05">
            <w:pPr>
              <w:spacing w:before="20" w:after="2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BTS: 18/18</w:t>
            </w:r>
          </w:p>
        </w:tc>
        <w:tc>
          <w:tcPr>
            <w:tcW w:w="2298" w:type="dxa"/>
            <w:shd w:val="clear" w:color="auto" w:fill="auto"/>
          </w:tcPr>
          <w:p w:rsidR="00A85BE9" w:rsidRPr="007D0320" w:rsidRDefault="00A85BE9" w:rsidP="00BB3C05">
            <w:pPr>
              <w:spacing w:before="20" w:after="2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NR</w:t>
            </w:r>
          </w:p>
        </w:tc>
      </w:tr>
      <w:tr w:rsidR="00A85BE9" w:rsidRPr="007D0320" w:rsidTr="005C08AD">
        <w:trPr>
          <w:trHeight w:val="422"/>
        </w:trPr>
        <w:tc>
          <w:tcPr>
            <w:tcW w:w="1450"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p>
        </w:tc>
        <w:tc>
          <w:tcPr>
            <w:tcW w:w="862" w:type="dxa"/>
            <w:shd w:val="clear" w:color="auto" w:fill="auto"/>
          </w:tcPr>
          <w:p w:rsidR="00A85BE9" w:rsidRPr="009E5C53" w:rsidRDefault="00A85BE9" w:rsidP="00A85BE9">
            <w:pPr>
              <w:spacing w:after="0"/>
              <w:ind w:left="0"/>
              <w:rPr>
                <w:rFonts w:ascii="Arial Narrow" w:hAnsi="Arial Narrow"/>
                <w:sz w:val="18"/>
                <w:szCs w:val="18"/>
              </w:rPr>
            </w:pPr>
          </w:p>
        </w:tc>
        <w:tc>
          <w:tcPr>
            <w:tcW w:w="1443" w:type="dxa"/>
            <w:shd w:val="clear" w:color="auto" w:fill="auto"/>
          </w:tcPr>
          <w:p w:rsidR="00A85BE9" w:rsidRPr="007D0320" w:rsidRDefault="00A85BE9" w:rsidP="009169A7">
            <w:pPr>
              <w:spacing w:after="0"/>
              <w:ind w:left="0"/>
              <w:rPr>
                <w:rFonts w:ascii="Arial Narrow" w:hAnsi="Arial Narrow" w:cs="Calibri"/>
                <w:color w:val="000000"/>
                <w:sz w:val="18"/>
                <w:szCs w:val="18"/>
                <w:lang w:eastAsia="en-US"/>
              </w:rPr>
            </w:pPr>
          </w:p>
        </w:tc>
        <w:tc>
          <w:tcPr>
            <w:tcW w:w="2248" w:type="dxa"/>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p>
        </w:tc>
        <w:tc>
          <w:tcPr>
            <w:tcW w:w="1828" w:type="dxa"/>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Colostomy:</w:t>
            </w:r>
            <w:r w:rsidR="005B5359">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19</w:t>
            </w:r>
          </w:p>
        </w:tc>
        <w:tc>
          <w:tcPr>
            <w:tcW w:w="1130" w:type="dxa"/>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19</w:t>
            </w:r>
          </w:p>
        </w:tc>
        <w:tc>
          <w:tcPr>
            <w:tcW w:w="1854" w:type="dxa"/>
            <w:shd w:val="clear" w:color="auto" w:fill="auto"/>
          </w:tcPr>
          <w:p w:rsidR="00A85BE9" w:rsidRPr="007D0320" w:rsidRDefault="00A85BE9"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Re</w:t>
            </w:r>
            <w:r w:rsidR="0098307F">
              <w:rPr>
                <w:rFonts w:ascii="Arial Narrow" w:hAnsi="Arial Narrow" w:cs="Calibri"/>
                <w:color w:val="000000"/>
                <w:sz w:val="18"/>
                <w:szCs w:val="18"/>
                <w:lang w:eastAsia="en-US"/>
              </w:rPr>
              <w:t>-</w:t>
            </w:r>
            <w:r w:rsidRPr="007D0320">
              <w:rPr>
                <w:rFonts w:ascii="Arial Narrow" w:hAnsi="Arial Narrow" w:cs="Calibri"/>
                <w:color w:val="000000"/>
                <w:sz w:val="18"/>
                <w:szCs w:val="18"/>
                <w:lang w:eastAsia="en-US"/>
              </w:rPr>
              <w:t>anastomosis: 19/19</w:t>
            </w:r>
          </w:p>
        </w:tc>
        <w:tc>
          <w:tcPr>
            <w:tcW w:w="2298" w:type="dxa"/>
            <w:shd w:val="clear" w:color="auto" w:fill="auto"/>
          </w:tcPr>
          <w:p w:rsidR="00A85BE9" w:rsidRPr="007D0320" w:rsidRDefault="00A85BE9" w:rsidP="00C02CAD">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Surgery: NR</w:t>
            </w:r>
          </w:p>
        </w:tc>
      </w:tr>
      <w:tr w:rsidR="00A85BE9" w:rsidRPr="007D0320" w:rsidTr="005C08AD">
        <w:trPr>
          <w:trHeight w:val="215"/>
        </w:trPr>
        <w:tc>
          <w:tcPr>
            <w:tcW w:w="1450"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Johnson et al 2004</w:t>
            </w:r>
          </w:p>
        </w:tc>
        <w:tc>
          <w:tcPr>
            <w:tcW w:w="862"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lll-3</w:t>
            </w:r>
          </w:p>
        </w:tc>
        <w:tc>
          <w:tcPr>
            <w:tcW w:w="1443" w:type="dxa"/>
            <w:shd w:val="clear" w:color="auto" w:fill="auto"/>
          </w:tcPr>
          <w:p w:rsidR="00A85BE9" w:rsidRPr="009E5C53" w:rsidRDefault="00A85BE9" w:rsidP="009169A7">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2248" w:type="dxa"/>
            <w:shd w:val="clear" w:color="auto" w:fill="auto"/>
          </w:tcPr>
          <w:p w:rsidR="00A85BE9" w:rsidRPr="009E5C53" w:rsidRDefault="00A85BE9" w:rsidP="009D7329">
            <w:pPr>
              <w:spacing w:after="0"/>
              <w:ind w:left="0"/>
              <w:rPr>
                <w:rFonts w:ascii="Arial Narrow" w:hAnsi="Arial Narrow"/>
                <w:sz w:val="18"/>
                <w:szCs w:val="18"/>
              </w:rPr>
            </w:pPr>
            <w:r w:rsidRPr="007D0320">
              <w:rPr>
                <w:rFonts w:ascii="Arial Narrow" w:hAnsi="Arial Narrow" w:cs="Calibri"/>
                <w:color w:val="000000"/>
                <w:sz w:val="18"/>
                <w:szCs w:val="18"/>
                <w:lang w:eastAsia="en-US"/>
              </w:rPr>
              <w:t>SEMS: NR</w:t>
            </w:r>
          </w:p>
        </w:tc>
        <w:tc>
          <w:tcPr>
            <w:tcW w:w="1828" w:type="dxa"/>
            <w:shd w:val="clear" w:color="auto" w:fill="auto"/>
          </w:tcPr>
          <w:p w:rsidR="00A85BE9" w:rsidRPr="009E5C53" w:rsidRDefault="00A85BE9" w:rsidP="009D7329">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SEMS: </w:t>
            </w:r>
            <w:r w:rsidR="0098307F">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20</w:t>
            </w:r>
          </w:p>
        </w:tc>
        <w:tc>
          <w:tcPr>
            <w:tcW w:w="1130" w:type="dxa"/>
            <w:shd w:val="clear" w:color="auto" w:fill="auto"/>
          </w:tcPr>
          <w:p w:rsidR="00A85BE9" w:rsidRPr="009E5C53" w:rsidRDefault="00A85BE9" w:rsidP="009D7329">
            <w:pPr>
              <w:spacing w:after="0"/>
              <w:ind w:left="0"/>
              <w:rPr>
                <w:rFonts w:ascii="Arial Narrow" w:hAnsi="Arial Narrow"/>
                <w:sz w:val="18"/>
                <w:szCs w:val="18"/>
              </w:rPr>
            </w:pPr>
            <w:r w:rsidRPr="007D0320">
              <w:rPr>
                <w:rFonts w:ascii="Arial Narrow" w:hAnsi="Arial Narrow" w:cs="Calibri"/>
                <w:color w:val="000000"/>
                <w:sz w:val="18"/>
                <w:szCs w:val="18"/>
                <w:lang w:eastAsia="en-US"/>
              </w:rPr>
              <w:t>20</w:t>
            </w:r>
          </w:p>
        </w:tc>
        <w:tc>
          <w:tcPr>
            <w:tcW w:w="1854" w:type="dxa"/>
            <w:shd w:val="clear" w:color="auto" w:fill="auto"/>
          </w:tcPr>
          <w:p w:rsidR="00A85BE9" w:rsidRPr="009E5C53" w:rsidRDefault="00A85BE9" w:rsidP="00C02CAD">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Pal: 20/20 </w:t>
            </w:r>
          </w:p>
        </w:tc>
        <w:tc>
          <w:tcPr>
            <w:tcW w:w="2298" w:type="dxa"/>
            <w:shd w:val="clear" w:color="auto" w:fill="auto"/>
          </w:tcPr>
          <w:p w:rsidR="00A85BE9" w:rsidRPr="009E5C53" w:rsidRDefault="00A85BE9" w:rsidP="00265FA2">
            <w:pPr>
              <w:spacing w:after="0"/>
              <w:ind w:left="0"/>
              <w:rPr>
                <w:rFonts w:ascii="Arial Narrow" w:hAnsi="Arial Narrow"/>
                <w:sz w:val="18"/>
                <w:szCs w:val="18"/>
              </w:rPr>
            </w:pPr>
            <w:r w:rsidRPr="007D0320">
              <w:rPr>
                <w:rFonts w:ascii="Arial Narrow" w:hAnsi="Arial Narrow" w:cs="Calibri"/>
                <w:color w:val="000000"/>
                <w:sz w:val="18"/>
                <w:szCs w:val="18"/>
                <w:lang w:eastAsia="en-US"/>
              </w:rPr>
              <w:t>SEMS: NR</w:t>
            </w:r>
          </w:p>
        </w:tc>
      </w:tr>
      <w:tr w:rsidR="00A85BE9" w:rsidRPr="007D0320" w:rsidTr="005C08AD">
        <w:trPr>
          <w:trHeight w:val="620"/>
        </w:trPr>
        <w:tc>
          <w:tcPr>
            <w:tcW w:w="1450"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p>
        </w:tc>
        <w:tc>
          <w:tcPr>
            <w:tcW w:w="862" w:type="dxa"/>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p>
        </w:tc>
        <w:tc>
          <w:tcPr>
            <w:tcW w:w="1443" w:type="dxa"/>
            <w:shd w:val="clear" w:color="auto" w:fill="auto"/>
          </w:tcPr>
          <w:p w:rsidR="00A85BE9" w:rsidRPr="009E5C53" w:rsidRDefault="00A85BE9" w:rsidP="009169A7">
            <w:pPr>
              <w:spacing w:after="0"/>
              <w:ind w:left="0"/>
              <w:rPr>
                <w:rFonts w:ascii="Arial Narrow" w:hAnsi="Arial Narrow"/>
                <w:sz w:val="18"/>
                <w:szCs w:val="18"/>
              </w:rPr>
            </w:pPr>
          </w:p>
        </w:tc>
        <w:tc>
          <w:tcPr>
            <w:tcW w:w="2248" w:type="dxa"/>
            <w:shd w:val="clear" w:color="auto" w:fill="auto"/>
          </w:tcPr>
          <w:p w:rsidR="00A85BE9" w:rsidRPr="009E5C53" w:rsidRDefault="00A85BE9" w:rsidP="00645327">
            <w:pPr>
              <w:spacing w:after="0"/>
              <w:ind w:left="0"/>
              <w:rPr>
                <w:rFonts w:ascii="Arial Narrow" w:hAnsi="Arial Narrow"/>
                <w:sz w:val="18"/>
                <w:szCs w:val="18"/>
              </w:rPr>
            </w:pPr>
            <w:r w:rsidRPr="007D0320">
              <w:rPr>
                <w:rFonts w:ascii="Arial Narrow" w:hAnsi="Arial Narrow" w:cs="Calibri"/>
                <w:color w:val="000000"/>
                <w:sz w:val="18"/>
                <w:szCs w:val="18"/>
                <w:lang w:eastAsia="en-US"/>
              </w:rPr>
              <w:t>Surgery: Jan 1998 to Dec 199</w:t>
            </w:r>
            <w:r w:rsidR="00645327">
              <w:rPr>
                <w:rFonts w:ascii="Arial Narrow" w:hAnsi="Arial Narrow" w:cs="Calibri"/>
                <w:color w:val="000000"/>
                <w:sz w:val="18"/>
                <w:szCs w:val="18"/>
                <w:lang w:eastAsia="en-US"/>
              </w:rPr>
              <w:t>9</w:t>
            </w:r>
          </w:p>
        </w:tc>
        <w:tc>
          <w:tcPr>
            <w:tcW w:w="1828" w:type="dxa"/>
            <w:shd w:val="clear" w:color="auto" w:fill="auto"/>
          </w:tcPr>
          <w:p w:rsidR="00A85BE9" w:rsidRPr="009E5C53" w:rsidRDefault="00A85BE9" w:rsidP="009D7329">
            <w:pPr>
              <w:spacing w:after="0"/>
              <w:ind w:left="0"/>
              <w:rPr>
                <w:rFonts w:ascii="Arial Narrow" w:hAnsi="Arial Narrow"/>
                <w:sz w:val="18"/>
                <w:szCs w:val="18"/>
              </w:rPr>
            </w:pPr>
            <w:r w:rsidRPr="007D0320">
              <w:rPr>
                <w:rFonts w:ascii="Arial Narrow" w:hAnsi="Arial Narrow" w:cs="Calibri"/>
                <w:color w:val="000000"/>
                <w:sz w:val="18"/>
                <w:szCs w:val="18"/>
                <w:lang w:eastAsia="en-US"/>
              </w:rPr>
              <w:t>Colostomy: 18</w:t>
            </w:r>
          </w:p>
        </w:tc>
        <w:tc>
          <w:tcPr>
            <w:tcW w:w="1130" w:type="dxa"/>
            <w:shd w:val="clear" w:color="auto" w:fill="auto"/>
          </w:tcPr>
          <w:p w:rsidR="00A85BE9" w:rsidRPr="009E5C53" w:rsidRDefault="00A85BE9" w:rsidP="009D7329">
            <w:pPr>
              <w:spacing w:after="0"/>
              <w:ind w:left="0"/>
              <w:rPr>
                <w:rFonts w:ascii="Arial Narrow" w:hAnsi="Arial Narrow"/>
                <w:sz w:val="18"/>
                <w:szCs w:val="18"/>
              </w:rPr>
            </w:pPr>
            <w:r w:rsidRPr="007D0320">
              <w:rPr>
                <w:rFonts w:ascii="Arial Narrow" w:hAnsi="Arial Narrow" w:cs="Calibri"/>
                <w:color w:val="000000"/>
                <w:sz w:val="18"/>
                <w:szCs w:val="18"/>
                <w:lang w:eastAsia="en-US"/>
              </w:rPr>
              <w:t>18</w:t>
            </w:r>
          </w:p>
        </w:tc>
        <w:tc>
          <w:tcPr>
            <w:tcW w:w="1854" w:type="dxa"/>
            <w:shd w:val="clear" w:color="auto" w:fill="auto"/>
          </w:tcPr>
          <w:p w:rsidR="00A85BE9" w:rsidRPr="007D0320" w:rsidRDefault="00A85BE9"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18/18</w:t>
            </w:r>
          </w:p>
          <w:p w:rsidR="00A85BE9" w:rsidRPr="009E5C53" w:rsidRDefault="00A85BE9" w:rsidP="00C02CAD">
            <w:pPr>
              <w:spacing w:after="0"/>
              <w:ind w:left="0"/>
              <w:rPr>
                <w:rFonts w:ascii="Arial Narrow" w:hAnsi="Arial Narrow"/>
                <w:sz w:val="18"/>
                <w:szCs w:val="18"/>
              </w:rPr>
            </w:pPr>
            <w:r w:rsidRPr="007D0320">
              <w:rPr>
                <w:rFonts w:ascii="Arial Narrow" w:hAnsi="Arial Narrow" w:cs="Calibri"/>
                <w:color w:val="000000"/>
                <w:sz w:val="18"/>
                <w:szCs w:val="18"/>
                <w:lang w:eastAsia="en-US"/>
              </w:rPr>
              <w:t>Re</w:t>
            </w:r>
            <w:r w:rsidR="00FE5DAD">
              <w:rPr>
                <w:rFonts w:ascii="Arial Narrow" w:hAnsi="Arial Narrow" w:cs="Calibri"/>
                <w:color w:val="000000"/>
                <w:sz w:val="18"/>
                <w:szCs w:val="18"/>
                <w:lang w:eastAsia="en-US"/>
              </w:rPr>
              <w:t>-</w:t>
            </w:r>
            <w:r w:rsidRPr="007D0320">
              <w:rPr>
                <w:rFonts w:ascii="Arial Narrow" w:hAnsi="Arial Narrow" w:cs="Calibri"/>
                <w:color w:val="000000"/>
                <w:sz w:val="18"/>
                <w:szCs w:val="18"/>
                <w:lang w:eastAsia="en-US"/>
              </w:rPr>
              <w:t>anastomosis: 0/18</w:t>
            </w:r>
            <w:r w:rsidR="0098307F">
              <w:rPr>
                <w:rFonts w:ascii="Arial Narrow" w:hAnsi="Arial Narrow" w:cs="Calibri"/>
                <w:color w:val="000000"/>
                <w:sz w:val="18"/>
                <w:szCs w:val="18"/>
                <w:lang w:eastAsia="en-US"/>
              </w:rPr>
              <w:br/>
            </w:r>
          </w:p>
        </w:tc>
        <w:tc>
          <w:tcPr>
            <w:tcW w:w="2298" w:type="dxa"/>
            <w:shd w:val="clear" w:color="auto" w:fill="auto"/>
          </w:tcPr>
          <w:p w:rsidR="00A85BE9" w:rsidRPr="009E5C53" w:rsidRDefault="00A85BE9" w:rsidP="00265FA2">
            <w:pPr>
              <w:spacing w:after="0"/>
              <w:ind w:left="0"/>
              <w:rPr>
                <w:rFonts w:ascii="Arial Narrow" w:hAnsi="Arial Narrow"/>
                <w:sz w:val="18"/>
                <w:szCs w:val="18"/>
              </w:rPr>
            </w:pPr>
            <w:r w:rsidRPr="007D0320">
              <w:rPr>
                <w:rFonts w:ascii="Arial Narrow" w:hAnsi="Arial Narrow" w:cs="Calibri"/>
                <w:color w:val="000000"/>
                <w:sz w:val="18"/>
                <w:szCs w:val="18"/>
                <w:lang w:eastAsia="en-US"/>
              </w:rPr>
              <w:t>Surgery: NR</w:t>
            </w:r>
          </w:p>
        </w:tc>
      </w:tr>
      <w:tr w:rsidR="00A85BE9" w:rsidRPr="007D0320" w:rsidTr="005C08AD">
        <w:trPr>
          <w:trHeight w:val="417"/>
        </w:trPr>
        <w:tc>
          <w:tcPr>
            <w:tcW w:w="1450" w:type="dxa"/>
            <w:tcBorders>
              <w:bottom w:val="nil"/>
            </w:tcBorders>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Osman et al 2000</w:t>
            </w:r>
          </w:p>
        </w:tc>
        <w:tc>
          <w:tcPr>
            <w:tcW w:w="862" w:type="dxa"/>
            <w:tcBorders>
              <w:bottom w:val="nil"/>
            </w:tcBorders>
            <w:shd w:val="clear" w:color="auto" w:fill="auto"/>
          </w:tcPr>
          <w:p w:rsidR="00A85BE9" w:rsidRPr="007D0320" w:rsidRDefault="00A85BE9" w:rsidP="00A85BE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lll-3</w:t>
            </w:r>
          </w:p>
        </w:tc>
        <w:tc>
          <w:tcPr>
            <w:tcW w:w="1443" w:type="dxa"/>
            <w:tcBorders>
              <w:bottom w:val="nil"/>
            </w:tcBorders>
            <w:shd w:val="clear" w:color="auto" w:fill="auto"/>
          </w:tcPr>
          <w:p w:rsidR="00A85BE9" w:rsidRPr="007D0320" w:rsidRDefault="00A85BE9" w:rsidP="009169A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Retrospective</w:t>
            </w:r>
          </w:p>
        </w:tc>
        <w:tc>
          <w:tcPr>
            <w:tcW w:w="2248" w:type="dxa"/>
            <w:tcBorders>
              <w:bottom w:val="nil"/>
            </w:tcBorders>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Apr 1997 to Apr 1998</w:t>
            </w:r>
          </w:p>
        </w:tc>
        <w:tc>
          <w:tcPr>
            <w:tcW w:w="1828" w:type="dxa"/>
            <w:tcBorders>
              <w:bottom w:val="nil"/>
            </w:tcBorders>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16</w:t>
            </w:r>
          </w:p>
        </w:tc>
        <w:tc>
          <w:tcPr>
            <w:tcW w:w="1130" w:type="dxa"/>
            <w:tcBorders>
              <w:bottom w:val="nil"/>
            </w:tcBorders>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16</w:t>
            </w:r>
          </w:p>
        </w:tc>
        <w:tc>
          <w:tcPr>
            <w:tcW w:w="1854" w:type="dxa"/>
            <w:tcBorders>
              <w:bottom w:val="nil"/>
            </w:tcBorders>
            <w:shd w:val="clear" w:color="auto" w:fill="auto"/>
          </w:tcPr>
          <w:p w:rsidR="00A85BE9" w:rsidRPr="007D0320" w:rsidRDefault="00A85BE9"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10/16 </w:t>
            </w:r>
          </w:p>
          <w:p w:rsidR="00A85BE9" w:rsidRPr="007D0320" w:rsidRDefault="00A85BE9" w:rsidP="00C02CAD">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BTS: 6/16</w:t>
            </w:r>
          </w:p>
        </w:tc>
        <w:tc>
          <w:tcPr>
            <w:tcW w:w="2298" w:type="dxa"/>
            <w:tcBorders>
              <w:bottom w:val="nil"/>
            </w:tcBorders>
            <w:shd w:val="clear" w:color="auto" w:fill="auto"/>
          </w:tcPr>
          <w:p w:rsidR="00A85BE9" w:rsidRPr="007D0320" w:rsidRDefault="00A85BE9" w:rsidP="00265FA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SEMS: NR</w:t>
            </w:r>
          </w:p>
        </w:tc>
      </w:tr>
      <w:tr w:rsidR="00A85BE9" w:rsidRPr="007D0320" w:rsidTr="005C08AD">
        <w:trPr>
          <w:trHeight w:val="632"/>
        </w:trPr>
        <w:tc>
          <w:tcPr>
            <w:tcW w:w="1450" w:type="dxa"/>
            <w:tcBorders>
              <w:top w:val="nil"/>
              <w:bottom w:val="single" w:sz="12" w:space="0" w:color="auto"/>
            </w:tcBorders>
            <w:shd w:val="clear" w:color="auto" w:fill="auto"/>
          </w:tcPr>
          <w:p w:rsidR="00A85BE9" w:rsidRPr="007D0320" w:rsidRDefault="00A85BE9" w:rsidP="00A85BE9">
            <w:pPr>
              <w:spacing w:after="0"/>
              <w:ind w:left="0"/>
              <w:rPr>
                <w:rFonts w:ascii="Calibri" w:hAnsi="Calibri" w:cs="Calibri"/>
                <w:color w:val="000000"/>
                <w:sz w:val="22"/>
                <w:szCs w:val="22"/>
                <w:lang w:eastAsia="en-US"/>
              </w:rPr>
            </w:pPr>
          </w:p>
        </w:tc>
        <w:tc>
          <w:tcPr>
            <w:tcW w:w="862" w:type="dxa"/>
            <w:tcBorders>
              <w:top w:val="nil"/>
              <w:bottom w:val="single" w:sz="12" w:space="0" w:color="auto"/>
            </w:tcBorders>
            <w:shd w:val="clear" w:color="auto" w:fill="auto"/>
          </w:tcPr>
          <w:p w:rsidR="00A85BE9" w:rsidRPr="007D0320" w:rsidRDefault="00A85BE9" w:rsidP="00A85BE9">
            <w:pPr>
              <w:spacing w:after="0"/>
              <w:ind w:left="0"/>
              <w:rPr>
                <w:rFonts w:ascii="Calibri" w:hAnsi="Calibri" w:cs="Calibri"/>
                <w:color w:val="000000"/>
                <w:sz w:val="22"/>
                <w:szCs w:val="22"/>
                <w:lang w:eastAsia="en-US"/>
              </w:rPr>
            </w:pPr>
          </w:p>
        </w:tc>
        <w:tc>
          <w:tcPr>
            <w:tcW w:w="1443" w:type="dxa"/>
            <w:tcBorders>
              <w:top w:val="nil"/>
              <w:bottom w:val="single" w:sz="12" w:space="0" w:color="auto"/>
            </w:tcBorders>
            <w:shd w:val="clear" w:color="auto" w:fill="auto"/>
          </w:tcPr>
          <w:p w:rsidR="00A85BE9" w:rsidRPr="007D0320" w:rsidRDefault="00A85BE9" w:rsidP="009169A7">
            <w:pPr>
              <w:spacing w:after="0"/>
              <w:ind w:left="0"/>
              <w:rPr>
                <w:rFonts w:ascii="Arial Narrow" w:hAnsi="Arial Narrow" w:cs="Calibri"/>
                <w:color w:val="000000"/>
                <w:sz w:val="18"/>
                <w:szCs w:val="18"/>
                <w:lang w:eastAsia="en-US"/>
              </w:rPr>
            </w:pPr>
          </w:p>
        </w:tc>
        <w:tc>
          <w:tcPr>
            <w:tcW w:w="2248" w:type="dxa"/>
            <w:tcBorders>
              <w:top w:val="nil"/>
              <w:bottom w:val="single" w:sz="12" w:space="0" w:color="auto"/>
            </w:tcBorders>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p>
        </w:tc>
        <w:tc>
          <w:tcPr>
            <w:tcW w:w="1828" w:type="dxa"/>
            <w:tcBorders>
              <w:top w:val="nil"/>
              <w:bottom w:val="single" w:sz="12" w:space="0" w:color="auto"/>
            </w:tcBorders>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Hartmann or dysfunctional caecostomy: 10</w:t>
            </w:r>
          </w:p>
        </w:tc>
        <w:tc>
          <w:tcPr>
            <w:tcW w:w="1130" w:type="dxa"/>
            <w:tcBorders>
              <w:top w:val="nil"/>
              <w:bottom w:val="single" w:sz="12" w:space="0" w:color="auto"/>
            </w:tcBorders>
            <w:shd w:val="clear" w:color="auto" w:fill="auto"/>
          </w:tcPr>
          <w:p w:rsidR="00A85BE9" w:rsidRPr="007D0320" w:rsidRDefault="00A85BE9" w:rsidP="009D7329">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10</w:t>
            </w:r>
          </w:p>
        </w:tc>
        <w:tc>
          <w:tcPr>
            <w:tcW w:w="1854" w:type="dxa"/>
            <w:tcBorders>
              <w:top w:val="nil"/>
              <w:bottom w:val="single" w:sz="12" w:space="0" w:color="auto"/>
            </w:tcBorders>
            <w:shd w:val="clear" w:color="auto" w:fill="auto"/>
          </w:tcPr>
          <w:p w:rsidR="00A85BE9" w:rsidRPr="007D0320" w:rsidRDefault="00A85BE9" w:rsidP="00D744B7">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3/10 </w:t>
            </w:r>
          </w:p>
          <w:p w:rsidR="00A85BE9" w:rsidRPr="007D0320" w:rsidRDefault="00A85BE9" w:rsidP="00C02CAD">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Re</w:t>
            </w:r>
            <w:r w:rsidR="0098307F">
              <w:rPr>
                <w:rFonts w:ascii="Arial Narrow" w:hAnsi="Arial Narrow" w:cs="Calibri"/>
                <w:color w:val="000000"/>
                <w:sz w:val="18"/>
                <w:szCs w:val="18"/>
                <w:lang w:eastAsia="en-US"/>
              </w:rPr>
              <w:t>-</w:t>
            </w:r>
            <w:r w:rsidRPr="007D0320">
              <w:rPr>
                <w:rFonts w:ascii="Arial Narrow" w:hAnsi="Arial Narrow" w:cs="Calibri"/>
                <w:color w:val="000000"/>
                <w:sz w:val="18"/>
                <w:szCs w:val="18"/>
                <w:lang w:eastAsia="en-US"/>
              </w:rPr>
              <w:t>anastomosis: 7/10</w:t>
            </w:r>
          </w:p>
        </w:tc>
        <w:tc>
          <w:tcPr>
            <w:tcW w:w="2298" w:type="dxa"/>
            <w:tcBorders>
              <w:top w:val="nil"/>
              <w:bottom w:val="single" w:sz="12" w:space="0" w:color="auto"/>
            </w:tcBorders>
            <w:shd w:val="clear" w:color="auto" w:fill="auto"/>
          </w:tcPr>
          <w:p w:rsidR="00A85BE9" w:rsidRPr="007D0320" w:rsidRDefault="00A85BE9" w:rsidP="00265FA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Surgery: NR</w:t>
            </w:r>
          </w:p>
        </w:tc>
      </w:tr>
    </w:tbl>
    <w:p w:rsidR="005C08AD" w:rsidRPr="005C08AD" w:rsidRDefault="005C08AD" w:rsidP="005C08AD">
      <w:pPr>
        <w:pStyle w:val="TableNotes"/>
        <w:spacing w:after="100" w:afterAutospacing="1"/>
      </w:pPr>
      <w:bookmarkStart w:id="150" w:name="_Ref324944159"/>
      <w:r w:rsidRPr="005C08AD">
        <w:t>a  NHMRC level of evidence (see</w:t>
      </w:r>
      <w:r>
        <w:rPr>
          <w:lang w:val="en-AU"/>
        </w:rPr>
        <w:t xml:space="preserve"> </w:t>
      </w:r>
      <w:r>
        <w:rPr>
          <w:lang w:val="en-AU"/>
        </w:rPr>
        <w:fldChar w:fldCharType="begin"/>
      </w:r>
      <w:r>
        <w:rPr>
          <w:lang w:val="en-AU"/>
        </w:rPr>
        <w:instrText xml:space="preserve"> REF _Ref324943929 \h </w:instrText>
      </w:r>
      <w:r>
        <w:rPr>
          <w:lang w:val="en-AU"/>
        </w:rPr>
      </w:r>
      <w:r>
        <w:rPr>
          <w:lang w:val="en-AU"/>
        </w:rPr>
        <w:fldChar w:fldCharType="separate"/>
      </w:r>
      <w:r w:rsidR="0071544A">
        <w:t xml:space="preserve">Table </w:t>
      </w:r>
      <w:r w:rsidR="0071544A">
        <w:rPr>
          <w:noProof/>
        </w:rPr>
        <w:t>24</w:t>
      </w:r>
      <w:r>
        <w:rPr>
          <w:lang w:val="en-AU"/>
        </w:rPr>
        <w:fldChar w:fldCharType="end"/>
      </w:r>
      <w:r w:rsidRPr="005C08AD">
        <w:t>).</w:t>
      </w:r>
    </w:p>
    <w:p w:rsidR="005C08AD" w:rsidRDefault="005C08AD" w:rsidP="005C08AD">
      <w:pPr>
        <w:pStyle w:val="TableNotes"/>
        <w:spacing w:after="100" w:afterAutospacing="1"/>
        <w:rPr>
          <w:lang w:val="en-AU"/>
        </w:rPr>
      </w:pPr>
      <w:r w:rsidRPr="005C08AD">
        <w:t>b  In some instance it is not clear whether patients were diagnosed with cancer prior to the treatment or diagnosis was established after the intervention.</w:t>
      </w:r>
    </w:p>
    <w:p w:rsidR="00CA04FA" w:rsidRDefault="00FE5DAD" w:rsidP="00CA04FA">
      <w:pPr>
        <w:pStyle w:val="TableNotes"/>
        <w:spacing w:after="100" w:afterAutospacing="1"/>
        <w:rPr>
          <w:lang w:val="en-AU"/>
        </w:rPr>
      </w:pPr>
      <w:r>
        <w:t>B</w:t>
      </w:r>
      <w:r w:rsidR="005E4BB0" w:rsidRPr="005C08AD">
        <w:t>T</w:t>
      </w:r>
      <w:r>
        <w:rPr>
          <w:lang w:val="en-AU"/>
        </w:rPr>
        <w:t>S</w:t>
      </w:r>
      <w:r w:rsidR="005E4BB0" w:rsidRPr="005C08AD">
        <w:t>: Insertion of a</w:t>
      </w:r>
      <w:r w:rsidR="005E4BB0">
        <w:t xml:space="preserve"> stent/s as a bridge to surgery</w:t>
      </w:r>
      <w:r w:rsidR="005E4BB0">
        <w:rPr>
          <w:lang w:val="en-AU"/>
        </w:rPr>
        <w:t>;</w:t>
      </w:r>
      <w:r w:rsidR="005E4BB0" w:rsidRPr="005C08AD">
        <w:t xml:space="preserve"> N: Number of patients enrolled in the study and received a stent/s. In some cases, the number of stenting attempts or procedures performed has been considered as the denominator in</w:t>
      </w:r>
      <w:r w:rsidR="005E4BB0">
        <w:t>stead of the number of patients</w:t>
      </w:r>
      <w:r w:rsidR="005E4BB0">
        <w:rPr>
          <w:lang w:val="en-AU"/>
        </w:rPr>
        <w:t xml:space="preserve">; </w:t>
      </w:r>
      <w:r w:rsidR="005E4BB0" w:rsidRPr="005C08AD">
        <w:t>NA: Not applicable</w:t>
      </w:r>
      <w:r w:rsidR="005E4BB0">
        <w:rPr>
          <w:lang w:val="en-AU"/>
        </w:rPr>
        <w:t>;</w:t>
      </w:r>
      <w:r w:rsidR="005E4BB0" w:rsidRPr="005C08AD">
        <w:t xml:space="preserve"> NR: Not reported;</w:t>
      </w:r>
      <w:r w:rsidR="005E4BB0">
        <w:rPr>
          <w:lang w:val="en-AU"/>
        </w:rPr>
        <w:t xml:space="preserve"> </w:t>
      </w:r>
      <w:r w:rsidR="005E4BB0" w:rsidRPr="005C08AD">
        <w:t>Pal: Palliative/definitive stent.</w:t>
      </w:r>
    </w:p>
    <w:p w:rsidR="000D0A88" w:rsidRPr="005E4BB0" w:rsidRDefault="007D0464" w:rsidP="00CA04FA">
      <w:pPr>
        <w:pStyle w:val="Caption"/>
      </w:pPr>
      <w:bookmarkStart w:id="151" w:name="_Ref327455381"/>
      <w:bookmarkStart w:id="152" w:name="_Toc327522071"/>
      <w:r>
        <w:lastRenderedPageBreak/>
        <w:t xml:space="preserve">Table </w:t>
      </w:r>
      <w:fldSimple w:instr=" SEQ Table \* ARABIC ">
        <w:r w:rsidR="0071544A">
          <w:rPr>
            <w:noProof/>
          </w:rPr>
          <w:t>27</w:t>
        </w:r>
      </w:fldSimple>
      <w:bookmarkEnd w:id="150"/>
      <w:bookmarkEnd w:id="151"/>
      <w:r w:rsidR="000D0A88" w:rsidRPr="007D0320">
        <w:tab/>
        <w:t>Summ</w:t>
      </w:r>
      <w:r w:rsidR="007A6655" w:rsidRPr="007D0320">
        <w:t>ary of included level IV</w:t>
      </w:r>
      <w:r w:rsidR="000D0A88" w:rsidRPr="007D0320">
        <w:t xml:space="preserve"> evidence</w:t>
      </w:r>
      <w:bookmarkEnd w:id="152"/>
    </w:p>
    <w:tbl>
      <w:tblPr>
        <w:tblW w:w="0" w:type="auto"/>
        <w:tblInd w:w="720" w:type="dxa"/>
        <w:tblBorders>
          <w:top w:val="single" w:sz="12" w:space="0" w:color="auto"/>
          <w:bottom w:val="single" w:sz="12" w:space="0" w:color="auto"/>
        </w:tblBorders>
        <w:tblLook w:val="04A0" w:firstRow="1" w:lastRow="0" w:firstColumn="1" w:lastColumn="0" w:noHBand="0" w:noVBand="1"/>
      </w:tblPr>
      <w:tblGrid>
        <w:gridCol w:w="1766"/>
        <w:gridCol w:w="1253"/>
        <w:gridCol w:w="764"/>
        <w:gridCol w:w="1842"/>
        <w:gridCol w:w="1701"/>
        <w:gridCol w:w="2410"/>
        <w:gridCol w:w="3598"/>
      </w:tblGrid>
      <w:tr w:rsidR="00380194" w:rsidRPr="007D0320" w:rsidTr="005C08AD">
        <w:trPr>
          <w:trHeight w:val="147"/>
          <w:tblHeader/>
        </w:trPr>
        <w:tc>
          <w:tcPr>
            <w:tcW w:w="1766" w:type="dxa"/>
            <w:shd w:val="clear" w:color="auto" w:fill="auto"/>
          </w:tcPr>
          <w:p w:rsidR="006266D2" w:rsidRPr="007D0320" w:rsidRDefault="007360BD" w:rsidP="00C01EF2">
            <w:pPr>
              <w:spacing w:before="40" w:after="40"/>
              <w:ind w:left="0"/>
              <w:rPr>
                <w:rFonts w:ascii="Arial Narrow" w:hAnsi="Arial Narrow"/>
                <w:b/>
                <w:sz w:val="18"/>
                <w:szCs w:val="18"/>
              </w:rPr>
            </w:pPr>
            <w:r w:rsidRPr="007D0320">
              <w:rPr>
                <w:rFonts w:ascii="Arial Narrow" w:hAnsi="Arial Narrow"/>
                <w:b/>
                <w:sz w:val="18"/>
                <w:szCs w:val="18"/>
              </w:rPr>
              <w:t>Study</w:t>
            </w:r>
          </w:p>
        </w:tc>
        <w:tc>
          <w:tcPr>
            <w:tcW w:w="1253" w:type="dxa"/>
            <w:shd w:val="clear" w:color="auto" w:fill="auto"/>
          </w:tcPr>
          <w:p w:rsidR="006266D2" w:rsidRPr="007D0320" w:rsidRDefault="007360BD" w:rsidP="00E11612">
            <w:pPr>
              <w:spacing w:before="40" w:after="40"/>
              <w:ind w:left="0"/>
              <w:rPr>
                <w:rFonts w:ascii="Arial Narrow" w:hAnsi="Arial Narrow"/>
                <w:b/>
                <w:sz w:val="18"/>
                <w:szCs w:val="18"/>
              </w:rPr>
            </w:pPr>
            <w:r w:rsidRPr="007D0320">
              <w:rPr>
                <w:rFonts w:ascii="Arial Narrow" w:hAnsi="Arial Narrow"/>
                <w:b/>
                <w:sz w:val="18"/>
                <w:szCs w:val="18"/>
              </w:rPr>
              <w:t xml:space="preserve">Study </w:t>
            </w:r>
            <w:r w:rsidR="00E11612">
              <w:rPr>
                <w:rFonts w:ascii="Arial Narrow" w:hAnsi="Arial Narrow"/>
                <w:b/>
                <w:sz w:val="18"/>
                <w:szCs w:val="18"/>
              </w:rPr>
              <w:t>d</w:t>
            </w:r>
            <w:r w:rsidR="00035479" w:rsidRPr="007D0320">
              <w:rPr>
                <w:rFonts w:ascii="Arial Narrow" w:hAnsi="Arial Narrow"/>
                <w:b/>
                <w:sz w:val="18"/>
                <w:szCs w:val="18"/>
              </w:rPr>
              <w:t>esign</w:t>
            </w:r>
          </w:p>
        </w:tc>
        <w:tc>
          <w:tcPr>
            <w:tcW w:w="764" w:type="dxa"/>
            <w:shd w:val="clear" w:color="auto" w:fill="auto"/>
          </w:tcPr>
          <w:p w:rsidR="006266D2" w:rsidRPr="007D0320" w:rsidRDefault="000F0FE3" w:rsidP="00475E45">
            <w:pPr>
              <w:spacing w:before="40" w:after="40"/>
              <w:ind w:left="0"/>
              <w:jc w:val="right"/>
              <w:rPr>
                <w:rFonts w:ascii="Arial Narrow" w:hAnsi="Arial Narrow"/>
                <w:b/>
                <w:sz w:val="18"/>
                <w:szCs w:val="18"/>
              </w:rPr>
            </w:pPr>
            <w:r w:rsidRPr="007D0320">
              <w:rPr>
                <w:rFonts w:ascii="Arial Narrow" w:hAnsi="Arial Narrow"/>
                <w:b/>
                <w:sz w:val="18"/>
                <w:szCs w:val="18"/>
              </w:rPr>
              <w:t>N</w:t>
            </w:r>
          </w:p>
        </w:tc>
        <w:tc>
          <w:tcPr>
            <w:tcW w:w="1842" w:type="dxa"/>
            <w:shd w:val="clear" w:color="auto" w:fill="auto"/>
          </w:tcPr>
          <w:p w:rsidR="006266D2" w:rsidRPr="007D0320" w:rsidRDefault="000F0FE3" w:rsidP="00E11612">
            <w:pPr>
              <w:spacing w:before="40" w:after="40"/>
              <w:ind w:left="0"/>
              <w:rPr>
                <w:rFonts w:ascii="Arial Narrow" w:hAnsi="Arial Narrow"/>
                <w:b/>
                <w:sz w:val="18"/>
                <w:szCs w:val="18"/>
              </w:rPr>
            </w:pPr>
            <w:r w:rsidRPr="007D0320">
              <w:rPr>
                <w:rFonts w:ascii="Arial Narrow" w:hAnsi="Arial Narrow"/>
                <w:b/>
                <w:sz w:val="18"/>
                <w:szCs w:val="18"/>
              </w:rPr>
              <w:t xml:space="preserve">Study </w:t>
            </w:r>
            <w:r w:rsidR="00E11612">
              <w:rPr>
                <w:rFonts w:ascii="Arial Narrow" w:hAnsi="Arial Narrow"/>
                <w:b/>
                <w:sz w:val="18"/>
                <w:szCs w:val="18"/>
              </w:rPr>
              <w:t>p</w:t>
            </w:r>
            <w:r w:rsidR="00035479" w:rsidRPr="007D0320">
              <w:rPr>
                <w:rFonts w:ascii="Arial Narrow" w:hAnsi="Arial Narrow"/>
                <w:b/>
                <w:sz w:val="18"/>
                <w:szCs w:val="18"/>
              </w:rPr>
              <w:t>eriod</w:t>
            </w:r>
          </w:p>
        </w:tc>
        <w:tc>
          <w:tcPr>
            <w:tcW w:w="1701" w:type="dxa"/>
            <w:shd w:val="clear" w:color="auto" w:fill="auto"/>
          </w:tcPr>
          <w:p w:rsidR="006266D2" w:rsidRPr="007D0320" w:rsidRDefault="007360BD" w:rsidP="005C08AD">
            <w:pPr>
              <w:spacing w:before="40" w:after="40"/>
              <w:ind w:left="0"/>
              <w:jc w:val="right"/>
              <w:rPr>
                <w:rFonts w:ascii="Arial Narrow" w:hAnsi="Arial Narrow"/>
                <w:b/>
                <w:sz w:val="18"/>
                <w:szCs w:val="18"/>
              </w:rPr>
            </w:pPr>
            <w:r w:rsidRPr="007D0320">
              <w:rPr>
                <w:rFonts w:ascii="Arial Narrow" w:hAnsi="Arial Narrow"/>
                <w:b/>
                <w:sz w:val="18"/>
                <w:szCs w:val="18"/>
              </w:rPr>
              <w:t>Diagnosis of cancer</w:t>
            </w:r>
            <w:r w:rsidR="005C08AD" w:rsidRPr="005C08AD">
              <w:rPr>
                <w:rFonts w:ascii="Arial Narrow" w:hAnsi="Arial Narrow"/>
                <w:b/>
                <w:sz w:val="18"/>
                <w:szCs w:val="18"/>
                <w:vertAlign w:val="superscript"/>
              </w:rPr>
              <w:t>a</w:t>
            </w:r>
          </w:p>
        </w:tc>
        <w:tc>
          <w:tcPr>
            <w:tcW w:w="2410" w:type="dxa"/>
            <w:shd w:val="clear" w:color="auto" w:fill="auto"/>
          </w:tcPr>
          <w:p w:rsidR="006266D2" w:rsidRPr="007D0320" w:rsidRDefault="007360BD" w:rsidP="00C01EF2">
            <w:pPr>
              <w:spacing w:before="40" w:after="40"/>
              <w:ind w:left="0"/>
              <w:rPr>
                <w:rFonts w:ascii="Arial Narrow" w:hAnsi="Arial Narrow"/>
                <w:b/>
                <w:sz w:val="18"/>
                <w:szCs w:val="18"/>
              </w:rPr>
            </w:pPr>
            <w:r w:rsidRPr="007D0320">
              <w:rPr>
                <w:rFonts w:ascii="Arial Narrow" w:hAnsi="Arial Narrow"/>
                <w:b/>
                <w:sz w:val="18"/>
                <w:szCs w:val="18"/>
              </w:rPr>
              <w:t>Indication for the intervention</w:t>
            </w:r>
          </w:p>
        </w:tc>
        <w:tc>
          <w:tcPr>
            <w:tcW w:w="3598" w:type="dxa"/>
            <w:shd w:val="clear" w:color="auto" w:fill="auto"/>
          </w:tcPr>
          <w:p w:rsidR="006266D2" w:rsidRPr="007D0320" w:rsidRDefault="00035479" w:rsidP="00035479">
            <w:pPr>
              <w:spacing w:before="40" w:after="40"/>
              <w:ind w:left="0"/>
              <w:rPr>
                <w:rFonts w:ascii="Arial Narrow" w:hAnsi="Arial Narrow"/>
                <w:b/>
                <w:sz w:val="18"/>
                <w:szCs w:val="18"/>
              </w:rPr>
            </w:pPr>
            <w:r w:rsidRPr="007D0320">
              <w:rPr>
                <w:rFonts w:ascii="Arial Narrow" w:hAnsi="Arial Narrow"/>
                <w:b/>
                <w:sz w:val="18"/>
                <w:szCs w:val="18"/>
              </w:rPr>
              <w:t>Length of f</w:t>
            </w:r>
            <w:r w:rsidR="007360BD" w:rsidRPr="007D0320">
              <w:rPr>
                <w:rFonts w:ascii="Arial Narrow" w:hAnsi="Arial Narrow"/>
                <w:b/>
                <w:sz w:val="18"/>
                <w:szCs w:val="18"/>
              </w:rPr>
              <w:t>ollow-up</w:t>
            </w:r>
          </w:p>
        </w:tc>
      </w:tr>
      <w:tr w:rsidR="00380194" w:rsidRPr="007D0320" w:rsidTr="00711ABF">
        <w:trPr>
          <w:trHeight w:val="432"/>
        </w:trPr>
        <w:tc>
          <w:tcPr>
            <w:tcW w:w="1766"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Cho et al 2011</w:t>
            </w:r>
          </w:p>
        </w:tc>
        <w:tc>
          <w:tcPr>
            <w:tcW w:w="1253"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6266D2"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136</w:t>
            </w:r>
          </w:p>
        </w:tc>
        <w:tc>
          <w:tcPr>
            <w:tcW w:w="1842"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2004 to Mar 2009</w:t>
            </w:r>
          </w:p>
        </w:tc>
        <w:tc>
          <w:tcPr>
            <w:tcW w:w="1701" w:type="dxa"/>
            <w:shd w:val="clear" w:color="auto" w:fill="auto"/>
          </w:tcPr>
          <w:p w:rsidR="006266D2"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136</w:t>
            </w:r>
          </w:p>
        </w:tc>
        <w:tc>
          <w:tcPr>
            <w:tcW w:w="2410" w:type="dxa"/>
            <w:shd w:val="clear" w:color="auto" w:fill="auto"/>
          </w:tcPr>
          <w:p w:rsidR="002E3B75"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96/136 </w:t>
            </w:r>
          </w:p>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40/136</w:t>
            </w:r>
          </w:p>
        </w:tc>
        <w:tc>
          <w:tcPr>
            <w:tcW w:w="3598"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147"/>
        </w:trPr>
        <w:tc>
          <w:tcPr>
            <w:tcW w:w="1766"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De Gregorio et al 2011</w:t>
            </w:r>
          </w:p>
        </w:tc>
        <w:tc>
          <w:tcPr>
            <w:tcW w:w="1253"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6266D2"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467</w:t>
            </w:r>
          </w:p>
        </w:tc>
        <w:tc>
          <w:tcPr>
            <w:tcW w:w="1842"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1998 to Dec 2007</w:t>
            </w:r>
          </w:p>
        </w:tc>
        <w:tc>
          <w:tcPr>
            <w:tcW w:w="1701" w:type="dxa"/>
            <w:shd w:val="clear" w:color="auto" w:fill="auto"/>
          </w:tcPr>
          <w:p w:rsidR="006266D2"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467</w:t>
            </w:r>
          </w:p>
        </w:tc>
        <w:tc>
          <w:tcPr>
            <w:tcW w:w="2410" w:type="dxa"/>
            <w:shd w:val="clear" w:color="auto" w:fill="auto"/>
          </w:tcPr>
          <w:p w:rsidR="002E3B75"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NR </w:t>
            </w:r>
          </w:p>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NR</w:t>
            </w:r>
          </w:p>
        </w:tc>
        <w:tc>
          <w:tcPr>
            <w:tcW w:w="3598" w:type="dxa"/>
            <w:shd w:val="clear" w:color="auto" w:fill="auto"/>
          </w:tcPr>
          <w:p w:rsidR="006D7D88"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mean 15.6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w:t>
            </w:r>
            <w:r w:rsidR="001D7A5B" w:rsidRPr="007D0320">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1</w:t>
            </w:r>
            <w:r w:rsidR="001D7A5B" w:rsidRPr="007D0320">
              <w:rPr>
                <w:rFonts w:ascii="Arial Narrow" w:hAnsi="Arial Narrow" w:cs="Calibri"/>
                <w:color w:val="000000"/>
                <w:sz w:val="18"/>
                <w:szCs w:val="18"/>
                <w:lang w:eastAsia="en-US"/>
              </w:rPr>
              <w:t xml:space="preserve"> </w:t>
            </w:r>
            <w:r w:rsidR="00FE5DAD">
              <w:rPr>
                <w:rFonts w:ascii="Arial Narrow" w:hAnsi="Arial Narrow" w:cs="Calibri"/>
                <w:color w:val="000000"/>
                <w:sz w:val="18"/>
                <w:szCs w:val="18"/>
                <w:lang w:eastAsia="en-US"/>
              </w:rPr>
              <w:t xml:space="preserve">- </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 xml:space="preserve">25.3) </w:t>
            </w:r>
          </w:p>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NR</w:t>
            </w:r>
          </w:p>
        </w:tc>
      </w:tr>
      <w:tr w:rsidR="00380194" w:rsidRPr="007D0320" w:rsidTr="00711ABF">
        <w:trPr>
          <w:trHeight w:val="147"/>
        </w:trPr>
        <w:tc>
          <w:tcPr>
            <w:tcW w:w="1766"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Karanen et al 2011</w:t>
            </w:r>
          </w:p>
        </w:tc>
        <w:tc>
          <w:tcPr>
            <w:tcW w:w="1253"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6266D2"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101</w:t>
            </w:r>
          </w:p>
        </w:tc>
        <w:tc>
          <w:tcPr>
            <w:tcW w:w="1842"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1998 to Dec 2009</w:t>
            </w:r>
          </w:p>
        </w:tc>
        <w:tc>
          <w:tcPr>
            <w:tcW w:w="1701" w:type="dxa"/>
            <w:shd w:val="clear" w:color="auto" w:fill="auto"/>
          </w:tcPr>
          <w:p w:rsidR="006266D2"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101</w:t>
            </w:r>
          </w:p>
        </w:tc>
        <w:tc>
          <w:tcPr>
            <w:tcW w:w="2410" w:type="dxa"/>
            <w:shd w:val="clear" w:color="auto" w:fill="auto"/>
          </w:tcPr>
          <w:p w:rsidR="002E3B75"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90/101 </w:t>
            </w:r>
          </w:p>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11/101</w:t>
            </w:r>
          </w:p>
        </w:tc>
        <w:tc>
          <w:tcPr>
            <w:tcW w:w="3598" w:type="dxa"/>
            <w:shd w:val="clear" w:color="auto" w:fill="auto"/>
          </w:tcPr>
          <w:p w:rsidR="006266D2" w:rsidRPr="009E5C53" w:rsidRDefault="007360BD" w:rsidP="00FE5DAD">
            <w:pPr>
              <w:spacing w:after="0"/>
              <w:ind w:left="0"/>
              <w:rPr>
                <w:rFonts w:ascii="Arial Narrow" w:hAnsi="Arial Narrow"/>
                <w:sz w:val="18"/>
                <w:szCs w:val="18"/>
              </w:rPr>
            </w:pPr>
            <w:r w:rsidRPr="007D0320">
              <w:rPr>
                <w:rFonts w:ascii="Arial Narrow" w:hAnsi="Arial Narrow" w:cs="Calibri"/>
                <w:color w:val="000000"/>
                <w:sz w:val="18"/>
                <w:szCs w:val="18"/>
                <w:lang w:eastAsia="en-US"/>
              </w:rPr>
              <w:t>Mean 91 days (</w:t>
            </w:r>
            <w:r w:rsidR="001D7A5B" w:rsidRPr="007D0320">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0</w:t>
            </w:r>
            <w:r w:rsidR="001D7A5B" w:rsidRPr="007D0320">
              <w:rPr>
                <w:rFonts w:ascii="Arial Narrow" w:hAnsi="Arial Narrow" w:cs="Calibri"/>
                <w:color w:val="000000"/>
                <w:sz w:val="18"/>
                <w:szCs w:val="18"/>
                <w:lang w:eastAsia="en-US"/>
              </w:rPr>
              <w:t xml:space="preserve"> </w:t>
            </w:r>
            <w:r w:rsidR="00FE5DAD">
              <w:rPr>
                <w:rFonts w:ascii="Arial Narrow" w:hAnsi="Arial Narrow" w:cs="Calibri"/>
                <w:color w:val="000000"/>
                <w:sz w:val="18"/>
                <w:szCs w:val="18"/>
                <w:lang w:eastAsia="en-US"/>
              </w:rPr>
              <w:t>-</w:t>
            </w:r>
            <w:r w:rsidR="00416AE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1035)</w:t>
            </w:r>
          </w:p>
        </w:tc>
      </w:tr>
      <w:tr w:rsidR="00380194" w:rsidRPr="007D0320" w:rsidTr="00711ABF">
        <w:trPr>
          <w:trHeight w:val="147"/>
        </w:trPr>
        <w:tc>
          <w:tcPr>
            <w:tcW w:w="1766"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Lee et al 2011</w:t>
            </w:r>
          </w:p>
        </w:tc>
        <w:tc>
          <w:tcPr>
            <w:tcW w:w="1253"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7360BD"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71</w:t>
            </w:r>
          </w:p>
        </w:tc>
        <w:tc>
          <w:tcPr>
            <w:tcW w:w="1842"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2000 to Dec 2008</w:t>
            </w:r>
          </w:p>
        </w:tc>
        <w:tc>
          <w:tcPr>
            <w:tcW w:w="1701" w:type="dxa"/>
            <w:shd w:val="clear" w:color="auto" w:fill="auto"/>
          </w:tcPr>
          <w:p w:rsidR="007360BD"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71</w:t>
            </w:r>
          </w:p>
        </w:tc>
        <w:tc>
          <w:tcPr>
            <w:tcW w:w="2410" w:type="dxa"/>
            <w:shd w:val="clear" w:color="auto" w:fill="auto"/>
          </w:tcPr>
          <w:p w:rsidR="002E3B75"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71/71 </w:t>
            </w:r>
          </w:p>
          <w:p w:rsidR="007360BD" w:rsidRPr="009E5C53" w:rsidRDefault="007360BD" w:rsidP="00C01EF2">
            <w:pPr>
              <w:spacing w:after="0"/>
              <w:ind w:left="0"/>
              <w:rPr>
                <w:rFonts w:ascii="Arial Narrow" w:hAnsi="Arial Narrow"/>
                <w:sz w:val="18"/>
                <w:szCs w:val="18"/>
              </w:rPr>
            </w:pPr>
          </w:p>
        </w:tc>
        <w:tc>
          <w:tcPr>
            <w:tcW w:w="3598" w:type="dxa"/>
            <w:shd w:val="clear" w:color="auto" w:fill="auto"/>
          </w:tcPr>
          <w:p w:rsidR="007360BD" w:rsidRPr="009E5C53" w:rsidRDefault="007360BD" w:rsidP="00FE5DAD">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Median: 9.63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(SD</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10.14)</w:t>
            </w:r>
            <w:r w:rsidR="00416AE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(range 0.6</w:t>
            </w:r>
            <w:r w:rsidR="001D7A5B" w:rsidRPr="007D0320">
              <w:rPr>
                <w:rFonts w:ascii="Arial Narrow" w:hAnsi="Arial Narrow" w:cs="Calibri"/>
                <w:color w:val="000000"/>
                <w:sz w:val="18"/>
                <w:szCs w:val="18"/>
                <w:lang w:eastAsia="en-US"/>
              </w:rPr>
              <w:t xml:space="preserve"> </w:t>
            </w:r>
            <w:r w:rsidR="00FE5DAD">
              <w:rPr>
                <w:rFonts w:ascii="Arial Narrow" w:hAnsi="Arial Narrow" w:cs="Calibri"/>
                <w:color w:val="000000"/>
                <w:sz w:val="18"/>
                <w:szCs w:val="18"/>
                <w:lang w:eastAsia="en-US"/>
              </w:rPr>
              <w:t>-</w:t>
            </w:r>
            <w:r w:rsidR="001D7A5B" w:rsidRPr="007D0320">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43.14)</w:t>
            </w:r>
          </w:p>
        </w:tc>
      </w:tr>
      <w:tr w:rsidR="00380194" w:rsidRPr="007D0320" w:rsidTr="00711ABF">
        <w:trPr>
          <w:trHeight w:val="147"/>
        </w:trPr>
        <w:tc>
          <w:tcPr>
            <w:tcW w:w="1766"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Lepsenyi et al 2011</w:t>
            </w:r>
          </w:p>
        </w:tc>
        <w:tc>
          <w:tcPr>
            <w:tcW w:w="1253"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7360BD"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71</w:t>
            </w:r>
          </w:p>
        </w:tc>
        <w:tc>
          <w:tcPr>
            <w:tcW w:w="1842"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6</w:t>
            </w:r>
            <w:r w:rsidR="00C7386B">
              <w:rPr>
                <w:rFonts w:ascii="Arial Narrow" w:hAnsi="Arial Narrow" w:cs="Calibri"/>
                <w:color w:val="000000"/>
                <w:sz w:val="18"/>
                <w:szCs w:val="18"/>
                <w:lang w:eastAsia="en-US"/>
              </w:rPr>
              <w:t>-</w:t>
            </w:r>
            <w:r w:rsidRPr="007D0320">
              <w:rPr>
                <w:rFonts w:ascii="Arial Narrow" w:hAnsi="Arial Narrow" w:cs="Calibri"/>
                <w:color w:val="000000"/>
                <w:sz w:val="18"/>
                <w:szCs w:val="18"/>
                <w:lang w:eastAsia="en-US"/>
              </w:rPr>
              <w:t>year period</w:t>
            </w:r>
          </w:p>
        </w:tc>
        <w:tc>
          <w:tcPr>
            <w:tcW w:w="1701" w:type="dxa"/>
            <w:shd w:val="clear" w:color="auto" w:fill="auto"/>
          </w:tcPr>
          <w:p w:rsidR="007360BD"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NR</w:t>
            </w:r>
          </w:p>
        </w:tc>
        <w:tc>
          <w:tcPr>
            <w:tcW w:w="2410" w:type="dxa"/>
            <w:shd w:val="clear" w:color="auto" w:fill="auto"/>
          </w:tcPr>
          <w:p w:rsidR="002E3B75"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64/71 </w:t>
            </w:r>
          </w:p>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11/71</w:t>
            </w:r>
          </w:p>
        </w:tc>
        <w:tc>
          <w:tcPr>
            <w:tcW w:w="3598"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Pal: mean 18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BTS: NR</w:t>
            </w:r>
          </w:p>
        </w:tc>
      </w:tr>
      <w:tr w:rsidR="00380194" w:rsidRPr="007D0320" w:rsidTr="00711ABF">
        <w:trPr>
          <w:trHeight w:val="147"/>
        </w:trPr>
        <w:tc>
          <w:tcPr>
            <w:tcW w:w="1766"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Mackay et al 2011</w:t>
            </w:r>
          </w:p>
        </w:tc>
        <w:tc>
          <w:tcPr>
            <w:tcW w:w="1253"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7360BD"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82</w:t>
            </w:r>
          </w:p>
        </w:tc>
        <w:tc>
          <w:tcPr>
            <w:tcW w:w="1842"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2002 to Jan 2008</w:t>
            </w:r>
          </w:p>
        </w:tc>
        <w:tc>
          <w:tcPr>
            <w:tcW w:w="1701" w:type="dxa"/>
            <w:shd w:val="clear" w:color="auto" w:fill="auto"/>
          </w:tcPr>
          <w:p w:rsidR="007360BD"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67</w:t>
            </w:r>
          </w:p>
        </w:tc>
        <w:tc>
          <w:tcPr>
            <w:tcW w:w="2410" w:type="dxa"/>
            <w:shd w:val="clear" w:color="auto" w:fill="auto"/>
          </w:tcPr>
          <w:p w:rsidR="002E3B75"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71/82 </w:t>
            </w:r>
          </w:p>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11/82</w:t>
            </w:r>
          </w:p>
        </w:tc>
        <w:tc>
          <w:tcPr>
            <w:tcW w:w="3598" w:type="dxa"/>
            <w:shd w:val="clear" w:color="auto" w:fill="auto"/>
          </w:tcPr>
          <w:p w:rsidR="007360BD"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147"/>
        </w:trPr>
        <w:tc>
          <w:tcPr>
            <w:tcW w:w="1766"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Meisner et al 2011</w:t>
            </w:r>
          </w:p>
        </w:tc>
        <w:tc>
          <w:tcPr>
            <w:tcW w:w="1253" w:type="dxa"/>
            <w:shd w:val="clear" w:color="auto" w:fill="auto"/>
          </w:tcPr>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6266D2" w:rsidRPr="009E5C53" w:rsidRDefault="007360BD" w:rsidP="005C08AD">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447</w:t>
            </w:r>
            <w:r w:rsidR="005C08AD" w:rsidRPr="005C08AD">
              <w:rPr>
                <w:rFonts w:ascii="Arial Narrow" w:hAnsi="Arial Narrow" w:cs="Calibri"/>
                <w:color w:val="000000"/>
                <w:sz w:val="18"/>
                <w:szCs w:val="18"/>
                <w:vertAlign w:val="superscript"/>
                <w:lang w:eastAsia="en-US"/>
              </w:rPr>
              <w:t>b</w:t>
            </w:r>
          </w:p>
        </w:tc>
        <w:tc>
          <w:tcPr>
            <w:tcW w:w="1842" w:type="dxa"/>
            <w:shd w:val="clear" w:color="auto" w:fill="auto"/>
          </w:tcPr>
          <w:p w:rsidR="006266D2" w:rsidRPr="009E5C53" w:rsidRDefault="007360BD" w:rsidP="005C08AD">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23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to 33 </w:t>
            </w:r>
            <w:r w:rsidR="004C075A">
              <w:rPr>
                <w:rFonts w:ascii="Arial Narrow" w:hAnsi="Arial Narrow" w:cs="Calibri"/>
                <w:color w:val="000000"/>
                <w:sz w:val="18"/>
                <w:szCs w:val="18"/>
                <w:lang w:eastAsia="en-US"/>
              </w:rPr>
              <w:t>months</w:t>
            </w:r>
            <w:r w:rsidR="005C08AD" w:rsidRPr="005C08AD">
              <w:rPr>
                <w:rFonts w:ascii="Arial Narrow" w:hAnsi="Arial Narrow" w:cs="Calibri"/>
                <w:color w:val="000000"/>
                <w:sz w:val="18"/>
                <w:szCs w:val="18"/>
                <w:vertAlign w:val="superscript"/>
                <w:lang w:eastAsia="en-US"/>
              </w:rPr>
              <w:t>c</w:t>
            </w:r>
          </w:p>
        </w:tc>
        <w:tc>
          <w:tcPr>
            <w:tcW w:w="1701" w:type="dxa"/>
            <w:shd w:val="clear" w:color="auto" w:fill="auto"/>
          </w:tcPr>
          <w:p w:rsidR="006266D2" w:rsidRPr="009E5C53" w:rsidRDefault="007360BD"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447</w:t>
            </w:r>
          </w:p>
        </w:tc>
        <w:tc>
          <w:tcPr>
            <w:tcW w:w="2410" w:type="dxa"/>
            <w:shd w:val="clear" w:color="auto" w:fill="auto"/>
          </w:tcPr>
          <w:p w:rsidR="002E3B75"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255/447 </w:t>
            </w:r>
          </w:p>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182/447; other: 10/447</w:t>
            </w:r>
          </w:p>
        </w:tc>
        <w:tc>
          <w:tcPr>
            <w:tcW w:w="3598" w:type="dxa"/>
            <w:shd w:val="clear" w:color="auto" w:fill="auto"/>
          </w:tcPr>
          <w:p w:rsidR="006D7D88" w:rsidRPr="007D0320" w:rsidRDefault="007360BD"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until death </w:t>
            </w:r>
          </w:p>
          <w:p w:rsidR="006266D2" w:rsidRPr="009E5C53" w:rsidRDefault="007360BD"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12 months</w:t>
            </w:r>
          </w:p>
        </w:tc>
      </w:tr>
      <w:tr w:rsidR="00380194" w:rsidRPr="007D0320" w:rsidTr="00711ABF">
        <w:trPr>
          <w:trHeight w:val="147"/>
        </w:trPr>
        <w:tc>
          <w:tcPr>
            <w:tcW w:w="1766"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Park et al 2011</w:t>
            </w:r>
          </w:p>
        </w:tc>
        <w:tc>
          <w:tcPr>
            <w:tcW w:w="1253"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7360BD"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103</w:t>
            </w:r>
          </w:p>
        </w:tc>
        <w:tc>
          <w:tcPr>
            <w:tcW w:w="1842"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Nov 2001 to Aug 2008</w:t>
            </w:r>
          </w:p>
        </w:tc>
        <w:tc>
          <w:tcPr>
            <w:tcW w:w="1701" w:type="dxa"/>
            <w:shd w:val="clear" w:color="auto" w:fill="auto"/>
          </w:tcPr>
          <w:p w:rsidR="007360BD"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103</w:t>
            </w:r>
          </w:p>
        </w:tc>
        <w:tc>
          <w:tcPr>
            <w:tcW w:w="2410" w:type="dxa"/>
            <w:shd w:val="clear" w:color="auto" w:fill="auto"/>
          </w:tcPr>
          <w:p w:rsidR="002E3B75"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Pal: 103/103</w:t>
            </w:r>
          </w:p>
        </w:tc>
        <w:tc>
          <w:tcPr>
            <w:tcW w:w="3598"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147"/>
        </w:trPr>
        <w:tc>
          <w:tcPr>
            <w:tcW w:w="1766"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Selinger et al 2011</w:t>
            </w:r>
          </w:p>
        </w:tc>
        <w:tc>
          <w:tcPr>
            <w:tcW w:w="1253"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7360BD" w:rsidRPr="009E5C53" w:rsidRDefault="00380194" w:rsidP="005C08AD">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96</w:t>
            </w:r>
            <w:r w:rsidR="005C08AD" w:rsidRPr="005C08AD">
              <w:rPr>
                <w:rFonts w:ascii="Arial Narrow" w:hAnsi="Arial Narrow" w:cs="Calibri"/>
                <w:color w:val="000000"/>
                <w:sz w:val="18"/>
                <w:szCs w:val="18"/>
                <w:vertAlign w:val="superscript"/>
                <w:lang w:eastAsia="en-US"/>
              </w:rPr>
              <w:t>d</w:t>
            </w:r>
          </w:p>
        </w:tc>
        <w:tc>
          <w:tcPr>
            <w:tcW w:w="1842"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2000 to 2008</w:t>
            </w:r>
          </w:p>
        </w:tc>
        <w:tc>
          <w:tcPr>
            <w:tcW w:w="1701" w:type="dxa"/>
            <w:shd w:val="clear" w:color="auto" w:fill="auto"/>
          </w:tcPr>
          <w:p w:rsidR="007360BD"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NR (94.8%)</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48/57 </w:t>
            </w:r>
          </w:p>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9/57</w:t>
            </w:r>
          </w:p>
        </w:tc>
        <w:tc>
          <w:tcPr>
            <w:tcW w:w="3598" w:type="dxa"/>
            <w:shd w:val="clear" w:color="auto" w:fill="auto"/>
          </w:tcPr>
          <w:p w:rsidR="007360BD"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Median: 6 </w:t>
            </w:r>
            <w:r w:rsidR="004C075A">
              <w:rPr>
                <w:rFonts w:ascii="Arial Narrow" w:hAnsi="Arial Narrow" w:cs="Calibri"/>
                <w:color w:val="000000"/>
                <w:sz w:val="18"/>
                <w:szCs w:val="18"/>
                <w:lang w:eastAsia="en-US"/>
              </w:rPr>
              <w:t>months</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(mean 15, range 1-72)</w:t>
            </w:r>
          </w:p>
        </w:tc>
      </w:tr>
      <w:tr w:rsidR="00380194" w:rsidRPr="007D0320" w:rsidTr="00711ABF">
        <w:trPr>
          <w:trHeight w:val="147"/>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Yoon et al 20</w:t>
            </w:r>
            <w:r w:rsidR="005372EC">
              <w:rPr>
                <w:rFonts w:ascii="Arial Narrow" w:hAnsi="Arial Narrow" w:cs="Calibri"/>
                <w:color w:val="000000"/>
                <w:sz w:val="18"/>
                <w:szCs w:val="18"/>
                <w:lang w:eastAsia="en-US"/>
              </w:rPr>
              <w:t>1</w:t>
            </w:r>
            <w:r w:rsidRPr="007D0320">
              <w:rPr>
                <w:rFonts w:ascii="Arial Narrow" w:hAnsi="Arial Narrow" w:cs="Calibri"/>
                <w:color w:val="000000"/>
                <w:sz w:val="18"/>
                <w:szCs w:val="18"/>
                <w:lang w:eastAsia="en-US"/>
              </w:rPr>
              <w:t>1</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412</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Nov 2005 to Dec 2009</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412</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276/412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136/412</w:t>
            </w:r>
          </w:p>
        </w:tc>
        <w:tc>
          <w:tcPr>
            <w:tcW w:w="3598" w:type="dxa"/>
            <w:shd w:val="clear" w:color="auto" w:fill="auto"/>
          </w:tcPr>
          <w:p w:rsidR="006D7D88"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Mean 135 days</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1-1160)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9</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days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1-352)  </w:t>
            </w:r>
          </w:p>
        </w:tc>
      </w:tr>
      <w:tr w:rsidR="00380194" w:rsidRPr="007D0320" w:rsidTr="00711ABF">
        <w:trPr>
          <w:trHeight w:val="147"/>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Young et al 2011</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100</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Aug 1999 to Dec 2005</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93</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89/100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11/100</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Median 34.5 </w:t>
            </w:r>
            <w:r w:rsidR="004C075A">
              <w:rPr>
                <w:rFonts w:ascii="Arial Narrow" w:hAnsi="Arial Narrow" w:cs="Calibri"/>
                <w:color w:val="000000"/>
                <w:sz w:val="18"/>
                <w:szCs w:val="18"/>
                <w:lang w:eastAsia="en-US"/>
              </w:rPr>
              <w:t>months</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1-64)</w:t>
            </w:r>
          </w:p>
        </w:tc>
      </w:tr>
      <w:tr w:rsidR="00380194" w:rsidRPr="007D0320" w:rsidTr="00711ABF">
        <w:trPr>
          <w:trHeight w:val="147"/>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Branger et al 2010</w:t>
            </w:r>
          </w:p>
        </w:tc>
        <w:tc>
          <w:tcPr>
            <w:tcW w:w="1253" w:type="dxa"/>
            <w:shd w:val="clear" w:color="auto" w:fill="auto"/>
          </w:tcPr>
          <w:p w:rsidR="00380194" w:rsidRPr="009E5C53" w:rsidRDefault="00535D39"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93</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Feb 2002 to Aug 2009</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93</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66/93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27/93</w:t>
            </w:r>
          </w:p>
        </w:tc>
        <w:tc>
          <w:tcPr>
            <w:tcW w:w="3598" w:type="dxa"/>
            <w:shd w:val="clear" w:color="auto" w:fill="auto"/>
          </w:tcPr>
          <w:p w:rsidR="006D7D88"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median 7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3 days - 37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BTS: median 15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12-42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w:t>
            </w:r>
          </w:p>
        </w:tc>
      </w:tr>
      <w:tr w:rsidR="00380194" w:rsidRPr="007D0320" w:rsidTr="00711ABF">
        <w:trPr>
          <w:trHeight w:val="147"/>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Kim et al 2010</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99</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May 2003 to Jan 2008</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99</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52/99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47/99</w:t>
            </w:r>
          </w:p>
        </w:tc>
        <w:tc>
          <w:tcPr>
            <w:tcW w:w="3598" w:type="dxa"/>
            <w:shd w:val="clear" w:color="auto" w:fill="auto"/>
          </w:tcPr>
          <w:p w:rsidR="006D7D88"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mean 100</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129 days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2-455)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mean 10.3 days</w:t>
            </w:r>
          </w:p>
        </w:tc>
      </w:tr>
      <w:tr w:rsidR="00380194" w:rsidRPr="007D0320" w:rsidTr="00711ABF">
        <w:trPr>
          <w:trHeight w:val="147"/>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Li et al 2010</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52</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Apr 2001 to Oct 2007</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52</w:t>
            </w:r>
          </w:p>
        </w:tc>
        <w:tc>
          <w:tcPr>
            <w:tcW w:w="2410"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52/52</w:t>
            </w:r>
          </w:p>
        </w:tc>
        <w:tc>
          <w:tcPr>
            <w:tcW w:w="3598" w:type="dxa"/>
            <w:shd w:val="clear" w:color="auto" w:fill="auto"/>
          </w:tcPr>
          <w:p w:rsidR="00380194" w:rsidRPr="009E5C53" w:rsidRDefault="00380194" w:rsidP="00C7386B">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Pal: </w:t>
            </w:r>
            <w:r w:rsidR="00C7386B">
              <w:rPr>
                <w:rFonts w:ascii="Arial Narrow" w:hAnsi="Arial Narrow" w:cs="Calibri"/>
                <w:color w:val="000000"/>
                <w:sz w:val="18"/>
                <w:szCs w:val="18"/>
                <w:lang w:eastAsia="en-US"/>
              </w:rPr>
              <w:t>m</w:t>
            </w:r>
            <w:r w:rsidRPr="007D0320">
              <w:rPr>
                <w:rFonts w:ascii="Arial Narrow" w:hAnsi="Arial Narrow" w:cs="Calibri"/>
                <w:color w:val="000000"/>
                <w:sz w:val="18"/>
                <w:szCs w:val="18"/>
                <w:lang w:eastAsia="en-US"/>
              </w:rPr>
              <w:t>edian 36</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 xml:space="preserve">12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3-70)</w:t>
            </w:r>
          </w:p>
        </w:tc>
      </w:tr>
      <w:tr w:rsidR="00380194" w:rsidRPr="007D0320" w:rsidTr="00711ABF">
        <w:trPr>
          <w:trHeight w:val="147"/>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Moon et al 2010</w:t>
            </w:r>
          </w:p>
        </w:tc>
        <w:tc>
          <w:tcPr>
            <w:tcW w:w="1253" w:type="dxa"/>
            <w:shd w:val="clear" w:color="auto" w:fill="auto"/>
          </w:tcPr>
          <w:p w:rsidR="00380194" w:rsidRPr="009E5C53" w:rsidRDefault="00535D39"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68</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2004 to Feb 2006</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68</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38/68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30/68</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Pal: range 23-847 days</w:t>
            </w:r>
          </w:p>
        </w:tc>
      </w:tr>
      <w:tr w:rsidR="00380194" w:rsidRPr="007D0320" w:rsidTr="00711ABF">
        <w:trPr>
          <w:trHeight w:val="147"/>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Park et al 2010</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151</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Oct 2007 to Jul 2009</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151</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107/151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44/151</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147"/>
        </w:trPr>
        <w:tc>
          <w:tcPr>
            <w:tcW w:w="1766" w:type="dxa"/>
            <w:shd w:val="clear" w:color="auto" w:fill="auto"/>
          </w:tcPr>
          <w:p w:rsidR="00380194" w:rsidRPr="009E5C53" w:rsidRDefault="00785AD7" w:rsidP="00AC0BF7">
            <w:pPr>
              <w:spacing w:after="0"/>
              <w:ind w:left="0"/>
              <w:rPr>
                <w:rFonts w:ascii="Arial Narrow" w:hAnsi="Arial Narrow"/>
                <w:sz w:val="18"/>
                <w:szCs w:val="18"/>
              </w:rPr>
            </w:pPr>
            <w:r>
              <w:rPr>
                <w:rFonts w:ascii="Arial Narrow" w:hAnsi="Arial Narrow" w:cs="Calibri"/>
                <w:color w:val="000000"/>
                <w:sz w:val="18"/>
                <w:szCs w:val="18"/>
                <w:lang w:eastAsia="en-US"/>
              </w:rPr>
              <w:t xml:space="preserve">Small </w:t>
            </w:r>
            <w:r w:rsidR="00AC0BF7">
              <w:rPr>
                <w:rFonts w:ascii="Arial Narrow" w:hAnsi="Arial Narrow" w:cs="Calibri"/>
                <w:color w:val="000000"/>
                <w:sz w:val="18"/>
                <w:szCs w:val="18"/>
                <w:lang w:eastAsia="en-US"/>
              </w:rPr>
              <w:t>et al</w:t>
            </w:r>
            <w:r w:rsidR="00380194" w:rsidRPr="007D0320">
              <w:rPr>
                <w:rFonts w:ascii="Arial Narrow" w:hAnsi="Arial Narrow" w:cs="Calibri"/>
                <w:color w:val="000000"/>
                <w:sz w:val="18"/>
                <w:szCs w:val="18"/>
                <w:lang w:eastAsia="en-US"/>
              </w:rPr>
              <w:t xml:space="preserve"> 2010</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233</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Apr 1999 to Apr 2008</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233</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168/233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65/233</w:t>
            </w:r>
          </w:p>
        </w:tc>
        <w:tc>
          <w:tcPr>
            <w:tcW w:w="3598" w:type="dxa"/>
            <w:shd w:val="clear" w:color="auto" w:fill="auto"/>
          </w:tcPr>
          <w:p w:rsidR="006D7D88"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mean 129</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273 days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1-2837)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554</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566.46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14-2488)</w:t>
            </w:r>
          </w:p>
        </w:tc>
      </w:tr>
      <w:tr w:rsidR="00380194" w:rsidRPr="007D0320" w:rsidTr="00711ABF">
        <w:trPr>
          <w:trHeight w:val="428"/>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Kim et al 2009</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122</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Sep 2001 to Jun 2008</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122</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80/122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42/122</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Mean 453</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w:t>
            </w:r>
            <w:r w:rsidR="002D1478">
              <w:rPr>
                <w:rFonts w:ascii="Arial Narrow" w:hAnsi="Arial Narrow" w:cs="Calibri"/>
                <w:color w:val="000000"/>
                <w:sz w:val="18"/>
                <w:szCs w:val="18"/>
                <w:lang w:eastAsia="en-US"/>
              </w:rPr>
              <w:t xml:space="preserve"> </w:t>
            </w:r>
            <w:r w:rsidRPr="007D0320">
              <w:rPr>
                <w:rFonts w:ascii="Arial Narrow" w:hAnsi="Arial Narrow" w:cs="Calibri"/>
                <w:color w:val="000000"/>
                <w:sz w:val="18"/>
                <w:szCs w:val="18"/>
                <w:lang w:eastAsia="en-US"/>
              </w:rPr>
              <w:t>512 days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3-2370)</w:t>
            </w:r>
          </w:p>
        </w:tc>
      </w:tr>
      <w:tr w:rsidR="00380194" w:rsidRPr="007D0320" w:rsidTr="00711ABF">
        <w:trPr>
          <w:trHeight w:val="214"/>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Suh et al 20</w:t>
            </w:r>
            <w:r w:rsidR="005372EC">
              <w:rPr>
                <w:rFonts w:ascii="Arial Narrow" w:hAnsi="Arial Narrow" w:cs="Calibri"/>
                <w:color w:val="000000"/>
                <w:sz w:val="18"/>
                <w:szCs w:val="18"/>
                <w:lang w:eastAsia="en-US"/>
              </w:rPr>
              <w:t>10</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55</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Feb 2004 to Apr 2007</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55</w:t>
            </w:r>
          </w:p>
        </w:tc>
        <w:tc>
          <w:tcPr>
            <w:tcW w:w="2410"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Pal: 55/55</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413"/>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lastRenderedPageBreak/>
              <w:t>Baraza et al 2008</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5E4BB0">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71</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May 2001 to Dec 2006</w:t>
            </w:r>
          </w:p>
        </w:tc>
        <w:tc>
          <w:tcPr>
            <w:tcW w:w="1701" w:type="dxa"/>
            <w:shd w:val="clear" w:color="auto" w:fill="auto"/>
          </w:tcPr>
          <w:p w:rsidR="00380194" w:rsidRPr="009E5C53" w:rsidRDefault="00FB36CB" w:rsidP="00475E45">
            <w:pPr>
              <w:spacing w:after="0"/>
              <w:ind w:left="0"/>
              <w:jc w:val="right"/>
              <w:rPr>
                <w:rFonts w:ascii="Arial Narrow" w:hAnsi="Arial Narrow"/>
                <w:sz w:val="18"/>
                <w:szCs w:val="18"/>
              </w:rPr>
            </w:pPr>
            <w:r>
              <w:rPr>
                <w:rFonts w:ascii="Arial Narrow" w:hAnsi="Arial Narrow" w:cs="Calibri"/>
                <w:color w:val="000000"/>
                <w:sz w:val="18"/>
                <w:szCs w:val="18"/>
                <w:lang w:eastAsia="en-US"/>
              </w:rPr>
              <w:t>NR</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56/71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7/71</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 (5 years)</w:t>
            </w:r>
          </w:p>
        </w:tc>
      </w:tr>
      <w:tr w:rsidR="00380194" w:rsidRPr="007D0320" w:rsidTr="00711ABF">
        <w:trPr>
          <w:trHeight w:val="428"/>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Demarquy et al 2008</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204</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Sep 1994 to Sep 2006</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185</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187/204</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17/204</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 xml:space="preserve">Mean 8 </w:t>
            </w:r>
            <w:r w:rsidR="004C075A">
              <w:rPr>
                <w:rFonts w:ascii="Arial Narrow" w:hAnsi="Arial Narrow" w:cs="Calibri"/>
                <w:color w:val="000000"/>
                <w:sz w:val="18"/>
                <w:szCs w:val="18"/>
                <w:lang w:eastAsia="en-US"/>
              </w:rPr>
              <w:t>months</w:t>
            </w:r>
            <w:r w:rsidRPr="007D0320">
              <w:rPr>
                <w:rFonts w:ascii="Arial Narrow" w:hAnsi="Arial Narrow" w:cs="Calibri"/>
                <w:color w:val="000000"/>
                <w:sz w:val="18"/>
                <w:szCs w:val="18"/>
                <w:lang w:eastAsia="en-US"/>
              </w:rPr>
              <w:t xml:space="preserve">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 xml:space="preserve">1 </w:t>
            </w:r>
            <w:r w:rsidR="004C075A">
              <w:rPr>
                <w:rFonts w:ascii="Arial Narrow" w:hAnsi="Arial Narrow" w:cs="Calibri"/>
                <w:color w:val="000000"/>
                <w:sz w:val="18"/>
                <w:szCs w:val="18"/>
                <w:lang w:eastAsia="en-US"/>
              </w:rPr>
              <w:t>week</w:t>
            </w:r>
            <w:r w:rsidRPr="007D0320">
              <w:rPr>
                <w:rFonts w:ascii="Arial Narrow" w:hAnsi="Arial Narrow" w:cs="Calibri"/>
                <w:color w:val="000000"/>
                <w:sz w:val="18"/>
                <w:szCs w:val="18"/>
                <w:lang w:eastAsia="en-US"/>
              </w:rPr>
              <w:t xml:space="preserve"> - 6 years)</w:t>
            </w:r>
          </w:p>
        </w:tc>
      </w:tr>
      <w:tr w:rsidR="00380194" w:rsidRPr="007D0320" w:rsidTr="00711ABF">
        <w:trPr>
          <w:trHeight w:val="413"/>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Masci et al 2008</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72</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2004 to Jul 2005</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72</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54/72 </w:t>
            </w:r>
          </w:p>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18/72</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 (30, 90 &amp; 180 days)</w:t>
            </w:r>
          </w:p>
        </w:tc>
      </w:tr>
      <w:tr w:rsidR="00380194" w:rsidRPr="007D0320" w:rsidTr="00711ABF">
        <w:trPr>
          <w:trHeight w:val="428"/>
        </w:trPr>
        <w:tc>
          <w:tcPr>
            <w:tcW w:w="1766"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Shrivastava et al 2008</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91</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Sep 1998 to Sep 2006</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91</w:t>
            </w:r>
          </w:p>
        </w:tc>
        <w:tc>
          <w:tcPr>
            <w:tcW w:w="2410" w:type="dxa"/>
            <w:shd w:val="clear" w:color="auto" w:fill="auto"/>
          </w:tcPr>
          <w:p w:rsidR="002E3B75" w:rsidRPr="007D0320" w:rsidRDefault="00380194"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91/91</w:t>
            </w:r>
          </w:p>
          <w:p w:rsidR="00380194" w:rsidRPr="009E5C53" w:rsidRDefault="00380194" w:rsidP="00C01EF2">
            <w:pPr>
              <w:spacing w:after="0"/>
              <w:ind w:left="0"/>
              <w:rPr>
                <w:rFonts w:ascii="Arial Narrow" w:hAnsi="Arial Narrow"/>
                <w:sz w:val="18"/>
                <w:szCs w:val="18"/>
              </w:rPr>
            </w:pP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Median 63 days (IQR 20-270 days)</w:t>
            </w:r>
          </w:p>
        </w:tc>
      </w:tr>
      <w:tr w:rsidR="00380194" w:rsidRPr="007D0320" w:rsidTr="00711ABF">
        <w:trPr>
          <w:trHeight w:val="214"/>
        </w:trPr>
        <w:tc>
          <w:tcPr>
            <w:tcW w:w="1766" w:type="dxa"/>
            <w:shd w:val="clear" w:color="auto" w:fill="auto"/>
          </w:tcPr>
          <w:p w:rsidR="00380194" w:rsidRPr="009E5C53" w:rsidRDefault="00785AD7" w:rsidP="00C01EF2">
            <w:pPr>
              <w:spacing w:after="0"/>
              <w:ind w:left="0"/>
              <w:rPr>
                <w:rFonts w:ascii="Arial Narrow" w:hAnsi="Arial Narrow"/>
                <w:sz w:val="18"/>
                <w:szCs w:val="18"/>
              </w:rPr>
            </w:pPr>
            <w:r>
              <w:rPr>
                <w:rFonts w:ascii="Arial Narrow" w:hAnsi="Arial Narrow" w:cs="Calibri"/>
                <w:color w:val="000000"/>
                <w:sz w:val="18"/>
                <w:szCs w:val="18"/>
                <w:lang w:eastAsia="en-US"/>
              </w:rPr>
              <w:t>Small and Baron</w:t>
            </w:r>
            <w:r w:rsidR="00380194" w:rsidRPr="007D0320">
              <w:rPr>
                <w:rFonts w:ascii="Arial Narrow" w:hAnsi="Arial Narrow" w:cs="Calibri"/>
                <w:color w:val="000000"/>
                <w:sz w:val="18"/>
                <w:szCs w:val="18"/>
                <w:lang w:eastAsia="en-US"/>
              </w:rPr>
              <w:t xml:space="preserve"> 2008</w:t>
            </w:r>
          </w:p>
        </w:tc>
        <w:tc>
          <w:tcPr>
            <w:tcW w:w="1253"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85</w:t>
            </w:r>
          </w:p>
        </w:tc>
        <w:tc>
          <w:tcPr>
            <w:tcW w:w="1842"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Apr 1999 to Jun 2006</w:t>
            </w:r>
          </w:p>
        </w:tc>
        <w:tc>
          <w:tcPr>
            <w:tcW w:w="1701" w:type="dxa"/>
            <w:shd w:val="clear" w:color="auto" w:fill="auto"/>
          </w:tcPr>
          <w:p w:rsidR="00380194" w:rsidRPr="009E5C53" w:rsidRDefault="00380194"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NR</w:t>
            </w:r>
          </w:p>
        </w:tc>
        <w:tc>
          <w:tcPr>
            <w:tcW w:w="2410"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c>
          <w:tcPr>
            <w:tcW w:w="3598" w:type="dxa"/>
            <w:shd w:val="clear" w:color="auto" w:fill="auto"/>
          </w:tcPr>
          <w:p w:rsidR="00380194" w:rsidRPr="009E5C53" w:rsidRDefault="00380194"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Mean 93 days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7-691)</w:t>
            </w:r>
          </w:p>
        </w:tc>
      </w:tr>
      <w:tr w:rsidR="00380194" w:rsidRPr="007D0320" w:rsidTr="00711ABF">
        <w:trPr>
          <w:trHeight w:val="413"/>
        </w:trPr>
        <w:tc>
          <w:tcPr>
            <w:tcW w:w="1766"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Stenhouse et al 200</w:t>
            </w:r>
            <w:r w:rsidR="00056811">
              <w:rPr>
                <w:rFonts w:ascii="Arial Narrow" w:hAnsi="Arial Narrow" w:cs="Calibri"/>
                <w:color w:val="000000"/>
                <w:sz w:val="18"/>
                <w:szCs w:val="18"/>
                <w:lang w:eastAsia="en-US"/>
              </w:rPr>
              <w:t>9</w:t>
            </w:r>
          </w:p>
        </w:tc>
        <w:tc>
          <w:tcPr>
            <w:tcW w:w="1253"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72</w:t>
            </w:r>
          </w:p>
        </w:tc>
        <w:tc>
          <w:tcPr>
            <w:tcW w:w="1842"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Apr 1999 to Oct 2006</w:t>
            </w:r>
          </w:p>
        </w:tc>
        <w:tc>
          <w:tcPr>
            <w:tcW w:w="1701"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72</w:t>
            </w:r>
          </w:p>
        </w:tc>
        <w:tc>
          <w:tcPr>
            <w:tcW w:w="2410" w:type="dxa"/>
            <w:shd w:val="clear" w:color="auto" w:fill="auto"/>
          </w:tcPr>
          <w:p w:rsidR="002E3B75" w:rsidRPr="007D0320" w:rsidRDefault="003A1880"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Pal: 56/72</w:t>
            </w:r>
          </w:p>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16/72</w:t>
            </w:r>
          </w:p>
        </w:tc>
        <w:tc>
          <w:tcPr>
            <w:tcW w:w="3598"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428"/>
        </w:trPr>
        <w:tc>
          <w:tcPr>
            <w:tcW w:w="1766"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Alcantara et al 2007</w:t>
            </w:r>
          </w:p>
        </w:tc>
        <w:tc>
          <w:tcPr>
            <w:tcW w:w="1253"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95</w:t>
            </w:r>
          </w:p>
        </w:tc>
        <w:tc>
          <w:tcPr>
            <w:tcW w:w="1842"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Nov 1997 to Nov 2006</w:t>
            </w:r>
          </w:p>
        </w:tc>
        <w:tc>
          <w:tcPr>
            <w:tcW w:w="1701"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92</w:t>
            </w:r>
          </w:p>
        </w:tc>
        <w:tc>
          <w:tcPr>
            <w:tcW w:w="2410" w:type="dxa"/>
            <w:shd w:val="clear" w:color="auto" w:fill="auto"/>
          </w:tcPr>
          <w:p w:rsidR="002E3B75" w:rsidRPr="007D0320" w:rsidRDefault="003A1880"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28/95 </w:t>
            </w:r>
          </w:p>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67/95</w:t>
            </w:r>
          </w:p>
        </w:tc>
        <w:tc>
          <w:tcPr>
            <w:tcW w:w="3598"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413"/>
        </w:trPr>
        <w:tc>
          <w:tcPr>
            <w:tcW w:w="1766"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Jost et al 2007</w:t>
            </w:r>
          </w:p>
        </w:tc>
        <w:tc>
          <w:tcPr>
            <w:tcW w:w="1253" w:type="dxa"/>
            <w:shd w:val="clear" w:color="auto" w:fill="auto"/>
          </w:tcPr>
          <w:p w:rsidR="00380194" w:rsidRPr="009E5C53" w:rsidRDefault="00535D39"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67</w:t>
            </w:r>
          </w:p>
        </w:tc>
        <w:tc>
          <w:tcPr>
            <w:tcW w:w="1842"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Apr 1996 to Dec 2004</w:t>
            </w:r>
          </w:p>
        </w:tc>
        <w:tc>
          <w:tcPr>
            <w:tcW w:w="1701"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NR</w:t>
            </w:r>
          </w:p>
        </w:tc>
        <w:tc>
          <w:tcPr>
            <w:tcW w:w="2410" w:type="dxa"/>
            <w:shd w:val="clear" w:color="auto" w:fill="auto"/>
          </w:tcPr>
          <w:p w:rsidR="002E3B75" w:rsidRPr="007D0320" w:rsidRDefault="003A1880"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22/67 </w:t>
            </w:r>
          </w:p>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45/67</w:t>
            </w:r>
          </w:p>
        </w:tc>
        <w:tc>
          <w:tcPr>
            <w:tcW w:w="3598"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428"/>
        </w:trPr>
        <w:tc>
          <w:tcPr>
            <w:tcW w:w="1766"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Lee et al 2007</w:t>
            </w:r>
          </w:p>
        </w:tc>
        <w:tc>
          <w:tcPr>
            <w:tcW w:w="1253"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80</w:t>
            </w:r>
          </w:p>
        </w:tc>
        <w:tc>
          <w:tcPr>
            <w:tcW w:w="1842"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Jul 1998 to Sep 2005</w:t>
            </w:r>
          </w:p>
        </w:tc>
        <w:tc>
          <w:tcPr>
            <w:tcW w:w="1701"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80</w:t>
            </w:r>
          </w:p>
        </w:tc>
        <w:tc>
          <w:tcPr>
            <w:tcW w:w="2410" w:type="dxa"/>
            <w:shd w:val="clear" w:color="auto" w:fill="auto"/>
          </w:tcPr>
          <w:p w:rsidR="002E3B75" w:rsidRPr="007D0320" w:rsidRDefault="003A1880"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37/80 </w:t>
            </w:r>
          </w:p>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43/80</w:t>
            </w:r>
          </w:p>
        </w:tc>
        <w:tc>
          <w:tcPr>
            <w:tcW w:w="3598"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413"/>
        </w:trPr>
        <w:tc>
          <w:tcPr>
            <w:tcW w:w="1766"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Mucci-Hennekinne et al 2007</w:t>
            </w:r>
          </w:p>
        </w:tc>
        <w:tc>
          <w:tcPr>
            <w:tcW w:w="1253" w:type="dxa"/>
            <w:shd w:val="clear" w:color="auto" w:fill="auto"/>
          </w:tcPr>
          <w:p w:rsidR="00380194" w:rsidRPr="009E5C53" w:rsidRDefault="00535D39"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67</w:t>
            </w:r>
          </w:p>
        </w:tc>
        <w:tc>
          <w:tcPr>
            <w:tcW w:w="1842"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Feb 2002 to May 2006</w:t>
            </w:r>
          </w:p>
        </w:tc>
        <w:tc>
          <w:tcPr>
            <w:tcW w:w="1701"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67</w:t>
            </w:r>
          </w:p>
        </w:tc>
        <w:tc>
          <w:tcPr>
            <w:tcW w:w="2410" w:type="dxa"/>
            <w:shd w:val="clear" w:color="auto" w:fill="auto"/>
          </w:tcPr>
          <w:p w:rsidR="002E3B75" w:rsidRPr="007D0320" w:rsidRDefault="003A1880"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55/67 </w:t>
            </w:r>
          </w:p>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12/67</w:t>
            </w:r>
          </w:p>
        </w:tc>
        <w:tc>
          <w:tcPr>
            <w:tcW w:w="3598"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80194" w:rsidRPr="007D0320" w:rsidTr="00711ABF">
        <w:trPr>
          <w:trHeight w:val="413"/>
        </w:trPr>
        <w:tc>
          <w:tcPr>
            <w:tcW w:w="1766"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Athreya et al 2006</w:t>
            </w:r>
          </w:p>
        </w:tc>
        <w:tc>
          <w:tcPr>
            <w:tcW w:w="1253"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80194" w:rsidRPr="009E5C53" w:rsidRDefault="003A1880" w:rsidP="005E4BB0">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102</w:t>
            </w:r>
            <w:r w:rsidR="005E4BB0" w:rsidRPr="005E4BB0">
              <w:rPr>
                <w:rFonts w:ascii="Arial Narrow" w:hAnsi="Arial Narrow" w:cs="Calibri"/>
                <w:color w:val="000000"/>
                <w:sz w:val="18"/>
                <w:szCs w:val="18"/>
                <w:vertAlign w:val="superscript"/>
                <w:lang w:eastAsia="en-US"/>
              </w:rPr>
              <w:t>e</w:t>
            </w:r>
          </w:p>
        </w:tc>
        <w:tc>
          <w:tcPr>
            <w:tcW w:w="1842"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1998 to 2004</w:t>
            </w:r>
          </w:p>
        </w:tc>
        <w:tc>
          <w:tcPr>
            <w:tcW w:w="1701" w:type="dxa"/>
            <w:shd w:val="clear" w:color="auto" w:fill="auto"/>
          </w:tcPr>
          <w:p w:rsidR="00380194"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99</w:t>
            </w:r>
          </w:p>
        </w:tc>
        <w:tc>
          <w:tcPr>
            <w:tcW w:w="2410" w:type="dxa"/>
            <w:shd w:val="clear" w:color="auto" w:fill="auto"/>
          </w:tcPr>
          <w:p w:rsidR="002E3B75" w:rsidRPr="007D0320" w:rsidRDefault="003A1880"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90/102 </w:t>
            </w:r>
          </w:p>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12/102</w:t>
            </w:r>
          </w:p>
        </w:tc>
        <w:tc>
          <w:tcPr>
            <w:tcW w:w="3598" w:type="dxa"/>
            <w:shd w:val="clear" w:color="auto" w:fill="auto"/>
          </w:tcPr>
          <w:p w:rsidR="00380194"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A1880" w:rsidRPr="007D0320" w:rsidTr="00711ABF">
        <w:trPr>
          <w:trHeight w:val="428"/>
        </w:trPr>
        <w:tc>
          <w:tcPr>
            <w:tcW w:w="1766" w:type="dxa"/>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Garcia-Cano et al 2006</w:t>
            </w:r>
          </w:p>
        </w:tc>
        <w:tc>
          <w:tcPr>
            <w:tcW w:w="1253" w:type="dxa"/>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Retrospective</w:t>
            </w:r>
          </w:p>
        </w:tc>
        <w:tc>
          <w:tcPr>
            <w:tcW w:w="764" w:type="dxa"/>
            <w:shd w:val="clear" w:color="auto" w:fill="auto"/>
          </w:tcPr>
          <w:p w:rsidR="003A1880"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175</w:t>
            </w:r>
          </w:p>
        </w:tc>
        <w:tc>
          <w:tcPr>
            <w:tcW w:w="1842" w:type="dxa"/>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Oct 2003 to Sep 2004</w:t>
            </w:r>
          </w:p>
        </w:tc>
        <w:tc>
          <w:tcPr>
            <w:tcW w:w="1701" w:type="dxa"/>
            <w:shd w:val="clear" w:color="auto" w:fill="auto"/>
          </w:tcPr>
          <w:p w:rsidR="003A1880"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175</w:t>
            </w:r>
          </w:p>
        </w:tc>
        <w:tc>
          <w:tcPr>
            <w:tcW w:w="2410" w:type="dxa"/>
            <w:shd w:val="clear" w:color="auto" w:fill="auto"/>
          </w:tcPr>
          <w:p w:rsidR="002E3B75" w:rsidRPr="007D0320" w:rsidRDefault="003A1880" w:rsidP="00C01EF2">
            <w:pPr>
              <w:spacing w:after="0"/>
              <w:ind w:left="0"/>
              <w:rPr>
                <w:rFonts w:ascii="Arial Narrow" w:hAnsi="Arial Narrow" w:cs="Calibri"/>
                <w:color w:val="000000"/>
                <w:sz w:val="18"/>
                <w:szCs w:val="18"/>
                <w:lang w:eastAsia="en-US"/>
              </w:rPr>
            </w:pPr>
            <w:r w:rsidRPr="007D0320">
              <w:rPr>
                <w:rFonts w:ascii="Arial Narrow" w:hAnsi="Arial Narrow" w:cs="Calibri"/>
                <w:color w:val="000000"/>
                <w:sz w:val="18"/>
                <w:szCs w:val="18"/>
                <w:lang w:eastAsia="en-US"/>
              </w:rPr>
              <w:t xml:space="preserve">Pal: 79/175 </w:t>
            </w:r>
          </w:p>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96/175</w:t>
            </w:r>
          </w:p>
        </w:tc>
        <w:tc>
          <w:tcPr>
            <w:tcW w:w="3598" w:type="dxa"/>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A1880" w:rsidRPr="007D0320" w:rsidTr="00711ABF">
        <w:trPr>
          <w:trHeight w:val="413"/>
        </w:trPr>
        <w:tc>
          <w:tcPr>
            <w:tcW w:w="1766" w:type="dxa"/>
            <w:tcBorders>
              <w:bottom w:val="nil"/>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Vitale et al 2006</w:t>
            </w:r>
          </w:p>
        </w:tc>
        <w:tc>
          <w:tcPr>
            <w:tcW w:w="1253" w:type="dxa"/>
            <w:tcBorders>
              <w:bottom w:val="nil"/>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tcBorders>
              <w:bottom w:val="nil"/>
            </w:tcBorders>
            <w:shd w:val="clear" w:color="auto" w:fill="auto"/>
          </w:tcPr>
          <w:p w:rsidR="003A1880"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57</w:t>
            </w:r>
          </w:p>
        </w:tc>
        <w:tc>
          <w:tcPr>
            <w:tcW w:w="1842" w:type="dxa"/>
            <w:tcBorders>
              <w:bottom w:val="nil"/>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Jan 2002 to Sep 2004</w:t>
            </w:r>
          </w:p>
        </w:tc>
        <w:tc>
          <w:tcPr>
            <w:tcW w:w="1701" w:type="dxa"/>
            <w:tcBorders>
              <w:bottom w:val="nil"/>
            </w:tcBorders>
            <w:shd w:val="clear" w:color="auto" w:fill="auto"/>
          </w:tcPr>
          <w:p w:rsidR="003A1880"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57</w:t>
            </w:r>
          </w:p>
        </w:tc>
        <w:tc>
          <w:tcPr>
            <w:tcW w:w="2410" w:type="dxa"/>
            <w:tcBorders>
              <w:bottom w:val="nil"/>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57/57</w:t>
            </w:r>
          </w:p>
        </w:tc>
        <w:tc>
          <w:tcPr>
            <w:tcW w:w="3598" w:type="dxa"/>
            <w:tcBorders>
              <w:bottom w:val="nil"/>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NR</w:t>
            </w:r>
          </w:p>
        </w:tc>
      </w:tr>
      <w:tr w:rsidR="003A1880" w:rsidRPr="007D0320" w:rsidTr="00711ABF">
        <w:trPr>
          <w:trHeight w:val="428"/>
        </w:trPr>
        <w:tc>
          <w:tcPr>
            <w:tcW w:w="1766" w:type="dxa"/>
            <w:tcBorders>
              <w:top w:val="nil"/>
              <w:bottom w:val="single" w:sz="12" w:space="0" w:color="auto"/>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Mainar et al 1999</w:t>
            </w:r>
          </w:p>
        </w:tc>
        <w:tc>
          <w:tcPr>
            <w:tcW w:w="1253" w:type="dxa"/>
            <w:tcBorders>
              <w:top w:val="nil"/>
              <w:bottom w:val="single" w:sz="12" w:space="0" w:color="auto"/>
            </w:tcBorders>
            <w:shd w:val="clear" w:color="auto" w:fill="auto"/>
          </w:tcPr>
          <w:p w:rsidR="003A1880" w:rsidRPr="009E5C53" w:rsidRDefault="00535D39"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Prospective</w:t>
            </w:r>
          </w:p>
        </w:tc>
        <w:tc>
          <w:tcPr>
            <w:tcW w:w="764" w:type="dxa"/>
            <w:tcBorders>
              <w:top w:val="nil"/>
              <w:bottom w:val="single" w:sz="12" w:space="0" w:color="auto"/>
            </w:tcBorders>
            <w:shd w:val="clear" w:color="auto" w:fill="auto"/>
          </w:tcPr>
          <w:p w:rsidR="003A1880" w:rsidRPr="009E5C53" w:rsidRDefault="003A1880" w:rsidP="00475E45">
            <w:pPr>
              <w:spacing w:after="0"/>
              <w:ind w:left="0"/>
              <w:jc w:val="right"/>
              <w:rPr>
                <w:rFonts w:ascii="Arial Narrow" w:hAnsi="Arial Narrow"/>
                <w:sz w:val="18"/>
                <w:szCs w:val="18"/>
              </w:rPr>
            </w:pPr>
            <w:r w:rsidRPr="007D0320">
              <w:rPr>
                <w:rFonts w:ascii="Arial Narrow" w:hAnsi="Arial Narrow" w:cs="Calibri"/>
                <w:color w:val="000000"/>
                <w:sz w:val="18"/>
                <w:szCs w:val="18"/>
                <w:lang w:eastAsia="en-US"/>
              </w:rPr>
              <w:t>71</w:t>
            </w:r>
          </w:p>
        </w:tc>
        <w:tc>
          <w:tcPr>
            <w:tcW w:w="1842" w:type="dxa"/>
            <w:tcBorders>
              <w:top w:val="nil"/>
              <w:bottom w:val="single" w:sz="12" w:space="0" w:color="auto"/>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Oct 1993 to Dec 1996</w:t>
            </w:r>
          </w:p>
        </w:tc>
        <w:tc>
          <w:tcPr>
            <w:tcW w:w="1701" w:type="dxa"/>
            <w:tcBorders>
              <w:top w:val="nil"/>
              <w:bottom w:val="single" w:sz="12" w:space="0" w:color="auto"/>
            </w:tcBorders>
            <w:shd w:val="clear" w:color="auto" w:fill="auto"/>
          </w:tcPr>
          <w:p w:rsidR="003A1880" w:rsidRPr="009E5C53" w:rsidRDefault="00FB36CB" w:rsidP="00475E45">
            <w:pPr>
              <w:spacing w:after="0"/>
              <w:ind w:left="0"/>
              <w:jc w:val="right"/>
              <w:rPr>
                <w:rFonts w:ascii="Arial Narrow" w:hAnsi="Arial Narrow"/>
                <w:sz w:val="18"/>
                <w:szCs w:val="18"/>
              </w:rPr>
            </w:pPr>
            <w:r>
              <w:rPr>
                <w:rFonts w:ascii="Arial Narrow" w:hAnsi="Arial Narrow" w:cs="Calibri"/>
                <w:color w:val="000000"/>
                <w:sz w:val="18"/>
                <w:szCs w:val="18"/>
                <w:lang w:eastAsia="en-US"/>
              </w:rPr>
              <w:t>71</w:t>
            </w:r>
          </w:p>
        </w:tc>
        <w:tc>
          <w:tcPr>
            <w:tcW w:w="2410" w:type="dxa"/>
            <w:tcBorders>
              <w:top w:val="nil"/>
              <w:bottom w:val="single" w:sz="12" w:space="0" w:color="auto"/>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BTS: 71/71</w:t>
            </w:r>
          </w:p>
        </w:tc>
        <w:tc>
          <w:tcPr>
            <w:tcW w:w="3598" w:type="dxa"/>
            <w:tcBorders>
              <w:top w:val="nil"/>
              <w:bottom w:val="single" w:sz="12" w:space="0" w:color="auto"/>
            </w:tcBorders>
            <w:shd w:val="clear" w:color="auto" w:fill="auto"/>
          </w:tcPr>
          <w:p w:rsidR="003A1880" w:rsidRPr="009E5C53" w:rsidRDefault="003A1880" w:rsidP="00C01EF2">
            <w:pPr>
              <w:spacing w:after="0"/>
              <w:ind w:left="0"/>
              <w:rPr>
                <w:rFonts w:ascii="Arial Narrow" w:hAnsi="Arial Narrow"/>
                <w:sz w:val="18"/>
                <w:szCs w:val="18"/>
              </w:rPr>
            </w:pPr>
            <w:r w:rsidRPr="007D0320">
              <w:rPr>
                <w:rFonts w:ascii="Arial Narrow" w:hAnsi="Arial Narrow" w:cs="Calibri"/>
                <w:color w:val="000000"/>
                <w:sz w:val="18"/>
                <w:szCs w:val="18"/>
                <w:lang w:eastAsia="en-US"/>
              </w:rPr>
              <w:t>Mean 10.3 days (</w:t>
            </w:r>
            <w:r w:rsidR="00FE5DAD">
              <w:rPr>
                <w:rFonts w:ascii="Arial Narrow" w:hAnsi="Arial Narrow" w:cs="Calibri"/>
                <w:color w:val="000000"/>
                <w:sz w:val="18"/>
                <w:szCs w:val="18"/>
                <w:lang w:eastAsia="en-US"/>
              </w:rPr>
              <w:t xml:space="preserve">range </w:t>
            </w:r>
            <w:r w:rsidRPr="007D0320">
              <w:rPr>
                <w:rFonts w:ascii="Arial Narrow" w:hAnsi="Arial Narrow" w:cs="Calibri"/>
                <w:color w:val="000000"/>
                <w:sz w:val="18"/>
                <w:szCs w:val="18"/>
                <w:lang w:eastAsia="en-US"/>
              </w:rPr>
              <w:t>6-35 days)</w:t>
            </w:r>
          </w:p>
        </w:tc>
      </w:tr>
    </w:tbl>
    <w:p w:rsidR="005C08AD" w:rsidRPr="005C08AD" w:rsidRDefault="005C08AD" w:rsidP="005C08AD">
      <w:pPr>
        <w:pStyle w:val="TableNotes"/>
        <w:spacing w:after="100" w:afterAutospacing="1"/>
      </w:pPr>
      <w:proofErr w:type="gramStart"/>
      <w:r>
        <w:rPr>
          <w:lang w:val="en-AU"/>
        </w:rPr>
        <w:t xml:space="preserve">a </w:t>
      </w:r>
      <w:r w:rsidRPr="005C08AD">
        <w:t xml:space="preserve"> In</w:t>
      </w:r>
      <w:proofErr w:type="gramEnd"/>
      <w:r w:rsidRPr="005C08AD">
        <w:t xml:space="preserve"> some instances it is not clear whether patients were diagnosed with cancer prior to the treatment or whether diagnosis was established after the intervention.</w:t>
      </w:r>
    </w:p>
    <w:p w:rsidR="005C08AD" w:rsidRPr="005C08AD" w:rsidRDefault="005C08AD" w:rsidP="005C08AD">
      <w:pPr>
        <w:pStyle w:val="TableNotes"/>
        <w:spacing w:after="100" w:afterAutospacing="1"/>
      </w:pPr>
      <w:proofErr w:type="gramStart"/>
      <w:r>
        <w:rPr>
          <w:lang w:val="en-AU"/>
        </w:rPr>
        <w:t xml:space="preserve">b </w:t>
      </w:r>
      <w:r w:rsidRPr="005C08AD">
        <w:t xml:space="preserve"> 463</w:t>
      </w:r>
      <w:proofErr w:type="gramEnd"/>
      <w:r w:rsidRPr="005C08AD">
        <w:t xml:space="preserve"> patients enrolled in the study, but only 447 were evaluated. 16 patients were excluded due to inability to place a stent. </w:t>
      </w:r>
    </w:p>
    <w:p w:rsidR="005C08AD" w:rsidRPr="005C08AD" w:rsidRDefault="005C08AD" w:rsidP="005C08AD">
      <w:pPr>
        <w:pStyle w:val="TableNotes"/>
        <w:spacing w:after="100" w:afterAutospacing="1"/>
      </w:pPr>
      <w:proofErr w:type="gramStart"/>
      <w:r>
        <w:rPr>
          <w:lang w:val="en-AU"/>
        </w:rPr>
        <w:t>c</w:t>
      </w:r>
      <w:r w:rsidRPr="005C08AD">
        <w:t xml:space="preserve"> </w:t>
      </w:r>
      <w:r>
        <w:rPr>
          <w:lang w:val="en-AU"/>
        </w:rPr>
        <w:t xml:space="preserve"> </w:t>
      </w:r>
      <w:r w:rsidRPr="005C08AD">
        <w:t>Wallflex</w:t>
      </w:r>
      <w:proofErr w:type="gramEnd"/>
      <w:r w:rsidRPr="005C08AD">
        <w:t xml:space="preserve"> Colonic Spanish Registry were assessed over one year and 11 months, and Wallflex Colonic International Registry for two years and nine months.  </w:t>
      </w:r>
    </w:p>
    <w:p w:rsidR="005E4BB0" w:rsidRDefault="005C08AD" w:rsidP="005C08AD">
      <w:pPr>
        <w:pStyle w:val="TableNotes"/>
        <w:spacing w:after="100" w:afterAutospacing="1"/>
        <w:rPr>
          <w:lang w:val="en-AU"/>
        </w:rPr>
      </w:pPr>
      <w:proofErr w:type="gramStart"/>
      <w:r>
        <w:rPr>
          <w:lang w:val="en-AU"/>
        </w:rPr>
        <w:t>d</w:t>
      </w:r>
      <w:r w:rsidRPr="005C08AD">
        <w:t xml:space="preserve"> </w:t>
      </w:r>
      <w:r>
        <w:rPr>
          <w:lang w:val="en-AU"/>
        </w:rPr>
        <w:t xml:space="preserve"> </w:t>
      </w:r>
      <w:r w:rsidRPr="005C08AD">
        <w:t>96</w:t>
      </w:r>
      <w:proofErr w:type="gramEnd"/>
      <w:r w:rsidRPr="005C08AD">
        <w:t xml:space="preserve"> patients 104 stenting attempts. Follow-up data were available only for 57 patients.</w:t>
      </w:r>
    </w:p>
    <w:p w:rsidR="000D0A88" w:rsidRDefault="005E4BB0" w:rsidP="005C08AD">
      <w:pPr>
        <w:pStyle w:val="TableNotes"/>
        <w:spacing w:after="100" w:afterAutospacing="1"/>
        <w:rPr>
          <w:lang w:val="en-AU"/>
        </w:rPr>
      </w:pPr>
      <w:proofErr w:type="gramStart"/>
      <w:r>
        <w:rPr>
          <w:lang w:val="en-AU"/>
        </w:rPr>
        <w:t>e  1</w:t>
      </w:r>
      <w:r w:rsidR="005C08AD" w:rsidRPr="005C08AD">
        <w:t>18</w:t>
      </w:r>
      <w:proofErr w:type="gramEnd"/>
      <w:r w:rsidR="005C08AD" w:rsidRPr="005C08AD">
        <w:t xml:space="preserve"> enrolled in the study, but only 102 were evaluated. 16 patients’ records were not available.</w:t>
      </w:r>
    </w:p>
    <w:p w:rsidR="005E4BB0" w:rsidRPr="005C08AD" w:rsidRDefault="00FE5DAD" w:rsidP="005E4BB0">
      <w:pPr>
        <w:pStyle w:val="TableNotes"/>
        <w:spacing w:after="100" w:afterAutospacing="1"/>
      </w:pPr>
      <w:r>
        <w:t>B</w:t>
      </w:r>
      <w:r w:rsidR="005E4BB0" w:rsidRPr="005C08AD">
        <w:t>T</w:t>
      </w:r>
      <w:r>
        <w:rPr>
          <w:lang w:val="en-AU"/>
        </w:rPr>
        <w:t>S</w:t>
      </w:r>
      <w:r w:rsidR="005E4BB0" w:rsidRPr="005C08AD">
        <w:t xml:space="preserve">: Insertion of a stent/s as a bridge to surgery; IQR: Interquartile range; N: Number of patient enrolled in the study and received a stent/s. In some cases, the number of stenting attempts or procedures performed has been considered as the denominator instead of the number of patients; NR: not reported; Pal: palliative/definitive stent; SD: Standard deviation. </w:t>
      </w:r>
    </w:p>
    <w:p w:rsidR="005E4BB0" w:rsidRPr="005E4BB0" w:rsidRDefault="005E4BB0" w:rsidP="005C08AD">
      <w:pPr>
        <w:pStyle w:val="TableNotes"/>
        <w:spacing w:after="100" w:afterAutospacing="1"/>
        <w:rPr>
          <w:lang w:val="en-AU"/>
        </w:rPr>
        <w:sectPr w:rsidR="005E4BB0" w:rsidRPr="005E4BB0" w:rsidSect="000D0A88">
          <w:footerReference w:type="even" r:id="rId33"/>
          <w:footerReference w:type="default" r:id="rId34"/>
          <w:pgSz w:w="16838" w:h="11906" w:orient="landscape"/>
          <w:pgMar w:top="1985" w:right="1440" w:bottom="1440" w:left="1440" w:header="720" w:footer="720" w:gutter="0"/>
          <w:paperSrc w:first="2" w:other="2"/>
          <w:cols w:space="720"/>
          <w:docGrid w:linePitch="326"/>
        </w:sectPr>
      </w:pPr>
    </w:p>
    <w:p w:rsidR="0089265C" w:rsidRPr="007D0320" w:rsidRDefault="0089265C" w:rsidP="00F171E7">
      <w:pPr>
        <w:pStyle w:val="Heading2"/>
      </w:pPr>
      <w:bookmarkStart w:id="153" w:name="_Toc352924421"/>
      <w:r w:rsidRPr="007D0320">
        <w:lastRenderedPageBreak/>
        <w:t>Critical appraisal of randomised controlled studies</w:t>
      </w:r>
      <w:bookmarkEnd w:id="153"/>
    </w:p>
    <w:p w:rsidR="0089265C" w:rsidRPr="00A240D6" w:rsidRDefault="0089265C" w:rsidP="00FC35F9">
      <w:pPr>
        <w:pStyle w:val="Heading3"/>
      </w:pPr>
      <w:r w:rsidRPr="00A240D6">
        <w:t>Participants</w:t>
      </w:r>
    </w:p>
    <w:p w:rsidR="0089265C" w:rsidRPr="00E2422F" w:rsidRDefault="0089265C" w:rsidP="00E239AB">
      <w:r w:rsidRPr="009E5C53">
        <w:t xml:space="preserve">Within the group of seven comparative studies there were two RCTs which compared stenting with </w:t>
      </w:r>
      <w:r w:rsidR="002D1478" w:rsidRPr="009E5C53">
        <w:t>SEM</w:t>
      </w:r>
      <w:r w:rsidR="002D1478">
        <w:t>S</w:t>
      </w:r>
      <w:r w:rsidR="002D1478" w:rsidRPr="009E5C53">
        <w:t xml:space="preserve"> </w:t>
      </w:r>
      <w:r w:rsidRPr="009E5C53">
        <w:t>to surgical treatment as a palliative measure (Fiori et al 2004; Xinopoulos et al 2004). Total pati</w:t>
      </w:r>
      <w:r w:rsidRPr="00E2422F">
        <w:t>ent enrolment was 22 patients (11 in each group) in one study</w:t>
      </w:r>
      <w:r w:rsidR="002D1478">
        <w:t>,</w:t>
      </w:r>
      <w:r w:rsidRPr="00E2422F">
        <w:t xml:space="preserve"> and 30 patients (15 in each group) in the other. </w:t>
      </w:r>
    </w:p>
    <w:p w:rsidR="0089265C" w:rsidRPr="00A240D6" w:rsidRDefault="0089265C" w:rsidP="00FC35F9">
      <w:pPr>
        <w:pStyle w:val="Heading3"/>
      </w:pPr>
      <w:r w:rsidRPr="00A240D6">
        <w:t>Diagnosis and pathological analysis</w:t>
      </w:r>
    </w:p>
    <w:p w:rsidR="0089265C" w:rsidRPr="00E2422F" w:rsidRDefault="0089265C" w:rsidP="00E239AB">
      <w:r w:rsidRPr="009E5C53">
        <w:t>In both studies the inclusion criteria was non-resectable malignancy. In Xinopoulos</w:t>
      </w:r>
      <w:r w:rsidR="00B60693">
        <w:t xml:space="preserve"> et al (2004),</w:t>
      </w:r>
      <w:r w:rsidRPr="009E5C53">
        <w:t xml:space="preserve"> the malignancy was confi</w:t>
      </w:r>
      <w:r w:rsidRPr="00E2422F">
        <w:t xml:space="preserve">rmed histologically. Fiori et al </w:t>
      </w:r>
      <w:r w:rsidR="00B60693">
        <w:t xml:space="preserve">(2004) </w:t>
      </w:r>
      <w:r w:rsidRPr="00E2422F">
        <w:t xml:space="preserve">examined all </w:t>
      </w:r>
      <w:r w:rsidR="00B60693">
        <w:t xml:space="preserve">patients </w:t>
      </w:r>
      <w:r w:rsidRPr="00E2422F">
        <w:t>by colonoscopy and CT-scan. In both studies</w:t>
      </w:r>
      <w:r w:rsidR="00B60693">
        <w:t>,</w:t>
      </w:r>
      <w:r w:rsidRPr="00E2422F">
        <w:t xml:space="preserve"> the aetiology of obstructing tumours and the locations of obstructions were reported.</w:t>
      </w:r>
    </w:p>
    <w:p w:rsidR="0089265C" w:rsidRPr="00A240D6" w:rsidRDefault="0089265C" w:rsidP="00FC35F9">
      <w:pPr>
        <w:pStyle w:val="Heading3"/>
      </w:pPr>
      <w:r w:rsidRPr="00A240D6">
        <w:t>Allocation</w:t>
      </w:r>
      <w:r w:rsidR="00FA2DD9" w:rsidRPr="00A240D6">
        <w:t xml:space="preserve"> and blinding</w:t>
      </w:r>
    </w:p>
    <w:p w:rsidR="0089265C" w:rsidRPr="005646B6" w:rsidRDefault="0089265C" w:rsidP="0089265C">
      <w:r w:rsidRPr="009E5C53">
        <w:t>Fiori et al (2004) rep</w:t>
      </w:r>
      <w:r w:rsidRPr="00E2422F">
        <w:t>ort</w:t>
      </w:r>
      <w:r w:rsidR="00B60693">
        <w:t>ed</w:t>
      </w:r>
      <w:r w:rsidRPr="00E2422F">
        <w:t xml:space="preserve"> </w:t>
      </w:r>
      <w:r w:rsidR="00B60693" w:rsidRPr="00E2422F">
        <w:t>randomi</w:t>
      </w:r>
      <w:r w:rsidR="00B60693">
        <w:t>s</w:t>
      </w:r>
      <w:r w:rsidR="00B60693" w:rsidRPr="00E2422F">
        <w:t xml:space="preserve">ation </w:t>
      </w:r>
      <w:r w:rsidRPr="00E2422F">
        <w:t>using random number tables</w:t>
      </w:r>
      <w:r w:rsidR="00B60693">
        <w:t>.</w:t>
      </w:r>
      <w:r w:rsidRPr="00E2422F">
        <w:t xml:space="preserve"> </w:t>
      </w:r>
      <w:r w:rsidR="00B60693">
        <w:t>N</w:t>
      </w:r>
      <w:r w:rsidRPr="00E2422F">
        <w:t xml:space="preserve">o details of blinding or allocation concealment were mentioned. Xinopoulos et al (2004) reported </w:t>
      </w:r>
      <w:r w:rsidR="00B60693" w:rsidRPr="00E2422F">
        <w:t>randomi</w:t>
      </w:r>
      <w:r w:rsidR="00B60693">
        <w:t>s</w:t>
      </w:r>
      <w:r w:rsidR="00B60693" w:rsidRPr="00E2422F">
        <w:t xml:space="preserve">ation </w:t>
      </w:r>
      <w:r w:rsidRPr="00E2422F">
        <w:t>and double-blinding</w:t>
      </w:r>
      <w:r w:rsidR="00B60693">
        <w:t>;</w:t>
      </w:r>
      <w:r w:rsidRPr="00E2422F">
        <w:t xml:space="preserve"> however</w:t>
      </w:r>
      <w:r w:rsidR="00B60693">
        <w:t>,</w:t>
      </w:r>
      <w:r w:rsidR="00E76987" w:rsidRPr="00892811">
        <w:t xml:space="preserve"> </w:t>
      </w:r>
      <w:r w:rsidRPr="008978EE">
        <w:t>the method</w:t>
      </w:r>
      <w:r w:rsidR="00B60693">
        <w:t xml:space="preserve"> and nature of the double-blinding</w:t>
      </w:r>
      <w:r w:rsidRPr="008978EE">
        <w:t xml:space="preserve"> was not specified </w:t>
      </w:r>
      <w:r w:rsidR="00B60693">
        <w:t xml:space="preserve">and </w:t>
      </w:r>
      <w:r w:rsidRPr="008978EE">
        <w:t xml:space="preserve">no allocation concealment was mentioned. </w:t>
      </w:r>
    </w:p>
    <w:p w:rsidR="00D202A0" w:rsidRPr="00A240D6" w:rsidRDefault="00D202A0" w:rsidP="00FC35F9">
      <w:pPr>
        <w:pStyle w:val="Heading3"/>
      </w:pPr>
      <w:r w:rsidRPr="00A240D6">
        <w:t>Interventions and outcomes</w:t>
      </w:r>
    </w:p>
    <w:p w:rsidR="00D202A0" w:rsidRPr="008978EE" w:rsidRDefault="00D202A0" w:rsidP="00D202A0">
      <w:r w:rsidRPr="009E5C53">
        <w:t xml:space="preserve">Both RCTs reported the type of stents (all </w:t>
      </w:r>
      <w:r w:rsidR="00B60693" w:rsidRPr="009E5C53">
        <w:t>SEM</w:t>
      </w:r>
      <w:r w:rsidR="00B60693">
        <w:t>S</w:t>
      </w:r>
      <w:r w:rsidRPr="009E5C53">
        <w:t>) used and the surgical procedures performed</w:t>
      </w:r>
      <w:r w:rsidR="00B60693">
        <w:t>.</w:t>
      </w:r>
      <w:r w:rsidRPr="009E5C53">
        <w:t xml:space="preserve"> </w:t>
      </w:r>
      <w:r w:rsidR="00B60693">
        <w:t>I</w:t>
      </w:r>
      <w:r w:rsidRPr="009E5C53">
        <w:t>n one study cost ef</w:t>
      </w:r>
      <w:r w:rsidRPr="00E2422F">
        <w:t>fectiveness</w:t>
      </w:r>
      <w:r w:rsidR="00B60693">
        <w:t xml:space="preserve"> was assessed, whilst</w:t>
      </w:r>
      <w:r w:rsidRPr="00E2422F">
        <w:t xml:space="preserve"> technical success of the procedure was reported</w:t>
      </w:r>
      <w:r w:rsidR="00B60693">
        <w:t xml:space="preserve"> in both studies</w:t>
      </w:r>
      <w:r w:rsidRPr="00E2422F">
        <w:t xml:space="preserve">. Fiori et al </w:t>
      </w:r>
      <w:r w:rsidR="00B60693">
        <w:t xml:space="preserve">(2004) </w:t>
      </w:r>
      <w:r w:rsidRPr="00E2422F">
        <w:t>reported the following pre-specified outcomes for assessment</w:t>
      </w:r>
      <w:r w:rsidR="00D44CBD">
        <w:t>:</w:t>
      </w:r>
      <w:r w:rsidRPr="00E2422F">
        <w:t xml:space="preserve"> mean operative time, morbidity and mortality rate, </w:t>
      </w:r>
      <w:r w:rsidR="00B60693" w:rsidRPr="00E2422F">
        <w:t>canali</w:t>
      </w:r>
      <w:r w:rsidR="00B60693">
        <w:t>s</w:t>
      </w:r>
      <w:r w:rsidR="00B60693" w:rsidRPr="00E2422F">
        <w:t xml:space="preserve">ation </w:t>
      </w:r>
      <w:r w:rsidRPr="00E2422F">
        <w:t>of the gastrointestinal tract, restoration of</w:t>
      </w:r>
      <w:r w:rsidRPr="00892811">
        <w:t xml:space="preserve"> oral intake and median hospital stay. Only a cost analysis was pre-specified by Xinopoulos </w:t>
      </w:r>
      <w:r w:rsidR="00B60693">
        <w:t xml:space="preserve">et al (2004) </w:t>
      </w:r>
      <w:r w:rsidRPr="00892811">
        <w:t>in the methods. In both studies</w:t>
      </w:r>
      <w:r w:rsidR="00B60693">
        <w:t>,</w:t>
      </w:r>
      <w:r w:rsidRPr="00892811">
        <w:t xml:space="preserve"> complications of the procedure were reported</w:t>
      </w:r>
      <w:r w:rsidR="00B60693">
        <w:t>;</w:t>
      </w:r>
      <w:r w:rsidRPr="00892811">
        <w:t xml:space="preserve"> however</w:t>
      </w:r>
      <w:r w:rsidR="00B60693">
        <w:t>,</w:t>
      </w:r>
      <w:r w:rsidRPr="00892811">
        <w:t xml:space="preserve"> Fiori et al </w:t>
      </w:r>
      <w:r w:rsidR="00B60693">
        <w:t xml:space="preserve">(2004) </w:t>
      </w:r>
      <w:r w:rsidRPr="00892811">
        <w:t xml:space="preserve">limited </w:t>
      </w:r>
      <w:r w:rsidR="00B60693">
        <w:t>the reporting to</w:t>
      </w:r>
      <w:r w:rsidRPr="00892811">
        <w:t xml:space="preserve"> the hospital stay of patients (ran</w:t>
      </w:r>
      <w:r w:rsidRPr="008978EE">
        <w:t>ge 2-4 days in the stenting group and 7-10</w:t>
      </w:r>
      <w:r w:rsidR="00274F23">
        <w:t xml:space="preserve"> in the colostomy group</w:t>
      </w:r>
      <w:r w:rsidRPr="008978EE">
        <w:t>)</w:t>
      </w:r>
      <w:r w:rsidR="00D44CBD">
        <w:t>,</w:t>
      </w:r>
      <w:r w:rsidR="00B60693">
        <w:t xml:space="preserve"> whilst</w:t>
      </w:r>
      <w:r w:rsidRPr="008978EE">
        <w:t xml:space="preserve"> Xinopoulos</w:t>
      </w:r>
      <w:r w:rsidR="00B60693">
        <w:t xml:space="preserve"> et al (2004)</w:t>
      </w:r>
      <w:r w:rsidR="00EA7A15">
        <w:t xml:space="preserve"> was limited </w:t>
      </w:r>
      <w:r w:rsidRPr="008978EE">
        <w:t xml:space="preserve">due to poor reporting of </w:t>
      </w:r>
      <w:r w:rsidR="00274F23">
        <w:t>outcomes</w:t>
      </w:r>
      <w:r w:rsidRPr="008978EE">
        <w:t xml:space="preserve">. </w:t>
      </w:r>
    </w:p>
    <w:p w:rsidR="00D202A0" w:rsidRPr="00A240D6" w:rsidRDefault="00D202A0" w:rsidP="00FC35F9">
      <w:pPr>
        <w:pStyle w:val="Heading3"/>
      </w:pPr>
      <w:r w:rsidRPr="00A240D6">
        <w:t>Statistical methods</w:t>
      </w:r>
    </w:p>
    <w:p w:rsidR="00D202A0" w:rsidRPr="00A30BA9" w:rsidRDefault="00D202A0" w:rsidP="00D202A0">
      <w:r w:rsidRPr="009E5C53">
        <w:t xml:space="preserve">In both RCTs the pre-specified significance level, </w:t>
      </w:r>
      <w:r w:rsidRPr="0007443E">
        <w:rPr>
          <w:i/>
        </w:rPr>
        <w:t>p</w:t>
      </w:r>
      <w:r w:rsidRPr="009E5C53">
        <w:t xml:space="preserve"> values and statistical tests carried out </w:t>
      </w:r>
      <w:r w:rsidR="00EA7A15">
        <w:t>were reported</w:t>
      </w:r>
      <w:r w:rsidRPr="009E5C53">
        <w:t xml:space="preserve">. Fiori et al </w:t>
      </w:r>
      <w:r w:rsidR="00EA7A15">
        <w:t xml:space="preserve">(2004) </w:t>
      </w:r>
      <w:r w:rsidRPr="009E5C53">
        <w:t>analysed patient</w:t>
      </w:r>
      <w:r w:rsidRPr="00E2422F">
        <w:t xml:space="preserve"> baseline demographics and concluded that the two groups did not differ significantly across </w:t>
      </w:r>
      <w:r w:rsidR="00D44CBD">
        <w:t>Australian Society of Anaesthetists (</w:t>
      </w:r>
      <w:r w:rsidRPr="00E2422F">
        <w:t>ASA</w:t>
      </w:r>
      <w:r w:rsidR="00D44CBD">
        <w:t xml:space="preserve">) </w:t>
      </w:r>
      <w:r w:rsidRPr="00E2422F">
        <w:t xml:space="preserve">criteria, sex or age. Xinopoulos et al </w:t>
      </w:r>
      <w:r w:rsidR="00EA7A15">
        <w:t xml:space="preserve">(2004) </w:t>
      </w:r>
      <w:r w:rsidRPr="00E2422F">
        <w:t>compared survival distribution curves by a log-rank test.</w:t>
      </w:r>
      <w:r w:rsidR="00FA2DD9" w:rsidRPr="00892811">
        <w:t xml:space="preserve"> </w:t>
      </w:r>
      <w:r w:rsidR="00C057AA" w:rsidRPr="008978EE">
        <w:t>Both studies analysed results on an intention</w:t>
      </w:r>
      <w:r w:rsidR="000F5C4A">
        <w:t>-</w:t>
      </w:r>
      <w:r w:rsidR="00C057AA" w:rsidRPr="008978EE">
        <w:t>to</w:t>
      </w:r>
      <w:r w:rsidR="000F5C4A">
        <w:t>-</w:t>
      </w:r>
      <w:r w:rsidR="00C057AA" w:rsidRPr="008978EE">
        <w:t xml:space="preserve">treat basis. </w:t>
      </w:r>
    </w:p>
    <w:p w:rsidR="00D202A0" w:rsidRPr="00965DBA" w:rsidRDefault="00D202A0" w:rsidP="00FC35F9">
      <w:pPr>
        <w:pStyle w:val="Heading3"/>
      </w:pPr>
      <w:r w:rsidRPr="00965DBA">
        <w:t>Follow-up and losses to follow-up</w:t>
      </w:r>
    </w:p>
    <w:p w:rsidR="00D202A0" w:rsidRPr="00E2422F" w:rsidRDefault="00D202A0" w:rsidP="00D202A0">
      <w:r w:rsidRPr="009E5C53">
        <w:t xml:space="preserve">Fiori et al (2004) did not report losses to </w:t>
      </w:r>
      <w:r w:rsidR="00EA7A15" w:rsidRPr="009E5C53">
        <w:t>follow</w:t>
      </w:r>
      <w:r w:rsidR="00EA7A15">
        <w:t>-</w:t>
      </w:r>
      <w:r w:rsidRPr="009E5C53">
        <w:t xml:space="preserve">up, nor total </w:t>
      </w:r>
      <w:r w:rsidR="00EA7A15" w:rsidRPr="009E5C53">
        <w:t>follow</w:t>
      </w:r>
      <w:r w:rsidR="00EA7A15">
        <w:t>-</w:t>
      </w:r>
      <w:r w:rsidRPr="009E5C53">
        <w:t>up time</w:t>
      </w:r>
      <w:r w:rsidR="00EA7A15">
        <w:t>;</w:t>
      </w:r>
      <w:r w:rsidRPr="009E5C53">
        <w:t xml:space="preserve"> however</w:t>
      </w:r>
      <w:r w:rsidR="00EA7A15">
        <w:t>,</w:t>
      </w:r>
      <w:r w:rsidRPr="009E5C53">
        <w:t xml:space="preserve"> median hospital stay was reported. Xinopoulos et al </w:t>
      </w:r>
      <w:r w:rsidR="00EA7A15">
        <w:t>(</w:t>
      </w:r>
      <w:r w:rsidRPr="009E5C53">
        <w:t>2004</w:t>
      </w:r>
      <w:r w:rsidR="00EA7A15">
        <w:t>)</w:t>
      </w:r>
      <w:r w:rsidRPr="009E5C53">
        <w:t xml:space="preserve"> reported that patients underwent endoscopic surveillance every </w:t>
      </w:r>
      <w:r w:rsidR="000F5C4A">
        <w:t>eight</w:t>
      </w:r>
      <w:r w:rsidR="000F5C4A" w:rsidRPr="009E5C53">
        <w:t xml:space="preserve"> </w:t>
      </w:r>
      <w:r w:rsidRPr="009E5C53">
        <w:t>weeks</w:t>
      </w:r>
      <w:r w:rsidR="00EA7A15">
        <w:t>.</w:t>
      </w:r>
      <w:r w:rsidRPr="009E5C53">
        <w:t xml:space="preserve"> </w:t>
      </w:r>
      <w:r w:rsidR="00EA7A15">
        <w:t>P</w:t>
      </w:r>
      <w:r w:rsidRPr="009E5C53">
        <w:t>at</w:t>
      </w:r>
      <w:r w:rsidRPr="00E2422F">
        <w:t>ients appear</w:t>
      </w:r>
      <w:r w:rsidR="00EA7A15">
        <w:t>ed</w:t>
      </w:r>
      <w:r w:rsidRPr="00E2422F">
        <w:t xml:space="preserve"> to have been followed until death for both groups and no losses to follow up were reported (</w:t>
      </w:r>
      <w:r w:rsidR="006F654A">
        <w:t xml:space="preserve">See </w:t>
      </w:r>
      <w:r w:rsidR="000F5C4A">
        <w:fldChar w:fldCharType="begin"/>
      </w:r>
      <w:r w:rsidR="000F5C4A">
        <w:instrText xml:space="preserve"> REF _Ref324944127 \h </w:instrText>
      </w:r>
      <w:r w:rsidR="000F5C4A">
        <w:fldChar w:fldCharType="separate"/>
      </w:r>
      <w:r w:rsidR="0071544A">
        <w:t xml:space="preserve">Table </w:t>
      </w:r>
      <w:r w:rsidR="0071544A">
        <w:rPr>
          <w:noProof/>
        </w:rPr>
        <w:t>26</w:t>
      </w:r>
      <w:r w:rsidR="000F5C4A">
        <w:fldChar w:fldCharType="end"/>
      </w:r>
      <w:r w:rsidRPr="009E5C53">
        <w:t>).</w:t>
      </w:r>
    </w:p>
    <w:p w:rsidR="0089265C" w:rsidRPr="008978EE" w:rsidRDefault="00D202A0" w:rsidP="00E239AB">
      <w:r w:rsidRPr="00892811">
        <w:lastRenderedPageBreak/>
        <w:t xml:space="preserve">The length of </w:t>
      </w:r>
      <w:r w:rsidR="00EA7A15" w:rsidRPr="00892811">
        <w:t>follow</w:t>
      </w:r>
      <w:r w:rsidR="00EA7A15">
        <w:t>-</w:t>
      </w:r>
      <w:r w:rsidRPr="00892811">
        <w:t>up undertaken by Xinopoulos was sufficient to capture relevant outcomes as it would appea</w:t>
      </w:r>
      <w:r w:rsidRPr="008978EE">
        <w:t>r that patients were followed until death</w:t>
      </w:r>
      <w:r w:rsidR="00EA7A15">
        <w:t>.</w:t>
      </w:r>
      <w:r w:rsidRPr="008978EE">
        <w:t xml:space="preserve"> </w:t>
      </w:r>
      <w:r w:rsidR="00EA7A15">
        <w:t>T</w:t>
      </w:r>
      <w:r w:rsidRPr="008978EE">
        <w:t>he follow</w:t>
      </w:r>
      <w:r w:rsidR="00EA7A15">
        <w:t>-</w:t>
      </w:r>
      <w:r w:rsidRPr="008978EE">
        <w:t xml:space="preserve">up period in Fiori et al </w:t>
      </w:r>
      <w:r w:rsidR="00EA7A15">
        <w:t xml:space="preserve">(2004) </w:t>
      </w:r>
      <w:r w:rsidRPr="008978EE">
        <w:t xml:space="preserve">was </w:t>
      </w:r>
      <w:r w:rsidR="00EA7A15">
        <w:t>limited,</w:t>
      </w:r>
      <w:r w:rsidR="00EA7A15" w:rsidRPr="008978EE">
        <w:t xml:space="preserve"> </w:t>
      </w:r>
      <w:r w:rsidRPr="008978EE">
        <w:t xml:space="preserve">as patients </w:t>
      </w:r>
      <w:r w:rsidR="00EA7A15" w:rsidRPr="008978EE">
        <w:t>d</w:t>
      </w:r>
      <w:r w:rsidR="00EA7A15">
        <w:t>id</w:t>
      </w:r>
      <w:r w:rsidR="00EA7A15" w:rsidRPr="008978EE">
        <w:t xml:space="preserve"> </w:t>
      </w:r>
      <w:r w:rsidRPr="008978EE">
        <w:t>not appear to have been followed after discharge</w:t>
      </w:r>
      <w:r w:rsidR="00EA7A15">
        <w:t>;</w:t>
      </w:r>
      <w:r w:rsidRPr="008978EE">
        <w:t xml:space="preserve"> hence</w:t>
      </w:r>
      <w:r w:rsidR="00EA7A15">
        <w:t>,</w:t>
      </w:r>
      <w:r w:rsidRPr="008978EE">
        <w:t xml:space="preserve"> the reporting of complications </w:t>
      </w:r>
      <w:r w:rsidR="000F5C4A">
        <w:t>wa</w:t>
      </w:r>
      <w:r w:rsidRPr="008978EE">
        <w:t xml:space="preserve">s </w:t>
      </w:r>
      <w:r w:rsidR="00EA7A15">
        <w:t>restricted to the length of</w:t>
      </w:r>
      <w:r w:rsidRPr="008978EE">
        <w:t xml:space="preserve"> hospital stay.  </w:t>
      </w:r>
    </w:p>
    <w:p w:rsidR="00BA31A5" w:rsidRPr="00A87C52" w:rsidRDefault="00BA31A5" w:rsidP="00F171E7">
      <w:pPr>
        <w:pStyle w:val="Heading2"/>
      </w:pPr>
      <w:bookmarkStart w:id="154" w:name="_Toc352924422"/>
      <w:r w:rsidRPr="00A30BA9">
        <w:t>Critical appra</w:t>
      </w:r>
      <w:r w:rsidRPr="005646B6">
        <w:t xml:space="preserve">isal of </w:t>
      </w:r>
      <w:r w:rsidR="0089265C" w:rsidRPr="00003831">
        <w:t xml:space="preserve">other </w:t>
      </w:r>
      <w:r w:rsidRPr="00A87C52">
        <w:t>comparative studies</w:t>
      </w:r>
      <w:bookmarkEnd w:id="154"/>
    </w:p>
    <w:p w:rsidR="007F1977" w:rsidRPr="00965DBA" w:rsidRDefault="007F1977" w:rsidP="00FC35F9">
      <w:pPr>
        <w:pStyle w:val="Heading3"/>
      </w:pPr>
      <w:r w:rsidRPr="00965DBA">
        <w:t>Participants</w:t>
      </w:r>
    </w:p>
    <w:p w:rsidR="007A4D8C" w:rsidRPr="00E2422F" w:rsidRDefault="007A4D8C" w:rsidP="007A4D8C">
      <w:r w:rsidRPr="009E5C53">
        <w:t xml:space="preserve">The </w:t>
      </w:r>
      <w:r w:rsidR="003F2905">
        <w:t xml:space="preserve">remaining </w:t>
      </w:r>
      <w:r w:rsidRPr="009E5C53">
        <w:t>five</w:t>
      </w:r>
      <w:r w:rsidR="003F2905">
        <w:t xml:space="preserve"> comparative</w:t>
      </w:r>
      <w:r w:rsidRPr="009E5C53">
        <w:t xml:space="preserve"> studies</w:t>
      </w:r>
      <w:r w:rsidR="003F2905">
        <w:t xml:space="preserve"> that were not RCTs</w:t>
      </w:r>
      <w:r w:rsidRPr="009E5C53">
        <w:t xml:space="preserve"> had total patient enrolment ranging from 26 to 44 with treatment arm enrolment ranging from 12 to 30 in stenting groups and from 10 to 24 in the surgical groups. Of these five studies</w:t>
      </w:r>
      <w:r w:rsidR="003F2905">
        <w:t>,</w:t>
      </w:r>
      <w:r w:rsidRPr="009E5C53">
        <w:t xml:space="preserve"> one was </w:t>
      </w:r>
      <w:r w:rsidRPr="00E2422F">
        <w:t xml:space="preserve">designed prospectively and the remaining four were retrospective. </w:t>
      </w:r>
    </w:p>
    <w:p w:rsidR="007A4D8C" w:rsidRPr="008978EE" w:rsidRDefault="007A4D8C" w:rsidP="007A4D8C">
      <w:r w:rsidRPr="00892811">
        <w:t xml:space="preserve">Patient selection criteria were described across all studies and were not so specific as to limit the </w:t>
      </w:r>
      <w:r w:rsidR="003F2905" w:rsidRPr="00892811">
        <w:t>generali</w:t>
      </w:r>
      <w:r w:rsidR="003F2905">
        <w:t>s</w:t>
      </w:r>
      <w:r w:rsidR="003F2905" w:rsidRPr="00892811">
        <w:t xml:space="preserve">ability </w:t>
      </w:r>
      <w:r w:rsidRPr="00892811">
        <w:t xml:space="preserve">of study results. Variance across studies </w:t>
      </w:r>
      <w:r w:rsidR="003F2905">
        <w:t>was evident</w:t>
      </w:r>
      <w:r w:rsidR="003F2905" w:rsidRPr="00892811">
        <w:t xml:space="preserve"> </w:t>
      </w:r>
      <w:r w:rsidRPr="00892811">
        <w:t>but in all cases in</w:t>
      </w:r>
      <w:r w:rsidRPr="008978EE">
        <w:t>cluded colonic obstruction with clinical signs and symptoms</w:t>
      </w:r>
      <w:r w:rsidR="003F2905">
        <w:t>,</w:t>
      </w:r>
      <w:r w:rsidRPr="008978EE">
        <w:t xml:space="preserve"> with exclusion of patients with signs of peritonitis or perforation </w:t>
      </w:r>
      <w:r w:rsidR="006139A8">
        <w:t xml:space="preserve">(Appendix </w:t>
      </w:r>
      <w:r w:rsidR="00F76B65">
        <w:t>F</w:t>
      </w:r>
      <w:r w:rsidR="006139A8">
        <w:t xml:space="preserve"> </w:t>
      </w:r>
      <w:r w:rsidRPr="008978EE">
        <w:t>and</w:t>
      </w:r>
      <w:r w:rsidR="006139A8">
        <w:t xml:space="preserve"> Appendix </w:t>
      </w:r>
      <w:r w:rsidR="00F76B65">
        <w:t>G</w:t>
      </w:r>
      <w:r w:rsidRPr="008978EE">
        <w:t>). In the studies considering only palliative patients</w:t>
      </w:r>
      <w:r w:rsidR="003F2905">
        <w:t>,</w:t>
      </w:r>
      <w:r w:rsidRPr="008978EE">
        <w:t xml:space="preserve"> the inclusion criteria encompassed only patients with un-resectable or incurable malignancies. </w:t>
      </w:r>
    </w:p>
    <w:p w:rsidR="007F1977" w:rsidRPr="00965DBA" w:rsidRDefault="00C92A57" w:rsidP="00FC35F9">
      <w:pPr>
        <w:pStyle w:val="Heading3"/>
      </w:pPr>
      <w:r w:rsidRPr="00965DBA">
        <w:t>Allocation</w:t>
      </w:r>
    </w:p>
    <w:p w:rsidR="00C92A57" w:rsidRPr="00892811" w:rsidRDefault="007A4D8C" w:rsidP="00E239AB">
      <w:r w:rsidRPr="009E5C53">
        <w:t>A non-</w:t>
      </w:r>
      <w:r w:rsidR="003F2905" w:rsidRPr="009E5C53">
        <w:t>randomi</w:t>
      </w:r>
      <w:r w:rsidR="003F2905">
        <w:t>s</w:t>
      </w:r>
      <w:r w:rsidR="003F2905" w:rsidRPr="009E5C53">
        <w:t xml:space="preserve">ed </w:t>
      </w:r>
      <w:r w:rsidRPr="009E5C53">
        <w:t>study, Osman et al (2000)</w:t>
      </w:r>
      <w:r w:rsidR="00CC4190">
        <w:t>,</w:t>
      </w:r>
      <w:r w:rsidRPr="009E5C53">
        <w:t xml:space="preserve"> </w:t>
      </w:r>
      <w:r w:rsidR="003F2905" w:rsidRPr="009E5C53">
        <w:t>compare</w:t>
      </w:r>
      <w:r w:rsidR="003F2905">
        <w:t>d</w:t>
      </w:r>
      <w:r w:rsidR="003F2905" w:rsidRPr="009E5C53">
        <w:t xml:space="preserve"> </w:t>
      </w:r>
      <w:r w:rsidRPr="009E5C53">
        <w:t xml:space="preserve">patients treated with SEMS </w:t>
      </w:r>
      <w:r w:rsidR="003F2905">
        <w:t>to</w:t>
      </w:r>
      <w:r w:rsidR="003F2905" w:rsidRPr="009E5C53">
        <w:t xml:space="preserve"> </w:t>
      </w:r>
      <w:r w:rsidRPr="009E5C53">
        <w:t xml:space="preserve">a historical surgical group admitted to the author’s institution under the same consultant with a similar diagnosis </w:t>
      </w:r>
      <w:r w:rsidRPr="00E2422F">
        <w:t xml:space="preserve">during the preceding 12 months. </w:t>
      </w:r>
    </w:p>
    <w:p w:rsidR="00FA2DD9" w:rsidRPr="008978EE" w:rsidRDefault="00FA2DD9" w:rsidP="00FA2DD9">
      <w:r w:rsidRPr="008978EE">
        <w:t>In the prospective study by Nagula et al (2010)</w:t>
      </w:r>
      <w:r w:rsidR="003F2905">
        <w:t>,</w:t>
      </w:r>
      <w:r w:rsidRPr="008978EE">
        <w:t xml:space="preserve"> patient enrolment into the stenting arm or surgical arm was done on the basis of patient and physician preference for either stenting or surgery. </w:t>
      </w:r>
    </w:p>
    <w:p w:rsidR="00FA2DD9" w:rsidRPr="005646B6" w:rsidRDefault="00FA2DD9" w:rsidP="00FA2DD9">
      <w:r w:rsidRPr="008978EE">
        <w:t xml:space="preserve">In a study by Johnson et al </w:t>
      </w:r>
      <w:r w:rsidRPr="00A30BA9">
        <w:t>(2004)</w:t>
      </w:r>
      <w:r w:rsidR="003F2905">
        <w:t>,</w:t>
      </w:r>
      <w:r w:rsidRPr="00A30BA9">
        <w:t xml:space="preserve"> patients treated with stenting were matched to historical controls for disease and sex, in this instance the baseline demographics of the patient groups differed across age (</w:t>
      </w:r>
      <w:r w:rsidRPr="0007443E">
        <w:rPr>
          <w:i/>
        </w:rPr>
        <w:t>p</w:t>
      </w:r>
      <w:r w:rsidRPr="00A30BA9">
        <w:t>=0.0065) and ASA score (</w:t>
      </w:r>
      <w:r w:rsidRPr="0007443E">
        <w:rPr>
          <w:i/>
        </w:rPr>
        <w:t>p</w:t>
      </w:r>
      <w:r w:rsidRPr="00A30BA9">
        <w:t>=0.01). Patients in the surgical group were on av</w:t>
      </w:r>
      <w:r w:rsidRPr="005646B6">
        <w:t xml:space="preserve">erage younger and with lower ASA scores. </w:t>
      </w:r>
    </w:p>
    <w:p w:rsidR="007F1977" w:rsidRPr="00965DBA" w:rsidRDefault="007F1977" w:rsidP="00FC35F9">
      <w:pPr>
        <w:pStyle w:val="Heading3"/>
      </w:pPr>
      <w:r w:rsidRPr="00965DBA">
        <w:t>Interventions and outcomes</w:t>
      </w:r>
    </w:p>
    <w:p w:rsidR="00E76987" w:rsidRPr="008F42F9" w:rsidRDefault="007A4D8C" w:rsidP="005B4815">
      <w:r w:rsidRPr="009E5C53">
        <w:t xml:space="preserve">All </w:t>
      </w:r>
      <w:r w:rsidR="00C92A57" w:rsidRPr="00E2422F">
        <w:t>five</w:t>
      </w:r>
      <w:r w:rsidRPr="00892811">
        <w:t xml:space="preserve"> studies detailed the stenting procedure and type of stents used (all SEMs). Similarly</w:t>
      </w:r>
      <w:r w:rsidR="003F2905">
        <w:t>,</w:t>
      </w:r>
      <w:r w:rsidRPr="00892811">
        <w:t xml:space="preserve"> all studies specified the type of surgical procedures being performed</w:t>
      </w:r>
      <w:r w:rsidR="003F2905">
        <w:t>;</w:t>
      </w:r>
      <w:r w:rsidRPr="00892811">
        <w:t xml:space="preserve"> however</w:t>
      </w:r>
      <w:r w:rsidR="003F2905">
        <w:t>,</w:t>
      </w:r>
      <w:r w:rsidRPr="00892811">
        <w:t xml:space="preserve"> procedural det</w:t>
      </w:r>
      <w:r w:rsidRPr="008978EE">
        <w:t xml:space="preserve">ails were not provided. </w:t>
      </w:r>
      <w:r w:rsidR="003F2905">
        <w:t>The assessed outcomes</w:t>
      </w:r>
      <w:r w:rsidRPr="008978EE">
        <w:t xml:space="preserve"> varied slightly </w:t>
      </w:r>
      <w:r w:rsidR="003F2905">
        <w:t>amongst</w:t>
      </w:r>
      <w:r w:rsidR="003F2905" w:rsidRPr="008978EE">
        <w:t xml:space="preserve"> </w:t>
      </w:r>
      <w:r w:rsidR="003F2905">
        <w:t>the</w:t>
      </w:r>
      <w:r w:rsidR="003F2905" w:rsidRPr="008978EE">
        <w:t xml:space="preserve"> </w:t>
      </w:r>
      <w:r w:rsidRPr="008978EE">
        <w:t>studies</w:t>
      </w:r>
      <w:r w:rsidR="00DD5449">
        <w:t>;</w:t>
      </w:r>
      <w:r w:rsidRPr="008978EE">
        <w:t xml:space="preserve"> the majority </w:t>
      </w:r>
      <w:r w:rsidR="003F2905">
        <w:t xml:space="preserve">of studies </w:t>
      </w:r>
      <w:r w:rsidRPr="008978EE">
        <w:t xml:space="preserve">reported </w:t>
      </w:r>
      <w:r w:rsidR="003F2905">
        <w:t>t</w:t>
      </w:r>
      <w:r w:rsidRPr="008978EE">
        <w:t>he mean survival of patients</w:t>
      </w:r>
      <w:r w:rsidR="00BD3641">
        <w:t xml:space="preserve"> and</w:t>
      </w:r>
      <w:r w:rsidRPr="008978EE">
        <w:t xml:space="preserve"> procedural complications. All studies reported the technical success rate of stenting, and one of </w:t>
      </w:r>
      <w:r w:rsidR="00C92A57" w:rsidRPr="00A30BA9">
        <w:t xml:space="preserve">the </w:t>
      </w:r>
      <w:r w:rsidR="00C057AA" w:rsidRPr="005646B6">
        <w:t xml:space="preserve">five </w:t>
      </w:r>
      <w:r w:rsidR="00C92A57" w:rsidRPr="00003831">
        <w:t xml:space="preserve">studies assessed </w:t>
      </w:r>
      <w:r w:rsidR="00BD3641">
        <w:t>patient</w:t>
      </w:r>
      <w:r w:rsidR="00BD3641" w:rsidRPr="00003831">
        <w:t xml:space="preserve"> </w:t>
      </w:r>
      <w:r w:rsidR="00C92A57" w:rsidRPr="00003831">
        <w:t>quality of l</w:t>
      </w:r>
      <w:r w:rsidRPr="00A87C52">
        <w:t xml:space="preserve">ife (Nagula et al 2010). The cost effectiveness of stenting versus surgery was </w:t>
      </w:r>
      <w:r w:rsidR="00BD3641">
        <w:t>reported</w:t>
      </w:r>
      <w:r w:rsidRPr="00A87C52">
        <w:t xml:space="preserve"> in </w:t>
      </w:r>
      <w:r w:rsidR="00C057AA" w:rsidRPr="00DF686C">
        <w:t xml:space="preserve">two </w:t>
      </w:r>
      <w:r w:rsidRPr="00DF686C">
        <w:t>studies. All studies</w:t>
      </w:r>
      <w:r w:rsidR="00C92A57" w:rsidRPr="00DF686C">
        <w:t xml:space="preserve"> </w:t>
      </w:r>
      <w:r w:rsidRPr="007D0320">
        <w:t>report</w:t>
      </w:r>
      <w:r w:rsidR="00C057AA" w:rsidRPr="00965DBA">
        <w:t>ed</w:t>
      </w:r>
      <w:r w:rsidRPr="00965DBA">
        <w:t xml:space="preserve"> </w:t>
      </w:r>
      <w:r w:rsidR="00BD3641" w:rsidRPr="00965DBA">
        <w:t>procedure</w:t>
      </w:r>
      <w:r w:rsidR="00BD3641">
        <w:t>-</w:t>
      </w:r>
      <w:r w:rsidRPr="00965DBA">
        <w:t xml:space="preserve">related complications (safety) and </w:t>
      </w:r>
      <w:r w:rsidRPr="00BE3EA8">
        <w:t xml:space="preserve">length </w:t>
      </w:r>
      <w:r w:rsidR="00BD3641">
        <w:t xml:space="preserve">of </w:t>
      </w:r>
      <w:r w:rsidRPr="00BE3EA8">
        <w:t xml:space="preserve">hospital stay (effectiveness). </w:t>
      </w:r>
      <w:r w:rsidR="00E76987" w:rsidRPr="00BE3EA8">
        <w:t>Similarly</w:t>
      </w:r>
      <w:r w:rsidR="00BD3641">
        <w:t>,</w:t>
      </w:r>
      <w:r w:rsidR="00E76987" w:rsidRPr="00BE3EA8">
        <w:t xml:space="preserve"> in the two studies </w:t>
      </w:r>
      <w:r w:rsidR="00BD3641">
        <w:t>that</w:t>
      </w:r>
      <w:r w:rsidR="00BD3641" w:rsidRPr="00BE3EA8">
        <w:t xml:space="preserve"> </w:t>
      </w:r>
      <w:r w:rsidR="00E76987" w:rsidRPr="00BE3EA8">
        <w:t>included patients treated both palliatively and as a bridge to surgery</w:t>
      </w:r>
      <w:r w:rsidR="00BD3641">
        <w:t>,</w:t>
      </w:r>
      <w:r w:rsidR="00E76987" w:rsidRPr="00BE3EA8">
        <w:t xml:space="preserve"> outcomes </w:t>
      </w:r>
      <w:r w:rsidR="005B4815" w:rsidRPr="008F42F9">
        <w:t>were not separated accordingly</w:t>
      </w:r>
      <w:r w:rsidR="00BD3641">
        <w:t>,</w:t>
      </w:r>
      <w:r w:rsidR="005B4815" w:rsidRPr="008F42F9">
        <w:t xml:space="preserve"> making interpretation of results difficult. </w:t>
      </w:r>
    </w:p>
    <w:p w:rsidR="007F1977" w:rsidRPr="00965DBA" w:rsidRDefault="007F1977" w:rsidP="00FC35F9">
      <w:pPr>
        <w:pStyle w:val="Heading3"/>
      </w:pPr>
      <w:r w:rsidRPr="00965DBA">
        <w:lastRenderedPageBreak/>
        <w:t>Statistical methods</w:t>
      </w:r>
    </w:p>
    <w:p w:rsidR="007A4D8C" w:rsidRPr="009E5C53" w:rsidRDefault="007A4D8C" w:rsidP="007A4D8C">
      <w:r w:rsidRPr="009E5C53">
        <w:t xml:space="preserve">Four of the five studies specified the statistical tests carried out and four studies reported </w:t>
      </w:r>
      <w:r w:rsidRPr="0007443E">
        <w:rPr>
          <w:i/>
        </w:rPr>
        <w:t>p</w:t>
      </w:r>
      <w:r w:rsidRPr="009E5C53">
        <w:t xml:space="preserve"> values for selected results or patient demographics. One study gave a pre-specified significance level. </w:t>
      </w:r>
    </w:p>
    <w:p w:rsidR="00C92A57" w:rsidRPr="008978EE" w:rsidRDefault="007A4D8C" w:rsidP="00E239AB">
      <w:r w:rsidRPr="00E2422F">
        <w:t>Two studies analysed results on a per pro</w:t>
      </w:r>
      <w:r w:rsidRPr="00892811">
        <w:t>tocol basis (Johnson et al 2004</w:t>
      </w:r>
      <w:r w:rsidR="00F8279F">
        <w:t>;</w:t>
      </w:r>
      <w:r w:rsidRPr="00892811">
        <w:t xml:space="preserve"> Nagula et al 2010) and the remaining studies assessed patients on intent</w:t>
      </w:r>
      <w:r w:rsidR="00DD5449">
        <w:t>ion-</w:t>
      </w:r>
      <w:r w:rsidRPr="00892811">
        <w:t>to</w:t>
      </w:r>
      <w:r w:rsidR="00DD5449">
        <w:t>-</w:t>
      </w:r>
      <w:r w:rsidRPr="00892811">
        <w:t xml:space="preserve">treat basis. Osman et al (2000) did not specify statistical methods or provide </w:t>
      </w:r>
      <w:r w:rsidRPr="0007443E">
        <w:rPr>
          <w:i/>
        </w:rPr>
        <w:t>p</w:t>
      </w:r>
      <w:r w:rsidRPr="00892811">
        <w:t xml:space="preserve"> values for results or patient demographics.  </w:t>
      </w:r>
    </w:p>
    <w:p w:rsidR="007F1977" w:rsidRPr="00965DBA" w:rsidRDefault="007F1977" w:rsidP="00FC35F9">
      <w:pPr>
        <w:pStyle w:val="Heading3"/>
      </w:pPr>
      <w:r w:rsidRPr="00965DBA">
        <w:t>Follow-up and losses to follow-up</w:t>
      </w:r>
    </w:p>
    <w:p w:rsidR="007A4D8C" w:rsidRPr="00892811" w:rsidRDefault="00C92A57" w:rsidP="007A4D8C">
      <w:r w:rsidRPr="009E5C53">
        <w:t xml:space="preserve">Of the five </w:t>
      </w:r>
      <w:r w:rsidR="00BD3641">
        <w:t xml:space="preserve">comparative </w:t>
      </w:r>
      <w:r w:rsidR="007A4D8C" w:rsidRPr="00E2422F">
        <w:t>studies</w:t>
      </w:r>
      <w:r w:rsidR="00BD3641">
        <w:t>,</w:t>
      </w:r>
      <w:r w:rsidR="007A4D8C" w:rsidRPr="00E2422F">
        <w:t xml:space="preserve"> two included only patients treated as a palliative measure</w:t>
      </w:r>
      <w:r w:rsidR="00BD3641">
        <w:t xml:space="preserve"> </w:t>
      </w:r>
      <w:r w:rsidR="00BD3641" w:rsidRPr="00E2422F">
        <w:t>(Johnson et al</w:t>
      </w:r>
      <w:r w:rsidR="00BD3641">
        <w:t xml:space="preserve"> 2004</w:t>
      </w:r>
      <w:r w:rsidR="00F8279F">
        <w:t>;</w:t>
      </w:r>
      <w:r w:rsidR="00BD3641">
        <w:t xml:space="preserve"> Nagula et al</w:t>
      </w:r>
      <w:r w:rsidR="00BD3641" w:rsidRPr="00E2422F">
        <w:t xml:space="preserve"> 2010)</w:t>
      </w:r>
      <w:r w:rsidR="007A4D8C" w:rsidRPr="00E2422F">
        <w:t xml:space="preserve">. </w:t>
      </w:r>
      <w:r w:rsidR="00BD3641">
        <w:t xml:space="preserve"> Nagula et al (2010) </w:t>
      </w:r>
      <w:r w:rsidR="007A4D8C" w:rsidRPr="00E2422F">
        <w:t xml:space="preserve">specified a </w:t>
      </w:r>
      <w:r w:rsidR="00BD3641" w:rsidRPr="00E2422F">
        <w:t>follow</w:t>
      </w:r>
      <w:r w:rsidR="00BD3641">
        <w:t>-</w:t>
      </w:r>
      <w:r w:rsidR="007A4D8C" w:rsidRPr="00E2422F">
        <w:t xml:space="preserve">up period of 24 weeks </w:t>
      </w:r>
      <w:r w:rsidR="00BD3641">
        <w:t>with</w:t>
      </w:r>
      <w:r w:rsidR="00BD3641" w:rsidRPr="00E2422F">
        <w:t xml:space="preserve"> </w:t>
      </w:r>
      <w:r w:rsidR="007A4D8C" w:rsidRPr="00E2422F">
        <w:t xml:space="preserve">losses to </w:t>
      </w:r>
      <w:r w:rsidR="00BD3641" w:rsidRPr="00E2422F">
        <w:t>follow</w:t>
      </w:r>
      <w:r w:rsidR="00BD3641">
        <w:t>-</w:t>
      </w:r>
      <w:r w:rsidR="007A4D8C" w:rsidRPr="00E2422F">
        <w:t xml:space="preserve">up </w:t>
      </w:r>
      <w:r w:rsidR="00BD3641">
        <w:t>of</w:t>
      </w:r>
      <w:r w:rsidR="00BD3641" w:rsidRPr="00E2422F">
        <w:t xml:space="preserve"> </w:t>
      </w:r>
      <w:r w:rsidR="007A4D8C" w:rsidRPr="00E2422F">
        <w:t>28 patients</w:t>
      </w:r>
      <w:r w:rsidR="00E76D1E">
        <w:t>,</w:t>
      </w:r>
      <w:r w:rsidR="007A4D8C" w:rsidRPr="00892811">
        <w:t xml:space="preserve"> of which 24 were due to death.  </w:t>
      </w:r>
      <w:r w:rsidR="00BD3641">
        <w:t>Johnson et al (2004) did not report a follow-up period</w:t>
      </w:r>
      <w:r w:rsidR="007A4D8C" w:rsidRPr="00892811">
        <w:t xml:space="preserve">.  </w:t>
      </w:r>
    </w:p>
    <w:p w:rsidR="007A4D8C" w:rsidRPr="00BE3EA8" w:rsidRDefault="007A4D8C" w:rsidP="00163F6F">
      <w:r w:rsidRPr="008978EE">
        <w:t xml:space="preserve">Within the </w:t>
      </w:r>
      <w:r w:rsidR="00C92A57" w:rsidRPr="008978EE">
        <w:t>five</w:t>
      </w:r>
      <w:r w:rsidRPr="00A30BA9">
        <w:t xml:space="preserve"> studies</w:t>
      </w:r>
      <w:r w:rsidR="00BD3641">
        <w:t>,</w:t>
      </w:r>
      <w:r w:rsidRPr="00A30BA9">
        <w:t xml:space="preserve"> two included patients being treated as a palliative measure and as a bridge </w:t>
      </w:r>
      <w:r w:rsidRPr="005646B6">
        <w:t xml:space="preserve">to surgery (Varadarajulu et al </w:t>
      </w:r>
      <w:r w:rsidR="00C92A57" w:rsidRPr="00003831">
        <w:t xml:space="preserve">2011; </w:t>
      </w:r>
      <w:r w:rsidRPr="00A87C52">
        <w:t>Osman et al</w:t>
      </w:r>
      <w:r w:rsidR="00C92A57" w:rsidRPr="00DF686C">
        <w:t xml:space="preserve"> 2000</w:t>
      </w:r>
      <w:r w:rsidRPr="00DF686C">
        <w:t>).</w:t>
      </w:r>
      <w:r w:rsidR="00163F6F" w:rsidRPr="00DF686C">
        <w:t xml:space="preserve"> Varadarajulu et al </w:t>
      </w:r>
      <w:r w:rsidR="00BD3641">
        <w:t xml:space="preserve">(2011) reported </w:t>
      </w:r>
      <w:r w:rsidR="00163F6F" w:rsidRPr="00DF686C">
        <w:t xml:space="preserve">a mean </w:t>
      </w:r>
      <w:r w:rsidR="00BD3641" w:rsidRPr="00DF686C">
        <w:t>follow</w:t>
      </w:r>
      <w:r w:rsidR="00BD3641">
        <w:t>-</w:t>
      </w:r>
      <w:r w:rsidR="00163F6F" w:rsidRPr="00DF686C">
        <w:t>up time of 29 months (range 13-46 months)</w:t>
      </w:r>
      <w:r w:rsidR="00BD3641">
        <w:t>,</w:t>
      </w:r>
      <w:r w:rsidR="00163F6F" w:rsidRPr="00DF686C">
        <w:t xml:space="preserve"> </w:t>
      </w:r>
      <w:r w:rsidR="00BD3641">
        <w:t xml:space="preserve">with two patients lost to follow-up in each group. Loss of follow-up in the SEMS group was due to death, whilst the reasons for loss were not reported for the surgical group. Osman et al (2000) did not report on </w:t>
      </w:r>
      <w:r w:rsidR="00163F6F" w:rsidRPr="00F13A5A">
        <w:t>the duration of follow</w:t>
      </w:r>
      <w:r w:rsidR="00BD3641">
        <w:t>-up</w:t>
      </w:r>
      <w:r w:rsidR="00163F6F" w:rsidRPr="00F13A5A">
        <w:t xml:space="preserve"> or losses to </w:t>
      </w:r>
      <w:r w:rsidR="00BD3641" w:rsidRPr="00F13A5A">
        <w:t>follow</w:t>
      </w:r>
      <w:r w:rsidR="00BD3641">
        <w:t>-</w:t>
      </w:r>
      <w:r w:rsidR="00163F6F" w:rsidRPr="00F13A5A">
        <w:t>up</w:t>
      </w:r>
      <w:r w:rsidRPr="00BE3EA8">
        <w:t xml:space="preserve">. </w:t>
      </w:r>
    </w:p>
    <w:p w:rsidR="007A4D8C" w:rsidRPr="008F42F9" w:rsidRDefault="007A4D8C" w:rsidP="007A4D8C">
      <w:r w:rsidRPr="00BE3EA8">
        <w:t xml:space="preserve">In </w:t>
      </w:r>
      <w:r w:rsidR="00BD3641">
        <w:t>the</w:t>
      </w:r>
      <w:r w:rsidR="00BD3641" w:rsidRPr="00BE3EA8">
        <w:t xml:space="preserve"> </w:t>
      </w:r>
      <w:r w:rsidRPr="00BE3EA8">
        <w:t>final study (Baik et al</w:t>
      </w:r>
      <w:r w:rsidR="00BD3641">
        <w:t xml:space="preserve"> 2006</w:t>
      </w:r>
      <w:r w:rsidRPr="00BE3EA8">
        <w:t>) which included only patients treated as a bridge to surgery</w:t>
      </w:r>
      <w:r w:rsidR="00BD3641">
        <w:t>,</w:t>
      </w:r>
      <w:r w:rsidRPr="00BE3EA8">
        <w:t xml:space="preserve"> no </w:t>
      </w:r>
      <w:r w:rsidR="00BD3641" w:rsidRPr="00BE3EA8">
        <w:t>follow</w:t>
      </w:r>
      <w:r w:rsidR="00BD3641">
        <w:t>-</w:t>
      </w:r>
      <w:r w:rsidRPr="00BE3EA8">
        <w:t>up or mean</w:t>
      </w:r>
      <w:r w:rsidRPr="008F42F9">
        <w:t xml:space="preserve"> survival data was provided. This study did</w:t>
      </w:r>
      <w:r w:rsidR="00E76D1E">
        <w:t>,</w:t>
      </w:r>
      <w:r w:rsidRPr="008F42F9">
        <w:t xml:space="preserve"> however</w:t>
      </w:r>
      <w:r w:rsidR="00E76D1E">
        <w:t>,</w:t>
      </w:r>
      <w:r w:rsidRPr="008F42F9">
        <w:t xml:space="preserve"> provide time to surgery and duration of hospital stay after surgery or decompression.   </w:t>
      </w:r>
    </w:p>
    <w:p w:rsidR="00163F6F" w:rsidRPr="007D5B7C" w:rsidRDefault="007A4D8C" w:rsidP="00E239AB">
      <w:pPr>
        <w:rPr>
          <w:b/>
        </w:rPr>
      </w:pPr>
      <w:r w:rsidRPr="008F42F9">
        <w:t>In some instances</w:t>
      </w:r>
      <w:r w:rsidR="00BD3641">
        <w:t>,</w:t>
      </w:r>
      <w:r w:rsidRPr="008F42F9">
        <w:t xml:space="preserve"> where patients appear</w:t>
      </w:r>
      <w:r w:rsidR="00BD3641">
        <w:t>ed</w:t>
      </w:r>
      <w:r w:rsidRPr="008F42F9">
        <w:t xml:space="preserve"> to have been followed until death</w:t>
      </w:r>
      <w:r w:rsidR="00BD3641">
        <w:t>,</w:t>
      </w:r>
      <w:r w:rsidRPr="008F42F9">
        <w:t xml:space="preserve"> </w:t>
      </w:r>
      <w:r w:rsidR="00BD3641" w:rsidRPr="008F42F9">
        <w:t>follow</w:t>
      </w:r>
      <w:r w:rsidR="00BD3641">
        <w:t>-</w:t>
      </w:r>
      <w:r w:rsidRPr="008F42F9">
        <w:t>up periods can be deemed appropriate</w:t>
      </w:r>
      <w:r w:rsidR="00BD3641">
        <w:t>;</w:t>
      </w:r>
      <w:r w:rsidRPr="008F42F9">
        <w:t xml:space="preserve"> however</w:t>
      </w:r>
      <w:r w:rsidR="00BD3641">
        <w:t>,</w:t>
      </w:r>
      <w:r w:rsidRPr="008F42F9">
        <w:t xml:space="preserve"> overall </w:t>
      </w:r>
      <w:r w:rsidR="00BD3641" w:rsidRPr="008F42F9">
        <w:t>follow</w:t>
      </w:r>
      <w:r w:rsidR="00BD3641">
        <w:t>-</w:t>
      </w:r>
      <w:r w:rsidRPr="008F42F9">
        <w:t>up was inconsistent and poorly</w:t>
      </w:r>
      <w:r w:rsidR="00BD3641">
        <w:t>-</w:t>
      </w:r>
      <w:r w:rsidRPr="008F42F9">
        <w:t>reported</w:t>
      </w:r>
      <w:r w:rsidR="00BD3641">
        <w:t>,</w:t>
      </w:r>
      <w:r w:rsidRPr="008F42F9">
        <w:t xml:space="preserve"> </w:t>
      </w:r>
      <w:r w:rsidR="00A31E22" w:rsidRPr="008F42F9">
        <w:t>e</w:t>
      </w:r>
      <w:r w:rsidRPr="00325C69">
        <w:t>specially when stent</w:t>
      </w:r>
      <w:r w:rsidR="00BD3641">
        <w:t>s</w:t>
      </w:r>
      <w:r w:rsidRPr="00325C69">
        <w:t xml:space="preserve"> were </w:t>
      </w:r>
      <w:r w:rsidR="00BD3641">
        <w:t>use</w:t>
      </w:r>
      <w:r w:rsidR="00BD3641" w:rsidRPr="00325C69">
        <w:t xml:space="preserve">d </w:t>
      </w:r>
      <w:r w:rsidRPr="00325C69">
        <w:t xml:space="preserve">as bridge to surgery. </w:t>
      </w:r>
    </w:p>
    <w:p w:rsidR="00745EE8" w:rsidRPr="007D5B7C" w:rsidRDefault="00745EE8" w:rsidP="00F171E7">
      <w:pPr>
        <w:pStyle w:val="Heading2"/>
      </w:pPr>
      <w:bookmarkStart w:id="155" w:name="_Toc352924423"/>
      <w:r w:rsidRPr="007D5B7C">
        <w:t xml:space="preserve">Appraisal of </w:t>
      </w:r>
      <w:r w:rsidR="00B753B6" w:rsidRPr="007D5B7C">
        <w:t xml:space="preserve">level </w:t>
      </w:r>
      <w:r w:rsidR="007A6655" w:rsidRPr="007D5B7C">
        <w:t>IV</w:t>
      </w:r>
      <w:r w:rsidRPr="007D5B7C">
        <w:t xml:space="preserve"> studies</w:t>
      </w:r>
      <w:bookmarkEnd w:id="155"/>
    </w:p>
    <w:p w:rsidR="007A4D8C" w:rsidRPr="00DA0155" w:rsidRDefault="00692F85" w:rsidP="009E41EC">
      <w:pPr>
        <w:rPr>
          <w:rFonts w:eastAsia="Calibri"/>
          <w:szCs w:val="22"/>
          <w:lang w:eastAsia="en-US"/>
        </w:rPr>
      </w:pPr>
      <w:r w:rsidRPr="00960A9E">
        <w:rPr>
          <w:rFonts w:eastAsia="Calibri"/>
          <w:szCs w:val="22"/>
          <w:lang w:eastAsia="en-US"/>
        </w:rPr>
        <w:t xml:space="preserve">Sixteen </w:t>
      </w:r>
      <w:r w:rsidR="00163F6F" w:rsidRPr="00EA2600">
        <w:rPr>
          <w:rFonts w:eastAsia="Calibri"/>
          <w:szCs w:val="22"/>
          <w:lang w:eastAsia="en-US"/>
        </w:rPr>
        <w:t>of the 3</w:t>
      </w:r>
      <w:r w:rsidRPr="00EA2600">
        <w:rPr>
          <w:rFonts w:eastAsia="Calibri"/>
          <w:szCs w:val="22"/>
          <w:lang w:eastAsia="en-US"/>
        </w:rPr>
        <w:t>3</w:t>
      </w:r>
      <w:r w:rsidR="00163F6F" w:rsidRPr="00EA2600">
        <w:rPr>
          <w:rFonts w:eastAsia="Calibri"/>
          <w:szCs w:val="22"/>
          <w:lang w:eastAsia="en-US"/>
        </w:rPr>
        <w:t xml:space="preserve"> studies included as </w:t>
      </w:r>
      <w:r w:rsidR="00BD3641">
        <w:rPr>
          <w:rFonts w:eastAsia="Calibri"/>
          <w:szCs w:val="22"/>
          <w:lang w:eastAsia="en-US"/>
        </w:rPr>
        <w:t>l</w:t>
      </w:r>
      <w:r w:rsidR="00BD3641" w:rsidRPr="00EC591E">
        <w:rPr>
          <w:rFonts w:eastAsia="Calibri"/>
          <w:szCs w:val="22"/>
          <w:lang w:eastAsia="en-US"/>
        </w:rPr>
        <w:t xml:space="preserve">evel </w:t>
      </w:r>
      <w:r w:rsidR="007A4D8C" w:rsidRPr="00EC591E">
        <w:rPr>
          <w:rFonts w:eastAsia="Calibri"/>
          <w:szCs w:val="22"/>
          <w:lang w:eastAsia="en-US"/>
        </w:rPr>
        <w:t>IV evidence were prospective and the remaining 17 were retrospective. All 3</w:t>
      </w:r>
      <w:r w:rsidRPr="00430AA8">
        <w:rPr>
          <w:rFonts w:eastAsia="Calibri"/>
          <w:szCs w:val="22"/>
          <w:lang w:eastAsia="en-US"/>
        </w:rPr>
        <w:t>3</w:t>
      </w:r>
      <w:r w:rsidR="007A4D8C" w:rsidRPr="00347DAA">
        <w:rPr>
          <w:rFonts w:eastAsia="Calibri"/>
          <w:szCs w:val="22"/>
          <w:lang w:eastAsia="en-US"/>
        </w:rPr>
        <w:t xml:space="preserve"> studies </w:t>
      </w:r>
      <w:r w:rsidR="00FA2DD9" w:rsidRPr="009672A9">
        <w:rPr>
          <w:rFonts w:eastAsia="Calibri"/>
          <w:szCs w:val="22"/>
          <w:lang w:eastAsia="en-US"/>
        </w:rPr>
        <w:t xml:space="preserve">were pre-test/post-test case series that </w:t>
      </w:r>
      <w:r w:rsidR="007A4D8C" w:rsidRPr="009672A9">
        <w:rPr>
          <w:rFonts w:eastAsia="Calibri"/>
          <w:szCs w:val="22"/>
          <w:lang w:eastAsia="en-US"/>
        </w:rPr>
        <w:t>enrolled subjects consecutively</w:t>
      </w:r>
      <w:r w:rsidR="00BD3641">
        <w:rPr>
          <w:rFonts w:eastAsia="Calibri"/>
          <w:szCs w:val="22"/>
          <w:lang w:eastAsia="en-US"/>
        </w:rPr>
        <w:t>;</w:t>
      </w:r>
      <w:r w:rsidR="00BD3641" w:rsidRPr="00584C29" w:rsidDel="00BD3641">
        <w:rPr>
          <w:rFonts w:eastAsia="Calibri"/>
          <w:szCs w:val="22"/>
          <w:lang w:eastAsia="en-US"/>
        </w:rPr>
        <w:t xml:space="preserve"> </w:t>
      </w:r>
      <w:r w:rsidR="007A4D8C" w:rsidRPr="00584C29">
        <w:rPr>
          <w:rFonts w:eastAsia="Calibri"/>
          <w:szCs w:val="22"/>
          <w:lang w:eastAsia="en-US"/>
        </w:rPr>
        <w:t xml:space="preserve">six were multicentre studies. Patient enrolment ranged from 52 patients to 467 patients with </w:t>
      </w:r>
      <w:r w:rsidR="007A4D8C" w:rsidRPr="00DA0155">
        <w:rPr>
          <w:rFonts w:eastAsia="Calibri"/>
          <w:szCs w:val="22"/>
          <w:lang w:eastAsia="en-US"/>
        </w:rPr>
        <w:t>patient ages ranging from 17 to 102 years of age. Mean patient age ranged from 58.84 years to 74 years and median patient age ranged from 62.2 to 78 years.</w:t>
      </w:r>
    </w:p>
    <w:p w:rsidR="007A4D8C" w:rsidRPr="00A550ED" w:rsidRDefault="007A4D8C" w:rsidP="007A4D8C">
      <w:pPr>
        <w:rPr>
          <w:rFonts w:eastAsia="Calibri"/>
          <w:szCs w:val="22"/>
          <w:lang w:eastAsia="en-US"/>
        </w:rPr>
      </w:pPr>
      <w:r w:rsidRPr="00DA0155">
        <w:rPr>
          <w:rFonts w:eastAsia="Calibri"/>
          <w:szCs w:val="22"/>
          <w:lang w:eastAsia="en-US"/>
        </w:rPr>
        <w:t>Safety and efficacy data was presented in all 3</w:t>
      </w:r>
      <w:r w:rsidR="00692F85" w:rsidRPr="00DA0155">
        <w:rPr>
          <w:rFonts w:eastAsia="Calibri"/>
          <w:szCs w:val="22"/>
          <w:lang w:eastAsia="en-US"/>
        </w:rPr>
        <w:t>3</w:t>
      </w:r>
      <w:r w:rsidRPr="00CF31D5">
        <w:rPr>
          <w:rFonts w:eastAsia="Calibri"/>
          <w:szCs w:val="22"/>
          <w:lang w:eastAsia="en-US"/>
        </w:rPr>
        <w:t xml:space="preserve"> studies</w:t>
      </w:r>
      <w:r w:rsidR="00BD3641">
        <w:rPr>
          <w:rFonts w:eastAsia="Calibri"/>
          <w:szCs w:val="22"/>
          <w:lang w:eastAsia="en-US"/>
        </w:rPr>
        <w:t>;</w:t>
      </w:r>
      <w:r w:rsidRPr="00CF31D5">
        <w:rPr>
          <w:rFonts w:eastAsia="Calibri"/>
          <w:szCs w:val="22"/>
          <w:lang w:eastAsia="en-US"/>
        </w:rPr>
        <w:t xml:space="preserve"> however</w:t>
      </w:r>
      <w:r w:rsidR="00BD3641">
        <w:rPr>
          <w:rFonts w:eastAsia="Calibri"/>
          <w:szCs w:val="22"/>
          <w:lang w:eastAsia="en-US"/>
        </w:rPr>
        <w:t>,</w:t>
      </w:r>
      <w:r w:rsidRPr="00CF31D5">
        <w:rPr>
          <w:rFonts w:eastAsia="Calibri"/>
          <w:szCs w:val="22"/>
          <w:lang w:eastAsia="en-US"/>
        </w:rPr>
        <w:t xml:space="preserve"> in terms of present assessment only</w:t>
      </w:r>
      <w:r w:rsidRPr="00A550ED">
        <w:rPr>
          <w:rFonts w:eastAsia="Calibri"/>
          <w:szCs w:val="22"/>
          <w:lang w:eastAsia="en-US"/>
        </w:rPr>
        <w:t xml:space="preserve"> safety data of level IV studies were considered.  </w:t>
      </w:r>
    </w:p>
    <w:p w:rsidR="007A4D8C" w:rsidRPr="009E5C53" w:rsidRDefault="007A4D8C" w:rsidP="00655EC6">
      <w:pPr>
        <w:rPr>
          <w:rFonts w:eastAsia="Calibri"/>
          <w:szCs w:val="22"/>
          <w:lang w:eastAsia="en-US"/>
        </w:rPr>
      </w:pPr>
      <w:r w:rsidRPr="0055406F">
        <w:rPr>
          <w:rFonts w:eastAsia="Calibri"/>
          <w:szCs w:val="22"/>
          <w:lang w:eastAsia="en-US"/>
        </w:rPr>
        <w:t xml:space="preserve">Duration of </w:t>
      </w:r>
      <w:r w:rsidR="00BD3641" w:rsidRPr="0055406F">
        <w:rPr>
          <w:rFonts w:eastAsia="Calibri"/>
          <w:szCs w:val="22"/>
          <w:lang w:eastAsia="en-US"/>
        </w:rPr>
        <w:t>follow</w:t>
      </w:r>
      <w:r w:rsidR="00BD3641">
        <w:rPr>
          <w:rFonts w:eastAsia="Calibri"/>
          <w:szCs w:val="22"/>
          <w:lang w:eastAsia="en-US"/>
        </w:rPr>
        <w:t>-</w:t>
      </w:r>
      <w:r w:rsidRPr="0055406F">
        <w:rPr>
          <w:rFonts w:eastAsia="Calibri"/>
          <w:szCs w:val="22"/>
          <w:lang w:eastAsia="en-US"/>
        </w:rPr>
        <w:t>up was not consistently reported across all studies. Length of follow</w:t>
      </w:r>
      <w:r w:rsidR="00BD3641">
        <w:rPr>
          <w:rFonts w:eastAsia="Calibri"/>
          <w:szCs w:val="22"/>
          <w:lang w:eastAsia="en-US"/>
        </w:rPr>
        <w:t>-up</w:t>
      </w:r>
      <w:r w:rsidRPr="0055406F">
        <w:rPr>
          <w:rFonts w:eastAsia="Calibri"/>
          <w:szCs w:val="22"/>
          <w:lang w:eastAsia="en-US"/>
        </w:rPr>
        <w:t xml:space="preserve"> as a mean, median or range was stated definitively in 1</w:t>
      </w:r>
      <w:r w:rsidR="009142D2" w:rsidRPr="004C658D">
        <w:rPr>
          <w:rFonts w:eastAsia="Calibri"/>
          <w:szCs w:val="22"/>
          <w:lang w:eastAsia="en-US"/>
        </w:rPr>
        <w:t>6</w:t>
      </w:r>
      <w:r w:rsidRPr="00B1508A">
        <w:rPr>
          <w:rFonts w:eastAsia="Calibri"/>
          <w:szCs w:val="22"/>
          <w:lang w:eastAsia="en-US"/>
        </w:rPr>
        <w:t xml:space="preserve"> of the 3</w:t>
      </w:r>
      <w:r w:rsidR="009142D2" w:rsidRPr="00B1508A">
        <w:rPr>
          <w:rFonts w:eastAsia="Calibri"/>
          <w:szCs w:val="22"/>
          <w:lang w:eastAsia="en-US"/>
        </w:rPr>
        <w:t>3</w:t>
      </w:r>
      <w:r w:rsidRPr="00B1508A">
        <w:rPr>
          <w:rFonts w:eastAsia="Calibri"/>
          <w:szCs w:val="22"/>
          <w:lang w:eastAsia="en-US"/>
        </w:rPr>
        <w:t xml:space="preserve"> studies. Amongst 14 studies where range of </w:t>
      </w:r>
      <w:r w:rsidR="00633EAC">
        <w:rPr>
          <w:rFonts w:eastAsia="Calibri"/>
          <w:szCs w:val="22"/>
          <w:lang w:eastAsia="en-US"/>
        </w:rPr>
        <w:t>follow-up</w:t>
      </w:r>
      <w:r w:rsidRPr="00B1508A">
        <w:rPr>
          <w:rFonts w:eastAsia="Calibri"/>
          <w:szCs w:val="22"/>
          <w:lang w:eastAsia="en-US"/>
        </w:rPr>
        <w:t xml:space="preserve"> was specified</w:t>
      </w:r>
      <w:r w:rsidR="005B0D47">
        <w:rPr>
          <w:rFonts w:eastAsia="Calibri"/>
          <w:szCs w:val="22"/>
          <w:lang w:eastAsia="en-US"/>
        </w:rPr>
        <w:t>,</w:t>
      </w:r>
      <w:r w:rsidRPr="00B1508A">
        <w:rPr>
          <w:rFonts w:eastAsia="Calibri"/>
          <w:szCs w:val="22"/>
          <w:lang w:eastAsia="en-US"/>
        </w:rPr>
        <w:t xml:space="preserve"> the duration of </w:t>
      </w:r>
      <w:r w:rsidR="005B0D47" w:rsidRPr="00B1508A">
        <w:rPr>
          <w:rFonts w:eastAsia="Calibri"/>
          <w:szCs w:val="22"/>
          <w:lang w:eastAsia="en-US"/>
        </w:rPr>
        <w:t>follow</w:t>
      </w:r>
      <w:r w:rsidR="005B0D47">
        <w:rPr>
          <w:rFonts w:eastAsia="Calibri"/>
          <w:szCs w:val="22"/>
          <w:lang w:eastAsia="en-US"/>
        </w:rPr>
        <w:t>-</w:t>
      </w:r>
      <w:r w:rsidRPr="00B1508A">
        <w:rPr>
          <w:rFonts w:eastAsia="Calibri"/>
          <w:szCs w:val="22"/>
          <w:lang w:eastAsia="en-US"/>
        </w:rPr>
        <w:t xml:space="preserve">up </w:t>
      </w:r>
      <w:r w:rsidR="005B0D47">
        <w:rPr>
          <w:rFonts w:eastAsia="Calibri"/>
          <w:szCs w:val="22"/>
          <w:lang w:eastAsia="en-US"/>
        </w:rPr>
        <w:t>ranged from</w:t>
      </w:r>
      <w:r w:rsidRPr="00B1508A">
        <w:rPr>
          <w:rFonts w:eastAsia="Calibri"/>
          <w:szCs w:val="22"/>
          <w:lang w:eastAsia="en-US"/>
        </w:rPr>
        <w:t xml:space="preserve"> </w:t>
      </w:r>
      <w:r w:rsidR="00EE3C31">
        <w:rPr>
          <w:rFonts w:eastAsia="Calibri"/>
          <w:szCs w:val="22"/>
          <w:lang w:eastAsia="en-US"/>
        </w:rPr>
        <w:t>two</w:t>
      </w:r>
      <w:r w:rsidR="00EE3C31" w:rsidRPr="00B1508A">
        <w:rPr>
          <w:rFonts w:eastAsia="Calibri"/>
          <w:szCs w:val="22"/>
          <w:lang w:eastAsia="en-US"/>
        </w:rPr>
        <w:t xml:space="preserve"> </w:t>
      </w:r>
      <w:r w:rsidRPr="00B1508A">
        <w:rPr>
          <w:rFonts w:eastAsia="Calibri"/>
          <w:szCs w:val="22"/>
          <w:lang w:eastAsia="en-US"/>
        </w:rPr>
        <w:t xml:space="preserve">days to 2,370 days. Where median </w:t>
      </w:r>
      <w:r w:rsidR="005B0D47" w:rsidRPr="00B1508A">
        <w:rPr>
          <w:rFonts w:eastAsia="Calibri"/>
          <w:szCs w:val="22"/>
          <w:lang w:eastAsia="en-US"/>
        </w:rPr>
        <w:t>follow</w:t>
      </w:r>
      <w:r w:rsidR="005B0D47">
        <w:rPr>
          <w:rFonts w:eastAsia="Calibri"/>
          <w:szCs w:val="22"/>
          <w:lang w:eastAsia="en-US"/>
        </w:rPr>
        <w:t>-</w:t>
      </w:r>
      <w:r w:rsidRPr="00B1508A">
        <w:rPr>
          <w:rFonts w:eastAsia="Calibri"/>
          <w:szCs w:val="22"/>
          <w:lang w:eastAsia="en-US"/>
        </w:rPr>
        <w:t>up times were given</w:t>
      </w:r>
      <w:r w:rsidR="005B0D47">
        <w:rPr>
          <w:rFonts w:eastAsia="Calibri"/>
          <w:szCs w:val="22"/>
          <w:lang w:eastAsia="en-US"/>
        </w:rPr>
        <w:t xml:space="preserve"> </w:t>
      </w:r>
      <w:r w:rsidR="005B0D47" w:rsidRPr="00B1508A">
        <w:rPr>
          <w:rFonts w:eastAsia="Calibri"/>
          <w:szCs w:val="22"/>
          <w:lang w:eastAsia="en-US"/>
        </w:rPr>
        <w:t>(</w:t>
      </w:r>
      <w:r w:rsidR="00EE3C31">
        <w:rPr>
          <w:rFonts w:eastAsia="Calibri"/>
          <w:szCs w:val="22"/>
          <w:lang w:eastAsia="en-US"/>
        </w:rPr>
        <w:t>five</w:t>
      </w:r>
      <w:r w:rsidR="005B0D47" w:rsidRPr="00B1508A">
        <w:rPr>
          <w:rFonts w:eastAsia="Calibri"/>
          <w:szCs w:val="22"/>
          <w:lang w:eastAsia="en-US"/>
        </w:rPr>
        <w:t xml:space="preserve"> studies)</w:t>
      </w:r>
      <w:r w:rsidR="005B0D47">
        <w:rPr>
          <w:rFonts w:eastAsia="Calibri"/>
          <w:szCs w:val="22"/>
          <w:lang w:eastAsia="en-US"/>
        </w:rPr>
        <w:t>,</w:t>
      </w:r>
      <w:r w:rsidR="005B0D47" w:rsidRPr="00B1508A">
        <w:rPr>
          <w:rFonts w:eastAsia="Calibri"/>
          <w:szCs w:val="22"/>
          <w:lang w:eastAsia="en-US"/>
        </w:rPr>
        <w:t xml:space="preserve"> </w:t>
      </w:r>
      <w:r w:rsidRPr="00B1508A">
        <w:rPr>
          <w:rFonts w:eastAsia="Calibri"/>
          <w:szCs w:val="22"/>
          <w:lang w:eastAsia="en-US"/>
        </w:rPr>
        <w:t xml:space="preserve">the shortest median length of </w:t>
      </w:r>
      <w:r w:rsidR="005B0D47" w:rsidRPr="00B1508A">
        <w:rPr>
          <w:rFonts w:eastAsia="Calibri"/>
          <w:szCs w:val="22"/>
          <w:lang w:eastAsia="en-US"/>
        </w:rPr>
        <w:t>follow</w:t>
      </w:r>
      <w:r w:rsidR="005B0D47">
        <w:rPr>
          <w:rFonts w:eastAsia="Calibri"/>
          <w:szCs w:val="22"/>
          <w:lang w:eastAsia="en-US"/>
        </w:rPr>
        <w:t>-</w:t>
      </w:r>
      <w:r w:rsidRPr="00B1508A">
        <w:rPr>
          <w:rFonts w:eastAsia="Calibri"/>
          <w:szCs w:val="22"/>
          <w:lang w:eastAsia="en-US"/>
        </w:rPr>
        <w:t xml:space="preserve">up was </w:t>
      </w:r>
      <w:r w:rsidR="00EE3C31">
        <w:rPr>
          <w:rFonts w:eastAsia="Calibri"/>
          <w:szCs w:val="22"/>
          <w:lang w:eastAsia="en-US"/>
        </w:rPr>
        <w:t>seven</w:t>
      </w:r>
      <w:r w:rsidR="00EE3C31" w:rsidRPr="00B1508A">
        <w:rPr>
          <w:rFonts w:eastAsia="Calibri"/>
          <w:szCs w:val="22"/>
          <w:lang w:eastAsia="en-US"/>
        </w:rPr>
        <w:t xml:space="preserve"> </w:t>
      </w:r>
      <w:r w:rsidRPr="00B1508A">
        <w:rPr>
          <w:rFonts w:eastAsia="Calibri"/>
          <w:szCs w:val="22"/>
          <w:lang w:eastAsia="en-US"/>
        </w:rPr>
        <w:t xml:space="preserve">months and the longest was 15 months. In studies </w:t>
      </w:r>
      <w:r w:rsidR="005B0D47">
        <w:rPr>
          <w:rFonts w:eastAsia="Calibri"/>
          <w:szCs w:val="22"/>
          <w:lang w:eastAsia="en-US"/>
        </w:rPr>
        <w:t>that reported</w:t>
      </w:r>
      <w:r w:rsidR="005B0D47" w:rsidRPr="00B1508A">
        <w:rPr>
          <w:rFonts w:eastAsia="Calibri"/>
          <w:szCs w:val="22"/>
          <w:lang w:eastAsia="en-US"/>
        </w:rPr>
        <w:t xml:space="preserve"> </w:t>
      </w:r>
      <w:r w:rsidRPr="00B1508A">
        <w:rPr>
          <w:rFonts w:eastAsia="Calibri"/>
          <w:szCs w:val="22"/>
          <w:lang w:eastAsia="en-US"/>
        </w:rPr>
        <w:t>a mean length of</w:t>
      </w:r>
      <w:r w:rsidRPr="001949E9">
        <w:rPr>
          <w:rFonts w:eastAsia="Calibri"/>
          <w:szCs w:val="22"/>
          <w:lang w:eastAsia="en-US"/>
        </w:rPr>
        <w:t xml:space="preserve"> </w:t>
      </w:r>
      <w:r w:rsidR="005B0D47" w:rsidRPr="001949E9">
        <w:rPr>
          <w:rFonts w:eastAsia="Calibri"/>
          <w:szCs w:val="22"/>
          <w:lang w:eastAsia="en-US"/>
        </w:rPr>
        <w:t>follow</w:t>
      </w:r>
      <w:r w:rsidR="005B0D47">
        <w:rPr>
          <w:rFonts w:eastAsia="Calibri"/>
          <w:szCs w:val="22"/>
          <w:lang w:eastAsia="en-US"/>
        </w:rPr>
        <w:t>-</w:t>
      </w:r>
      <w:r w:rsidRPr="001949E9">
        <w:rPr>
          <w:rFonts w:eastAsia="Calibri"/>
          <w:szCs w:val="22"/>
          <w:lang w:eastAsia="en-US"/>
        </w:rPr>
        <w:t>up (</w:t>
      </w:r>
      <w:r w:rsidR="00EE3C31">
        <w:rPr>
          <w:rFonts w:eastAsia="Calibri"/>
          <w:szCs w:val="22"/>
          <w:lang w:eastAsia="en-US"/>
        </w:rPr>
        <w:t>five</w:t>
      </w:r>
      <w:r w:rsidR="00EE3C31" w:rsidRPr="001949E9">
        <w:rPr>
          <w:rFonts w:eastAsia="Calibri"/>
          <w:szCs w:val="22"/>
          <w:lang w:eastAsia="en-US"/>
        </w:rPr>
        <w:t xml:space="preserve"> </w:t>
      </w:r>
      <w:r w:rsidRPr="001949E9">
        <w:rPr>
          <w:rFonts w:eastAsia="Calibri"/>
          <w:szCs w:val="22"/>
          <w:lang w:eastAsia="en-US"/>
        </w:rPr>
        <w:t xml:space="preserve">studies) the </w:t>
      </w:r>
      <w:r w:rsidR="005B0D47">
        <w:rPr>
          <w:rFonts w:eastAsia="Calibri"/>
          <w:szCs w:val="22"/>
          <w:lang w:eastAsia="en-US"/>
        </w:rPr>
        <w:t xml:space="preserve">mean </w:t>
      </w:r>
      <w:r w:rsidRPr="001949E9">
        <w:rPr>
          <w:rFonts w:eastAsia="Calibri"/>
          <w:szCs w:val="22"/>
          <w:lang w:eastAsia="en-US"/>
        </w:rPr>
        <w:t>range</w:t>
      </w:r>
      <w:r w:rsidR="005B0D47">
        <w:rPr>
          <w:rFonts w:eastAsia="Calibri"/>
          <w:szCs w:val="22"/>
          <w:lang w:eastAsia="en-US"/>
        </w:rPr>
        <w:t>d</w:t>
      </w:r>
      <w:r w:rsidRPr="001949E9">
        <w:rPr>
          <w:rFonts w:eastAsia="Calibri"/>
          <w:szCs w:val="22"/>
          <w:lang w:eastAsia="en-US"/>
        </w:rPr>
        <w:t xml:space="preserve"> </w:t>
      </w:r>
      <w:r w:rsidR="005B0D47">
        <w:rPr>
          <w:rFonts w:eastAsia="Calibri"/>
          <w:szCs w:val="22"/>
          <w:lang w:eastAsia="en-US"/>
        </w:rPr>
        <w:t>from</w:t>
      </w:r>
      <w:r w:rsidRPr="001949E9">
        <w:rPr>
          <w:rFonts w:eastAsia="Calibri"/>
          <w:szCs w:val="22"/>
          <w:lang w:eastAsia="en-US"/>
        </w:rPr>
        <w:t xml:space="preserve"> 36 days to 453 days. Six studies </w:t>
      </w:r>
      <w:r w:rsidR="005B0D47">
        <w:rPr>
          <w:rFonts w:eastAsia="Calibri"/>
          <w:szCs w:val="22"/>
          <w:lang w:eastAsia="en-US"/>
        </w:rPr>
        <w:t>indicated the</w:t>
      </w:r>
      <w:r w:rsidR="005B0D47" w:rsidRPr="001949E9">
        <w:rPr>
          <w:rFonts w:eastAsia="Calibri"/>
          <w:szCs w:val="22"/>
          <w:lang w:eastAsia="en-US"/>
        </w:rPr>
        <w:t xml:space="preserve"> </w:t>
      </w:r>
      <w:r w:rsidRPr="001949E9">
        <w:rPr>
          <w:rFonts w:eastAsia="Calibri"/>
          <w:szCs w:val="22"/>
          <w:lang w:eastAsia="en-US"/>
        </w:rPr>
        <w:t xml:space="preserve">length of </w:t>
      </w:r>
      <w:r w:rsidR="005B0D47" w:rsidRPr="001949E9">
        <w:rPr>
          <w:rFonts w:eastAsia="Calibri"/>
          <w:szCs w:val="22"/>
          <w:lang w:eastAsia="en-US"/>
        </w:rPr>
        <w:t>follow</w:t>
      </w:r>
      <w:r w:rsidR="005B0D47">
        <w:rPr>
          <w:rFonts w:eastAsia="Calibri"/>
          <w:szCs w:val="22"/>
          <w:lang w:eastAsia="en-US"/>
        </w:rPr>
        <w:t>-</w:t>
      </w:r>
      <w:r w:rsidRPr="001949E9">
        <w:rPr>
          <w:rFonts w:eastAsia="Calibri"/>
          <w:szCs w:val="22"/>
          <w:lang w:eastAsia="en-US"/>
        </w:rPr>
        <w:t xml:space="preserve">up as discrete time </w:t>
      </w:r>
      <w:r w:rsidR="005B0D47">
        <w:rPr>
          <w:rFonts w:eastAsia="Calibri"/>
          <w:szCs w:val="22"/>
          <w:lang w:eastAsia="en-US"/>
        </w:rPr>
        <w:t>frames</w:t>
      </w:r>
      <w:r w:rsidR="005B0D47" w:rsidRPr="001949E9">
        <w:rPr>
          <w:rFonts w:eastAsia="Calibri"/>
          <w:szCs w:val="22"/>
          <w:lang w:eastAsia="en-US"/>
        </w:rPr>
        <w:t xml:space="preserve"> </w:t>
      </w:r>
      <w:r w:rsidRPr="001949E9">
        <w:rPr>
          <w:rFonts w:eastAsia="Calibri"/>
          <w:szCs w:val="22"/>
          <w:lang w:eastAsia="en-US"/>
        </w:rPr>
        <w:lastRenderedPageBreak/>
        <w:t>(rang</w:t>
      </w:r>
      <w:r w:rsidR="005B0D47">
        <w:rPr>
          <w:rFonts w:eastAsia="Calibri"/>
          <w:szCs w:val="22"/>
          <w:lang w:eastAsia="en-US"/>
        </w:rPr>
        <w:t>ing from</w:t>
      </w:r>
      <w:r w:rsidRPr="001949E9">
        <w:rPr>
          <w:rFonts w:eastAsia="Calibri"/>
          <w:szCs w:val="22"/>
          <w:lang w:eastAsia="en-US"/>
        </w:rPr>
        <w:t xml:space="preserve"> 72 hours to 18 months). In </w:t>
      </w:r>
      <w:r w:rsidR="009142D2" w:rsidRPr="00286445">
        <w:rPr>
          <w:rFonts w:eastAsia="Calibri"/>
          <w:szCs w:val="22"/>
          <w:lang w:eastAsia="en-US"/>
        </w:rPr>
        <w:t xml:space="preserve">four </w:t>
      </w:r>
      <w:r w:rsidRPr="00286445">
        <w:rPr>
          <w:rFonts w:eastAsia="Calibri"/>
          <w:szCs w:val="22"/>
          <w:lang w:eastAsia="en-US"/>
        </w:rPr>
        <w:t>studies</w:t>
      </w:r>
      <w:r w:rsidR="005B0D47">
        <w:rPr>
          <w:rFonts w:eastAsia="Calibri"/>
          <w:szCs w:val="22"/>
          <w:lang w:eastAsia="en-US"/>
        </w:rPr>
        <w:t>,</w:t>
      </w:r>
      <w:r w:rsidRPr="00286445">
        <w:rPr>
          <w:rFonts w:eastAsia="Calibri"/>
          <w:szCs w:val="22"/>
          <w:lang w:eastAsia="en-US"/>
        </w:rPr>
        <w:t xml:space="preserve"> the length of </w:t>
      </w:r>
      <w:r w:rsidR="00633EAC">
        <w:rPr>
          <w:rFonts w:eastAsia="Calibri"/>
          <w:szCs w:val="22"/>
          <w:lang w:eastAsia="en-US"/>
        </w:rPr>
        <w:t>follow-up</w:t>
      </w:r>
      <w:r w:rsidRPr="00286445">
        <w:rPr>
          <w:rFonts w:eastAsia="Calibri"/>
          <w:szCs w:val="22"/>
          <w:lang w:eastAsia="en-US"/>
        </w:rPr>
        <w:t xml:space="preserve"> was not specified</w:t>
      </w:r>
      <w:r w:rsidR="005B0D47">
        <w:rPr>
          <w:rFonts w:eastAsia="Calibri"/>
          <w:szCs w:val="22"/>
          <w:lang w:eastAsia="en-US"/>
        </w:rPr>
        <w:t>;</w:t>
      </w:r>
      <w:r w:rsidRPr="00286445">
        <w:rPr>
          <w:rFonts w:eastAsia="Calibri"/>
          <w:szCs w:val="22"/>
          <w:lang w:eastAsia="en-US"/>
        </w:rPr>
        <w:t xml:space="preserve"> however</w:t>
      </w:r>
      <w:r w:rsidR="005B0D47">
        <w:rPr>
          <w:rFonts w:eastAsia="Calibri"/>
          <w:szCs w:val="22"/>
          <w:lang w:eastAsia="en-US"/>
        </w:rPr>
        <w:t>,</w:t>
      </w:r>
      <w:r w:rsidRPr="00286445">
        <w:rPr>
          <w:rFonts w:eastAsia="Calibri"/>
          <w:szCs w:val="22"/>
          <w:lang w:eastAsia="en-US"/>
        </w:rPr>
        <w:t xml:space="preserve"> it was stated that patients were fol</w:t>
      </w:r>
      <w:r w:rsidRPr="00CD21F6">
        <w:rPr>
          <w:rFonts w:eastAsia="Calibri"/>
          <w:szCs w:val="22"/>
          <w:lang w:eastAsia="en-US"/>
        </w:rPr>
        <w:t>lowed until death, subsequent surgery, complication requiring re-operation or the study end point. Of the 13 remaining studies</w:t>
      </w:r>
      <w:r w:rsidR="005B0D47">
        <w:rPr>
          <w:rFonts w:eastAsia="Calibri"/>
          <w:szCs w:val="22"/>
          <w:lang w:eastAsia="en-US"/>
        </w:rPr>
        <w:t>,</w:t>
      </w:r>
      <w:r w:rsidRPr="00CD21F6">
        <w:rPr>
          <w:rFonts w:eastAsia="Calibri"/>
          <w:szCs w:val="22"/>
          <w:lang w:eastAsia="en-US"/>
        </w:rPr>
        <w:t xml:space="preserve"> six appear</w:t>
      </w:r>
      <w:r w:rsidR="005B0D47">
        <w:rPr>
          <w:rFonts w:eastAsia="Calibri"/>
          <w:szCs w:val="22"/>
          <w:lang w:eastAsia="en-US"/>
        </w:rPr>
        <w:t>ed</w:t>
      </w:r>
      <w:r w:rsidRPr="00CD21F6">
        <w:rPr>
          <w:rFonts w:eastAsia="Calibri"/>
          <w:szCs w:val="22"/>
          <w:lang w:eastAsia="en-US"/>
        </w:rPr>
        <w:t xml:space="preserve"> to have followed patients until death, subsequent surgery or study end point and in </w:t>
      </w:r>
      <w:r w:rsidR="005B0D47">
        <w:rPr>
          <w:rFonts w:eastAsia="Calibri"/>
          <w:szCs w:val="22"/>
          <w:lang w:eastAsia="en-US"/>
        </w:rPr>
        <w:t>the remaining</w:t>
      </w:r>
      <w:r w:rsidRPr="00CD21F6">
        <w:rPr>
          <w:rFonts w:eastAsia="Calibri"/>
          <w:szCs w:val="22"/>
          <w:lang w:eastAsia="en-US"/>
        </w:rPr>
        <w:t xml:space="preserve"> seve</w:t>
      </w:r>
      <w:r w:rsidRPr="0086082D">
        <w:rPr>
          <w:rFonts w:eastAsia="Calibri"/>
          <w:szCs w:val="22"/>
          <w:lang w:eastAsia="en-US"/>
        </w:rPr>
        <w:t>n studies</w:t>
      </w:r>
      <w:r w:rsidR="005B0D47">
        <w:rPr>
          <w:rFonts w:eastAsia="Calibri"/>
          <w:szCs w:val="22"/>
          <w:lang w:eastAsia="en-US"/>
        </w:rPr>
        <w:t>,</w:t>
      </w:r>
      <w:r w:rsidRPr="0086082D">
        <w:rPr>
          <w:rFonts w:eastAsia="Calibri"/>
          <w:szCs w:val="22"/>
          <w:lang w:eastAsia="en-US"/>
        </w:rPr>
        <w:t xml:space="preserve"> the duration of </w:t>
      </w:r>
      <w:r w:rsidR="005B0D47" w:rsidRPr="0086082D">
        <w:rPr>
          <w:rFonts w:eastAsia="Calibri"/>
          <w:szCs w:val="22"/>
          <w:lang w:eastAsia="en-US"/>
        </w:rPr>
        <w:t>follow</w:t>
      </w:r>
      <w:r w:rsidR="005B0D47">
        <w:rPr>
          <w:rFonts w:eastAsia="Calibri"/>
          <w:szCs w:val="22"/>
          <w:lang w:eastAsia="en-US"/>
        </w:rPr>
        <w:t>-</w:t>
      </w:r>
      <w:r w:rsidRPr="0086082D">
        <w:rPr>
          <w:rFonts w:eastAsia="Calibri"/>
          <w:szCs w:val="22"/>
          <w:lang w:eastAsia="en-US"/>
        </w:rPr>
        <w:t xml:space="preserve">up </w:t>
      </w:r>
      <w:r w:rsidR="005B0D47" w:rsidRPr="0086082D">
        <w:rPr>
          <w:rFonts w:eastAsia="Calibri"/>
          <w:szCs w:val="22"/>
          <w:lang w:eastAsia="en-US"/>
        </w:rPr>
        <w:t>c</w:t>
      </w:r>
      <w:r w:rsidR="005B0D47">
        <w:rPr>
          <w:rFonts w:eastAsia="Calibri"/>
          <w:szCs w:val="22"/>
          <w:lang w:eastAsia="en-US"/>
        </w:rPr>
        <w:t>ould not</w:t>
      </w:r>
      <w:r w:rsidR="005B0D47" w:rsidRPr="0086082D">
        <w:rPr>
          <w:rFonts w:eastAsia="Calibri"/>
          <w:szCs w:val="22"/>
          <w:lang w:eastAsia="en-US"/>
        </w:rPr>
        <w:t xml:space="preserve"> </w:t>
      </w:r>
      <w:r w:rsidRPr="0086082D">
        <w:rPr>
          <w:rFonts w:eastAsia="Calibri"/>
          <w:szCs w:val="22"/>
          <w:lang w:eastAsia="en-US"/>
        </w:rPr>
        <w:t>be determined (</w:t>
      </w:r>
      <w:r w:rsidR="006F654A">
        <w:rPr>
          <w:rFonts w:eastAsia="Calibri"/>
          <w:szCs w:val="22"/>
          <w:lang w:eastAsia="en-US"/>
        </w:rPr>
        <w:t>See</w:t>
      </w:r>
      <w:r w:rsidR="00655EC6">
        <w:rPr>
          <w:rFonts w:eastAsia="Calibri"/>
          <w:szCs w:val="22"/>
          <w:lang w:eastAsia="en-US"/>
        </w:rPr>
        <w:t xml:space="preserve"> </w:t>
      </w:r>
      <w:r w:rsidR="00655EC6">
        <w:rPr>
          <w:rFonts w:eastAsia="Calibri"/>
          <w:szCs w:val="22"/>
          <w:lang w:eastAsia="en-US"/>
        </w:rPr>
        <w:fldChar w:fldCharType="begin"/>
      </w:r>
      <w:r w:rsidR="00655EC6">
        <w:rPr>
          <w:rFonts w:eastAsia="Calibri"/>
          <w:szCs w:val="22"/>
          <w:lang w:eastAsia="en-US"/>
        </w:rPr>
        <w:instrText xml:space="preserve"> REF _Ref327455381 \h </w:instrText>
      </w:r>
      <w:r w:rsidR="00655EC6">
        <w:rPr>
          <w:rFonts w:eastAsia="Calibri"/>
          <w:szCs w:val="22"/>
          <w:lang w:eastAsia="en-US"/>
        </w:rPr>
      </w:r>
      <w:r w:rsidR="00655EC6">
        <w:rPr>
          <w:rFonts w:eastAsia="Calibri"/>
          <w:szCs w:val="22"/>
          <w:lang w:eastAsia="en-US"/>
        </w:rPr>
        <w:fldChar w:fldCharType="separate"/>
      </w:r>
      <w:r w:rsidR="0071544A">
        <w:t xml:space="preserve">Table </w:t>
      </w:r>
      <w:r w:rsidR="0071544A">
        <w:rPr>
          <w:noProof/>
        </w:rPr>
        <w:t>27</w:t>
      </w:r>
      <w:r w:rsidR="00655EC6">
        <w:rPr>
          <w:rFonts w:eastAsia="Calibri"/>
          <w:szCs w:val="22"/>
          <w:lang w:eastAsia="en-US"/>
        </w:rPr>
        <w:fldChar w:fldCharType="end"/>
      </w:r>
      <w:r w:rsidRPr="009E5C53">
        <w:rPr>
          <w:rFonts w:eastAsia="Calibri"/>
          <w:szCs w:val="22"/>
          <w:lang w:eastAsia="en-US"/>
        </w:rPr>
        <w:t xml:space="preserve">).  </w:t>
      </w:r>
    </w:p>
    <w:p w:rsidR="007A4D8C" w:rsidRPr="00892811" w:rsidRDefault="007A4D8C" w:rsidP="007A4D8C">
      <w:pPr>
        <w:rPr>
          <w:rFonts w:eastAsia="Calibri"/>
          <w:szCs w:val="22"/>
          <w:lang w:eastAsia="en-US"/>
        </w:rPr>
      </w:pPr>
      <w:r w:rsidRPr="00E2422F">
        <w:rPr>
          <w:rFonts w:eastAsia="Calibri"/>
          <w:szCs w:val="22"/>
          <w:lang w:eastAsia="en-US"/>
        </w:rPr>
        <w:t xml:space="preserve">Within the </w:t>
      </w:r>
      <w:r w:rsidR="005B0D47">
        <w:rPr>
          <w:rFonts w:eastAsia="Calibri"/>
          <w:szCs w:val="22"/>
          <w:lang w:eastAsia="en-US"/>
        </w:rPr>
        <w:t>l</w:t>
      </w:r>
      <w:r w:rsidR="005B0D47" w:rsidRPr="00E2422F">
        <w:rPr>
          <w:rFonts w:eastAsia="Calibri"/>
          <w:szCs w:val="22"/>
          <w:lang w:eastAsia="en-US"/>
        </w:rPr>
        <w:t xml:space="preserve">evel </w:t>
      </w:r>
      <w:r w:rsidRPr="00E2422F">
        <w:rPr>
          <w:rFonts w:eastAsia="Calibri"/>
          <w:szCs w:val="22"/>
          <w:lang w:eastAsia="en-US"/>
        </w:rPr>
        <w:t>IV evidence</w:t>
      </w:r>
      <w:r w:rsidR="005B0D47">
        <w:rPr>
          <w:rFonts w:eastAsia="Calibri"/>
          <w:szCs w:val="22"/>
          <w:lang w:eastAsia="en-US"/>
        </w:rPr>
        <w:t>,</w:t>
      </w:r>
      <w:r w:rsidRPr="00E2422F">
        <w:rPr>
          <w:rFonts w:eastAsia="Calibri"/>
          <w:szCs w:val="22"/>
          <w:lang w:eastAsia="en-US"/>
        </w:rPr>
        <w:t xml:space="preserve"> the duration of </w:t>
      </w:r>
      <w:r w:rsidR="00633EAC">
        <w:rPr>
          <w:rFonts w:eastAsia="Calibri"/>
          <w:szCs w:val="22"/>
          <w:lang w:eastAsia="en-US"/>
        </w:rPr>
        <w:t>follow-up</w:t>
      </w:r>
      <w:r w:rsidRPr="00E2422F">
        <w:rPr>
          <w:rFonts w:eastAsia="Calibri"/>
          <w:szCs w:val="22"/>
          <w:lang w:eastAsia="en-US"/>
        </w:rPr>
        <w:t xml:space="preserve"> </w:t>
      </w:r>
      <w:r w:rsidR="005B0D47" w:rsidRPr="00E2422F">
        <w:rPr>
          <w:rFonts w:eastAsia="Calibri"/>
          <w:szCs w:val="22"/>
          <w:lang w:eastAsia="en-US"/>
        </w:rPr>
        <w:t>varie</w:t>
      </w:r>
      <w:r w:rsidR="005B0D47">
        <w:rPr>
          <w:rFonts w:eastAsia="Calibri"/>
          <w:szCs w:val="22"/>
          <w:lang w:eastAsia="en-US"/>
        </w:rPr>
        <w:t>d</w:t>
      </w:r>
      <w:r w:rsidR="005B0D47" w:rsidRPr="00E2422F">
        <w:rPr>
          <w:rFonts w:eastAsia="Calibri"/>
          <w:szCs w:val="22"/>
          <w:lang w:eastAsia="en-US"/>
        </w:rPr>
        <w:t xml:space="preserve"> </w:t>
      </w:r>
      <w:r w:rsidRPr="00E2422F">
        <w:rPr>
          <w:rFonts w:eastAsia="Calibri"/>
          <w:szCs w:val="22"/>
          <w:lang w:eastAsia="en-US"/>
        </w:rPr>
        <w:t xml:space="preserve">widely </w:t>
      </w:r>
      <w:r w:rsidR="005B0D47">
        <w:rPr>
          <w:rFonts w:eastAsia="Calibri"/>
          <w:szCs w:val="22"/>
          <w:lang w:eastAsia="en-US"/>
        </w:rPr>
        <w:t xml:space="preserve">among </w:t>
      </w:r>
      <w:r w:rsidRPr="00E2422F">
        <w:rPr>
          <w:rFonts w:eastAsia="Calibri"/>
          <w:szCs w:val="22"/>
          <w:lang w:eastAsia="en-US"/>
        </w:rPr>
        <w:t xml:space="preserve">studies. </w:t>
      </w:r>
      <w:r w:rsidR="005B0D47" w:rsidRPr="00E2422F">
        <w:rPr>
          <w:rFonts w:eastAsia="Calibri"/>
          <w:szCs w:val="22"/>
          <w:lang w:eastAsia="en-US"/>
        </w:rPr>
        <w:t>Follow</w:t>
      </w:r>
      <w:r w:rsidR="005B0D47">
        <w:rPr>
          <w:rFonts w:eastAsia="Calibri"/>
          <w:szCs w:val="22"/>
          <w:lang w:eastAsia="en-US"/>
        </w:rPr>
        <w:t>-</w:t>
      </w:r>
      <w:r w:rsidRPr="00E2422F">
        <w:rPr>
          <w:rFonts w:eastAsia="Calibri"/>
          <w:szCs w:val="22"/>
          <w:lang w:eastAsia="en-US"/>
        </w:rPr>
        <w:t xml:space="preserve">up periods of more than </w:t>
      </w:r>
      <w:r w:rsidR="00EE3C31">
        <w:rPr>
          <w:rFonts w:eastAsia="Calibri"/>
          <w:szCs w:val="22"/>
          <w:lang w:eastAsia="en-US"/>
        </w:rPr>
        <w:t>six</w:t>
      </w:r>
      <w:r w:rsidR="00EE3C31" w:rsidRPr="00E2422F">
        <w:rPr>
          <w:rFonts w:eastAsia="Calibri"/>
          <w:szCs w:val="22"/>
          <w:lang w:eastAsia="en-US"/>
        </w:rPr>
        <w:t xml:space="preserve"> </w:t>
      </w:r>
      <w:r w:rsidRPr="00E2422F">
        <w:rPr>
          <w:rFonts w:eastAsia="Calibri"/>
          <w:szCs w:val="22"/>
          <w:lang w:eastAsia="en-US"/>
        </w:rPr>
        <w:t>months were common</w:t>
      </w:r>
      <w:r w:rsidR="005B0D47">
        <w:rPr>
          <w:rFonts w:eastAsia="Calibri"/>
          <w:szCs w:val="22"/>
          <w:lang w:eastAsia="en-US"/>
        </w:rPr>
        <w:t>;</w:t>
      </w:r>
      <w:r w:rsidRPr="00E2422F">
        <w:rPr>
          <w:rFonts w:eastAsia="Calibri"/>
          <w:szCs w:val="22"/>
          <w:lang w:eastAsia="en-US"/>
        </w:rPr>
        <w:t xml:space="preserve"> however</w:t>
      </w:r>
      <w:r w:rsidR="005B0D47">
        <w:rPr>
          <w:rFonts w:eastAsia="Calibri"/>
          <w:szCs w:val="22"/>
          <w:lang w:eastAsia="en-US"/>
        </w:rPr>
        <w:t>,</w:t>
      </w:r>
      <w:r w:rsidRPr="00E2422F">
        <w:rPr>
          <w:rFonts w:eastAsia="Calibri"/>
          <w:szCs w:val="22"/>
          <w:lang w:eastAsia="en-US"/>
        </w:rPr>
        <w:t xml:space="preserve"> there </w:t>
      </w:r>
      <w:r w:rsidR="005B0D47">
        <w:rPr>
          <w:rFonts w:eastAsia="Calibri"/>
          <w:szCs w:val="22"/>
          <w:lang w:eastAsia="en-US"/>
        </w:rPr>
        <w:t>we</w:t>
      </w:r>
      <w:r w:rsidR="005B0D47" w:rsidRPr="00E2422F">
        <w:rPr>
          <w:rFonts w:eastAsia="Calibri"/>
          <w:szCs w:val="22"/>
          <w:lang w:eastAsia="en-US"/>
        </w:rPr>
        <w:t xml:space="preserve">re </w:t>
      </w:r>
      <w:r w:rsidRPr="00E2422F">
        <w:rPr>
          <w:rFonts w:eastAsia="Calibri"/>
          <w:szCs w:val="22"/>
          <w:lang w:eastAsia="en-US"/>
        </w:rPr>
        <w:t>a significant number of studies in which interpret</w:t>
      </w:r>
      <w:r w:rsidRPr="00892811">
        <w:rPr>
          <w:rFonts w:eastAsia="Calibri"/>
          <w:szCs w:val="22"/>
          <w:lang w:eastAsia="en-US"/>
        </w:rPr>
        <w:t xml:space="preserve">ation of the </w:t>
      </w:r>
      <w:r w:rsidR="005B0D47" w:rsidRPr="00892811">
        <w:rPr>
          <w:rFonts w:eastAsia="Calibri"/>
          <w:szCs w:val="22"/>
          <w:lang w:eastAsia="en-US"/>
        </w:rPr>
        <w:t>follow</w:t>
      </w:r>
      <w:r w:rsidR="005B0D47">
        <w:rPr>
          <w:rFonts w:eastAsia="Calibri"/>
          <w:szCs w:val="22"/>
          <w:lang w:eastAsia="en-US"/>
        </w:rPr>
        <w:t>-</w:t>
      </w:r>
      <w:r w:rsidRPr="00892811">
        <w:rPr>
          <w:rFonts w:eastAsia="Calibri"/>
          <w:szCs w:val="22"/>
          <w:lang w:eastAsia="en-US"/>
        </w:rPr>
        <w:t xml:space="preserve">up period </w:t>
      </w:r>
      <w:r w:rsidR="005B0D47">
        <w:rPr>
          <w:rFonts w:eastAsia="Calibri"/>
          <w:szCs w:val="22"/>
          <w:lang w:eastAsia="en-US"/>
        </w:rPr>
        <w:t>wa</w:t>
      </w:r>
      <w:r w:rsidR="005B0D47" w:rsidRPr="00892811">
        <w:rPr>
          <w:rFonts w:eastAsia="Calibri"/>
          <w:szCs w:val="22"/>
          <w:lang w:eastAsia="en-US"/>
        </w:rPr>
        <w:t xml:space="preserve">s </w:t>
      </w:r>
      <w:r w:rsidRPr="00892811">
        <w:rPr>
          <w:rFonts w:eastAsia="Calibri"/>
          <w:szCs w:val="22"/>
          <w:lang w:eastAsia="en-US"/>
        </w:rPr>
        <w:t xml:space="preserve">difficult, the length of </w:t>
      </w:r>
      <w:r w:rsidR="005B0D47" w:rsidRPr="00892811">
        <w:rPr>
          <w:rFonts w:eastAsia="Calibri"/>
          <w:szCs w:val="22"/>
          <w:lang w:eastAsia="en-US"/>
        </w:rPr>
        <w:t>follow</w:t>
      </w:r>
      <w:r w:rsidR="005B0D47">
        <w:rPr>
          <w:rFonts w:eastAsia="Calibri"/>
          <w:szCs w:val="22"/>
          <w:lang w:eastAsia="en-US"/>
        </w:rPr>
        <w:t>-</w:t>
      </w:r>
      <w:r w:rsidRPr="00892811">
        <w:rPr>
          <w:rFonts w:eastAsia="Calibri"/>
          <w:szCs w:val="22"/>
          <w:lang w:eastAsia="en-US"/>
        </w:rPr>
        <w:t>up may</w:t>
      </w:r>
      <w:r w:rsidR="00EE3C31">
        <w:rPr>
          <w:rFonts w:eastAsia="Calibri"/>
          <w:szCs w:val="22"/>
          <w:lang w:eastAsia="en-US"/>
        </w:rPr>
        <w:t xml:space="preserve"> </w:t>
      </w:r>
      <w:r w:rsidR="005B0D47">
        <w:rPr>
          <w:rFonts w:eastAsia="Calibri"/>
          <w:szCs w:val="22"/>
          <w:lang w:eastAsia="en-US"/>
        </w:rPr>
        <w:t>have</w:t>
      </w:r>
      <w:r w:rsidRPr="00892811">
        <w:rPr>
          <w:rFonts w:eastAsia="Calibri"/>
          <w:szCs w:val="22"/>
          <w:lang w:eastAsia="en-US"/>
        </w:rPr>
        <w:t xml:space="preserve"> be</w:t>
      </w:r>
      <w:r w:rsidR="005B0D47">
        <w:rPr>
          <w:rFonts w:eastAsia="Calibri"/>
          <w:szCs w:val="22"/>
          <w:lang w:eastAsia="en-US"/>
        </w:rPr>
        <w:t>en</w:t>
      </w:r>
      <w:r w:rsidRPr="00892811">
        <w:rPr>
          <w:rFonts w:eastAsia="Calibri"/>
          <w:szCs w:val="22"/>
          <w:lang w:eastAsia="en-US"/>
        </w:rPr>
        <w:t xml:space="preserve"> insufficient to capture </w:t>
      </w:r>
      <w:r w:rsidR="005B0D47" w:rsidRPr="00892811">
        <w:rPr>
          <w:rFonts w:eastAsia="Calibri"/>
          <w:szCs w:val="22"/>
          <w:lang w:eastAsia="en-US"/>
        </w:rPr>
        <w:t>stent</w:t>
      </w:r>
      <w:r w:rsidR="005B0D47">
        <w:rPr>
          <w:rFonts w:eastAsia="Calibri"/>
          <w:szCs w:val="22"/>
          <w:lang w:eastAsia="en-US"/>
        </w:rPr>
        <w:t>-</w:t>
      </w:r>
      <w:r w:rsidRPr="00892811">
        <w:rPr>
          <w:rFonts w:eastAsia="Calibri"/>
          <w:szCs w:val="22"/>
          <w:lang w:eastAsia="en-US"/>
        </w:rPr>
        <w:t>related complications</w:t>
      </w:r>
      <w:r w:rsidR="005B0D47">
        <w:rPr>
          <w:rFonts w:eastAsia="Calibri"/>
          <w:szCs w:val="22"/>
          <w:lang w:eastAsia="en-US"/>
        </w:rPr>
        <w:t>,</w:t>
      </w:r>
      <w:r w:rsidRPr="00892811">
        <w:rPr>
          <w:rFonts w:eastAsia="Calibri"/>
          <w:szCs w:val="22"/>
          <w:lang w:eastAsia="en-US"/>
        </w:rPr>
        <w:t xml:space="preserve"> or the duration of </w:t>
      </w:r>
      <w:r w:rsidR="005B0D47" w:rsidRPr="00892811">
        <w:rPr>
          <w:rFonts w:eastAsia="Calibri"/>
          <w:szCs w:val="22"/>
          <w:lang w:eastAsia="en-US"/>
        </w:rPr>
        <w:t>follow</w:t>
      </w:r>
      <w:r w:rsidR="005B0D47">
        <w:rPr>
          <w:rFonts w:eastAsia="Calibri"/>
          <w:szCs w:val="22"/>
          <w:lang w:eastAsia="en-US"/>
        </w:rPr>
        <w:t>-</w:t>
      </w:r>
      <w:r w:rsidRPr="00892811">
        <w:rPr>
          <w:rFonts w:eastAsia="Calibri"/>
          <w:szCs w:val="22"/>
          <w:lang w:eastAsia="en-US"/>
        </w:rPr>
        <w:t xml:space="preserve">up </w:t>
      </w:r>
      <w:r w:rsidR="005B0D47">
        <w:rPr>
          <w:rFonts w:eastAsia="Calibri"/>
          <w:szCs w:val="22"/>
          <w:lang w:eastAsia="en-US"/>
        </w:rPr>
        <w:t>wa</w:t>
      </w:r>
      <w:r w:rsidR="005B0D47" w:rsidRPr="00892811">
        <w:rPr>
          <w:rFonts w:eastAsia="Calibri"/>
          <w:szCs w:val="22"/>
          <w:lang w:eastAsia="en-US"/>
        </w:rPr>
        <w:t xml:space="preserve">s </w:t>
      </w:r>
      <w:r w:rsidRPr="00892811">
        <w:rPr>
          <w:rFonts w:eastAsia="Calibri"/>
          <w:szCs w:val="22"/>
          <w:lang w:eastAsia="en-US"/>
        </w:rPr>
        <w:t xml:space="preserve">not apparent. </w:t>
      </w:r>
    </w:p>
    <w:p w:rsidR="00163F6F" w:rsidRPr="00892811" w:rsidRDefault="007A4D8C" w:rsidP="001722D3">
      <w:pPr>
        <w:rPr>
          <w:rFonts w:eastAsia="Calibri"/>
          <w:lang w:eastAsia="en-US"/>
        </w:rPr>
      </w:pPr>
      <w:r w:rsidRPr="008978EE">
        <w:rPr>
          <w:rFonts w:eastAsia="Calibri"/>
          <w:lang w:eastAsia="en-US"/>
        </w:rPr>
        <w:t>Most of the studies (2</w:t>
      </w:r>
      <w:r w:rsidR="00EB5D2C" w:rsidRPr="008978EE">
        <w:rPr>
          <w:rFonts w:eastAsia="Calibri"/>
          <w:lang w:eastAsia="en-US"/>
        </w:rPr>
        <w:t>7</w:t>
      </w:r>
      <w:r w:rsidRPr="00A30BA9">
        <w:rPr>
          <w:rFonts w:eastAsia="Calibri"/>
          <w:lang w:eastAsia="en-US"/>
        </w:rPr>
        <w:t xml:space="preserve"> of 3</w:t>
      </w:r>
      <w:r w:rsidR="00EB5D2C" w:rsidRPr="005646B6">
        <w:rPr>
          <w:rFonts w:eastAsia="Calibri"/>
          <w:lang w:eastAsia="en-US"/>
        </w:rPr>
        <w:t>3</w:t>
      </w:r>
      <w:r w:rsidRPr="00003831">
        <w:rPr>
          <w:rFonts w:eastAsia="Calibri"/>
          <w:lang w:eastAsia="en-US"/>
        </w:rPr>
        <w:t>) were explicit on inclusion or exclusion criteria, w</w:t>
      </w:r>
      <w:r w:rsidRPr="00A87C52">
        <w:rPr>
          <w:rFonts w:eastAsia="Calibri"/>
          <w:lang w:eastAsia="en-US"/>
        </w:rPr>
        <w:t xml:space="preserve">hile </w:t>
      </w:r>
      <w:r w:rsidR="005B0D47">
        <w:rPr>
          <w:rFonts w:eastAsia="Calibri"/>
          <w:lang w:eastAsia="en-US"/>
        </w:rPr>
        <w:t>six</w:t>
      </w:r>
      <w:r w:rsidR="005B0D47" w:rsidRPr="00A87C52">
        <w:rPr>
          <w:rFonts w:eastAsia="Calibri"/>
          <w:lang w:eastAsia="en-US"/>
        </w:rPr>
        <w:t xml:space="preserve"> </w:t>
      </w:r>
      <w:r w:rsidRPr="00A87C52">
        <w:rPr>
          <w:rFonts w:eastAsia="Calibri"/>
          <w:lang w:eastAsia="en-US"/>
        </w:rPr>
        <w:t xml:space="preserve">did not </w:t>
      </w:r>
      <w:r w:rsidR="005B0D47" w:rsidRPr="00A87C52">
        <w:rPr>
          <w:rFonts w:eastAsia="Calibri"/>
          <w:lang w:eastAsia="en-US"/>
        </w:rPr>
        <w:t>specif</w:t>
      </w:r>
      <w:r w:rsidR="005B0D47">
        <w:rPr>
          <w:rFonts w:eastAsia="Calibri"/>
          <w:lang w:eastAsia="en-US"/>
        </w:rPr>
        <w:t>y the</w:t>
      </w:r>
      <w:r w:rsidR="005B0D47" w:rsidRPr="00A87C52">
        <w:rPr>
          <w:rFonts w:eastAsia="Calibri"/>
          <w:lang w:eastAsia="en-US"/>
        </w:rPr>
        <w:t xml:space="preserve"> </w:t>
      </w:r>
      <w:r w:rsidRPr="00A87C52">
        <w:rPr>
          <w:rFonts w:eastAsia="Calibri"/>
          <w:lang w:eastAsia="en-US"/>
        </w:rPr>
        <w:t>selection criteria. In general, patients with malignant colorectal obstruction with signs of peritonitis</w:t>
      </w:r>
      <w:r w:rsidR="005B0D47">
        <w:rPr>
          <w:rFonts w:eastAsia="Calibri"/>
          <w:lang w:eastAsia="en-US"/>
        </w:rPr>
        <w:t>,</w:t>
      </w:r>
      <w:r w:rsidRPr="00A87C52">
        <w:rPr>
          <w:rFonts w:eastAsia="Calibri"/>
          <w:lang w:eastAsia="en-US"/>
        </w:rPr>
        <w:t xml:space="preserve"> sever</w:t>
      </w:r>
      <w:r w:rsidR="005B0D47">
        <w:rPr>
          <w:rFonts w:eastAsia="Calibri"/>
          <w:lang w:eastAsia="en-US"/>
        </w:rPr>
        <w:t>e</w:t>
      </w:r>
      <w:r w:rsidRPr="00A87C52">
        <w:rPr>
          <w:rFonts w:eastAsia="Calibri"/>
          <w:lang w:eastAsia="en-US"/>
        </w:rPr>
        <w:t xml:space="preserve"> neoplastic bleeding, suspicion of colonic perforation, colonic ischemia or stricture/cancer extending &lt;5</w:t>
      </w:r>
      <w:r w:rsidR="00EE3C31">
        <w:rPr>
          <w:rFonts w:eastAsia="Calibri"/>
          <w:lang w:eastAsia="en-US"/>
        </w:rPr>
        <w:t xml:space="preserve"> </w:t>
      </w:r>
      <w:r w:rsidRPr="00A87C52">
        <w:rPr>
          <w:rFonts w:eastAsia="Calibri"/>
          <w:lang w:eastAsia="en-US"/>
        </w:rPr>
        <w:t>cm</w:t>
      </w:r>
      <w:r w:rsidRPr="00DF686C">
        <w:rPr>
          <w:rFonts w:eastAsia="Calibri"/>
          <w:lang w:eastAsia="en-US"/>
        </w:rPr>
        <w:t xml:space="preserve"> from the anal valve were excluded from study cohorts </w:t>
      </w:r>
      <w:r w:rsidR="006139A8">
        <w:rPr>
          <w:rFonts w:eastAsia="Calibri"/>
          <w:lang w:eastAsia="en-US"/>
        </w:rPr>
        <w:t xml:space="preserve">(Appendix </w:t>
      </w:r>
      <w:r w:rsidR="00F76B65">
        <w:rPr>
          <w:rFonts w:eastAsia="Calibri"/>
          <w:lang w:eastAsia="en-US"/>
        </w:rPr>
        <w:t>H</w:t>
      </w:r>
      <w:r w:rsidR="006139A8">
        <w:rPr>
          <w:rFonts w:eastAsia="Calibri"/>
          <w:lang w:eastAsia="en-US"/>
        </w:rPr>
        <w:t>)</w:t>
      </w:r>
      <w:r w:rsidRPr="009E5C53">
        <w:rPr>
          <w:rFonts w:eastAsia="Calibri"/>
          <w:lang w:eastAsia="en-US"/>
        </w:rPr>
        <w:t>.</w:t>
      </w:r>
      <w:r w:rsidRPr="00E2422F">
        <w:rPr>
          <w:rFonts w:eastAsia="Calibri"/>
          <w:lang w:eastAsia="en-US"/>
        </w:rPr>
        <w:t xml:space="preserve"> </w:t>
      </w:r>
    </w:p>
    <w:p w:rsidR="008F59A8" w:rsidRPr="008978EE" w:rsidRDefault="008F59A8" w:rsidP="00041D5E">
      <w:pPr>
        <w:pStyle w:val="Heading2"/>
      </w:pPr>
      <w:bookmarkStart w:id="156" w:name="_Toc352924424"/>
      <w:r w:rsidRPr="008978EE">
        <w:t>Is it safe?</w:t>
      </w:r>
      <w:bookmarkEnd w:id="146"/>
      <w:bookmarkEnd w:id="156"/>
      <w:r w:rsidRPr="008978EE">
        <w:t xml:space="preserve"> </w:t>
      </w:r>
    </w:p>
    <w:p w:rsidR="00904E2C" w:rsidRPr="00003831" w:rsidRDefault="00D2651B" w:rsidP="002126E1">
      <w:pPr>
        <w:pStyle w:val="Heading3"/>
      </w:pPr>
      <w:r w:rsidRPr="008978EE">
        <w:t xml:space="preserve">Comparative </w:t>
      </w:r>
      <w:r w:rsidR="00C03AE1" w:rsidRPr="00A30BA9">
        <w:t>evidence</w:t>
      </w:r>
      <w:r w:rsidR="00A85389" w:rsidRPr="005646B6">
        <w:t xml:space="preserve"> (Level II &amp; III)</w:t>
      </w:r>
    </w:p>
    <w:p w:rsidR="002126E1" w:rsidRPr="00965DBA" w:rsidRDefault="002126E1" w:rsidP="002126E1">
      <w:pPr>
        <w:pStyle w:val="Heading4"/>
      </w:pPr>
      <w:r w:rsidRPr="00965DBA">
        <w:t>Procedure-related mortality</w:t>
      </w:r>
    </w:p>
    <w:p w:rsidR="00811464" w:rsidRPr="00E2422F" w:rsidRDefault="00811464" w:rsidP="002126E1">
      <w:r w:rsidRPr="009E5C53">
        <w:t>No studies that compared stents to best supportive care were retri</w:t>
      </w:r>
      <w:r w:rsidRPr="00E2422F">
        <w:t>eved; as such, no assessment or comparison of relative mortality rates for these two treatments could be made.</w:t>
      </w:r>
    </w:p>
    <w:p w:rsidR="002126E1" w:rsidRPr="00E2422F" w:rsidRDefault="002126E1" w:rsidP="002126E1">
      <w:r w:rsidRPr="00892811">
        <w:t>Six studies comparing SEMS placement to surgical treatment</w:t>
      </w:r>
      <w:r w:rsidR="00374221" w:rsidRPr="008978EE">
        <w:t xml:space="preserve"> (such as colostomy, Hartmann’s resection and internal bypass)</w:t>
      </w:r>
      <w:r w:rsidRPr="008978EE">
        <w:t>, including one RCT, repo</w:t>
      </w:r>
      <w:r w:rsidRPr="00A30BA9">
        <w:t>rted on procedure-related mortalities occurring within their patient cohort (</w:t>
      </w:r>
      <w:r w:rsidR="006F654A">
        <w:t xml:space="preserve">See </w:t>
      </w:r>
      <w:r w:rsidR="00E64157">
        <w:fldChar w:fldCharType="begin"/>
      </w:r>
      <w:r w:rsidR="00E64157">
        <w:instrText xml:space="preserve"> REF _Ref324944438 \h </w:instrText>
      </w:r>
      <w:r w:rsidR="00E64157">
        <w:fldChar w:fldCharType="separate"/>
      </w:r>
      <w:r w:rsidR="0071544A">
        <w:t xml:space="preserve">Table </w:t>
      </w:r>
      <w:r w:rsidR="0071544A">
        <w:rPr>
          <w:noProof/>
        </w:rPr>
        <w:t>28</w:t>
      </w:r>
      <w:r w:rsidR="00E64157">
        <w:fldChar w:fldCharType="end"/>
      </w:r>
      <w:r w:rsidRPr="009E5C53">
        <w:t xml:space="preserve">). Procedure-related mortalities were defined </w:t>
      </w:r>
      <w:r w:rsidR="004F48AA">
        <w:t xml:space="preserve">differently </w:t>
      </w:r>
      <w:r w:rsidRPr="009E5C53">
        <w:t>across studies</w:t>
      </w:r>
      <w:r w:rsidR="004F48AA">
        <w:t>.</w:t>
      </w:r>
      <w:r w:rsidRPr="009E5C53">
        <w:t xml:space="preserve"> </w:t>
      </w:r>
      <w:r w:rsidR="004F48AA">
        <w:t>S</w:t>
      </w:r>
      <w:r w:rsidRPr="009E5C53">
        <w:t>ome authors reported post-procedural mortalities, others 30-day mortalit</w:t>
      </w:r>
      <w:r w:rsidRPr="00E2422F">
        <w:t>y, while others described mortalities in the same hospital admission as treatment.</w:t>
      </w:r>
    </w:p>
    <w:p w:rsidR="002126E1" w:rsidRPr="00F13A5A" w:rsidRDefault="002126E1" w:rsidP="002126E1">
      <w:r w:rsidRPr="00892811">
        <w:t xml:space="preserve">No post-operative mortalities were reported in the one RCT (Fiori et al 2004) and </w:t>
      </w:r>
      <w:r w:rsidR="004F48AA">
        <w:t xml:space="preserve">in </w:t>
      </w:r>
      <w:r w:rsidRPr="00892811">
        <w:t xml:space="preserve">two of the non-randomised studies </w:t>
      </w:r>
      <w:r w:rsidR="004F48AA">
        <w:t xml:space="preserve">that </w:t>
      </w:r>
      <w:r w:rsidR="005A3D99" w:rsidRPr="008978EE">
        <w:t xml:space="preserve">compared </w:t>
      </w:r>
      <w:r w:rsidRPr="008978EE">
        <w:t xml:space="preserve">SEMS placement to colostomy (Baik et al </w:t>
      </w:r>
      <w:r w:rsidR="00993CAF">
        <w:t>2006</w:t>
      </w:r>
      <w:r w:rsidR="00B76D38">
        <w:t>;</w:t>
      </w:r>
      <w:r w:rsidRPr="008978EE">
        <w:t xml:space="preserve"> Na</w:t>
      </w:r>
      <w:r w:rsidRPr="00A30BA9">
        <w:t>gula et al 2010). Osman et al (2000) report</w:t>
      </w:r>
      <w:r w:rsidR="009E0D31" w:rsidRPr="005646B6">
        <w:t>ed one 30-day</w:t>
      </w:r>
      <w:r w:rsidR="00F830CC" w:rsidRPr="00003831">
        <w:t xml:space="preserve"> </w:t>
      </w:r>
      <w:r w:rsidRPr="00A87C52">
        <w:t>mortality following surgery</w:t>
      </w:r>
      <w:r w:rsidR="00374221" w:rsidRPr="00A87C52">
        <w:t xml:space="preserve"> (Hartmann’s resection or dysfunctional caecostomy)</w:t>
      </w:r>
      <w:r w:rsidRPr="00DF686C">
        <w:t>, but no cause of death was reported</w:t>
      </w:r>
      <w:r w:rsidR="004F48AA">
        <w:t>.</w:t>
      </w:r>
      <w:r w:rsidRPr="00DF686C">
        <w:t xml:space="preserve"> </w:t>
      </w:r>
      <w:r w:rsidR="004F48AA">
        <w:t>N</w:t>
      </w:r>
      <w:r w:rsidRPr="00DF686C">
        <w:t>o SEMS patients were reported to have died in the post-operative period. Johnson et al (2004) reported two in-hospital deaths after SEMS placement</w:t>
      </w:r>
      <w:r w:rsidR="00DB1657">
        <w:t>:</w:t>
      </w:r>
      <w:r w:rsidRPr="00DF686C">
        <w:t xml:space="preserve"> one </w:t>
      </w:r>
      <w:r w:rsidR="00DB1657">
        <w:t>wa</w:t>
      </w:r>
      <w:r w:rsidRPr="00DF686C">
        <w:t>s the result of a myocardial infarction in a patient with congestive cardiac failure</w:t>
      </w:r>
      <w:r w:rsidR="004F48AA">
        <w:t>, whilst the other was</w:t>
      </w:r>
      <w:r w:rsidRPr="00DF686C">
        <w:t xml:space="preserve"> cerebrovascular</w:t>
      </w:r>
      <w:r w:rsidR="004F48AA">
        <w:t>-related.</w:t>
      </w:r>
      <w:r w:rsidR="004F48AA" w:rsidRPr="00DF686C">
        <w:t xml:space="preserve"> </w:t>
      </w:r>
      <w:r w:rsidR="004F48AA">
        <w:t>T</w:t>
      </w:r>
      <w:r w:rsidRPr="00DF686C">
        <w:t xml:space="preserve">wo in-hospital deaths </w:t>
      </w:r>
      <w:r w:rsidR="004F48AA">
        <w:t xml:space="preserve">occurred </w:t>
      </w:r>
      <w:r w:rsidRPr="00DF686C">
        <w:t>following surgery</w:t>
      </w:r>
      <w:r w:rsidR="004F48AA">
        <w:t>,</w:t>
      </w:r>
      <w:r w:rsidRPr="00DF686C">
        <w:t xml:space="preserve"> as a result of carcinomatosis</w:t>
      </w:r>
      <w:r w:rsidR="004F48AA">
        <w:t>.</w:t>
      </w:r>
      <w:r w:rsidRPr="00DF686C">
        <w:t xml:space="preserve"> </w:t>
      </w:r>
      <w:r w:rsidR="004F48AA">
        <w:t>A</w:t>
      </w:r>
      <w:r w:rsidRPr="00DF686C">
        <w:t>ll mortalities were reported to have occurred within seven days of treatment. In the study by Varadarajulu et al (2011), one patient in the surgical cohort died of sepsis 28 days after undergoing colostomy; no m</w:t>
      </w:r>
      <w:r w:rsidRPr="00F13A5A">
        <w:t>ortalities after SEMS placement were reported.</w:t>
      </w:r>
    </w:p>
    <w:p w:rsidR="002126E1" w:rsidRPr="00584C29" w:rsidRDefault="00E64157" w:rsidP="00E64157">
      <w:pPr>
        <w:pStyle w:val="Caption"/>
        <w:rPr>
          <w:lang w:eastAsia="en-US"/>
        </w:rPr>
      </w:pPr>
      <w:bookmarkStart w:id="157" w:name="_Ref324944438"/>
      <w:bookmarkStart w:id="158" w:name="_Toc327522072"/>
      <w:r>
        <w:lastRenderedPageBreak/>
        <w:t xml:space="preserve">Table </w:t>
      </w:r>
      <w:fldSimple w:instr=" SEQ Table \* ARABIC ">
        <w:r w:rsidR="0071544A">
          <w:rPr>
            <w:noProof/>
          </w:rPr>
          <w:t>28</w:t>
        </w:r>
      </w:fldSimple>
      <w:bookmarkEnd w:id="157"/>
      <w:r w:rsidR="002126E1" w:rsidRPr="00584C29">
        <w:rPr>
          <w:lang w:eastAsia="en-US"/>
        </w:rPr>
        <w:tab/>
        <w:t>Mortality after treatment with SEMS placement and surgery: comparative studies</w:t>
      </w:r>
      <w:bookmarkEnd w:id="158"/>
    </w:p>
    <w:tbl>
      <w:tblPr>
        <w:tblW w:w="7882" w:type="dxa"/>
        <w:tblInd w:w="720" w:type="dxa"/>
        <w:tblBorders>
          <w:top w:val="single" w:sz="12" w:space="0" w:color="auto"/>
          <w:bottom w:val="single" w:sz="12" w:space="0" w:color="auto"/>
        </w:tblBorders>
        <w:tblLayout w:type="fixed"/>
        <w:tblCellMar>
          <w:top w:w="28" w:type="dxa"/>
          <w:left w:w="57" w:type="dxa"/>
          <w:bottom w:w="28" w:type="dxa"/>
          <w:right w:w="57" w:type="dxa"/>
        </w:tblCellMar>
        <w:tblLook w:val="0000" w:firstRow="0" w:lastRow="0" w:firstColumn="0" w:lastColumn="0" w:noHBand="0" w:noVBand="0"/>
      </w:tblPr>
      <w:tblGrid>
        <w:gridCol w:w="1464"/>
        <w:gridCol w:w="992"/>
        <w:gridCol w:w="567"/>
        <w:gridCol w:w="2126"/>
        <w:gridCol w:w="466"/>
        <w:gridCol w:w="1519"/>
        <w:gridCol w:w="748"/>
      </w:tblGrid>
      <w:tr w:rsidR="00DB3604" w:rsidRPr="00965DBA" w:rsidTr="0007443E">
        <w:trPr>
          <w:trHeight w:val="143"/>
        </w:trPr>
        <w:tc>
          <w:tcPr>
            <w:tcW w:w="1464" w:type="dxa"/>
            <w:vMerge w:val="restart"/>
            <w:tcBorders>
              <w:top w:val="single" w:sz="12" w:space="0" w:color="auto"/>
              <w:bottom w:val="single" w:sz="4" w:space="0" w:color="auto"/>
            </w:tcBorders>
          </w:tcPr>
          <w:p w:rsidR="00DB3604" w:rsidRPr="00965DBA" w:rsidRDefault="00DB3604" w:rsidP="0007443E">
            <w:pPr>
              <w:pStyle w:val="TableHeading"/>
            </w:pPr>
            <w:r w:rsidRPr="00965DBA">
              <w:t>Study</w:t>
            </w:r>
          </w:p>
        </w:tc>
        <w:tc>
          <w:tcPr>
            <w:tcW w:w="992" w:type="dxa"/>
            <w:vMerge w:val="restart"/>
            <w:tcBorders>
              <w:top w:val="single" w:sz="12" w:space="0" w:color="auto"/>
              <w:bottom w:val="single" w:sz="4" w:space="0" w:color="auto"/>
            </w:tcBorders>
          </w:tcPr>
          <w:p w:rsidR="00DB3604" w:rsidRPr="00965DBA" w:rsidRDefault="00DB3604" w:rsidP="0007443E">
            <w:pPr>
              <w:pStyle w:val="TableHeading"/>
            </w:pPr>
            <w:r w:rsidRPr="00965DBA">
              <w:t>Level of evidence</w:t>
            </w:r>
          </w:p>
        </w:tc>
        <w:tc>
          <w:tcPr>
            <w:tcW w:w="2693" w:type="dxa"/>
            <w:gridSpan w:val="2"/>
            <w:tcBorders>
              <w:bottom w:val="nil"/>
            </w:tcBorders>
          </w:tcPr>
          <w:p w:rsidR="00DB3604" w:rsidRPr="00965DBA" w:rsidRDefault="00DB3604" w:rsidP="0007443E">
            <w:pPr>
              <w:pStyle w:val="TableHeading"/>
            </w:pPr>
            <w:r w:rsidRPr="00965DBA">
              <w:t>SEMS placement</w:t>
            </w:r>
          </w:p>
        </w:tc>
        <w:tc>
          <w:tcPr>
            <w:tcW w:w="1985" w:type="dxa"/>
            <w:gridSpan w:val="2"/>
            <w:tcBorders>
              <w:bottom w:val="nil"/>
            </w:tcBorders>
          </w:tcPr>
          <w:p w:rsidR="00DB3604" w:rsidRPr="00965DBA" w:rsidRDefault="00DB3604" w:rsidP="0007443E">
            <w:pPr>
              <w:pStyle w:val="TableHeading"/>
            </w:pPr>
            <w:r w:rsidRPr="00965DBA">
              <w:t>Surgery</w:t>
            </w:r>
          </w:p>
        </w:tc>
        <w:tc>
          <w:tcPr>
            <w:tcW w:w="748" w:type="dxa"/>
            <w:tcBorders>
              <w:bottom w:val="nil"/>
            </w:tcBorders>
          </w:tcPr>
          <w:p w:rsidR="00DB3604" w:rsidRPr="00965DBA" w:rsidRDefault="00DB3604" w:rsidP="0007443E">
            <w:pPr>
              <w:pStyle w:val="TableHeading"/>
              <w:rPr>
                <w:szCs w:val="18"/>
                <w:lang w:eastAsia="en-US"/>
              </w:rPr>
            </w:pPr>
            <w:r w:rsidRPr="0007443E">
              <w:rPr>
                <w:i/>
                <w:szCs w:val="18"/>
                <w:lang w:eastAsia="en-US"/>
              </w:rPr>
              <w:t>P</w:t>
            </w:r>
            <w:r w:rsidR="00DB1657">
              <w:rPr>
                <w:szCs w:val="18"/>
                <w:lang w:eastAsia="en-US"/>
              </w:rPr>
              <w:t>-</w:t>
            </w:r>
            <w:r w:rsidRPr="00965DBA">
              <w:rPr>
                <w:szCs w:val="18"/>
                <w:lang w:eastAsia="en-US"/>
              </w:rPr>
              <w:t>value</w:t>
            </w:r>
          </w:p>
        </w:tc>
      </w:tr>
      <w:tr w:rsidR="00DB3604" w:rsidRPr="00965DBA" w:rsidTr="0007443E">
        <w:trPr>
          <w:trHeight w:val="143"/>
        </w:trPr>
        <w:tc>
          <w:tcPr>
            <w:tcW w:w="1464" w:type="dxa"/>
            <w:vMerge/>
            <w:tcBorders>
              <w:top w:val="nil"/>
              <w:bottom w:val="single" w:sz="4" w:space="0" w:color="auto"/>
            </w:tcBorders>
          </w:tcPr>
          <w:p w:rsidR="00DB3604" w:rsidRPr="00965DBA" w:rsidRDefault="00DB3604" w:rsidP="0007443E">
            <w:pPr>
              <w:pStyle w:val="TableHeading"/>
            </w:pPr>
          </w:p>
        </w:tc>
        <w:tc>
          <w:tcPr>
            <w:tcW w:w="992" w:type="dxa"/>
            <w:vMerge/>
            <w:tcBorders>
              <w:top w:val="nil"/>
              <w:bottom w:val="single" w:sz="4" w:space="0" w:color="auto"/>
            </w:tcBorders>
          </w:tcPr>
          <w:p w:rsidR="00DB3604" w:rsidRPr="00965DBA" w:rsidRDefault="00DB3604" w:rsidP="0007443E">
            <w:pPr>
              <w:pStyle w:val="TableHeading"/>
            </w:pPr>
          </w:p>
        </w:tc>
        <w:tc>
          <w:tcPr>
            <w:tcW w:w="567" w:type="dxa"/>
            <w:tcBorders>
              <w:top w:val="nil"/>
              <w:bottom w:val="single" w:sz="4" w:space="0" w:color="auto"/>
            </w:tcBorders>
          </w:tcPr>
          <w:p w:rsidR="00DB3604" w:rsidRPr="00965DBA" w:rsidRDefault="00DB3604" w:rsidP="0007443E">
            <w:pPr>
              <w:pStyle w:val="TableHeading"/>
            </w:pPr>
            <w:r w:rsidRPr="00965DBA">
              <w:t>n/N</w:t>
            </w:r>
          </w:p>
        </w:tc>
        <w:tc>
          <w:tcPr>
            <w:tcW w:w="2126" w:type="dxa"/>
            <w:tcBorders>
              <w:top w:val="nil"/>
              <w:bottom w:val="single" w:sz="4" w:space="0" w:color="auto"/>
            </w:tcBorders>
          </w:tcPr>
          <w:p w:rsidR="00DB3604" w:rsidRPr="00965DBA" w:rsidRDefault="00DB3604" w:rsidP="0007443E">
            <w:pPr>
              <w:pStyle w:val="TableHeading"/>
            </w:pPr>
            <w:r w:rsidRPr="00965DBA">
              <w:t>Cause of mortality</w:t>
            </w:r>
          </w:p>
        </w:tc>
        <w:tc>
          <w:tcPr>
            <w:tcW w:w="466" w:type="dxa"/>
            <w:tcBorders>
              <w:top w:val="nil"/>
              <w:bottom w:val="single" w:sz="4" w:space="0" w:color="auto"/>
            </w:tcBorders>
          </w:tcPr>
          <w:p w:rsidR="00DB3604" w:rsidRPr="00965DBA" w:rsidRDefault="00DB3604" w:rsidP="0007443E">
            <w:pPr>
              <w:pStyle w:val="TableHeading"/>
            </w:pPr>
            <w:r w:rsidRPr="00965DBA">
              <w:t>n/N</w:t>
            </w:r>
          </w:p>
        </w:tc>
        <w:tc>
          <w:tcPr>
            <w:tcW w:w="1519" w:type="dxa"/>
            <w:tcBorders>
              <w:top w:val="nil"/>
              <w:bottom w:val="single" w:sz="4" w:space="0" w:color="auto"/>
            </w:tcBorders>
          </w:tcPr>
          <w:p w:rsidR="00DB3604" w:rsidRPr="00965DBA" w:rsidRDefault="00DB3604" w:rsidP="0007443E">
            <w:pPr>
              <w:pStyle w:val="TableHeading"/>
            </w:pPr>
            <w:r w:rsidRPr="00965DBA">
              <w:t>Cause of mortality</w:t>
            </w:r>
          </w:p>
        </w:tc>
        <w:tc>
          <w:tcPr>
            <w:tcW w:w="748" w:type="dxa"/>
            <w:tcBorders>
              <w:top w:val="nil"/>
              <w:bottom w:val="single" w:sz="4" w:space="0" w:color="auto"/>
            </w:tcBorders>
          </w:tcPr>
          <w:p w:rsidR="00DB3604" w:rsidRPr="00965DBA" w:rsidRDefault="00DB3604" w:rsidP="0007443E">
            <w:pPr>
              <w:pStyle w:val="TableHeading"/>
              <w:rPr>
                <w:szCs w:val="18"/>
                <w:lang w:eastAsia="en-US"/>
              </w:rPr>
            </w:pPr>
          </w:p>
        </w:tc>
      </w:tr>
      <w:tr w:rsidR="00DB3604" w:rsidRPr="00965DBA" w:rsidTr="0007443E">
        <w:trPr>
          <w:trHeight w:val="128"/>
        </w:trPr>
        <w:tc>
          <w:tcPr>
            <w:tcW w:w="1464" w:type="dxa"/>
            <w:tcBorders>
              <w:top w:val="single" w:sz="4" w:space="0" w:color="auto"/>
            </w:tcBorders>
          </w:tcPr>
          <w:p w:rsidR="00DB3604" w:rsidRPr="000F3C8B" w:rsidRDefault="00DB3604" w:rsidP="00E64157">
            <w:pPr>
              <w:pStyle w:val="TableText0"/>
              <w:rPr>
                <w:lang w:val="en-AU"/>
              </w:rPr>
            </w:pPr>
            <w:r w:rsidRPr="000F3C8B">
              <w:rPr>
                <w:lang w:val="en-AU"/>
              </w:rPr>
              <w:t>Fiori</w:t>
            </w:r>
            <w:r w:rsidR="00DB1657" w:rsidRPr="000F3C8B">
              <w:rPr>
                <w:lang w:val="en-AU"/>
              </w:rPr>
              <w:t xml:space="preserve"> et al</w:t>
            </w:r>
            <w:r w:rsidRPr="000F3C8B">
              <w:rPr>
                <w:lang w:val="en-AU"/>
              </w:rPr>
              <w:t xml:space="preserve"> (2004)</w:t>
            </w:r>
          </w:p>
        </w:tc>
        <w:tc>
          <w:tcPr>
            <w:tcW w:w="992" w:type="dxa"/>
            <w:tcBorders>
              <w:top w:val="single" w:sz="4" w:space="0" w:color="auto"/>
            </w:tcBorders>
          </w:tcPr>
          <w:p w:rsidR="00DB3604" w:rsidRPr="000F3C8B" w:rsidRDefault="00DB3604" w:rsidP="00E64157">
            <w:pPr>
              <w:pStyle w:val="TableText0"/>
              <w:rPr>
                <w:lang w:val="en-AU"/>
              </w:rPr>
            </w:pPr>
            <w:r w:rsidRPr="000F3C8B">
              <w:rPr>
                <w:lang w:val="en-AU"/>
              </w:rPr>
              <w:t>II</w:t>
            </w:r>
          </w:p>
        </w:tc>
        <w:tc>
          <w:tcPr>
            <w:tcW w:w="567" w:type="dxa"/>
            <w:tcBorders>
              <w:top w:val="single" w:sz="4" w:space="0" w:color="auto"/>
            </w:tcBorders>
          </w:tcPr>
          <w:p w:rsidR="00DB3604" w:rsidRPr="000F3C8B" w:rsidRDefault="00DB3604" w:rsidP="00E64157">
            <w:pPr>
              <w:pStyle w:val="TableText0"/>
              <w:rPr>
                <w:lang w:val="en-AU"/>
              </w:rPr>
            </w:pPr>
          </w:p>
        </w:tc>
        <w:tc>
          <w:tcPr>
            <w:tcW w:w="2126" w:type="dxa"/>
            <w:tcBorders>
              <w:top w:val="single" w:sz="4" w:space="0" w:color="auto"/>
            </w:tcBorders>
          </w:tcPr>
          <w:p w:rsidR="00DB3604" w:rsidRPr="000F3C8B" w:rsidRDefault="00DB3604" w:rsidP="00E64157">
            <w:pPr>
              <w:pStyle w:val="TableText0"/>
              <w:rPr>
                <w:lang w:val="en-AU"/>
              </w:rPr>
            </w:pPr>
            <w:r w:rsidRPr="000F3C8B">
              <w:rPr>
                <w:lang w:val="en-AU"/>
              </w:rPr>
              <w:t>No mortalities</w:t>
            </w:r>
          </w:p>
        </w:tc>
        <w:tc>
          <w:tcPr>
            <w:tcW w:w="466" w:type="dxa"/>
            <w:tcBorders>
              <w:top w:val="single" w:sz="4" w:space="0" w:color="auto"/>
            </w:tcBorders>
          </w:tcPr>
          <w:p w:rsidR="00DB3604" w:rsidRPr="000F3C8B" w:rsidRDefault="00DB3604" w:rsidP="00E64157">
            <w:pPr>
              <w:pStyle w:val="TableText0"/>
              <w:rPr>
                <w:lang w:val="en-AU"/>
              </w:rPr>
            </w:pPr>
          </w:p>
        </w:tc>
        <w:tc>
          <w:tcPr>
            <w:tcW w:w="1519" w:type="dxa"/>
            <w:tcBorders>
              <w:top w:val="single" w:sz="4" w:space="0" w:color="auto"/>
            </w:tcBorders>
          </w:tcPr>
          <w:p w:rsidR="00DB3604" w:rsidRPr="000F3C8B" w:rsidRDefault="00DB3604" w:rsidP="00E64157">
            <w:pPr>
              <w:pStyle w:val="TableText0"/>
              <w:rPr>
                <w:lang w:val="en-AU"/>
              </w:rPr>
            </w:pPr>
            <w:r w:rsidRPr="000F3C8B">
              <w:rPr>
                <w:lang w:val="en-AU"/>
              </w:rPr>
              <w:t>No mortalities</w:t>
            </w:r>
          </w:p>
        </w:tc>
        <w:tc>
          <w:tcPr>
            <w:tcW w:w="748" w:type="dxa"/>
            <w:tcBorders>
              <w:top w:val="single" w:sz="4" w:space="0" w:color="auto"/>
            </w:tcBorders>
          </w:tcPr>
          <w:p w:rsidR="00DB3604" w:rsidRPr="000F3C8B" w:rsidRDefault="00927A2E" w:rsidP="000C06E6">
            <w:pPr>
              <w:pStyle w:val="TableText0"/>
              <w:jc w:val="center"/>
              <w:rPr>
                <w:lang w:val="en-AU"/>
              </w:rPr>
            </w:pPr>
            <w:r w:rsidRPr="000F3C8B">
              <w:rPr>
                <w:lang w:val="en-AU"/>
              </w:rPr>
              <w:t>NR</w:t>
            </w:r>
          </w:p>
        </w:tc>
      </w:tr>
      <w:tr w:rsidR="00DB3604" w:rsidRPr="00965DBA" w:rsidTr="0007443E">
        <w:trPr>
          <w:trHeight w:val="128"/>
        </w:trPr>
        <w:tc>
          <w:tcPr>
            <w:tcW w:w="1464" w:type="dxa"/>
          </w:tcPr>
          <w:p w:rsidR="00DB3604" w:rsidRPr="000F3C8B" w:rsidRDefault="00DB3604" w:rsidP="00E64157">
            <w:pPr>
              <w:pStyle w:val="TableText0"/>
              <w:rPr>
                <w:b/>
                <w:lang w:val="en-AU"/>
              </w:rPr>
            </w:pPr>
            <w:r w:rsidRPr="000F3C8B">
              <w:rPr>
                <w:b/>
                <w:lang w:val="en-AU"/>
              </w:rPr>
              <w:t>Study total</w:t>
            </w:r>
          </w:p>
        </w:tc>
        <w:tc>
          <w:tcPr>
            <w:tcW w:w="992" w:type="dxa"/>
          </w:tcPr>
          <w:p w:rsidR="00DB3604" w:rsidRPr="000F3C8B" w:rsidRDefault="00DB3604" w:rsidP="00E64157">
            <w:pPr>
              <w:pStyle w:val="TableText0"/>
              <w:rPr>
                <w:b/>
                <w:lang w:val="en-AU"/>
              </w:rPr>
            </w:pPr>
          </w:p>
        </w:tc>
        <w:tc>
          <w:tcPr>
            <w:tcW w:w="567" w:type="dxa"/>
          </w:tcPr>
          <w:p w:rsidR="00DB3604" w:rsidRPr="000F3C8B" w:rsidRDefault="00DB3604" w:rsidP="00E64157">
            <w:pPr>
              <w:pStyle w:val="TableText0"/>
              <w:rPr>
                <w:b/>
                <w:lang w:val="en-AU"/>
              </w:rPr>
            </w:pPr>
            <w:r w:rsidRPr="000F3C8B">
              <w:rPr>
                <w:b/>
                <w:lang w:val="en-AU"/>
              </w:rPr>
              <w:t>0/11</w:t>
            </w:r>
          </w:p>
        </w:tc>
        <w:tc>
          <w:tcPr>
            <w:tcW w:w="2126" w:type="dxa"/>
          </w:tcPr>
          <w:p w:rsidR="00DB3604" w:rsidRPr="000F3C8B" w:rsidRDefault="00DB3604" w:rsidP="00E64157">
            <w:pPr>
              <w:pStyle w:val="TableText0"/>
              <w:rPr>
                <w:b/>
                <w:lang w:val="en-AU"/>
              </w:rPr>
            </w:pPr>
          </w:p>
        </w:tc>
        <w:tc>
          <w:tcPr>
            <w:tcW w:w="466" w:type="dxa"/>
          </w:tcPr>
          <w:p w:rsidR="00DB3604" w:rsidRPr="000F3C8B" w:rsidRDefault="00DB3604" w:rsidP="00E64157">
            <w:pPr>
              <w:pStyle w:val="TableText0"/>
              <w:rPr>
                <w:b/>
                <w:lang w:val="en-AU"/>
              </w:rPr>
            </w:pPr>
            <w:r w:rsidRPr="000F3C8B">
              <w:rPr>
                <w:b/>
                <w:lang w:val="en-AU"/>
              </w:rPr>
              <w:t>0/11</w:t>
            </w:r>
          </w:p>
        </w:tc>
        <w:tc>
          <w:tcPr>
            <w:tcW w:w="1519" w:type="dxa"/>
          </w:tcPr>
          <w:p w:rsidR="00DB3604" w:rsidRPr="000F3C8B" w:rsidRDefault="00DB3604" w:rsidP="00E64157">
            <w:pPr>
              <w:pStyle w:val="TableText0"/>
              <w:rPr>
                <w:b/>
                <w:lang w:val="en-AU"/>
              </w:rPr>
            </w:pPr>
          </w:p>
        </w:tc>
        <w:tc>
          <w:tcPr>
            <w:tcW w:w="748" w:type="dxa"/>
          </w:tcPr>
          <w:p w:rsidR="00DB3604" w:rsidRPr="000F3C8B" w:rsidRDefault="00DB3604" w:rsidP="000C06E6">
            <w:pPr>
              <w:pStyle w:val="TableText0"/>
              <w:jc w:val="center"/>
              <w:rPr>
                <w:b/>
                <w:lang w:val="en-AU"/>
              </w:rPr>
            </w:pPr>
          </w:p>
        </w:tc>
      </w:tr>
      <w:tr w:rsidR="00DB3604" w:rsidRPr="00965DBA" w:rsidTr="0007443E">
        <w:trPr>
          <w:trHeight w:val="128"/>
        </w:trPr>
        <w:tc>
          <w:tcPr>
            <w:tcW w:w="1464" w:type="dxa"/>
          </w:tcPr>
          <w:p w:rsidR="00DB3604" w:rsidRPr="000F3C8B" w:rsidRDefault="00DB3604" w:rsidP="00E64157">
            <w:pPr>
              <w:pStyle w:val="TableText0"/>
              <w:rPr>
                <w:lang w:val="en-AU"/>
              </w:rPr>
            </w:pPr>
            <w:r w:rsidRPr="000F3C8B">
              <w:rPr>
                <w:lang w:val="en-AU"/>
              </w:rPr>
              <w:t>Nagula</w:t>
            </w:r>
            <w:r w:rsidR="00DB1657" w:rsidRPr="000F3C8B">
              <w:rPr>
                <w:lang w:val="en-AU"/>
              </w:rPr>
              <w:t xml:space="preserve"> et al</w:t>
            </w:r>
            <w:r w:rsidRPr="000F3C8B">
              <w:rPr>
                <w:lang w:val="en-AU"/>
              </w:rPr>
              <w:t xml:space="preserve"> (2010)</w:t>
            </w:r>
          </w:p>
        </w:tc>
        <w:tc>
          <w:tcPr>
            <w:tcW w:w="992" w:type="dxa"/>
          </w:tcPr>
          <w:p w:rsidR="00DB3604" w:rsidRPr="000F3C8B" w:rsidRDefault="00DB3604" w:rsidP="00E64157">
            <w:pPr>
              <w:pStyle w:val="TableText0"/>
              <w:rPr>
                <w:lang w:val="en-AU"/>
              </w:rPr>
            </w:pPr>
            <w:r w:rsidRPr="000F3C8B">
              <w:rPr>
                <w:lang w:val="en-AU"/>
              </w:rPr>
              <w:t>III-2</w:t>
            </w:r>
          </w:p>
        </w:tc>
        <w:tc>
          <w:tcPr>
            <w:tcW w:w="567" w:type="dxa"/>
          </w:tcPr>
          <w:p w:rsidR="00DB3604" w:rsidRPr="000F3C8B" w:rsidRDefault="00DB3604" w:rsidP="00E64157">
            <w:pPr>
              <w:pStyle w:val="TableText0"/>
              <w:rPr>
                <w:lang w:val="en-AU"/>
              </w:rPr>
            </w:pPr>
          </w:p>
        </w:tc>
        <w:tc>
          <w:tcPr>
            <w:tcW w:w="2126" w:type="dxa"/>
          </w:tcPr>
          <w:p w:rsidR="00DB3604" w:rsidRPr="000F3C8B" w:rsidRDefault="00DB3604" w:rsidP="00E64157">
            <w:pPr>
              <w:pStyle w:val="TableText0"/>
              <w:rPr>
                <w:lang w:val="en-AU"/>
              </w:rPr>
            </w:pPr>
            <w:r w:rsidRPr="000F3C8B">
              <w:rPr>
                <w:lang w:val="en-AU"/>
              </w:rPr>
              <w:t>No mortalities</w:t>
            </w:r>
          </w:p>
        </w:tc>
        <w:tc>
          <w:tcPr>
            <w:tcW w:w="466" w:type="dxa"/>
          </w:tcPr>
          <w:p w:rsidR="00DB3604" w:rsidRPr="000F3C8B" w:rsidRDefault="00DB3604" w:rsidP="00E64157">
            <w:pPr>
              <w:pStyle w:val="TableText0"/>
              <w:rPr>
                <w:lang w:val="en-AU"/>
              </w:rPr>
            </w:pPr>
          </w:p>
        </w:tc>
        <w:tc>
          <w:tcPr>
            <w:tcW w:w="1519" w:type="dxa"/>
          </w:tcPr>
          <w:p w:rsidR="00DB3604" w:rsidRPr="000F3C8B" w:rsidRDefault="00DB3604" w:rsidP="00E64157">
            <w:pPr>
              <w:pStyle w:val="TableText0"/>
              <w:rPr>
                <w:lang w:val="en-AU"/>
              </w:rPr>
            </w:pPr>
            <w:r w:rsidRPr="000F3C8B">
              <w:rPr>
                <w:lang w:val="en-AU"/>
              </w:rPr>
              <w:t>No mortalities</w:t>
            </w:r>
          </w:p>
        </w:tc>
        <w:tc>
          <w:tcPr>
            <w:tcW w:w="748" w:type="dxa"/>
          </w:tcPr>
          <w:p w:rsidR="00DB3604" w:rsidRPr="000F3C8B" w:rsidRDefault="00927A2E" w:rsidP="000C06E6">
            <w:pPr>
              <w:pStyle w:val="TableText0"/>
              <w:jc w:val="center"/>
              <w:rPr>
                <w:lang w:val="en-AU"/>
              </w:rPr>
            </w:pPr>
            <w:r w:rsidRPr="000F3C8B">
              <w:rPr>
                <w:lang w:val="en-AU"/>
              </w:rPr>
              <w:t>NR</w:t>
            </w:r>
          </w:p>
        </w:tc>
      </w:tr>
      <w:tr w:rsidR="00DB3604" w:rsidRPr="00965DBA" w:rsidTr="0007443E">
        <w:trPr>
          <w:trHeight w:val="128"/>
        </w:trPr>
        <w:tc>
          <w:tcPr>
            <w:tcW w:w="1464" w:type="dxa"/>
          </w:tcPr>
          <w:p w:rsidR="00DB3604" w:rsidRPr="000F3C8B" w:rsidRDefault="00DB3604" w:rsidP="00E64157">
            <w:pPr>
              <w:pStyle w:val="TableText0"/>
              <w:rPr>
                <w:b/>
                <w:lang w:val="en-AU"/>
              </w:rPr>
            </w:pPr>
            <w:r w:rsidRPr="000F3C8B">
              <w:rPr>
                <w:b/>
                <w:lang w:val="en-AU"/>
              </w:rPr>
              <w:t>Study total</w:t>
            </w:r>
          </w:p>
        </w:tc>
        <w:tc>
          <w:tcPr>
            <w:tcW w:w="992" w:type="dxa"/>
          </w:tcPr>
          <w:p w:rsidR="00DB3604" w:rsidRPr="000F3C8B" w:rsidRDefault="00DB3604" w:rsidP="00E64157">
            <w:pPr>
              <w:pStyle w:val="TableText0"/>
              <w:rPr>
                <w:b/>
                <w:lang w:val="en-AU"/>
              </w:rPr>
            </w:pPr>
          </w:p>
        </w:tc>
        <w:tc>
          <w:tcPr>
            <w:tcW w:w="567" w:type="dxa"/>
          </w:tcPr>
          <w:p w:rsidR="00DB3604" w:rsidRPr="000F3C8B" w:rsidRDefault="00DB3604" w:rsidP="00E64157">
            <w:pPr>
              <w:pStyle w:val="TableText0"/>
              <w:rPr>
                <w:b/>
                <w:lang w:val="en-AU"/>
              </w:rPr>
            </w:pPr>
            <w:r w:rsidRPr="000F3C8B">
              <w:rPr>
                <w:b/>
                <w:lang w:val="en-AU"/>
              </w:rPr>
              <w:t>0/30</w:t>
            </w:r>
          </w:p>
        </w:tc>
        <w:tc>
          <w:tcPr>
            <w:tcW w:w="2126" w:type="dxa"/>
          </w:tcPr>
          <w:p w:rsidR="00DB3604" w:rsidRPr="000F3C8B" w:rsidRDefault="00DB3604" w:rsidP="00E64157">
            <w:pPr>
              <w:pStyle w:val="TableText0"/>
              <w:rPr>
                <w:b/>
                <w:lang w:val="en-AU"/>
              </w:rPr>
            </w:pPr>
          </w:p>
        </w:tc>
        <w:tc>
          <w:tcPr>
            <w:tcW w:w="466" w:type="dxa"/>
          </w:tcPr>
          <w:p w:rsidR="00DB3604" w:rsidRPr="000F3C8B" w:rsidRDefault="00DB3604" w:rsidP="00E64157">
            <w:pPr>
              <w:pStyle w:val="TableText0"/>
              <w:rPr>
                <w:b/>
                <w:lang w:val="en-AU"/>
              </w:rPr>
            </w:pPr>
            <w:r w:rsidRPr="000F3C8B">
              <w:rPr>
                <w:b/>
                <w:lang w:val="en-AU"/>
              </w:rPr>
              <w:t>0/14</w:t>
            </w:r>
          </w:p>
        </w:tc>
        <w:tc>
          <w:tcPr>
            <w:tcW w:w="1519" w:type="dxa"/>
          </w:tcPr>
          <w:p w:rsidR="00DB3604" w:rsidRPr="000F3C8B" w:rsidRDefault="00DB3604" w:rsidP="00E64157">
            <w:pPr>
              <w:pStyle w:val="TableText0"/>
              <w:rPr>
                <w:b/>
                <w:lang w:val="en-AU"/>
              </w:rPr>
            </w:pPr>
          </w:p>
        </w:tc>
        <w:tc>
          <w:tcPr>
            <w:tcW w:w="748" w:type="dxa"/>
          </w:tcPr>
          <w:p w:rsidR="00DB3604" w:rsidRPr="000F3C8B" w:rsidRDefault="00DB3604" w:rsidP="000C06E6">
            <w:pPr>
              <w:pStyle w:val="TableText0"/>
              <w:jc w:val="center"/>
              <w:rPr>
                <w:b/>
                <w:lang w:val="en-AU"/>
              </w:rPr>
            </w:pPr>
          </w:p>
        </w:tc>
      </w:tr>
      <w:tr w:rsidR="003C1EAC" w:rsidRPr="00965DBA" w:rsidTr="0007443E">
        <w:trPr>
          <w:trHeight w:val="128"/>
        </w:trPr>
        <w:tc>
          <w:tcPr>
            <w:tcW w:w="1464" w:type="dxa"/>
          </w:tcPr>
          <w:p w:rsidR="003C1EAC" w:rsidRPr="000F3C8B" w:rsidRDefault="003C1EAC" w:rsidP="00E64157">
            <w:pPr>
              <w:pStyle w:val="TableText0"/>
              <w:rPr>
                <w:lang w:val="en-AU"/>
              </w:rPr>
            </w:pPr>
            <w:r w:rsidRPr="000F3C8B">
              <w:rPr>
                <w:lang w:val="en-AU"/>
              </w:rPr>
              <w:t>Varadarajulu</w:t>
            </w:r>
            <w:r w:rsidR="00DB1657" w:rsidRPr="000F3C8B">
              <w:rPr>
                <w:lang w:val="en-AU"/>
              </w:rPr>
              <w:t xml:space="preserve"> et al</w:t>
            </w:r>
            <w:r w:rsidRPr="000F3C8B">
              <w:rPr>
                <w:lang w:val="en-AU"/>
              </w:rPr>
              <w:t xml:space="preserve"> (2011)</w:t>
            </w:r>
          </w:p>
        </w:tc>
        <w:tc>
          <w:tcPr>
            <w:tcW w:w="992" w:type="dxa"/>
          </w:tcPr>
          <w:p w:rsidR="003C1EAC" w:rsidRPr="000F3C8B" w:rsidRDefault="003C1EAC" w:rsidP="00E64157">
            <w:pPr>
              <w:pStyle w:val="TableText0"/>
              <w:rPr>
                <w:lang w:val="en-AU"/>
              </w:rPr>
            </w:pPr>
            <w:r w:rsidRPr="000F3C8B">
              <w:rPr>
                <w:lang w:val="en-AU"/>
              </w:rPr>
              <w:t>III-3</w:t>
            </w:r>
          </w:p>
        </w:tc>
        <w:tc>
          <w:tcPr>
            <w:tcW w:w="567" w:type="dxa"/>
          </w:tcPr>
          <w:p w:rsidR="003C1EAC" w:rsidRPr="000F3C8B" w:rsidRDefault="003C1EAC" w:rsidP="00E64157">
            <w:pPr>
              <w:pStyle w:val="TableText0"/>
              <w:rPr>
                <w:lang w:val="en-AU"/>
              </w:rPr>
            </w:pPr>
          </w:p>
        </w:tc>
        <w:tc>
          <w:tcPr>
            <w:tcW w:w="2126" w:type="dxa"/>
          </w:tcPr>
          <w:p w:rsidR="003C1EAC" w:rsidRPr="000F3C8B" w:rsidRDefault="003C1EAC" w:rsidP="00E64157">
            <w:pPr>
              <w:pStyle w:val="TableText0"/>
              <w:rPr>
                <w:lang w:val="en-AU"/>
              </w:rPr>
            </w:pPr>
            <w:r w:rsidRPr="000F3C8B">
              <w:rPr>
                <w:lang w:val="en-AU"/>
              </w:rPr>
              <w:t>No mortalities</w:t>
            </w:r>
          </w:p>
        </w:tc>
        <w:tc>
          <w:tcPr>
            <w:tcW w:w="466" w:type="dxa"/>
          </w:tcPr>
          <w:p w:rsidR="003C1EAC" w:rsidRPr="000F3C8B" w:rsidRDefault="003C1EAC" w:rsidP="00E64157">
            <w:pPr>
              <w:pStyle w:val="TableText0"/>
              <w:rPr>
                <w:lang w:val="en-AU"/>
              </w:rPr>
            </w:pPr>
            <w:r w:rsidRPr="000F3C8B">
              <w:rPr>
                <w:lang w:val="en-AU"/>
              </w:rPr>
              <w:t>1/24</w:t>
            </w:r>
          </w:p>
        </w:tc>
        <w:tc>
          <w:tcPr>
            <w:tcW w:w="1519" w:type="dxa"/>
          </w:tcPr>
          <w:p w:rsidR="003C1EAC" w:rsidRPr="000F3C8B" w:rsidRDefault="003C1EAC" w:rsidP="00E64157">
            <w:pPr>
              <w:pStyle w:val="TableText0"/>
              <w:rPr>
                <w:lang w:val="en-AU"/>
              </w:rPr>
            </w:pPr>
            <w:r w:rsidRPr="000F3C8B">
              <w:rPr>
                <w:lang w:val="en-AU"/>
              </w:rPr>
              <w:t>Sepsis</w:t>
            </w:r>
          </w:p>
        </w:tc>
        <w:tc>
          <w:tcPr>
            <w:tcW w:w="748" w:type="dxa"/>
          </w:tcPr>
          <w:p w:rsidR="003C1EAC" w:rsidRPr="000F3C8B" w:rsidRDefault="003C1EAC" w:rsidP="000C06E6">
            <w:pPr>
              <w:pStyle w:val="TableText0"/>
              <w:jc w:val="center"/>
              <w:rPr>
                <w:lang w:val="en-AU"/>
              </w:rPr>
            </w:pPr>
            <w:r w:rsidRPr="000F3C8B">
              <w:rPr>
                <w:lang w:val="en-AU"/>
              </w:rPr>
              <w:t>NR</w:t>
            </w:r>
          </w:p>
        </w:tc>
      </w:tr>
      <w:tr w:rsidR="00EB5D2C" w:rsidRPr="00965DBA" w:rsidTr="0007443E">
        <w:trPr>
          <w:trHeight w:val="128"/>
        </w:trPr>
        <w:tc>
          <w:tcPr>
            <w:tcW w:w="1464" w:type="dxa"/>
          </w:tcPr>
          <w:p w:rsidR="00EB5D2C" w:rsidRPr="000F3C8B" w:rsidRDefault="00EB5D2C" w:rsidP="00E64157">
            <w:pPr>
              <w:pStyle w:val="TableText0"/>
              <w:rPr>
                <w:lang w:val="en-AU"/>
              </w:rPr>
            </w:pPr>
            <w:r w:rsidRPr="000F3C8B">
              <w:rPr>
                <w:b/>
                <w:lang w:val="en-AU"/>
              </w:rPr>
              <w:t>Study total</w:t>
            </w:r>
          </w:p>
        </w:tc>
        <w:tc>
          <w:tcPr>
            <w:tcW w:w="992" w:type="dxa"/>
          </w:tcPr>
          <w:p w:rsidR="00EB5D2C" w:rsidRPr="000F3C8B" w:rsidRDefault="00EB5D2C" w:rsidP="00E64157">
            <w:pPr>
              <w:pStyle w:val="TableText0"/>
              <w:rPr>
                <w:lang w:val="en-AU"/>
              </w:rPr>
            </w:pPr>
          </w:p>
        </w:tc>
        <w:tc>
          <w:tcPr>
            <w:tcW w:w="567" w:type="dxa"/>
          </w:tcPr>
          <w:p w:rsidR="00EB5D2C" w:rsidRPr="000F3C8B" w:rsidRDefault="00EB5D2C" w:rsidP="00E64157">
            <w:pPr>
              <w:pStyle w:val="TableText0"/>
              <w:rPr>
                <w:lang w:val="en-AU"/>
              </w:rPr>
            </w:pPr>
            <w:r w:rsidRPr="000F3C8B">
              <w:rPr>
                <w:b/>
                <w:lang w:val="en-AU"/>
              </w:rPr>
              <w:t>0/12</w:t>
            </w:r>
          </w:p>
        </w:tc>
        <w:tc>
          <w:tcPr>
            <w:tcW w:w="2126" w:type="dxa"/>
          </w:tcPr>
          <w:p w:rsidR="00EB5D2C" w:rsidRPr="000F3C8B" w:rsidRDefault="00EB5D2C" w:rsidP="00E64157">
            <w:pPr>
              <w:pStyle w:val="TableText0"/>
              <w:rPr>
                <w:lang w:val="en-AU"/>
              </w:rPr>
            </w:pPr>
          </w:p>
        </w:tc>
        <w:tc>
          <w:tcPr>
            <w:tcW w:w="466" w:type="dxa"/>
          </w:tcPr>
          <w:p w:rsidR="00EB5D2C" w:rsidRPr="000F3C8B" w:rsidRDefault="00EB5D2C" w:rsidP="00E64157">
            <w:pPr>
              <w:pStyle w:val="TableText0"/>
              <w:rPr>
                <w:lang w:val="en-AU"/>
              </w:rPr>
            </w:pPr>
            <w:r w:rsidRPr="000F3C8B">
              <w:rPr>
                <w:b/>
                <w:lang w:val="en-AU"/>
              </w:rPr>
              <w:t>1/24</w:t>
            </w:r>
          </w:p>
        </w:tc>
        <w:tc>
          <w:tcPr>
            <w:tcW w:w="1519" w:type="dxa"/>
          </w:tcPr>
          <w:p w:rsidR="00EB5D2C" w:rsidRPr="000F3C8B" w:rsidRDefault="00EB5D2C" w:rsidP="00E64157">
            <w:pPr>
              <w:pStyle w:val="TableText0"/>
              <w:rPr>
                <w:lang w:val="en-AU"/>
              </w:rPr>
            </w:pPr>
          </w:p>
        </w:tc>
        <w:tc>
          <w:tcPr>
            <w:tcW w:w="748" w:type="dxa"/>
          </w:tcPr>
          <w:p w:rsidR="00EB5D2C" w:rsidRPr="000F3C8B" w:rsidRDefault="00EB5D2C" w:rsidP="000C06E6">
            <w:pPr>
              <w:pStyle w:val="TableText0"/>
              <w:jc w:val="center"/>
              <w:rPr>
                <w:lang w:val="en-AU"/>
              </w:rPr>
            </w:pPr>
          </w:p>
        </w:tc>
      </w:tr>
      <w:tr w:rsidR="00EB5D2C" w:rsidRPr="00965DBA" w:rsidTr="0007443E">
        <w:trPr>
          <w:trHeight w:val="128"/>
        </w:trPr>
        <w:tc>
          <w:tcPr>
            <w:tcW w:w="1464" w:type="dxa"/>
          </w:tcPr>
          <w:p w:rsidR="00EB5D2C" w:rsidRPr="000F3C8B" w:rsidRDefault="00EB5D2C" w:rsidP="00E64157">
            <w:pPr>
              <w:pStyle w:val="TableText0"/>
              <w:rPr>
                <w:lang w:val="en-AU"/>
              </w:rPr>
            </w:pPr>
            <w:r w:rsidRPr="000F3C8B">
              <w:rPr>
                <w:lang w:val="en-AU"/>
              </w:rPr>
              <w:t>Baik</w:t>
            </w:r>
            <w:r w:rsidR="00DB1657" w:rsidRPr="000F3C8B">
              <w:rPr>
                <w:lang w:val="en-AU"/>
              </w:rPr>
              <w:t xml:space="preserve"> et al</w:t>
            </w:r>
            <w:r w:rsidRPr="000F3C8B">
              <w:rPr>
                <w:lang w:val="en-AU"/>
              </w:rPr>
              <w:t xml:space="preserve"> (2006)</w:t>
            </w:r>
          </w:p>
        </w:tc>
        <w:tc>
          <w:tcPr>
            <w:tcW w:w="992" w:type="dxa"/>
          </w:tcPr>
          <w:p w:rsidR="00EB5D2C" w:rsidRPr="000F3C8B" w:rsidRDefault="00EB5D2C" w:rsidP="00E64157">
            <w:pPr>
              <w:pStyle w:val="TableText0"/>
              <w:rPr>
                <w:lang w:val="en-AU"/>
              </w:rPr>
            </w:pPr>
            <w:r w:rsidRPr="000F3C8B">
              <w:rPr>
                <w:lang w:val="en-AU"/>
              </w:rPr>
              <w:t>III-3</w:t>
            </w:r>
          </w:p>
        </w:tc>
        <w:tc>
          <w:tcPr>
            <w:tcW w:w="567" w:type="dxa"/>
          </w:tcPr>
          <w:p w:rsidR="00EB5D2C" w:rsidRPr="000F3C8B" w:rsidRDefault="00EB5D2C" w:rsidP="00E64157">
            <w:pPr>
              <w:pStyle w:val="TableText0"/>
              <w:rPr>
                <w:lang w:val="en-AU"/>
              </w:rPr>
            </w:pPr>
          </w:p>
        </w:tc>
        <w:tc>
          <w:tcPr>
            <w:tcW w:w="2126" w:type="dxa"/>
          </w:tcPr>
          <w:p w:rsidR="00EB5D2C" w:rsidRPr="000F3C8B" w:rsidRDefault="00EB5D2C" w:rsidP="00E64157">
            <w:pPr>
              <w:pStyle w:val="TableText0"/>
              <w:rPr>
                <w:lang w:val="en-AU"/>
              </w:rPr>
            </w:pPr>
            <w:r w:rsidRPr="000F3C8B">
              <w:rPr>
                <w:lang w:val="en-AU"/>
              </w:rPr>
              <w:t>No mortalities</w:t>
            </w:r>
          </w:p>
        </w:tc>
        <w:tc>
          <w:tcPr>
            <w:tcW w:w="466" w:type="dxa"/>
          </w:tcPr>
          <w:p w:rsidR="00EB5D2C" w:rsidRPr="000F3C8B" w:rsidRDefault="00EB5D2C" w:rsidP="00E64157">
            <w:pPr>
              <w:pStyle w:val="TableText0"/>
              <w:rPr>
                <w:lang w:val="en-AU"/>
              </w:rPr>
            </w:pPr>
          </w:p>
        </w:tc>
        <w:tc>
          <w:tcPr>
            <w:tcW w:w="1519" w:type="dxa"/>
          </w:tcPr>
          <w:p w:rsidR="00EB5D2C" w:rsidRPr="000F3C8B" w:rsidRDefault="00EB5D2C" w:rsidP="00E64157">
            <w:pPr>
              <w:pStyle w:val="TableText0"/>
              <w:rPr>
                <w:lang w:val="en-AU"/>
              </w:rPr>
            </w:pPr>
            <w:r w:rsidRPr="000F3C8B">
              <w:rPr>
                <w:lang w:val="en-AU"/>
              </w:rPr>
              <w:t>No mortalities</w:t>
            </w:r>
          </w:p>
        </w:tc>
        <w:tc>
          <w:tcPr>
            <w:tcW w:w="748" w:type="dxa"/>
          </w:tcPr>
          <w:p w:rsidR="00EB5D2C" w:rsidRPr="000F3C8B" w:rsidRDefault="00EB5D2C" w:rsidP="000C06E6">
            <w:pPr>
              <w:pStyle w:val="TableText0"/>
              <w:jc w:val="center"/>
              <w:rPr>
                <w:lang w:val="en-AU"/>
              </w:rPr>
            </w:pPr>
            <w:r w:rsidRPr="000F3C8B">
              <w:rPr>
                <w:lang w:val="en-AU"/>
              </w:rPr>
              <w:t>NR</w:t>
            </w:r>
          </w:p>
        </w:tc>
      </w:tr>
      <w:tr w:rsidR="00EB5D2C" w:rsidRPr="00965DBA" w:rsidTr="0007443E">
        <w:trPr>
          <w:trHeight w:val="128"/>
        </w:trPr>
        <w:tc>
          <w:tcPr>
            <w:tcW w:w="1464" w:type="dxa"/>
          </w:tcPr>
          <w:p w:rsidR="00EB5D2C" w:rsidRPr="000F3C8B" w:rsidRDefault="00EB5D2C" w:rsidP="00E64157">
            <w:pPr>
              <w:pStyle w:val="TableText0"/>
              <w:rPr>
                <w:lang w:val="en-AU"/>
              </w:rPr>
            </w:pPr>
            <w:r w:rsidRPr="000F3C8B">
              <w:rPr>
                <w:b/>
                <w:lang w:val="en-AU"/>
              </w:rPr>
              <w:t>Study total</w:t>
            </w:r>
          </w:p>
        </w:tc>
        <w:tc>
          <w:tcPr>
            <w:tcW w:w="992" w:type="dxa"/>
          </w:tcPr>
          <w:p w:rsidR="00EB5D2C" w:rsidRPr="000F3C8B" w:rsidRDefault="00EB5D2C" w:rsidP="00E64157">
            <w:pPr>
              <w:pStyle w:val="TableText0"/>
              <w:rPr>
                <w:lang w:val="en-AU"/>
              </w:rPr>
            </w:pPr>
          </w:p>
        </w:tc>
        <w:tc>
          <w:tcPr>
            <w:tcW w:w="567" w:type="dxa"/>
          </w:tcPr>
          <w:p w:rsidR="00EB5D2C" w:rsidRPr="000F3C8B" w:rsidRDefault="00EB5D2C" w:rsidP="00E64157">
            <w:pPr>
              <w:pStyle w:val="TableText0"/>
              <w:rPr>
                <w:lang w:val="en-AU"/>
              </w:rPr>
            </w:pPr>
            <w:r w:rsidRPr="000F3C8B">
              <w:rPr>
                <w:b/>
                <w:lang w:val="en-AU"/>
              </w:rPr>
              <w:t>0/18</w:t>
            </w:r>
          </w:p>
        </w:tc>
        <w:tc>
          <w:tcPr>
            <w:tcW w:w="2126" w:type="dxa"/>
          </w:tcPr>
          <w:p w:rsidR="00EB5D2C" w:rsidRPr="000F3C8B" w:rsidRDefault="00EB5D2C" w:rsidP="00E64157">
            <w:pPr>
              <w:pStyle w:val="TableText0"/>
              <w:rPr>
                <w:lang w:val="en-AU"/>
              </w:rPr>
            </w:pPr>
          </w:p>
        </w:tc>
        <w:tc>
          <w:tcPr>
            <w:tcW w:w="466" w:type="dxa"/>
          </w:tcPr>
          <w:p w:rsidR="00EB5D2C" w:rsidRPr="000F3C8B" w:rsidRDefault="00EB5D2C" w:rsidP="00E64157">
            <w:pPr>
              <w:pStyle w:val="TableText0"/>
              <w:rPr>
                <w:lang w:val="en-AU"/>
              </w:rPr>
            </w:pPr>
            <w:r w:rsidRPr="000F3C8B">
              <w:rPr>
                <w:b/>
                <w:lang w:val="en-AU"/>
              </w:rPr>
              <w:t>0/19</w:t>
            </w:r>
          </w:p>
        </w:tc>
        <w:tc>
          <w:tcPr>
            <w:tcW w:w="1519" w:type="dxa"/>
          </w:tcPr>
          <w:p w:rsidR="00EB5D2C" w:rsidRPr="000F3C8B" w:rsidRDefault="00EB5D2C" w:rsidP="00E64157">
            <w:pPr>
              <w:pStyle w:val="TableText0"/>
              <w:rPr>
                <w:lang w:val="en-AU"/>
              </w:rPr>
            </w:pPr>
          </w:p>
        </w:tc>
        <w:tc>
          <w:tcPr>
            <w:tcW w:w="748" w:type="dxa"/>
          </w:tcPr>
          <w:p w:rsidR="00EB5D2C" w:rsidRPr="000F3C8B" w:rsidRDefault="00EB5D2C" w:rsidP="000C06E6">
            <w:pPr>
              <w:pStyle w:val="TableText0"/>
              <w:jc w:val="center"/>
              <w:rPr>
                <w:lang w:val="en-AU"/>
              </w:rPr>
            </w:pPr>
          </w:p>
        </w:tc>
      </w:tr>
      <w:tr w:rsidR="00EB5D2C" w:rsidRPr="00965DBA" w:rsidTr="0007443E">
        <w:trPr>
          <w:trHeight w:val="128"/>
        </w:trPr>
        <w:tc>
          <w:tcPr>
            <w:tcW w:w="1464" w:type="dxa"/>
          </w:tcPr>
          <w:p w:rsidR="00EB5D2C" w:rsidRPr="000F3C8B" w:rsidRDefault="00EB5D2C" w:rsidP="00E64157">
            <w:pPr>
              <w:pStyle w:val="TableText0"/>
              <w:rPr>
                <w:lang w:val="en-AU"/>
              </w:rPr>
            </w:pPr>
            <w:r w:rsidRPr="000F3C8B">
              <w:rPr>
                <w:lang w:val="en-AU"/>
              </w:rPr>
              <w:t>Johnson</w:t>
            </w:r>
            <w:r w:rsidR="00DB1657" w:rsidRPr="000F3C8B">
              <w:rPr>
                <w:lang w:val="en-AU"/>
              </w:rPr>
              <w:t xml:space="preserve"> et al</w:t>
            </w:r>
            <w:r w:rsidRPr="000F3C8B">
              <w:rPr>
                <w:lang w:val="en-AU"/>
              </w:rPr>
              <w:t xml:space="preserve"> (2004)</w:t>
            </w:r>
          </w:p>
        </w:tc>
        <w:tc>
          <w:tcPr>
            <w:tcW w:w="992" w:type="dxa"/>
          </w:tcPr>
          <w:p w:rsidR="00EB5D2C" w:rsidRPr="000F3C8B" w:rsidRDefault="00EB5D2C" w:rsidP="00E64157">
            <w:pPr>
              <w:pStyle w:val="TableText0"/>
              <w:rPr>
                <w:lang w:val="en-AU"/>
              </w:rPr>
            </w:pPr>
            <w:r w:rsidRPr="000F3C8B">
              <w:rPr>
                <w:lang w:val="en-AU"/>
              </w:rPr>
              <w:t>III-3</w:t>
            </w:r>
          </w:p>
        </w:tc>
        <w:tc>
          <w:tcPr>
            <w:tcW w:w="567" w:type="dxa"/>
          </w:tcPr>
          <w:p w:rsidR="00EB5D2C" w:rsidRPr="000F3C8B" w:rsidRDefault="00EB5D2C" w:rsidP="005E4BB0">
            <w:pPr>
              <w:pStyle w:val="TableText0"/>
              <w:rPr>
                <w:lang w:val="en-AU"/>
              </w:rPr>
            </w:pPr>
            <w:r w:rsidRPr="000F3C8B">
              <w:rPr>
                <w:lang w:val="en-AU"/>
              </w:rPr>
              <w:t>1/20</w:t>
            </w:r>
          </w:p>
        </w:tc>
        <w:tc>
          <w:tcPr>
            <w:tcW w:w="2126" w:type="dxa"/>
          </w:tcPr>
          <w:p w:rsidR="00EB5D2C" w:rsidRPr="000F3C8B" w:rsidRDefault="00EB5D2C" w:rsidP="00E64157">
            <w:pPr>
              <w:pStyle w:val="TableText0"/>
              <w:rPr>
                <w:lang w:val="en-AU"/>
              </w:rPr>
            </w:pPr>
            <w:r w:rsidRPr="000F3C8B">
              <w:rPr>
                <w:lang w:val="en-AU"/>
              </w:rPr>
              <w:t>Myocardial infarction with congestive cardiac failure</w:t>
            </w:r>
            <w:r w:rsidR="005E4BB0" w:rsidRPr="005E4BB0">
              <w:rPr>
                <w:vertAlign w:val="superscript"/>
                <w:lang w:val="en-AU"/>
              </w:rPr>
              <w:t>a</w:t>
            </w:r>
          </w:p>
        </w:tc>
        <w:tc>
          <w:tcPr>
            <w:tcW w:w="466" w:type="dxa"/>
          </w:tcPr>
          <w:p w:rsidR="00EB5D2C" w:rsidRPr="000F3C8B" w:rsidRDefault="00EB5D2C" w:rsidP="005E4BB0">
            <w:pPr>
              <w:pStyle w:val="TableText0"/>
              <w:rPr>
                <w:lang w:val="en-AU"/>
              </w:rPr>
            </w:pPr>
            <w:r w:rsidRPr="000F3C8B">
              <w:rPr>
                <w:lang w:val="en-AU"/>
              </w:rPr>
              <w:t>2/18</w:t>
            </w:r>
          </w:p>
        </w:tc>
        <w:tc>
          <w:tcPr>
            <w:tcW w:w="1519" w:type="dxa"/>
          </w:tcPr>
          <w:p w:rsidR="00EB5D2C" w:rsidRPr="000F3C8B" w:rsidRDefault="00EB5D2C" w:rsidP="00E64157">
            <w:pPr>
              <w:pStyle w:val="TableText0"/>
              <w:rPr>
                <w:lang w:val="en-AU"/>
              </w:rPr>
            </w:pPr>
            <w:r w:rsidRPr="000F3C8B">
              <w:rPr>
                <w:lang w:val="en-AU"/>
              </w:rPr>
              <w:t>Carcinomatosis</w:t>
            </w:r>
            <w:r w:rsidR="005E4BB0" w:rsidRPr="005E4BB0">
              <w:rPr>
                <w:vertAlign w:val="superscript"/>
                <w:lang w:val="en-AU"/>
              </w:rPr>
              <w:t>a</w:t>
            </w:r>
          </w:p>
        </w:tc>
        <w:tc>
          <w:tcPr>
            <w:tcW w:w="748" w:type="dxa"/>
          </w:tcPr>
          <w:p w:rsidR="00EB5D2C" w:rsidRPr="000F3C8B" w:rsidRDefault="00EB5D2C" w:rsidP="000C06E6">
            <w:pPr>
              <w:pStyle w:val="TableText0"/>
              <w:jc w:val="center"/>
              <w:rPr>
                <w:lang w:val="en-AU"/>
              </w:rPr>
            </w:pPr>
            <w:r w:rsidRPr="000F3C8B">
              <w:rPr>
                <w:lang w:val="en-AU"/>
              </w:rPr>
              <w:t>NR</w:t>
            </w:r>
          </w:p>
        </w:tc>
      </w:tr>
      <w:tr w:rsidR="00EB5D2C" w:rsidRPr="00965DBA" w:rsidTr="0007443E">
        <w:trPr>
          <w:trHeight w:val="128"/>
        </w:trPr>
        <w:tc>
          <w:tcPr>
            <w:tcW w:w="1464" w:type="dxa"/>
          </w:tcPr>
          <w:p w:rsidR="00EB5D2C" w:rsidRPr="000F3C8B" w:rsidRDefault="00EB5D2C" w:rsidP="00E64157">
            <w:pPr>
              <w:pStyle w:val="TableText0"/>
              <w:rPr>
                <w:lang w:val="en-AU"/>
              </w:rPr>
            </w:pPr>
          </w:p>
        </w:tc>
        <w:tc>
          <w:tcPr>
            <w:tcW w:w="992" w:type="dxa"/>
          </w:tcPr>
          <w:p w:rsidR="00EB5D2C" w:rsidRPr="000F3C8B" w:rsidRDefault="00EB5D2C" w:rsidP="00E64157">
            <w:pPr>
              <w:pStyle w:val="TableText0"/>
              <w:rPr>
                <w:lang w:val="en-AU"/>
              </w:rPr>
            </w:pPr>
          </w:p>
        </w:tc>
        <w:tc>
          <w:tcPr>
            <w:tcW w:w="567" w:type="dxa"/>
          </w:tcPr>
          <w:p w:rsidR="00EB5D2C" w:rsidRPr="000F3C8B" w:rsidRDefault="00EB5D2C" w:rsidP="005E4BB0">
            <w:pPr>
              <w:pStyle w:val="TableText0"/>
              <w:rPr>
                <w:lang w:val="en-AU"/>
              </w:rPr>
            </w:pPr>
            <w:r w:rsidRPr="000F3C8B">
              <w:rPr>
                <w:lang w:val="en-AU"/>
              </w:rPr>
              <w:t>1/20</w:t>
            </w:r>
          </w:p>
        </w:tc>
        <w:tc>
          <w:tcPr>
            <w:tcW w:w="2126" w:type="dxa"/>
          </w:tcPr>
          <w:p w:rsidR="00EB5D2C" w:rsidRPr="000F3C8B" w:rsidRDefault="00EB5D2C" w:rsidP="00E64157">
            <w:pPr>
              <w:pStyle w:val="TableText0"/>
              <w:rPr>
                <w:lang w:val="en-AU"/>
              </w:rPr>
            </w:pPr>
            <w:r w:rsidRPr="000F3C8B">
              <w:rPr>
                <w:lang w:val="en-AU"/>
              </w:rPr>
              <w:t>Cerebrovascular accident</w:t>
            </w:r>
            <w:r w:rsidR="005E4BB0" w:rsidRPr="005E4BB0">
              <w:rPr>
                <w:vertAlign w:val="superscript"/>
                <w:lang w:val="en-AU"/>
              </w:rPr>
              <w:t>a</w:t>
            </w:r>
          </w:p>
        </w:tc>
        <w:tc>
          <w:tcPr>
            <w:tcW w:w="466" w:type="dxa"/>
          </w:tcPr>
          <w:p w:rsidR="00EB5D2C" w:rsidRPr="000F3C8B" w:rsidRDefault="00EB5D2C" w:rsidP="00E64157">
            <w:pPr>
              <w:pStyle w:val="TableText0"/>
              <w:rPr>
                <w:lang w:val="en-AU"/>
              </w:rPr>
            </w:pPr>
          </w:p>
        </w:tc>
        <w:tc>
          <w:tcPr>
            <w:tcW w:w="1519" w:type="dxa"/>
          </w:tcPr>
          <w:p w:rsidR="00EB5D2C" w:rsidRPr="000F3C8B" w:rsidRDefault="00EB5D2C" w:rsidP="00E64157">
            <w:pPr>
              <w:pStyle w:val="TableText0"/>
              <w:rPr>
                <w:lang w:val="en-AU"/>
              </w:rPr>
            </w:pPr>
          </w:p>
        </w:tc>
        <w:tc>
          <w:tcPr>
            <w:tcW w:w="748" w:type="dxa"/>
          </w:tcPr>
          <w:p w:rsidR="00EB5D2C" w:rsidRPr="000F3C8B" w:rsidRDefault="00EB5D2C" w:rsidP="000C06E6">
            <w:pPr>
              <w:pStyle w:val="TableText0"/>
              <w:jc w:val="center"/>
              <w:rPr>
                <w:lang w:val="en-AU"/>
              </w:rPr>
            </w:pPr>
          </w:p>
        </w:tc>
      </w:tr>
      <w:tr w:rsidR="00EB5D2C" w:rsidRPr="00965DBA" w:rsidTr="0007443E">
        <w:trPr>
          <w:trHeight w:val="128"/>
        </w:trPr>
        <w:tc>
          <w:tcPr>
            <w:tcW w:w="1464" w:type="dxa"/>
          </w:tcPr>
          <w:p w:rsidR="00EB5D2C" w:rsidRPr="000F3C8B" w:rsidRDefault="00EB5D2C" w:rsidP="00E64157">
            <w:pPr>
              <w:pStyle w:val="TableText0"/>
              <w:rPr>
                <w:lang w:val="en-AU"/>
              </w:rPr>
            </w:pPr>
            <w:r w:rsidRPr="000F3C8B">
              <w:rPr>
                <w:b/>
                <w:lang w:val="en-AU"/>
              </w:rPr>
              <w:t>Study total</w:t>
            </w:r>
          </w:p>
        </w:tc>
        <w:tc>
          <w:tcPr>
            <w:tcW w:w="992" w:type="dxa"/>
          </w:tcPr>
          <w:p w:rsidR="00EB5D2C" w:rsidRPr="000F3C8B" w:rsidRDefault="00EB5D2C" w:rsidP="00E64157">
            <w:pPr>
              <w:pStyle w:val="TableText0"/>
              <w:rPr>
                <w:lang w:val="en-AU"/>
              </w:rPr>
            </w:pPr>
          </w:p>
        </w:tc>
        <w:tc>
          <w:tcPr>
            <w:tcW w:w="567" w:type="dxa"/>
          </w:tcPr>
          <w:p w:rsidR="00EB5D2C" w:rsidRPr="000F3C8B" w:rsidRDefault="00EB5D2C" w:rsidP="00E64157">
            <w:pPr>
              <w:pStyle w:val="TableText0"/>
              <w:rPr>
                <w:lang w:val="en-AU"/>
              </w:rPr>
            </w:pPr>
            <w:r w:rsidRPr="000F3C8B">
              <w:rPr>
                <w:b/>
                <w:lang w:val="en-AU"/>
              </w:rPr>
              <w:t>2/20</w:t>
            </w:r>
          </w:p>
        </w:tc>
        <w:tc>
          <w:tcPr>
            <w:tcW w:w="2126" w:type="dxa"/>
          </w:tcPr>
          <w:p w:rsidR="00EB5D2C" w:rsidRPr="000F3C8B" w:rsidRDefault="00EB5D2C" w:rsidP="00E64157">
            <w:pPr>
              <w:pStyle w:val="TableText0"/>
              <w:rPr>
                <w:lang w:val="en-AU"/>
              </w:rPr>
            </w:pPr>
          </w:p>
        </w:tc>
        <w:tc>
          <w:tcPr>
            <w:tcW w:w="466" w:type="dxa"/>
          </w:tcPr>
          <w:p w:rsidR="00EB5D2C" w:rsidRPr="000F3C8B" w:rsidRDefault="00EB5D2C" w:rsidP="00E64157">
            <w:pPr>
              <w:pStyle w:val="TableText0"/>
              <w:rPr>
                <w:lang w:val="en-AU"/>
              </w:rPr>
            </w:pPr>
            <w:r w:rsidRPr="000F3C8B">
              <w:rPr>
                <w:b/>
                <w:lang w:val="en-AU"/>
              </w:rPr>
              <w:t>2/18</w:t>
            </w:r>
          </w:p>
        </w:tc>
        <w:tc>
          <w:tcPr>
            <w:tcW w:w="1519" w:type="dxa"/>
          </w:tcPr>
          <w:p w:rsidR="00EB5D2C" w:rsidRPr="000F3C8B" w:rsidRDefault="00EB5D2C" w:rsidP="00E64157">
            <w:pPr>
              <w:pStyle w:val="TableText0"/>
              <w:rPr>
                <w:lang w:val="en-AU"/>
              </w:rPr>
            </w:pPr>
          </w:p>
        </w:tc>
        <w:tc>
          <w:tcPr>
            <w:tcW w:w="748" w:type="dxa"/>
          </w:tcPr>
          <w:p w:rsidR="00EB5D2C" w:rsidRPr="000F3C8B" w:rsidRDefault="00EB5D2C" w:rsidP="000C06E6">
            <w:pPr>
              <w:pStyle w:val="TableText0"/>
              <w:jc w:val="center"/>
              <w:rPr>
                <w:lang w:val="en-AU"/>
              </w:rPr>
            </w:pPr>
          </w:p>
        </w:tc>
      </w:tr>
      <w:tr w:rsidR="00EB5D2C" w:rsidRPr="00965DBA" w:rsidTr="0007443E">
        <w:trPr>
          <w:trHeight w:val="128"/>
        </w:trPr>
        <w:tc>
          <w:tcPr>
            <w:tcW w:w="1464" w:type="dxa"/>
          </w:tcPr>
          <w:p w:rsidR="00EB5D2C" w:rsidRPr="000F3C8B" w:rsidRDefault="00EB5D2C" w:rsidP="00E64157">
            <w:pPr>
              <w:pStyle w:val="TableText0"/>
              <w:rPr>
                <w:lang w:val="en-AU"/>
              </w:rPr>
            </w:pPr>
            <w:r w:rsidRPr="000F3C8B">
              <w:rPr>
                <w:lang w:val="en-AU"/>
              </w:rPr>
              <w:t xml:space="preserve">Osman </w:t>
            </w:r>
            <w:r w:rsidR="00DB1657" w:rsidRPr="000F3C8B">
              <w:rPr>
                <w:lang w:val="en-AU"/>
              </w:rPr>
              <w:t xml:space="preserve">et al </w:t>
            </w:r>
            <w:r w:rsidRPr="000F3C8B">
              <w:rPr>
                <w:lang w:val="en-AU"/>
              </w:rPr>
              <w:t>(2000)</w:t>
            </w:r>
          </w:p>
        </w:tc>
        <w:tc>
          <w:tcPr>
            <w:tcW w:w="992" w:type="dxa"/>
          </w:tcPr>
          <w:p w:rsidR="00EB5D2C" w:rsidRPr="000F3C8B" w:rsidRDefault="00EB5D2C" w:rsidP="00E64157">
            <w:pPr>
              <w:pStyle w:val="TableText0"/>
              <w:rPr>
                <w:lang w:val="en-AU"/>
              </w:rPr>
            </w:pPr>
            <w:r w:rsidRPr="000F3C8B">
              <w:rPr>
                <w:lang w:val="en-AU"/>
              </w:rPr>
              <w:t>III-3</w:t>
            </w:r>
          </w:p>
        </w:tc>
        <w:tc>
          <w:tcPr>
            <w:tcW w:w="567" w:type="dxa"/>
          </w:tcPr>
          <w:p w:rsidR="00EB5D2C" w:rsidRPr="000F3C8B" w:rsidRDefault="00EB5D2C" w:rsidP="00E64157">
            <w:pPr>
              <w:pStyle w:val="TableText0"/>
              <w:rPr>
                <w:lang w:val="en-AU"/>
              </w:rPr>
            </w:pPr>
          </w:p>
        </w:tc>
        <w:tc>
          <w:tcPr>
            <w:tcW w:w="2126" w:type="dxa"/>
          </w:tcPr>
          <w:p w:rsidR="00EB5D2C" w:rsidRPr="000F3C8B" w:rsidRDefault="00EB5D2C" w:rsidP="00E64157">
            <w:pPr>
              <w:pStyle w:val="TableText0"/>
              <w:rPr>
                <w:lang w:val="en-AU"/>
              </w:rPr>
            </w:pPr>
            <w:r w:rsidRPr="000F3C8B">
              <w:rPr>
                <w:lang w:val="en-AU"/>
              </w:rPr>
              <w:t>No mortalities</w:t>
            </w:r>
          </w:p>
        </w:tc>
        <w:tc>
          <w:tcPr>
            <w:tcW w:w="466" w:type="dxa"/>
          </w:tcPr>
          <w:p w:rsidR="00EB5D2C" w:rsidRPr="000F3C8B" w:rsidRDefault="00EB5D2C" w:rsidP="00E64157">
            <w:pPr>
              <w:pStyle w:val="TableText0"/>
              <w:rPr>
                <w:lang w:val="en-AU"/>
              </w:rPr>
            </w:pPr>
            <w:r w:rsidRPr="000F3C8B">
              <w:rPr>
                <w:lang w:val="en-AU"/>
              </w:rPr>
              <w:t>1/10</w:t>
            </w:r>
          </w:p>
        </w:tc>
        <w:tc>
          <w:tcPr>
            <w:tcW w:w="1519" w:type="dxa"/>
          </w:tcPr>
          <w:p w:rsidR="00EB5D2C" w:rsidRPr="000F3C8B" w:rsidRDefault="00EB5D2C" w:rsidP="00E64157">
            <w:pPr>
              <w:pStyle w:val="TableText0"/>
              <w:rPr>
                <w:lang w:val="en-AU"/>
              </w:rPr>
            </w:pPr>
            <w:r w:rsidRPr="000F3C8B">
              <w:rPr>
                <w:lang w:val="en-AU"/>
              </w:rPr>
              <w:t>Cause not reported</w:t>
            </w:r>
          </w:p>
        </w:tc>
        <w:tc>
          <w:tcPr>
            <w:tcW w:w="748" w:type="dxa"/>
          </w:tcPr>
          <w:p w:rsidR="00EB5D2C" w:rsidRPr="000F3C8B" w:rsidRDefault="00EB5D2C" w:rsidP="000C06E6">
            <w:pPr>
              <w:pStyle w:val="TableText0"/>
              <w:jc w:val="center"/>
              <w:rPr>
                <w:lang w:val="en-AU"/>
              </w:rPr>
            </w:pPr>
            <w:r w:rsidRPr="000F3C8B">
              <w:rPr>
                <w:lang w:val="en-AU"/>
              </w:rPr>
              <w:t>NR</w:t>
            </w:r>
          </w:p>
        </w:tc>
      </w:tr>
      <w:tr w:rsidR="00EB5D2C" w:rsidRPr="00965DBA" w:rsidTr="0007443E">
        <w:trPr>
          <w:trHeight w:val="128"/>
        </w:trPr>
        <w:tc>
          <w:tcPr>
            <w:tcW w:w="1464" w:type="dxa"/>
          </w:tcPr>
          <w:p w:rsidR="00EB5D2C" w:rsidRPr="000F3C8B" w:rsidRDefault="00EB5D2C" w:rsidP="00E64157">
            <w:pPr>
              <w:pStyle w:val="TableText0"/>
              <w:rPr>
                <w:b/>
                <w:lang w:val="en-AU"/>
              </w:rPr>
            </w:pPr>
            <w:r w:rsidRPr="000F3C8B">
              <w:rPr>
                <w:b/>
                <w:lang w:val="en-AU"/>
              </w:rPr>
              <w:t>Study total</w:t>
            </w:r>
          </w:p>
        </w:tc>
        <w:tc>
          <w:tcPr>
            <w:tcW w:w="992" w:type="dxa"/>
          </w:tcPr>
          <w:p w:rsidR="00EB5D2C" w:rsidRPr="000F3C8B" w:rsidRDefault="00EB5D2C" w:rsidP="00E64157">
            <w:pPr>
              <w:pStyle w:val="TableText0"/>
              <w:rPr>
                <w:b/>
                <w:lang w:val="en-AU"/>
              </w:rPr>
            </w:pPr>
          </w:p>
        </w:tc>
        <w:tc>
          <w:tcPr>
            <w:tcW w:w="567" w:type="dxa"/>
          </w:tcPr>
          <w:p w:rsidR="00EB5D2C" w:rsidRPr="000F3C8B" w:rsidRDefault="00EB5D2C" w:rsidP="00E64157">
            <w:pPr>
              <w:pStyle w:val="TableText0"/>
              <w:rPr>
                <w:b/>
                <w:lang w:val="en-AU"/>
              </w:rPr>
            </w:pPr>
            <w:r w:rsidRPr="000F3C8B">
              <w:rPr>
                <w:b/>
                <w:lang w:val="en-AU"/>
              </w:rPr>
              <w:t>0/16</w:t>
            </w:r>
          </w:p>
        </w:tc>
        <w:tc>
          <w:tcPr>
            <w:tcW w:w="2126" w:type="dxa"/>
          </w:tcPr>
          <w:p w:rsidR="00EB5D2C" w:rsidRPr="000F3C8B" w:rsidRDefault="00EB5D2C" w:rsidP="00E64157">
            <w:pPr>
              <w:pStyle w:val="TableText0"/>
              <w:rPr>
                <w:b/>
                <w:lang w:val="en-AU"/>
              </w:rPr>
            </w:pPr>
          </w:p>
        </w:tc>
        <w:tc>
          <w:tcPr>
            <w:tcW w:w="466" w:type="dxa"/>
          </w:tcPr>
          <w:p w:rsidR="00EB5D2C" w:rsidRPr="000F3C8B" w:rsidRDefault="00EB5D2C" w:rsidP="00E64157">
            <w:pPr>
              <w:pStyle w:val="TableText0"/>
              <w:rPr>
                <w:b/>
                <w:lang w:val="en-AU"/>
              </w:rPr>
            </w:pPr>
            <w:r w:rsidRPr="000F3C8B">
              <w:rPr>
                <w:b/>
                <w:lang w:val="en-AU"/>
              </w:rPr>
              <w:t>1/10</w:t>
            </w:r>
          </w:p>
        </w:tc>
        <w:tc>
          <w:tcPr>
            <w:tcW w:w="1519" w:type="dxa"/>
          </w:tcPr>
          <w:p w:rsidR="00EB5D2C" w:rsidRPr="000F3C8B" w:rsidRDefault="00EB5D2C" w:rsidP="00E64157">
            <w:pPr>
              <w:pStyle w:val="TableText0"/>
              <w:rPr>
                <w:b/>
                <w:lang w:val="en-AU"/>
              </w:rPr>
            </w:pPr>
          </w:p>
        </w:tc>
        <w:tc>
          <w:tcPr>
            <w:tcW w:w="748" w:type="dxa"/>
          </w:tcPr>
          <w:p w:rsidR="00EB5D2C" w:rsidRPr="000F3C8B" w:rsidRDefault="00EB5D2C" w:rsidP="000C06E6">
            <w:pPr>
              <w:pStyle w:val="TableText0"/>
              <w:jc w:val="center"/>
              <w:rPr>
                <w:b/>
                <w:lang w:val="en-AU"/>
              </w:rPr>
            </w:pPr>
          </w:p>
        </w:tc>
      </w:tr>
    </w:tbl>
    <w:p w:rsidR="00274F23" w:rsidRDefault="005E4BB0" w:rsidP="005E4BB0">
      <w:pPr>
        <w:rPr>
          <w:rStyle w:val="TableNotesChar"/>
        </w:rPr>
      </w:pPr>
      <w:proofErr w:type="gramStart"/>
      <w:r>
        <w:rPr>
          <w:rStyle w:val="TableNotesChar"/>
        </w:rPr>
        <w:t>a</w:t>
      </w:r>
      <w:r w:rsidRPr="00E64157">
        <w:rPr>
          <w:rStyle w:val="TableNotesChar"/>
        </w:rPr>
        <w:t xml:space="preserve"> </w:t>
      </w:r>
      <w:r>
        <w:rPr>
          <w:rStyle w:val="TableNotesChar"/>
        </w:rPr>
        <w:t xml:space="preserve"> </w:t>
      </w:r>
      <w:r w:rsidR="00E85DDE">
        <w:rPr>
          <w:rStyle w:val="TableNotesChar"/>
        </w:rPr>
        <w:t>Did</w:t>
      </w:r>
      <w:proofErr w:type="gramEnd"/>
      <w:r w:rsidR="00E85DDE">
        <w:rPr>
          <w:rStyle w:val="TableNotesChar"/>
        </w:rPr>
        <w:t xml:space="preserve"> not occur as </w:t>
      </w:r>
      <w:r>
        <w:rPr>
          <w:rStyle w:val="TableNotesChar"/>
        </w:rPr>
        <w:t>a result</w:t>
      </w:r>
      <w:r w:rsidRPr="00E64157">
        <w:rPr>
          <w:rStyle w:val="TableNotesChar"/>
        </w:rPr>
        <w:t xml:space="preserve"> </w:t>
      </w:r>
      <w:r>
        <w:rPr>
          <w:rStyle w:val="TableNotesChar"/>
        </w:rPr>
        <w:t>of</w:t>
      </w:r>
      <w:r w:rsidRPr="00E64157">
        <w:rPr>
          <w:rStyle w:val="TableNotesChar"/>
        </w:rPr>
        <w:t xml:space="preserve"> the intervention</w:t>
      </w:r>
      <w:r w:rsidRPr="00BE3EA8">
        <w:rPr>
          <w:rFonts w:ascii="Arial Narrow" w:hAnsi="Arial Narrow"/>
          <w:sz w:val="16"/>
          <w:lang w:eastAsia="en-US"/>
        </w:rPr>
        <w:t>.</w:t>
      </w:r>
      <w:r>
        <w:rPr>
          <w:rFonts w:ascii="Arial Narrow" w:hAnsi="Arial Narrow"/>
          <w:sz w:val="16"/>
          <w:lang w:eastAsia="en-US"/>
        </w:rPr>
        <w:br/>
      </w:r>
      <w:proofErr w:type="gramStart"/>
      <w:r>
        <w:rPr>
          <w:rFonts w:ascii="Arial Narrow" w:hAnsi="Arial Narrow"/>
          <w:sz w:val="16"/>
        </w:rPr>
        <w:t>n</w:t>
      </w:r>
      <w:proofErr w:type="gramEnd"/>
      <w:r>
        <w:rPr>
          <w:rFonts w:ascii="Arial Narrow" w:hAnsi="Arial Narrow"/>
          <w:sz w:val="16"/>
        </w:rPr>
        <w:t xml:space="preserve">: Events of mortality; </w:t>
      </w:r>
      <w:r w:rsidR="00274F23">
        <w:rPr>
          <w:rStyle w:val="TableNotesChar"/>
        </w:rPr>
        <w:t xml:space="preserve">N: </w:t>
      </w:r>
      <w:r w:rsidR="00274F23" w:rsidRPr="00274F23">
        <w:rPr>
          <w:rStyle w:val="TableNotesChar"/>
        </w:rPr>
        <w:t>Based on all patients for whom safety data was reported, regardless of the number of patients enrolled in a study, or their technical/clinical success. In some cases</w:t>
      </w:r>
      <w:r w:rsidR="00E617F5">
        <w:rPr>
          <w:rStyle w:val="TableNotesChar"/>
        </w:rPr>
        <w:t>,</w:t>
      </w:r>
      <w:r w:rsidR="00274F23" w:rsidRPr="00274F23">
        <w:rPr>
          <w:rStyle w:val="TableNotesChar"/>
        </w:rPr>
        <w:t xml:space="preserve"> the number of stenting attempts or procedures performed has been considered as the denominator in</w:t>
      </w:r>
      <w:r>
        <w:rPr>
          <w:rStyle w:val="TableNotesChar"/>
        </w:rPr>
        <w:t>stead of the number of patients;</w:t>
      </w:r>
      <w:r w:rsidRPr="005E4BB0">
        <w:rPr>
          <w:rStyle w:val="TableNotesChar"/>
        </w:rPr>
        <w:t xml:space="preserve"> </w:t>
      </w:r>
      <w:r w:rsidRPr="00E64157">
        <w:rPr>
          <w:rStyle w:val="TableNotesChar"/>
        </w:rPr>
        <w:t>SEMS: Self-expanding metallic stent</w:t>
      </w:r>
      <w:r>
        <w:rPr>
          <w:rStyle w:val="TableNotesChar"/>
        </w:rPr>
        <w:t>.</w:t>
      </w:r>
    </w:p>
    <w:p w:rsidR="002126E1" w:rsidRPr="00965DBA" w:rsidRDefault="002126E1" w:rsidP="00EA3BFB">
      <w:pPr>
        <w:pStyle w:val="Heading4"/>
      </w:pPr>
      <w:r w:rsidRPr="00965DBA">
        <w:t>Adverse events</w:t>
      </w:r>
    </w:p>
    <w:p w:rsidR="00811464" w:rsidRPr="00E2422F" w:rsidRDefault="00811464" w:rsidP="00811464">
      <w:r w:rsidRPr="009E5C53">
        <w:t>No studies that compared stents to best supportive care were retrieved; as such,</w:t>
      </w:r>
      <w:r w:rsidRPr="00E2422F">
        <w:t xml:space="preserve"> no assessment or comparison of relative adverse event rates for these two treatments could be made.</w:t>
      </w:r>
    </w:p>
    <w:p w:rsidR="002126E1" w:rsidRPr="009E5C53" w:rsidRDefault="002126E1" w:rsidP="00EA3BFB">
      <w:r w:rsidRPr="00892811">
        <w:t xml:space="preserve">Six studies comparing SEMS placement to </w:t>
      </w:r>
      <w:r w:rsidR="00DF03CC">
        <w:t>multi-stage</w:t>
      </w:r>
      <w:r w:rsidRPr="00892811">
        <w:t xml:space="preserve"> surgical resection, including two RCTs, reported on adverse event outcomes. Types of adverse events rep</w:t>
      </w:r>
      <w:r w:rsidRPr="008978EE">
        <w:t>orted varied considerably between the treatment groups, making direct comparison difficult. Adverse events reported after placement of SEMS were generally stent-related, such as migration, fracture or occlusion from tumour invasion. Adverse events after surgery were generally wound- or stoma-related, such as infection and abscess formation. Data on these events are summarised in</w:t>
      </w:r>
      <w:r w:rsidR="004F48AA">
        <w:t xml:space="preserve"> </w:t>
      </w:r>
      <w:r w:rsidR="00E64157">
        <w:fldChar w:fldCharType="begin"/>
      </w:r>
      <w:r w:rsidR="00E64157">
        <w:instrText xml:space="preserve"> REF _Ref324944482 \h </w:instrText>
      </w:r>
      <w:r w:rsidR="00E64157">
        <w:fldChar w:fldCharType="separate"/>
      </w:r>
      <w:r w:rsidR="0071544A">
        <w:t xml:space="preserve">Table </w:t>
      </w:r>
      <w:r w:rsidR="0071544A">
        <w:rPr>
          <w:noProof/>
        </w:rPr>
        <w:t>29</w:t>
      </w:r>
      <w:r w:rsidR="00E64157">
        <w:fldChar w:fldCharType="end"/>
      </w:r>
      <w:r w:rsidRPr="009E5C53">
        <w:t>.</w:t>
      </w:r>
    </w:p>
    <w:p w:rsidR="002126E1" w:rsidRPr="00965DBA" w:rsidRDefault="00E64157" w:rsidP="00E64157">
      <w:pPr>
        <w:pStyle w:val="Caption"/>
        <w:rPr>
          <w:lang w:eastAsia="en-US"/>
        </w:rPr>
      </w:pPr>
      <w:bookmarkStart w:id="159" w:name="_Ref324944482"/>
      <w:bookmarkStart w:id="160" w:name="_Toc327522073"/>
      <w:r>
        <w:lastRenderedPageBreak/>
        <w:t xml:space="preserve">Table </w:t>
      </w:r>
      <w:fldSimple w:instr=" SEQ Table \* ARABIC ">
        <w:r w:rsidR="0071544A">
          <w:rPr>
            <w:noProof/>
          </w:rPr>
          <w:t>29</w:t>
        </w:r>
      </w:fldSimple>
      <w:bookmarkEnd w:id="159"/>
      <w:r w:rsidR="002126E1" w:rsidRPr="00965DBA">
        <w:rPr>
          <w:lang w:eastAsia="en-US"/>
        </w:rPr>
        <w:tab/>
        <w:t>Adverse events after treatment with SEMS placement and surgery: comparative studies</w:t>
      </w:r>
      <w:bookmarkEnd w:id="160"/>
    </w:p>
    <w:tbl>
      <w:tblPr>
        <w:tblW w:w="7942" w:type="dxa"/>
        <w:tblInd w:w="720" w:type="dxa"/>
        <w:tblBorders>
          <w:top w:val="single" w:sz="12" w:space="0" w:color="auto"/>
          <w:bottom w:val="single" w:sz="12" w:space="0" w:color="auto"/>
        </w:tblBorders>
        <w:tblLayout w:type="fixed"/>
        <w:tblCellMar>
          <w:top w:w="28" w:type="dxa"/>
          <w:left w:w="57" w:type="dxa"/>
          <w:bottom w:w="28" w:type="dxa"/>
          <w:right w:w="57" w:type="dxa"/>
        </w:tblCellMar>
        <w:tblLook w:val="0000" w:firstRow="0" w:lastRow="0" w:firstColumn="0" w:lastColumn="0" w:noHBand="0" w:noVBand="0"/>
      </w:tblPr>
      <w:tblGrid>
        <w:gridCol w:w="1038"/>
        <w:gridCol w:w="709"/>
        <w:gridCol w:w="568"/>
        <w:gridCol w:w="2552"/>
        <w:gridCol w:w="424"/>
        <w:gridCol w:w="2127"/>
        <w:gridCol w:w="524"/>
      </w:tblGrid>
      <w:tr w:rsidR="00927A2E" w:rsidRPr="00965DBA" w:rsidTr="0007443E">
        <w:trPr>
          <w:trHeight w:val="141"/>
        </w:trPr>
        <w:tc>
          <w:tcPr>
            <w:tcW w:w="1038" w:type="dxa"/>
            <w:vMerge w:val="restart"/>
            <w:tcBorders>
              <w:top w:val="single" w:sz="12" w:space="0" w:color="auto"/>
              <w:bottom w:val="single" w:sz="4" w:space="0" w:color="auto"/>
            </w:tcBorders>
          </w:tcPr>
          <w:p w:rsidR="00927A2E" w:rsidRPr="00965DBA" w:rsidRDefault="00927A2E" w:rsidP="00892211">
            <w:pPr>
              <w:pStyle w:val="TableHeading"/>
              <w:rPr>
                <w:lang w:eastAsia="en-US"/>
              </w:rPr>
            </w:pPr>
            <w:r w:rsidRPr="00965DBA">
              <w:rPr>
                <w:lang w:eastAsia="en-US"/>
              </w:rPr>
              <w:t>Study</w:t>
            </w:r>
          </w:p>
        </w:tc>
        <w:tc>
          <w:tcPr>
            <w:tcW w:w="709" w:type="dxa"/>
            <w:vMerge w:val="restart"/>
            <w:tcBorders>
              <w:top w:val="single" w:sz="12" w:space="0" w:color="auto"/>
              <w:bottom w:val="single" w:sz="4" w:space="0" w:color="auto"/>
            </w:tcBorders>
          </w:tcPr>
          <w:p w:rsidR="00927A2E" w:rsidRPr="00965DBA" w:rsidRDefault="00927A2E" w:rsidP="00892211">
            <w:pPr>
              <w:pStyle w:val="TableHeading"/>
              <w:rPr>
                <w:lang w:eastAsia="en-US"/>
              </w:rPr>
            </w:pPr>
            <w:r w:rsidRPr="00965DBA">
              <w:rPr>
                <w:lang w:eastAsia="en-US"/>
              </w:rPr>
              <w:t xml:space="preserve">Level of </w:t>
            </w:r>
            <w:r w:rsidRPr="007027C1">
              <w:rPr>
                <w:sz w:val="16"/>
                <w:szCs w:val="16"/>
                <w:lang w:eastAsia="en-US"/>
              </w:rPr>
              <w:t>evidence</w:t>
            </w:r>
          </w:p>
        </w:tc>
        <w:tc>
          <w:tcPr>
            <w:tcW w:w="3120" w:type="dxa"/>
            <w:gridSpan w:val="2"/>
            <w:tcBorders>
              <w:bottom w:val="nil"/>
            </w:tcBorders>
          </w:tcPr>
          <w:p w:rsidR="00927A2E" w:rsidRPr="00965DBA" w:rsidRDefault="00927A2E" w:rsidP="00892211">
            <w:pPr>
              <w:pStyle w:val="TableHeading"/>
              <w:rPr>
                <w:lang w:eastAsia="en-US"/>
              </w:rPr>
            </w:pPr>
            <w:r w:rsidRPr="00965DBA">
              <w:rPr>
                <w:lang w:eastAsia="en-US"/>
              </w:rPr>
              <w:t>SEMS placement</w:t>
            </w:r>
          </w:p>
        </w:tc>
        <w:tc>
          <w:tcPr>
            <w:tcW w:w="2551" w:type="dxa"/>
            <w:gridSpan w:val="2"/>
            <w:tcBorders>
              <w:bottom w:val="nil"/>
            </w:tcBorders>
          </w:tcPr>
          <w:p w:rsidR="00927A2E" w:rsidRPr="00965DBA" w:rsidRDefault="00927A2E" w:rsidP="00892211">
            <w:pPr>
              <w:pStyle w:val="TableHeading"/>
              <w:rPr>
                <w:lang w:eastAsia="en-US"/>
              </w:rPr>
            </w:pPr>
            <w:r w:rsidRPr="00965DBA">
              <w:rPr>
                <w:lang w:eastAsia="en-US"/>
              </w:rPr>
              <w:t>Surgery</w:t>
            </w:r>
          </w:p>
        </w:tc>
        <w:tc>
          <w:tcPr>
            <w:tcW w:w="524" w:type="dxa"/>
            <w:tcBorders>
              <w:bottom w:val="nil"/>
            </w:tcBorders>
          </w:tcPr>
          <w:p w:rsidR="00927A2E" w:rsidRPr="00965DBA" w:rsidRDefault="00927A2E" w:rsidP="00892211">
            <w:pPr>
              <w:pStyle w:val="TableHeading"/>
              <w:rPr>
                <w:lang w:eastAsia="en-US"/>
              </w:rPr>
            </w:pPr>
            <w:r w:rsidRPr="0007443E">
              <w:rPr>
                <w:i/>
                <w:lang w:eastAsia="en-US"/>
              </w:rPr>
              <w:t>P</w:t>
            </w:r>
            <w:r w:rsidRPr="00965DBA">
              <w:rPr>
                <w:lang w:eastAsia="en-US"/>
              </w:rPr>
              <w:t xml:space="preserve"> value</w:t>
            </w:r>
          </w:p>
        </w:tc>
      </w:tr>
      <w:tr w:rsidR="00927A2E" w:rsidRPr="00965DBA" w:rsidTr="0007443E">
        <w:trPr>
          <w:trHeight w:val="141"/>
        </w:trPr>
        <w:tc>
          <w:tcPr>
            <w:tcW w:w="1038" w:type="dxa"/>
            <w:vMerge/>
            <w:tcBorders>
              <w:top w:val="nil"/>
              <w:bottom w:val="single" w:sz="4" w:space="0" w:color="auto"/>
            </w:tcBorders>
          </w:tcPr>
          <w:p w:rsidR="00927A2E" w:rsidRPr="00965DBA" w:rsidRDefault="00927A2E" w:rsidP="00892211">
            <w:pPr>
              <w:pStyle w:val="TableHeading"/>
              <w:rPr>
                <w:lang w:eastAsia="en-US"/>
              </w:rPr>
            </w:pPr>
          </w:p>
        </w:tc>
        <w:tc>
          <w:tcPr>
            <w:tcW w:w="709" w:type="dxa"/>
            <w:vMerge/>
            <w:tcBorders>
              <w:top w:val="nil"/>
              <w:bottom w:val="single" w:sz="4" w:space="0" w:color="auto"/>
            </w:tcBorders>
          </w:tcPr>
          <w:p w:rsidR="00927A2E" w:rsidRPr="00965DBA" w:rsidRDefault="00927A2E" w:rsidP="00892211">
            <w:pPr>
              <w:pStyle w:val="TableHeading"/>
              <w:rPr>
                <w:lang w:eastAsia="en-US"/>
              </w:rPr>
            </w:pPr>
          </w:p>
        </w:tc>
        <w:tc>
          <w:tcPr>
            <w:tcW w:w="568" w:type="dxa"/>
            <w:tcBorders>
              <w:top w:val="nil"/>
              <w:bottom w:val="single" w:sz="4" w:space="0" w:color="auto"/>
            </w:tcBorders>
          </w:tcPr>
          <w:p w:rsidR="00927A2E" w:rsidRPr="00965DBA" w:rsidRDefault="00927A2E" w:rsidP="00892211">
            <w:pPr>
              <w:pStyle w:val="TableHeading"/>
              <w:rPr>
                <w:lang w:eastAsia="en-US"/>
              </w:rPr>
            </w:pPr>
            <w:r w:rsidRPr="00965DBA">
              <w:rPr>
                <w:lang w:eastAsia="en-US"/>
              </w:rPr>
              <w:t>n/N</w:t>
            </w:r>
          </w:p>
        </w:tc>
        <w:tc>
          <w:tcPr>
            <w:tcW w:w="2552" w:type="dxa"/>
            <w:tcBorders>
              <w:top w:val="nil"/>
              <w:bottom w:val="single" w:sz="4" w:space="0" w:color="auto"/>
            </w:tcBorders>
          </w:tcPr>
          <w:p w:rsidR="00927A2E" w:rsidRPr="00965DBA" w:rsidRDefault="00927A2E" w:rsidP="00892211">
            <w:pPr>
              <w:pStyle w:val="TableHeading"/>
              <w:rPr>
                <w:lang w:eastAsia="en-US"/>
              </w:rPr>
            </w:pPr>
            <w:r w:rsidRPr="00965DBA">
              <w:rPr>
                <w:lang w:eastAsia="en-US"/>
              </w:rPr>
              <w:t>Adverse event</w:t>
            </w:r>
          </w:p>
        </w:tc>
        <w:tc>
          <w:tcPr>
            <w:tcW w:w="424" w:type="dxa"/>
            <w:tcBorders>
              <w:top w:val="nil"/>
              <w:bottom w:val="single" w:sz="4" w:space="0" w:color="auto"/>
            </w:tcBorders>
          </w:tcPr>
          <w:p w:rsidR="00927A2E" w:rsidRPr="00965DBA" w:rsidRDefault="00927A2E" w:rsidP="00892211">
            <w:pPr>
              <w:pStyle w:val="TableHeading"/>
              <w:rPr>
                <w:lang w:eastAsia="en-US"/>
              </w:rPr>
            </w:pPr>
            <w:r w:rsidRPr="00965DBA">
              <w:rPr>
                <w:lang w:eastAsia="en-US"/>
              </w:rPr>
              <w:t>n/N</w:t>
            </w:r>
          </w:p>
        </w:tc>
        <w:tc>
          <w:tcPr>
            <w:tcW w:w="2127" w:type="dxa"/>
            <w:tcBorders>
              <w:top w:val="nil"/>
              <w:bottom w:val="single" w:sz="4" w:space="0" w:color="auto"/>
            </w:tcBorders>
          </w:tcPr>
          <w:p w:rsidR="00927A2E" w:rsidRPr="00965DBA" w:rsidRDefault="00927A2E" w:rsidP="00892211">
            <w:pPr>
              <w:pStyle w:val="TableHeading"/>
              <w:rPr>
                <w:lang w:eastAsia="en-US"/>
              </w:rPr>
            </w:pPr>
            <w:r w:rsidRPr="00965DBA">
              <w:rPr>
                <w:lang w:eastAsia="en-US"/>
              </w:rPr>
              <w:t>Adverse event</w:t>
            </w:r>
          </w:p>
        </w:tc>
        <w:tc>
          <w:tcPr>
            <w:tcW w:w="524" w:type="dxa"/>
            <w:tcBorders>
              <w:top w:val="nil"/>
              <w:bottom w:val="single" w:sz="4" w:space="0" w:color="auto"/>
            </w:tcBorders>
          </w:tcPr>
          <w:p w:rsidR="00927A2E" w:rsidRPr="00965DBA" w:rsidRDefault="00927A2E" w:rsidP="00892211">
            <w:pPr>
              <w:pStyle w:val="TableHeading"/>
              <w:rPr>
                <w:lang w:eastAsia="en-US"/>
              </w:rPr>
            </w:pPr>
          </w:p>
        </w:tc>
      </w:tr>
      <w:tr w:rsidR="00927A2E" w:rsidRPr="00965DBA" w:rsidTr="0007443E">
        <w:trPr>
          <w:trHeight w:val="126"/>
        </w:trPr>
        <w:tc>
          <w:tcPr>
            <w:tcW w:w="1038" w:type="dxa"/>
            <w:tcBorders>
              <w:top w:val="single" w:sz="4" w:space="0" w:color="auto"/>
            </w:tcBorders>
          </w:tcPr>
          <w:p w:rsidR="00927A2E" w:rsidRPr="000F3C8B" w:rsidRDefault="00927A2E" w:rsidP="00892211">
            <w:pPr>
              <w:pStyle w:val="TableText0"/>
              <w:rPr>
                <w:lang w:val="en-AU"/>
              </w:rPr>
            </w:pPr>
            <w:r w:rsidRPr="000F3C8B">
              <w:rPr>
                <w:lang w:val="en-AU"/>
              </w:rPr>
              <w:t xml:space="preserve">Fiori </w:t>
            </w:r>
            <w:r w:rsidR="00906E6C" w:rsidRPr="000F3C8B">
              <w:rPr>
                <w:lang w:val="en-AU"/>
              </w:rPr>
              <w:t xml:space="preserve">et al </w:t>
            </w:r>
            <w:r w:rsidRPr="000F3C8B">
              <w:rPr>
                <w:lang w:val="en-AU"/>
              </w:rPr>
              <w:t>(2004)</w:t>
            </w:r>
          </w:p>
        </w:tc>
        <w:tc>
          <w:tcPr>
            <w:tcW w:w="709" w:type="dxa"/>
            <w:tcBorders>
              <w:top w:val="single" w:sz="4" w:space="0" w:color="auto"/>
            </w:tcBorders>
          </w:tcPr>
          <w:p w:rsidR="00927A2E" w:rsidRPr="000F3C8B" w:rsidRDefault="00927A2E" w:rsidP="00892211">
            <w:pPr>
              <w:pStyle w:val="TableText0"/>
              <w:rPr>
                <w:lang w:val="en-AU"/>
              </w:rPr>
            </w:pPr>
            <w:r w:rsidRPr="000F3C8B">
              <w:rPr>
                <w:lang w:val="en-AU"/>
              </w:rPr>
              <w:t>II</w:t>
            </w:r>
          </w:p>
        </w:tc>
        <w:tc>
          <w:tcPr>
            <w:tcW w:w="568" w:type="dxa"/>
            <w:tcBorders>
              <w:top w:val="single" w:sz="4" w:space="0" w:color="auto"/>
            </w:tcBorders>
          </w:tcPr>
          <w:p w:rsidR="00927A2E" w:rsidRPr="000F3C8B" w:rsidRDefault="00927A2E" w:rsidP="00892211">
            <w:pPr>
              <w:pStyle w:val="TableText0"/>
              <w:rPr>
                <w:lang w:val="en-AU"/>
              </w:rPr>
            </w:pPr>
          </w:p>
        </w:tc>
        <w:tc>
          <w:tcPr>
            <w:tcW w:w="2552" w:type="dxa"/>
            <w:tcBorders>
              <w:top w:val="single" w:sz="4" w:space="0" w:color="auto"/>
            </w:tcBorders>
          </w:tcPr>
          <w:p w:rsidR="00927A2E" w:rsidRPr="000F3C8B" w:rsidRDefault="00927A2E" w:rsidP="00892211">
            <w:pPr>
              <w:pStyle w:val="TableText0"/>
              <w:rPr>
                <w:lang w:val="en-AU"/>
              </w:rPr>
            </w:pPr>
            <w:r w:rsidRPr="000F3C8B">
              <w:rPr>
                <w:lang w:val="en-AU"/>
              </w:rPr>
              <w:t>None</w:t>
            </w:r>
          </w:p>
        </w:tc>
        <w:tc>
          <w:tcPr>
            <w:tcW w:w="424" w:type="dxa"/>
            <w:tcBorders>
              <w:top w:val="single" w:sz="4" w:space="0" w:color="auto"/>
            </w:tcBorders>
          </w:tcPr>
          <w:p w:rsidR="00927A2E" w:rsidRPr="000F3C8B" w:rsidRDefault="00927A2E" w:rsidP="00892211">
            <w:pPr>
              <w:pStyle w:val="TableText0"/>
              <w:rPr>
                <w:lang w:val="en-AU"/>
              </w:rPr>
            </w:pPr>
            <w:r w:rsidRPr="000F3C8B">
              <w:rPr>
                <w:lang w:val="en-AU"/>
              </w:rPr>
              <w:t>1/11</w:t>
            </w:r>
          </w:p>
        </w:tc>
        <w:tc>
          <w:tcPr>
            <w:tcW w:w="2127" w:type="dxa"/>
            <w:tcBorders>
              <w:top w:val="single" w:sz="4" w:space="0" w:color="auto"/>
            </w:tcBorders>
          </w:tcPr>
          <w:p w:rsidR="00927A2E" w:rsidRPr="000F3C8B" w:rsidRDefault="00927A2E" w:rsidP="00892211">
            <w:pPr>
              <w:pStyle w:val="TableText0"/>
              <w:rPr>
                <w:lang w:val="en-AU"/>
              </w:rPr>
            </w:pPr>
            <w:r w:rsidRPr="000F3C8B">
              <w:rPr>
                <w:lang w:val="en-AU"/>
              </w:rPr>
              <w:t>Colostomy prolapse</w:t>
            </w:r>
          </w:p>
        </w:tc>
        <w:tc>
          <w:tcPr>
            <w:tcW w:w="524" w:type="dxa"/>
            <w:tcBorders>
              <w:top w:val="single" w:sz="4" w:space="0" w:color="auto"/>
            </w:tcBorders>
          </w:tcPr>
          <w:p w:rsidR="00927A2E" w:rsidRPr="000F3C8B" w:rsidRDefault="00927A2E" w:rsidP="000C06E6">
            <w:pPr>
              <w:pStyle w:val="TableText0"/>
              <w:jc w:val="center"/>
              <w:rPr>
                <w:lang w:val="en-AU"/>
              </w:rPr>
            </w:pPr>
            <w:r w:rsidRPr="000F3C8B">
              <w:rPr>
                <w:lang w:val="en-AU"/>
              </w:rPr>
              <w:t>NS</w:t>
            </w:r>
          </w:p>
        </w:tc>
      </w:tr>
      <w:tr w:rsidR="00927A2E" w:rsidRPr="00965DBA" w:rsidTr="0007443E">
        <w:trPr>
          <w:trHeight w:val="126"/>
        </w:trPr>
        <w:tc>
          <w:tcPr>
            <w:tcW w:w="1038" w:type="dxa"/>
          </w:tcPr>
          <w:p w:rsidR="00927A2E" w:rsidRPr="000F3C8B" w:rsidRDefault="00927A2E" w:rsidP="00892211">
            <w:pPr>
              <w:pStyle w:val="TableText0"/>
              <w:rPr>
                <w:b/>
                <w:lang w:val="en-AU"/>
              </w:rPr>
            </w:pPr>
            <w:r w:rsidRPr="000F3C8B">
              <w:rPr>
                <w:b/>
                <w:lang w:val="en-AU"/>
              </w:rPr>
              <w:t>Study total</w:t>
            </w:r>
          </w:p>
        </w:tc>
        <w:tc>
          <w:tcPr>
            <w:tcW w:w="709" w:type="dxa"/>
          </w:tcPr>
          <w:p w:rsidR="00927A2E" w:rsidRPr="000F3C8B" w:rsidRDefault="00927A2E" w:rsidP="00892211">
            <w:pPr>
              <w:pStyle w:val="TableText0"/>
              <w:rPr>
                <w:b/>
                <w:lang w:val="en-AU"/>
              </w:rPr>
            </w:pPr>
          </w:p>
        </w:tc>
        <w:tc>
          <w:tcPr>
            <w:tcW w:w="568" w:type="dxa"/>
          </w:tcPr>
          <w:p w:rsidR="00927A2E" w:rsidRPr="000F3C8B" w:rsidRDefault="00927A2E" w:rsidP="00892211">
            <w:pPr>
              <w:pStyle w:val="TableText0"/>
              <w:rPr>
                <w:b/>
                <w:lang w:val="en-AU"/>
              </w:rPr>
            </w:pPr>
            <w:r w:rsidRPr="000F3C8B">
              <w:rPr>
                <w:b/>
                <w:lang w:val="en-AU"/>
              </w:rPr>
              <w:t>0/11</w:t>
            </w:r>
          </w:p>
        </w:tc>
        <w:tc>
          <w:tcPr>
            <w:tcW w:w="2552" w:type="dxa"/>
          </w:tcPr>
          <w:p w:rsidR="00927A2E" w:rsidRPr="000F3C8B" w:rsidRDefault="00927A2E" w:rsidP="00892211">
            <w:pPr>
              <w:pStyle w:val="TableText0"/>
              <w:rPr>
                <w:b/>
                <w:lang w:val="en-AU"/>
              </w:rPr>
            </w:pPr>
          </w:p>
        </w:tc>
        <w:tc>
          <w:tcPr>
            <w:tcW w:w="424" w:type="dxa"/>
          </w:tcPr>
          <w:p w:rsidR="00927A2E" w:rsidRPr="000F3C8B" w:rsidRDefault="00927A2E" w:rsidP="00892211">
            <w:pPr>
              <w:pStyle w:val="TableText0"/>
              <w:rPr>
                <w:b/>
                <w:lang w:val="en-AU"/>
              </w:rPr>
            </w:pPr>
            <w:r w:rsidRPr="000F3C8B">
              <w:rPr>
                <w:b/>
                <w:lang w:val="en-AU"/>
              </w:rPr>
              <w:t>1/11</w:t>
            </w:r>
          </w:p>
        </w:tc>
        <w:tc>
          <w:tcPr>
            <w:tcW w:w="2127" w:type="dxa"/>
          </w:tcPr>
          <w:p w:rsidR="00927A2E" w:rsidRPr="000F3C8B" w:rsidRDefault="00927A2E" w:rsidP="00892211">
            <w:pPr>
              <w:pStyle w:val="TableText0"/>
              <w:rPr>
                <w:b/>
                <w:lang w:val="en-AU"/>
              </w:rPr>
            </w:pPr>
          </w:p>
        </w:tc>
        <w:tc>
          <w:tcPr>
            <w:tcW w:w="524" w:type="dxa"/>
          </w:tcPr>
          <w:p w:rsidR="00927A2E" w:rsidRPr="000F3C8B" w:rsidRDefault="00927A2E" w:rsidP="000C06E6">
            <w:pPr>
              <w:pStyle w:val="TableText0"/>
              <w:jc w:val="center"/>
              <w:rPr>
                <w:b/>
                <w:lang w:val="en-AU"/>
              </w:rPr>
            </w:pPr>
          </w:p>
        </w:tc>
      </w:tr>
      <w:tr w:rsidR="00927A2E" w:rsidRPr="00965DBA" w:rsidTr="0007443E">
        <w:trPr>
          <w:trHeight w:val="291"/>
        </w:trPr>
        <w:tc>
          <w:tcPr>
            <w:tcW w:w="1038" w:type="dxa"/>
          </w:tcPr>
          <w:p w:rsidR="00927A2E" w:rsidRPr="000F3C8B" w:rsidRDefault="00927A2E" w:rsidP="00892211">
            <w:pPr>
              <w:pStyle w:val="TableText0"/>
              <w:rPr>
                <w:szCs w:val="18"/>
                <w:lang w:val="en-AU"/>
              </w:rPr>
            </w:pPr>
            <w:r w:rsidRPr="000F3C8B">
              <w:rPr>
                <w:szCs w:val="18"/>
                <w:lang w:val="en-AU"/>
              </w:rPr>
              <w:t>Xinopoulos</w:t>
            </w:r>
            <w:r w:rsidR="00906E6C" w:rsidRPr="000F3C8B">
              <w:rPr>
                <w:szCs w:val="18"/>
                <w:lang w:val="en-AU"/>
              </w:rPr>
              <w:t xml:space="preserve"> et al</w:t>
            </w:r>
            <w:r w:rsidRPr="000F3C8B">
              <w:rPr>
                <w:szCs w:val="18"/>
                <w:lang w:val="en-AU"/>
              </w:rPr>
              <w:t xml:space="preserve"> (2004)</w:t>
            </w:r>
          </w:p>
        </w:tc>
        <w:tc>
          <w:tcPr>
            <w:tcW w:w="709" w:type="dxa"/>
          </w:tcPr>
          <w:p w:rsidR="00927A2E" w:rsidRPr="000F3C8B" w:rsidRDefault="00927A2E" w:rsidP="00892211">
            <w:pPr>
              <w:pStyle w:val="TableText0"/>
              <w:rPr>
                <w:lang w:val="en-AU"/>
              </w:rPr>
            </w:pPr>
            <w:r w:rsidRPr="000F3C8B">
              <w:rPr>
                <w:lang w:val="en-AU"/>
              </w:rPr>
              <w:t>II</w:t>
            </w:r>
          </w:p>
        </w:tc>
        <w:tc>
          <w:tcPr>
            <w:tcW w:w="568" w:type="dxa"/>
          </w:tcPr>
          <w:p w:rsidR="00927A2E" w:rsidRPr="000F3C8B" w:rsidRDefault="00927A2E" w:rsidP="00906E6C">
            <w:pPr>
              <w:pStyle w:val="TableText0"/>
              <w:spacing w:before="0" w:after="0"/>
              <w:rPr>
                <w:lang w:val="en-AU"/>
              </w:rPr>
            </w:pPr>
            <w:r w:rsidRPr="000F3C8B">
              <w:rPr>
                <w:lang w:val="en-AU"/>
              </w:rPr>
              <w:t>9/15</w:t>
            </w:r>
          </w:p>
        </w:tc>
        <w:tc>
          <w:tcPr>
            <w:tcW w:w="2552" w:type="dxa"/>
          </w:tcPr>
          <w:p w:rsidR="00927A2E" w:rsidRPr="000F3C8B" w:rsidRDefault="00927A2E" w:rsidP="00906E6C">
            <w:pPr>
              <w:pStyle w:val="TableText0"/>
              <w:spacing w:before="0" w:after="0"/>
              <w:rPr>
                <w:lang w:val="en-AU"/>
              </w:rPr>
            </w:pPr>
            <w:r w:rsidRPr="000F3C8B">
              <w:rPr>
                <w:lang w:val="en-AU"/>
              </w:rPr>
              <w:t>Minor bleeding and pain</w:t>
            </w:r>
          </w:p>
        </w:tc>
        <w:tc>
          <w:tcPr>
            <w:tcW w:w="424" w:type="dxa"/>
          </w:tcPr>
          <w:p w:rsidR="00927A2E" w:rsidRPr="000F3C8B" w:rsidRDefault="00927A2E" w:rsidP="00906E6C">
            <w:pPr>
              <w:pStyle w:val="TableText0"/>
              <w:spacing w:before="0" w:after="0"/>
              <w:rPr>
                <w:lang w:val="en-AU"/>
              </w:rPr>
            </w:pPr>
            <w:r w:rsidRPr="000F3C8B">
              <w:rPr>
                <w:lang w:val="en-AU"/>
              </w:rPr>
              <w:t>2/15</w:t>
            </w:r>
          </w:p>
        </w:tc>
        <w:tc>
          <w:tcPr>
            <w:tcW w:w="2127" w:type="dxa"/>
          </w:tcPr>
          <w:p w:rsidR="00927A2E" w:rsidRPr="000F3C8B" w:rsidRDefault="00927A2E" w:rsidP="00906E6C">
            <w:pPr>
              <w:pStyle w:val="TableText0"/>
              <w:spacing w:before="0" w:after="0"/>
              <w:rPr>
                <w:lang w:val="en-AU"/>
              </w:rPr>
            </w:pPr>
            <w:r w:rsidRPr="000F3C8B">
              <w:rPr>
                <w:lang w:val="en-AU"/>
              </w:rPr>
              <w:t>Mild leucocytosis and fever</w:t>
            </w:r>
          </w:p>
        </w:tc>
        <w:tc>
          <w:tcPr>
            <w:tcW w:w="524" w:type="dxa"/>
          </w:tcPr>
          <w:p w:rsidR="00927A2E" w:rsidRPr="000F3C8B" w:rsidRDefault="00927A2E" w:rsidP="000C06E6">
            <w:pPr>
              <w:pStyle w:val="TableText0"/>
              <w:jc w:val="center"/>
              <w:rPr>
                <w:lang w:val="en-AU"/>
              </w:rPr>
            </w:pPr>
            <w:r w:rsidRPr="000F3C8B">
              <w:rPr>
                <w:lang w:val="en-AU"/>
              </w:rPr>
              <w:t>NR</w:t>
            </w:r>
          </w:p>
        </w:tc>
      </w:tr>
      <w:tr w:rsidR="00927A2E" w:rsidRPr="00965DBA" w:rsidTr="0007443E">
        <w:trPr>
          <w:trHeight w:val="171"/>
        </w:trPr>
        <w:tc>
          <w:tcPr>
            <w:tcW w:w="1038" w:type="dxa"/>
          </w:tcPr>
          <w:p w:rsidR="00927A2E" w:rsidRPr="000F3C8B" w:rsidRDefault="00927A2E" w:rsidP="00892211">
            <w:pPr>
              <w:pStyle w:val="TableText0"/>
              <w:rPr>
                <w:lang w:val="en-AU"/>
              </w:rPr>
            </w:pPr>
          </w:p>
        </w:tc>
        <w:tc>
          <w:tcPr>
            <w:tcW w:w="709" w:type="dxa"/>
          </w:tcPr>
          <w:p w:rsidR="00927A2E" w:rsidRPr="000F3C8B" w:rsidRDefault="00927A2E" w:rsidP="00892211">
            <w:pPr>
              <w:pStyle w:val="TableText0"/>
              <w:rPr>
                <w:lang w:val="en-AU"/>
              </w:rPr>
            </w:pPr>
          </w:p>
        </w:tc>
        <w:tc>
          <w:tcPr>
            <w:tcW w:w="568" w:type="dxa"/>
          </w:tcPr>
          <w:p w:rsidR="00927A2E" w:rsidRPr="000F3C8B" w:rsidRDefault="00927A2E" w:rsidP="00906E6C">
            <w:pPr>
              <w:pStyle w:val="TableText0"/>
              <w:spacing w:before="0" w:after="0"/>
              <w:rPr>
                <w:lang w:val="en-AU"/>
              </w:rPr>
            </w:pPr>
            <w:r w:rsidRPr="000F3C8B">
              <w:rPr>
                <w:lang w:val="en-AU"/>
              </w:rPr>
              <w:t>6/15</w:t>
            </w:r>
          </w:p>
        </w:tc>
        <w:tc>
          <w:tcPr>
            <w:tcW w:w="2552" w:type="dxa"/>
          </w:tcPr>
          <w:p w:rsidR="00927A2E" w:rsidRPr="000F3C8B" w:rsidRDefault="00927A2E" w:rsidP="00906E6C">
            <w:pPr>
              <w:pStyle w:val="TableText0"/>
              <w:spacing w:before="0" w:after="0"/>
              <w:rPr>
                <w:lang w:val="en-AU"/>
              </w:rPr>
            </w:pPr>
            <w:r w:rsidRPr="000F3C8B">
              <w:rPr>
                <w:lang w:val="en-AU"/>
              </w:rPr>
              <w:t>Stent occlusion from tumour invasion</w:t>
            </w:r>
          </w:p>
        </w:tc>
        <w:tc>
          <w:tcPr>
            <w:tcW w:w="424" w:type="dxa"/>
          </w:tcPr>
          <w:p w:rsidR="00927A2E" w:rsidRPr="000F3C8B" w:rsidRDefault="00927A2E" w:rsidP="00906E6C">
            <w:pPr>
              <w:pStyle w:val="TableText0"/>
              <w:spacing w:before="0" w:after="0"/>
              <w:rPr>
                <w:lang w:val="en-AU"/>
              </w:rPr>
            </w:pPr>
          </w:p>
        </w:tc>
        <w:tc>
          <w:tcPr>
            <w:tcW w:w="2127" w:type="dxa"/>
          </w:tcPr>
          <w:p w:rsidR="00927A2E" w:rsidRPr="000F3C8B" w:rsidRDefault="00927A2E" w:rsidP="00906E6C">
            <w:pPr>
              <w:pStyle w:val="TableText0"/>
              <w:spacing w:before="0" w:after="0"/>
              <w:rPr>
                <w:lang w:val="en-AU"/>
              </w:rPr>
            </w:pPr>
          </w:p>
        </w:tc>
        <w:tc>
          <w:tcPr>
            <w:tcW w:w="524" w:type="dxa"/>
          </w:tcPr>
          <w:p w:rsidR="00927A2E" w:rsidRPr="000F3C8B" w:rsidRDefault="00927A2E" w:rsidP="000C06E6">
            <w:pPr>
              <w:pStyle w:val="TableText0"/>
              <w:jc w:val="center"/>
              <w:rPr>
                <w:lang w:val="en-AU"/>
              </w:rPr>
            </w:pPr>
          </w:p>
        </w:tc>
      </w:tr>
      <w:tr w:rsidR="00927A2E" w:rsidRPr="00965DBA" w:rsidTr="0007443E">
        <w:trPr>
          <w:trHeight w:val="126"/>
        </w:trPr>
        <w:tc>
          <w:tcPr>
            <w:tcW w:w="1038" w:type="dxa"/>
          </w:tcPr>
          <w:p w:rsidR="00927A2E" w:rsidRPr="000F3C8B" w:rsidRDefault="00927A2E" w:rsidP="00892211">
            <w:pPr>
              <w:pStyle w:val="TableText0"/>
              <w:rPr>
                <w:lang w:val="en-AU"/>
              </w:rPr>
            </w:pPr>
          </w:p>
        </w:tc>
        <w:tc>
          <w:tcPr>
            <w:tcW w:w="709" w:type="dxa"/>
          </w:tcPr>
          <w:p w:rsidR="00927A2E" w:rsidRPr="000F3C8B" w:rsidRDefault="00927A2E" w:rsidP="00892211">
            <w:pPr>
              <w:pStyle w:val="TableText0"/>
              <w:rPr>
                <w:lang w:val="en-AU"/>
              </w:rPr>
            </w:pPr>
          </w:p>
        </w:tc>
        <w:tc>
          <w:tcPr>
            <w:tcW w:w="568" w:type="dxa"/>
          </w:tcPr>
          <w:p w:rsidR="00927A2E" w:rsidRPr="000F3C8B" w:rsidRDefault="00927A2E" w:rsidP="00906E6C">
            <w:pPr>
              <w:pStyle w:val="TableText0"/>
              <w:spacing w:before="0" w:after="0"/>
              <w:rPr>
                <w:lang w:val="en-AU"/>
              </w:rPr>
            </w:pPr>
            <w:r w:rsidRPr="000F3C8B">
              <w:rPr>
                <w:lang w:val="en-AU"/>
              </w:rPr>
              <w:t>1/15</w:t>
            </w:r>
          </w:p>
        </w:tc>
        <w:tc>
          <w:tcPr>
            <w:tcW w:w="2552" w:type="dxa"/>
          </w:tcPr>
          <w:p w:rsidR="00927A2E" w:rsidRPr="000F3C8B" w:rsidRDefault="00927A2E" w:rsidP="00906E6C">
            <w:pPr>
              <w:pStyle w:val="TableText0"/>
              <w:spacing w:before="0" w:after="0"/>
              <w:rPr>
                <w:lang w:val="en-AU"/>
              </w:rPr>
            </w:pPr>
            <w:r w:rsidRPr="000F3C8B">
              <w:rPr>
                <w:lang w:val="en-AU"/>
              </w:rPr>
              <w:t>Stent migration</w:t>
            </w:r>
          </w:p>
        </w:tc>
        <w:tc>
          <w:tcPr>
            <w:tcW w:w="424" w:type="dxa"/>
          </w:tcPr>
          <w:p w:rsidR="00927A2E" w:rsidRPr="000F3C8B" w:rsidRDefault="00927A2E" w:rsidP="00906E6C">
            <w:pPr>
              <w:pStyle w:val="TableText0"/>
              <w:spacing w:before="0" w:after="0"/>
              <w:rPr>
                <w:lang w:val="en-AU"/>
              </w:rPr>
            </w:pPr>
          </w:p>
        </w:tc>
        <w:tc>
          <w:tcPr>
            <w:tcW w:w="2127" w:type="dxa"/>
          </w:tcPr>
          <w:p w:rsidR="00927A2E" w:rsidRPr="000F3C8B" w:rsidRDefault="00927A2E" w:rsidP="00906E6C">
            <w:pPr>
              <w:pStyle w:val="TableText0"/>
              <w:spacing w:before="0" w:after="0"/>
              <w:rPr>
                <w:lang w:val="en-AU"/>
              </w:rPr>
            </w:pPr>
          </w:p>
        </w:tc>
        <w:tc>
          <w:tcPr>
            <w:tcW w:w="524" w:type="dxa"/>
          </w:tcPr>
          <w:p w:rsidR="00927A2E" w:rsidRPr="000F3C8B" w:rsidRDefault="00927A2E" w:rsidP="000C06E6">
            <w:pPr>
              <w:pStyle w:val="TableText0"/>
              <w:jc w:val="center"/>
              <w:rPr>
                <w:lang w:val="en-AU"/>
              </w:rPr>
            </w:pPr>
          </w:p>
        </w:tc>
      </w:tr>
      <w:tr w:rsidR="00927A2E" w:rsidRPr="00965DBA" w:rsidTr="0007443E">
        <w:trPr>
          <w:trHeight w:val="126"/>
        </w:trPr>
        <w:tc>
          <w:tcPr>
            <w:tcW w:w="1038" w:type="dxa"/>
          </w:tcPr>
          <w:p w:rsidR="00927A2E" w:rsidRPr="000F3C8B" w:rsidRDefault="00927A2E" w:rsidP="00892211">
            <w:pPr>
              <w:pStyle w:val="TableText0"/>
              <w:rPr>
                <w:b/>
                <w:lang w:val="en-AU"/>
              </w:rPr>
            </w:pPr>
            <w:r w:rsidRPr="000F3C8B">
              <w:rPr>
                <w:b/>
                <w:lang w:val="en-AU"/>
              </w:rPr>
              <w:t>Study total</w:t>
            </w:r>
          </w:p>
        </w:tc>
        <w:tc>
          <w:tcPr>
            <w:tcW w:w="709" w:type="dxa"/>
          </w:tcPr>
          <w:p w:rsidR="00927A2E" w:rsidRPr="000F3C8B" w:rsidRDefault="00927A2E" w:rsidP="00892211">
            <w:pPr>
              <w:pStyle w:val="TableText0"/>
              <w:rPr>
                <w:b/>
                <w:lang w:val="en-AU"/>
              </w:rPr>
            </w:pPr>
          </w:p>
        </w:tc>
        <w:tc>
          <w:tcPr>
            <w:tcW w:w="568" w:type="dxa"/>
          </w:tcPr>
          <w:p w:rsidR="00927A2E" w:rsidRPr="000F3C8B" w:rsidRDefault="00927A2E" w:rsidP="00892211">
            <w:pPr>
              <w:pStyle w:val="TableText0"/>
              <w:rPr>
                <w:b/>
                <w:lang w:val="en-AU"/>
              </w:rPr>
            </w:pPr>
            <w:r w:rsidRPr="000F3C8B">
              <w:rPr>
                <w:b/>
                <w:lang w:val="en-AU"/>
              </w:rPr>
              <w:t>16/15</w:t>
            </w:r>
          </w:p>
        </w:tc>
        <w:tc>
          <w:tcPr>
            <w:tcW w:w="2552" w:type="dxa"/>
          </w:tcPr>
          <w:p w:rsidR="00927A2E" w:rsidRPr="000F3C8B" w:rsidRDefault="00927A2E" w:rsidP="00892211">
            <w:pPr>
              <w:pStyle w:val="TableText0"/>
              <w:rPr>
                <w:b/>
                <w:lang w:val="en-AU"/>
              </w:rPr>
            </w:pPr>
          </w:p>
        </w:tc>
        <w:tc>
          <w:tcPr>
            <w:tcW w:w="424" w:type="dxa"/>
          </w:tcPr>
          <w:p w:rsidR="00927A2E" w:rsidRPr="000F3C8B" w:rsidRDefault="00927A2E" w:rsidP="00892211">
            <w:pPr>
              <w:pStyle w:val="TableText0"/>
              <w:rPr>
                <w:b/>
                <w:lang w:val="en-AU"/>
              </w:rPr>
            </w:pPr>
            <w:r w:rsidRPr="000F3C8B">
              <w:rPr>
                <w:b/>
                <w:lang w:val="en-AU"/>
              </w:rPr>
              <w:t>2/15</w:t>
            </w:r>
          </w:p>
        </w:tc>
        <w:tc>
          <w:tcPr>
            <w:tcW w:w="2127" w:type="dxa"/>
          </w:tcPr>
          <w:p w:rsidR="00927A2E" w:rsidRPr="000F3C8B" w:rsidRDefault="00927A2E" w:rsidP="00892211">
            <w:pPr>
              <w:pStyle w:val="TableText0"/>
              <w:rPr>
                <w:b/>
                <w:lang w:val="en-AU"/>
              </w:rPr>
            </w:pPr>
          </w:p>
        </w:tc>
        <w:tc>
          <w:tcPr>
            <w:tcW w:w="524" w:type="dxa"/>
          </w:tcPr>
          <w:p w:rsidR="00927A2E" w:rsidRPr="000F3C8B" w:rsidRDefault="00927A2E" w:rsidP="000C06E6">
            <w:pPr>
              <w:pStyle w:val="TableText0"/>
              <w:jc w:val="center"/>
              <w:rPr>
                <w:b/>
                <w:lang w:val="en-AU"/>
              </w:rPr>
            </w:pPr>
          </w:p>
        </w:tc>
      </w:tr>
      <w:tr w:rsidR="00927A2E" w:rsidRPr="00965DBA" w:rsidTr="0007443E">
        <w:trPr>
          <w:trHeight w:val="126"/>
        </w:trPr>
        <w:tc>
          <w:tcPr>
            <w:tcW w:w="1038" w:type="dxa"/>
          </w:tcPr>
          <w:p w:rsidR="00927A2E" w:rsidRPr="000F3C8B" w:rsidRDefault="00927A2E" w:rsidP="00892211">
            <w:pPr>
              <w:pStyle w:val="TableText0"/>
              <w:rPr>
                <w:lang w:val="en-AU"/>
              </w:rPr>
            </w:pPr>
            <w:r w:rsidRPr="000F3C8B">
              <w:rPr>
                <w:lang w:val="en-AU"/>
              </w:rPr>
              <w:t>Nagula</w:t>
            </w:r>
            <w:r w:rsidR="00906E6C" w:rsidRPr="000F3C8B">
              <w:rPr>
                <w:lang w:val="en-AU"/>
              </w:rPr>
              <w:t xml:space="preserve"> et al</w:t>
            </w:r>
            <w:r w:rsidRPr="000F3C8B">
              <w:rPr>
                <w:lang w:val="en-AU"/>
              </w:rPr>
              <w:t xml:space="preserve"> </w:t>
            </w:r>
            <w:r w:rsidRPr="000F3C8B">
              <w:rPr>
                <w:sz w:val="16"/>
                <w:szCs w:val="16"/>
                <w:lang w:val="en-AU"/>
              </w:rPr>
              <w:t>(2010</w:t>
            </w:r>
            <w:r w:rsidRPr="000F3C8B">
              <w:rPr>
                <w:lang w:val="en-AU"/>
              </w:rPr>
              <w:t>)</w:t>
            </w:r>
          </w:p>
        </w:tc>
        <w:tc>
          <w:tcPr>
            <w:tcW w:w="709" w:type="dxa"/>
          </w:tcPr>
          <w:p w:rsidR="00927A2E" w:rsidRPr="000F3C8B" w:rsidRDefault="00927A2E" w:rsidP="00892211">
            <w:pPr>
              <w:pStyle w:val="TableText0"/>
              <w:rPr>
                <w:lang w:val="en-AU"/>
              </w:rPr>
            </w:pPr>
            <w:r w:rsidRPr="000F3C8B">
              <w:rPr>
                <w:lang w:val="en-AU"/>
              </w:rPr>
              <w:t>III-2</w:t>
            </w:r>
          </w:p>
        </w:tc>
        <w:tc>
          <w:tcPr>
            <w:tcW w:w="568" w:type="dxa"/>
          </w:tcPr>
          <w:p w:rsidR="00927A2E" w:rsidRPr="000F3C8B" w:rsidRDefault="00927A2E" w:rsidP="00892211">
            <w:pPr>
              <w:pStyle w:val="TableText0"/>
              <w:rPr>
                <w:lang w:val="en-AU"/>
              </w:rPr>
            </w:pPr>
            <w:r w:rsidRPr="000F3C8B">
              <w:rPr>
                <w:lang w:val="en-AU"/>
              </w:rPr>
              <w:t>3/30</w:t>
            </w:r>
          </w:p>
        </w:tc>
        <w:tc>
          <w:tcPr>
            <w:tcW w:w="2552" w:type="dxa"/>
          </w:tcPr>
          <w:p w:rsidR="00927A2E" w:rsidRPr="000F3C8B" w:rsidRDefault="00927A2E" w:rsidP="00892211">
            <w:pPr>
              <w:pStyle w:val="TableText0"/>
              <w:rPr>
                <w:lang w:val="en-AU"/>
              </w:rPr>
            </w:pPr>
            <w:r w:rsidRPr="000F3C8B">
              <w:rPr>
                <w:lang w:val="en-AU"/>
              </w:rPr>
              <w:t>Small bowel obstruction</w:t>
            </w:r>
          </w:p>
        </w:tc>
        <w:tc>
          <w:tcPr>
            <w:tcW w:w="424" w:type="dxa"/>
          </w:tcPr>
          <w:p w:rsidR="00927A2E" w:rsidRPr="000F3C8B" w:rsidRDefault="00927A2E" w:rsidP="00892211">
            <w:pPr>
              <w:pStyle w:val="TableText0"/>
              <w:rPr>
                <w:lang w:val="en-AU"/>
              </w:rPr>
            </w:pPr>
            <w:r w:rsidRPr="000F3C8B">
              <w:rPr>
                <w:lang w:val="en-AU"/>
              </w:rPr>
              <w:t>3/14</w:t>
            </w:r>
          </w:p>
        </w:tc>
        <w:tc>
          <w:tcPr>
            <w:tcW w:w="2127" w:type="dxa"/>
          </w:tcPr>
          <w:p w:rsidR="00927A2E" w:rsidRPr="000F3C8B" w:rsidRDefault="00927A2E" w:rsidP="007027C1">
            <w:pPr>
              <w:pStyle w:val="TableText0"/>
              <w:rPr>
                <w:lang w:val="en-AU"/>
              </w:rPr>
            </w:pPr>
            <w:r w:rsidRPr="000F3C8B">
              <w:rPr>
                <w:lang w:val="en-AU"/>
              </w:rPr>
              <w:t>Small bowel obstruction</w:t>
            </w:r>
          </w:p>
        </w:tc>
        <w:tc>
          <w:tcPr>
            <w:tcW w:w="524" w:type="dxa"/>
          </w:tcPr>
          <w:p w:rsidR="00927A2E" w:rsidRPr="000F3C8B" w:rsidRDefault="00927A2E" w:rsidP="000C06E6">
            <w:pPr>
              <w:pStyle w:val="TableText0"/>
              <w:jc w:val="center"/>
              <w:rPr>
                <w:lang w:val="en-AU"/>
              </w:rPr>
            </w:pPr>
            <w:r w:rsidRPr="000F3C8B">
              <w:rPr>
                <w:lang w:val="en-AU"/>
              </w:rPr>
              <w:t>NR</w:t>
            </w:r>
          </w:p>
        </w:tc>
      </w:tr>
      <w:tr w:rsidR="00927A2E" w:rsidRPr="00965DBA" w:rsidTr="0007443E">
        <w:trPr>
          <w:trHeight w:val="126"/>
        </w:trPr>
        <w:tc>
          <w:tcPr>
            <w:tcW w:w="1038" w:type="dxa"/>
          </w:tcPr>
          <w:p w:rsidR="00927A2E" w:rsidRPr="000F3C8B" w:rsidRDefault="00927A2E" w:rsidP="00892211">
            <w:pPr>
              <w:pStyle w:val="TableText0"/>
              <w:rPr>
                <w:lang w:val="en-AU"/>
              </w:rPr>
            </w:pPr>
          </w:p>
        </w:tc>
        <w:tc>
          <w:tcPr>
            <w:tcW w:w="709" w:type="dxa"/>
          </w:tcPr>
          <w:p w:rsidR="00927A2E" w:rsidRPr="000F3C8B" w:rsidRDefault="00927A2E" w:rsidP="00892211">
            <w:pPr>
              <w:pStyle w:val="TableText0"/>
              <w:rPr>
                <w:lang w:val="en-AU"/>
              </w:rPr>
            </w:pPr>
          </w:p>
        </w:tc>
        <w:tc>
          <w:tcPr>
            <w:tcW w:w="568" w:type="dxa"/>
          </w:tcPr>
          <w:p w:rsidR="00927A2E" w:rsidRPr="000F3C8B" w:rsidRDefault="00927A2E" w:rsidP="00892211">
            <w:pPr>
              <w:pStyle w:val="TableText0"/>
              <w:rPr>
                <w:lang w:val="en-AU"/>
              </w:rPr>
            </w:pPr>
            <w:r w:rsidRPr="000F3C8B">
              <w:rPr>
                <w:lang w:val="en-AU"/>
              </w:rPr>
              <w:t>2/30</w:t>
            </w:r>
          </w:p>
        </w:tc>
        <w:tc>
          <w:tcPr>
            <w:tcW w:w="2552" w:type="dxa"/>
          </w:tcPr>
          <w:p w:rsidR="00927A2E" w:rsidRPr="000F3C8B" w:rsidRDefault="00927A2E" w:rsidP="00892211">
            <w:pPr>
              <w:pStyle w:val="TableText0"/>
              <w:rPr>
                <w:lang w:val="en-AU"/>
              </w:rPr>
            </w:pPr>
            <w:r w:rsidRPr="000F3C8B">
              <w:rPr>
                <w:lang w:val="en-AU"/>
              </w:rPr>
              <w:t xml:space="preserve">Stent occlusion from </w:t>
            </w:r>
            <w:r w:rsidRPr="000F3C8B">
              <w:rPr>
                <w:szCs w:val="18"/>
                <w:lang w:val="en-AU"/>
              </w:rPr>
              <w:t>tumour invasion</w:t>
            </w:r>
          </w:p>
        </w:tc>
        <w:tc>
          <w:tcPr>
            <w:tcW w:w="424" w:type="dxa"/>
          </w:tcPr>
          <w:p w:rsidR="00927A2E" w:rsidRPr="000F3C8B" w:rsidRDefault="00927A2E" w:rsidP="00892211">
            <w:pPr>
              <w:pStyle w:val="TableText0"/>
              <w:rPr>
                <w:lang w:val="en-AU"/>
              </w:rPr>
            </w:pPr>
            <w:r w:rsidRPr="000F3C8B">
              <w:rPr>
                <w:lang w:val="en-AU"/>
              </w:rPr>
              <w:t>1/14</w:t>
            </w:r>
          </w:p>
        </w:tc>
        <w:tc>
          <w:tcPr>
            <w:tcW w:w="2127" w:type="dxa"/>
          </w:tcPr>
          <w:p w:rsidR="00927A2E" w:rsidRPr="000F3C8B" w:rsidRDefault="00927A2E" w:rsidP="00892211">
            <w:pPr>
              <w:pStyle w:val="TableText0"/>
              <w:rPr>
                <w:lang w:val="en-AU"/>
              </w:rPr>
            </w:pPr>
            <w:r w:rsidRPr="000F3C8B">
              <w:rPr>
                <w:lang w:val="en-AU"/>
              </w:rPr>
              <w:t>Abscess</w:t>
            </w:r>
          </w:p>
        </w:tc>
        <w:tc>
          <w:tcPr>
            <w:tcW w:w="524" w:type="dxa"/>
          </w:tcPr>
          <w:p w:rsidR="00927A2E" w:rsidRPr="000F3C8B" w:rsidRDefault="00927A2E" w:rsidP="000C06E6">
            <w:pPr>
              <w:pStyle w:val="TableText0"/>
              <w:jc w:val="center"/>
              <w:rPr>
                <w:lang w:val="en-AU"/>
              </w:rPr>
            </w:pPr>
          </w:p>
        </w:tc>
      </w:tr>
      <w:tr w:rsidR="00927A2E" w:rsidRPr="00965DBA" w:rsidTr="0007443E">
        <w:trPr>
          <w:trHeight w:val="126"/>
        </w:trPr>
        <w:tc>
          <w:tcPr>
            <w:tcW w:w="1038" w:type="dxa"/>
          </w:tcPr>
          <w:p w:rsidR="00927A2E" w:rsidRPr="000F3C8B" w:rsidRDefault="00927A2E" w:rsidP="00892211">
            <w:pPr>
              <w:pStyle w:val="TableText0"/>
              <w:rPr>
                <w:lang w:val="en-AU"/>
              </w:rPr>
            </w:pPr>
          </w:p>
        </w:tc>
        <w:tc>
          <w:tcPr>
            <w:tcW w:w="709" w:type="dxa"/>
          </w:tcPr>
          <w:p w:rsidR="00927A2E" w:rsidRPr="000F3C8B" w:rsidRDefault="00927A2E" w:rsidP="00892211">
            <w:pPr>
              <w:pStyle w:val="TableText0"/>
              <w:rPr>
                <w:lang w:val="en-AU"/>
              </w:rPr>
            </w:pPr>
          </w:p>
        </w:tc>
        <w:tc>
          <w:tcPr>
            <w:tcW w:w="568" w:type="dxa"/>
          </w:tcPr>
          <w:p w:rsidR="00927A2E" w:rsidRPr="000F3C8B" w:rsidRDefault="00927A2E" w:rsidP="00892211">
            <w:pPr>
              <w:pStyle w:val="TableText0"/>
              <w:rPr>
                <w:lang w:val="en-AU"/>
              </w:rPr>
            </w:pPr>
            <w:r w:rsidRPr="000F3C8B">
              <w:rPr>
                <w:lang w:val="en-AU"/>
              </w:rPr>
              <w:t>1/30</w:t>
            </w:r>
          </w:p>
        </w:tc>
        <w:tc>
          <w:tcPr>
            <w:tcW w:w="2552" w:type="dxa"/>
          </w:tcPr>
          <w:p w:rsidR="00927A2E" w:rsidRPr="000F3C8B" w:rsidRDefault="00927A2E" w:rsidP="00892211">
            <w:pPr>
              <w:pStyle w:val="TableText0"/>
              <w:rPr>
                <w:lang w:val="en-AU"/>
              </w:rPr>
            </w:pPr>
            <w:r w:rsidRPr="000F3C8B">
              <w:rPr>
                <w:lang w:val="en-AU"/>
              </w:rPr>
              <w:t>Stent migration</w:t>
            </w:r>
          </w:p>
        </w:tc>
        <w:tc>
          <w:tcPr>
            <w:tcW w:w="424" w:type="dxa"/>
          </w:tcPr>
          <w:p w:rsidR="00927A2E" w:rsidRPr="000F3C8B" w:rsidRDefault="00927A2E" w:rsidP="00892211">
            <w:pPr>
              <w:pStyle w:val="TableText0"/>
              <w:rPr>
                <w:lang w:val="en-AU"/>
              </w:rPr>
            </w:pPr>
          </w:p>
        </w:tc>
        <w:tc>
          <w:tcPr>
            <w:tcW w:w="2127" w:type="dxa"/>
          </w:tcPr>
          <w:p w:rsidR="00927A2E" w:rsidRPr="000F3C8B" w:rsidRDefault="00927A2E" w:rsidP="00892211">
            <w:pPr>
              <w:pStyle w:val="TableText0"/>
              <w:rPr>
                <w:lang w:val="en-AU"/>
              </w:rPr>
            </w:pPr>
          </w:p>
        </w:tc>
        <w:tc>
          <w:tcPr>
            <w:tcW w:w="524" w:type="dxa"/>
          </w:tcPr>
          <w:p w:rsidR="00927A2E" w:rsidRPr="000F3C8B" w:rsidRDefault="00927A2E" w:rsidP="000C06E6">
            <w:pPr>
              <w:pStyle w:val="TableText0"/>
              <w:jc w:val="center"/>
              <w:rPr>
                <w:lang w:val="en-AU"/>
              </w:rPr>
            </w:pPr>
          </w:p>
        </w:tc>
      </w:tr>
      <w:tr w:rsidR="00427C46" w:rsidRPr="00965DBA" w:rsidTr="0007443E">
        <w:trPr>
          <w:trHeight w:val="126"/>
        </w:trPr>
        <w:tc>
          <w:tcPr>
            <w:tcW w:w="1038" w:type="dxa"/>
          </w:tcPr>
          <w:p w:rsidR="00427C46" w:rsidRPr="000F3C8B" w:rsidRDefault="00427C46" w:rsidP="00892211">
            <w:pPr>
              <w:pStyle w:val="TableText0"/>
              <w:rPr>
                <w:lang w:val="en-AU"/>
              </w:rPr>
            </w:pPr>
            <w:r w:rsidRPr="000F3C8B">
              <w:rPr>
                <w:b/>
                <w:lang w:val="en-AU"/>
              </w:rPr>
              <w:t>Study total</w:t>
            </w:r>
          </w:p>
        </w:tc>
        <w:tc>
          <w:tcPr>
            <w:tcW w:w="709" w:type="dxa"/>
          </w:tcPr>
          <w:p w:rsidR="00427C46" w:rsidRPr="000F3C8B" w:rsidRDefault="00427C46" w:rsidP="00892211">
            <w:pPr>
              <w:pStyle w:val="TableText0"/>
              <w:rPr>
                <w:lang w:val="en-AU"/>
              </w:rPr>
            </w:pPr>
          </w:p>
        </w:tc>
        <w:tc>
          <w:tcPr>
            <w:tcW w:w="568" w:type="dxa"/>
          </w:tcPr>
          <w:p w:rsidR="00427C46" w:rsidRPr="000F3C8B" w:rsidRDefault="00427C46" w:rsidP="00892211">
            <w:pPr>
              <w:pStyle w:val="TableText0"/>
              <w:rPr>
                <w:lang w:val="en-AU"/>
              </w:rPr>
            </w:pPr>
            <w:r w:rsidRPr="000F3C8B">
              <w:rPr>
                <w:b/>
                <w:lang w:val="en-AU"/>
              </w:rPr>
              <w:t>6/30</w:t>
            </w:r>
          </w:p>
        </w:tc>
        <w:tc>
          <w:tcPr>
            <w:tcW w:w="2552" w:type="dxa"/>
          </w:tcPr>
          <w:p w:rsidR="00427C46" w:rsidRPr="000F3C8B" w:rsidRDefault="00427C46" w:rsidP="00892211">
            <w:pPr>
              <w:pStyle w:val="TableText0"/>
              <w:rPr>
                <w:lang w:val="en-AU"/>
              </w:rPr>
            </w:pPr>
          </w:p>
        </w:tc>
        <w:tc>
          <w:tcPr>
            <w:tcW w:w="424" w:type="dxa"/>
          </w:tcPr>
          <w:p w:rsidR="00427C46" w:rsidRPr="000F3C8B" w:rsidRDefault="00427C46" w:rsidP="00892211">
            <w:pPr>
              <w:pStyle w:val="TableText0"/>
              <w:rPr>
                <w:lang w:val="en-AU"/>
              </w:rPr>
            </w:pPr>
            <w:r w:rsidRPr="000F3C8B">
              <w:rPr>
                <w:b/>
                <w:lang w:val="en-AU"/>
              </w:rPr>
              <w:t>4/14</w:t>
            </w:r>
          </w:p>
        </w:tc>
        <w:tc>
          <w:tcPr>
            <w:tcW w:w="2127" w:type="dxa"/>
          </w:tcPr>
          <w:p w:rsidR="00427C46" w:rsidRPr="000F3C8B" w:rsidRDefault="00427C46" w:rsidP="00892211">
            <w:pPr>
              <w:pStyle w:val="TableText0"/>
              <w:rPr>
                <w:lang w:val="en-AU"/>
              </w:rPr>
            </w:pPr>
          </w:p>
        </w:tc>
        <w:tc>
          <w:tcPr>
            <w:tcW w:w="524" w:type="dxa"/>
          </w:tcPr>
          <w:p w:rsidR="00427C46" w:rsidRPr="000F3C8B" w:rsidRDefault="00427C46" w:rsidP="000C06E6">
            <w:pPr>
              <w:pStyle w:val="TableText0"/>
              <w:jc w:val="center"/>
              <w:rPr>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r w:rsidRPr="000F3C8B">
              <w:rPr>
                <w:lang w:val="en-AU"/>
              </w:rPr>
              <w:t>Varadarajulu</w:t>
            </w:r>
            <w:r w:rsidR="00906E6C" w:rsidRPr="000F3C8B">
              <w:rPr>
                <w:lang w:val="en-AU"/>
              </w:rPr>
              <w:t xml:space="preserve"> et al</w:t>
            </w:r>
            <w:r w:rsidRPr="000F3C8B">
              <w:rPr>
                <w:lang w:val="en-AU"/>
              </w:rPr>
              <w:t xml:space="preserve"> (2011)</w:t>
            </w:r>
          </w:p>
        </w:tc>
        <w:tc>
          <w:tcPr>
            <w:tcW w:w="709" w:type="dxa"/>
          </w:tcPr>
          <w:p w:rsidR="00427C46" w:rsidRPr="000F3C8B" w:rsidRDefault="00427C46" w:rsidP="00892211">
            <w:pPr>
              <w:pStyle w:val="TableText0"/>
              <w:rPr>
                <w:b/>
                <w:lang w:val="en-AU"/>
              </w:rPr>
            </w:pPr>
            <w:r w:rsidRPr="000F3C8B">
              <w:rPr>
                <w:lang w:val="en-AU"/>
              </w:rPr>
              <w:t>III-3</w:t>
            </w:r>
          </w:p>
        </w:tc>
        <w:tc>
          <w:tcPr>
            <w:tcW w:w="568" w:type="dxa"/>
          </w:tcPr>
          <w:p w:rsidR="00427C46" w:rsidRPr="000F3C8B" w:rsidRDefault="00427C46" w:rsidP="00892211">
            <w:pPr>
              <w:pStyle w:val="TableText0"/>
              <w:rPr>
                <w:b/>
                <w:lang w:val="en-AU"/>
              </w:rPr>
            </w:pPr>
            <w:r w:rsidRPr="000F3C8B">
              <w:rPr>
                <w:lang w:val="en-AU"/>
              </w:rPr>
              <w:t>1/12</w:t>
            </w:r>
          </w:p>
        </w:tc>
        <w:tc>
          <w:tcPr>
            <w:tcW w:w="2552" w:type="dxa"/>
          </w:tcPr>
          <w:p w:rsidR="00427C46" w:rsidRPr="000F3C8B" w:rsidRDefault="00427C46" w:rsidP="00892211">
            <w:pPr>
              <w:pStyle w:val="TableText0"/>
              <w:rPr>
                <w:b/>
                <w:lang w:val="en-AU"/>
              </w:rPr>
            </w:pPr>
            <w:r w:rsidRPr="000F3C8B">
              <w:rPr>
                <w:lang w:val="en-AU"/>
              </w:rPr>
              <w:t>Minor bleeding</w:t>
            </w: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B732E8">
            <w:pPr>
              <w:pStyle w:val="TableText0"/>
              <w:rPr>
                <w:b/>
                <w:lang w:val="en-AU"/>
              </w:rPr>
            </w:pPr>
            <w:r w:rsidRPr="000F3C8B">
              <w:rPr>
                <w:lang w:val="en-AU"/>
              </w:rPr>
              <w:t xml:space="preserve">Sepsis </w:t>
            </w:r>
          </w:p>
        </w:tc>
        <w:tc>
          <w:tcPr>
            <w:tcW w:w="524" w:type="dxa"/>
          </w:tcPr>
          <w:p w:rsidR="00427C46" w:rsidRPr="000F3C8B" w:rsidRDefault="00427C46" w:rsidP="000C06E6">
            <w:pPr>
              <w:pStyle w:val="TableText0"/>
              <w:jc w:val="center"/>
              <w:rPr>
                <w:b/>
                <w:lang w:val="en-AU"/>
              </w:rPr>
            </w:pPr>
            <w:r w:rsidRPr="000F3C8B">
              <w:rPr>
                <w:lang w:val="en-AU"/>
              </w:rPr>
              <w:t>0.081</w:t>
            </w: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892211">
            <w:pPr>
              <w:pStyle w:val="TableText0"/>
              <w:rPr>
                <w:b/>
                <w:lang w:val="en-AU"/>
              </w:rPr>
            </w:pPr>
            <w:r w:rsidRPr="000F3C8B">
              <w:rPr>
                <w:lang w:val="en-AU"/>
              </w:rPr>
              <w:t xml:space="preserve">Parastomal hernia </w:t>
            </w: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892211">
            <w:pPr>
              <w:pStyle w:val="TableText0"/>
              <w:rPr>
                <w:b/>
                <w:lang w:val="en-AU"/>
              </w:rPr>
            </w:pPr>
            <w:r w:rsidRPr="000F3C8B">
              <w:rPr>
                <w:lang w:val="en-AU"/>
              </w:rPr>
              <w:t xml:space="preserve">Anastomotic leak </w:t>
            </w: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892211">
            <w:pPr>
              <w:pStyle w:val="TableText0"/>
              <w:rPr>
                <w:b/>
                <w:lang w:val="en-AU"/>
              </w:rPr>
            </w:pPr>
            <w:r w:rsidRPr="000F3C8B">
              <w:rPr>
                <w:lang w:val="en-AU"/>
              </w:rPr>
              <w:t xml:space="preserve">Peristomal abscess </w:t>
            </w: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892211">
            <w:pPr>
              <w:pStyle w:val="TableText0"/>
              <w:rPr>
                <w:b/>
                <w:lang w:val="en-AU"/>
              </w:rPr>
            </w:pPr>
            <w:r w:rsidRPr="000F3C8B">
              <w:rPr>
                <w:lang w:val="en-AU"/>
              </w:rPr>
              <w:t xml:space="preserve">Intra-abdominal abscess </w:t>
            </w: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892211">
            <w:pPr>
              <w:pStyle w:val="TableText0"/>
              <w:rPr>
                <w:b/>
                <w:lang w:val="en-AU"/>
              </w:rPr>
            </w:pPr>
            <w:r w:rsidRPr="000F3C8B">
              <w:rPr>
                <w:lang w:val="en-AU"/>
              </w:rPr>
              <w:t xml:space="preserve">Small bowel obstruction </w:t>
            </w: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892211">
            <w:pPr>
              <w:pStyle w:val="TableText0"/>
              <w:rPr>
                <w:b/>
                <w:lang w:val="en-AU"/>
              </w:rPr>
            </w:pPr>
            <w:r w:rsidRPr="000F3C8B">
              <w:rPr>
                <w:lang w:val="en-AU"/>
              </w:rPr>
              <w:t xml:space="preserve">Enterocutaneous fistula </w:t>
            </w: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lang w:val="en-AU"/>
              </w:rPr>
              <w:t>1/24</w:t>
            </w:r>
          </w:p>
        </w:tc>
        <w:tc>
          <w:tcPr>
            <w:tcW w:w="2127" w:type="dxa"/>
          </w:tcPr>
          <w:p w:rsidR="00427C46" w:rsidRPr="000F3C8B" w:rsidRDefault="00427C46" w:rsidP="00892211">
            <w:pPr>
              <w:pStyle w:val="TableText0"/>
              <w:rPr>
                <w:b/>
                <w:lang w:val="en-AU"/>
              </w:rPr>
            </w:pPr>
            <w:r w:rsidRPr="000F3C8B">
              <w:rPr>
                <w:lang w:val="en-AU"/>
              </w:rPr>
              <w:t xml:space="preserve">Pelvic abscess </w:t>
            </w: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r w:rsidRPr="000F3C8B">
              <w:rPr>
                <w:b/>
                <w:lang w:val="en-AU"/>
              </w:rPr>
              <w:t>Study total</w:t>
            </w: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r w:rsidRPr="000F3C8B">
              <w:rPr>
                <w:b/>
                <w:lang w:val="en-AU"/>
              </w:rPr>
              <w:t>1/12</w:t>
            </w: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b/>
                <w:lang w:val="en-AU"/>
              </w:rPr>
              <w:t>8/24</w:t>
            </w:r>
          </w:p>
        </w:tc>
        <w:tc>
          <w:tcPr>
            <w:tcW w:w="2127" w:type="dxa"/>
          </w:tcPr>
          <w:p w:rsidR="00427C46" w:rsidRPr="000F3C8B" w:rsidRDefault="00427C46" w:rsidP="00892211">
            <w:pPr>
              <w:pStyle w:val="TableText0"/>
              <w:rPr>
                <w:b/>
                <w:lang w:val="en-AU"/>
              </w:rPr>
            </w:pP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r w:rsidRPr="000F3C8B">
              <w:rPr>
                <w:lang w:val="en-AU"/>
              </w:rPr>
              <w:t>Baik</w:t>
            </w:r>
            <w:r w:rsidR="004C50A5" w:rsidRPr="000F3C8B">
              <w:rPr>
                <w:lang w:val="en-AU"/>
              </w:rPr>
              <w:t xml:space="preserve"> et al</w:t>
            </w:r>
            <w:r w:rsidRPr="000F3C8B">
              <w:rPr>
                <w:lang w:val="en-AU"/>
              </w:rPr>
              <w:t xml:space="preserve"> (2006)</w:t>
            </w:r>
          </w:p>
        </w:tc>
        <w:tc>
          <w:tcPr>
            <w:tcW w:w="709" w:type="dxa"/>
          </w:tcPr>
          <w:p w:rsidR="00427C46" w:rsidRPr="000F3C8B" w:rsidRDefault="00427C46" w:rsidP="00892211">
            <w:pPr>
              <w:pStyle w:val="TableText0"/>
              <w:rPr>
                <w:b/>
                <w:lang w:val="en-AU"/>
              </w:rPr>
            </w:pPr>
            <w:r w:rsidRPr="000F3C8B">
              <w:rPr>
                <w:lang w:val="en-AU"/>
              </w:rPr>
              <w:t>III-3</w:t>
            </w:r>
          </w:p>
        </w:tc>
        <w:tc>
          <w:tcPr>
            <w:tcW w:w="568" w:type="dxa"/>
          </w:tcPr>
          <w:p w:rsidR="00427C46" w:rsidRPr="000F3C8B" w:rsidRDefault="00427C46" w:rsidP="00892211">
            <w:pPr>
              <w:pStyle w:val="TableText0"/>
              <w:rPr>
                <w:b/>
                <w:lang w:val="en-AU"/>
              </w:rPr>
            </w:pPr>
            <w:r w:rsidRPr="000F3C8B">
              <w:rPr>
                <w:lang w:val="en-AU"/>
              </w:rPr>
              <w:t>1/18</w:t>
            </w:r>
          </w:p>
        </w:tc>
        <w:tc>
          <w:tcPr>
            <w:tcW w:w="2552" w:type="dxa"/>
          </w:tcPr>
          <w:p w:rsidR="00427C46" w:rsidRPr="000F3C8B" w:rsidRDefault="00427C46" w:rsidP="007027C1">
            <w:pPr>
              <w:pStyle w:val="TableText0"/>
              <w:rPr>
                <w:b/>
                <w:lang w:val="en-AU"/>
              </w:rPr>
            </w:pPr>
            <w:r w:rsidRPr="000F3C8B">
              <w:rPr>
                <w:lang w:val="en-AU"/>
              </w:rPr>
              <w:t>Perforation with abscess formation</w:t>
            </w:r>
          </w:p>
        </w:tc>
        <w:tc>
          <w:tcPr>
            <w:tcW w:w="424" w:type="dxa"/>
          </w:tcPr>
          <w:p w:rsidR="00427C46" w:rsidRPr="000F3C8B" w:rsidRDefault="00427C46" w:rsidP="00892211">
            <w:pPr>
              <w:pStyle w:val="TableText0"/>
              <w:rPr>
                <w:b/>
                <w:lang w:val="en-AU"/>
              </w:rPr>
            </w:pPr>
            <w:r w:rsidRPr="000F3C8B">
              <w:rPr>
                <w:lang w:val="en-AU"/>
              </w:rPr>
              <w:t>2/19</w:t>
            </w:r>
          </w:p>
        </w:tc>
        <w:tc>
          <w:tcPr>
            <w:tcW w:w="2127" w:type="dxa"/>
          </w:tcPr>
          <w:p w:rsidR="00427C46" w:rsidRPr="000F3C8B" w:rsidRDefault="00427C46" w:rsidP="00892211">
            <w:pPr>
              <w:pStyle w:val="TableText0"/>
              <w:rPr>
                <w:b/>
                <w:lang w:val="en-AU"/>
              </w:rPr>
            </w:pPr>
            <w:r w:rsidRPr="000F3C8B">
              <w:rPr>
                <w:lang w:val="en-AU"/>
              </w:rPr>
              <w:t>Wound infection</w:t>
            </w:r>
          </w:p>
        </w:tc>
        <w:tc>
          <w:tcPr>
            <w:tcW w:w="524" w:type="dxa"/>
          </w:tcPr>
          <w:p w:rsidR="00427C46" w:rsidRPr="0007443E" w:rsidRDefault="00A117D1" w:rsidP="000C06E6">
            <w:pPr>
              <w:pStyle w:val="TableText0"/>
              <w:jc w:val="center"/>
              <w:rPr>
                <w:b/>
                <w:sz w:val="16"/>
                <w:szCs w:val="16"/>
                <w:lang w:val="en-AU"/>
              </w:rPr>
            </w:pPr>
            <w:r>
              <w:rPr>
                <w:sz w:val="16"/>
                <w:szCs w:val="16"/>
                <w:lang w:val="en-AU"/>
              </w:rPr>
              <w:t>0.660</w:t>
            </w: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r w:rsidRPr="000F3C8B">
              <w:rPr>
                <w:lang w:val="en-AU"/>
              </w:rPr>
              <w:t>1/18</w:t>
            </w:r>
          </w:p>
        </w:tc>
        <w:tc>
          <w:tcPr>
            <w:tcW w:w="2552" w:type="dxa"/>
          </w:tcPr>
          <w:p w:rsidR="00427C46" w:rsidRPr="000F3C8B" w:rsidRDefault="00427C46" w:rsidP="00892211">
            <w:pPr>
              <w:pStyle w:val="TableText0"/>
              <w:rPr>
                <w:b/>
                <w:lang w:val="en-AU"/>
              </w:rPr>
            </w:pPr>
            <w:r w:rsidRPr="000F3C8B">
              <w:rPr>
                <w:lang w:val="en-AU"/>
              </w:rPr>
              <w:t>Stent migration with severe tenesmus and haemorrhage</w:t>
            </w:r>
          </w:p>
        </w:tc>
        <w:tc>
          <w:tcPr>
            <w:tcW w:w="424" w:type="dxa"/>
          </w:tcPr>
          <w:p w:rsidR="00427C46" w:rsidRPr="000F3C8B" w:rsidRDefault="00427C46" w:rsidP="00892211">
            <w:pPr>
              <w:pStyle w:val="TableText0"/>
              <w:rPr>
                <w:b/>
                <w:lang w:val="en-AU"/>
              </w:rPr>
            </w:pPr>
          </w:p>
        </w:tc>
        <w:tc>
          <w:tcPr>
            <w:tcW w:w="2127" w:type="dxa"/>
          </w:tcPr>
          <w:p w:rsidR="00427C46" w:rsidRPr="000F3C8B" w:rsidRDefault="00427C46" w:rsidP="00892211">
            <w:pPr>
              <w:pStyle w:val="TableText0"/>
              <w:rPr>
                <w:b/>
                <w:lang w:val="en-AU"/>
              </w:rPr>
            </w:pP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r w:rsidRPr="000F3C8B">
              <w:rPr>
                <w:lang w:val="en-AU"/>
              </w:rPr>
              <w:t>1/18</w:t>
            </w:r>
          </w:p>
        </w:tc>
        <w:tc>
          <w:tcPr>
            <w:tcW w:w="2552" w:type="dxa"/>
          </w:tcPr>
          <w:p w:rsidR="00427C46" w:rsidRPr="000F3C8B" w:rsidRDefault="00427C46" w:rsidP="00892211">
            <w:pPr>
              <w:pStyle w:val="TableText0"/>
              <w:rPr>
                <w:b/>
                <w:lang w:val="en-AU"/>
              </w:rPr>
            </w:pPr>
            <w:r w:rsidRPr="000F3C8B">
              <w:rPr>
                <w:lang w:val="en-AU"/>
              </w:rPr>
              <w:t>Stent migration</w:t>
            </w:r>
          </w:p>
        </w:tc>
        <w:tc>
          <w:tcPr>
            <w:tcW w:w="424" w:type="dxa"/>
          </w:tcPr>
          <w:p w:rsidR="00427C46" w:rsidRPr="000F3C8B" w:rsidRDefault="00427C46" w:rsidP="00892211">
            <w:pPr>
              <w:pStyle w:val="TableText0"/>
              <w:rPr>
                <w:b/>
                <w:lang w:val="en-AU"/>
              </w:rPr>
            </w:pPr>
          </w:p>
        </w:tc>
        <w:tc>
          <w:tcPr>
            <w:tcW w:w="2127" w:type="dxa"/>
          </w:tcPr>
          <w:p w:rsidR="00427C46" w:rsidRPr="000F3C8B" w:rsidRDefault="00427C46" w:rsidP="00892211">
            <w:pPr>
              <w:pStyle w:val="TableText0"/>
              <w:rPr>
                <w:b/>
                <w:lang w:val="en-AU"/>
              </w:rPr>
            </w:pP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r w:rsidRPr="000F3C8B">
              <w:rPr>
                <w:b/>
                <w:lang w:val="en-AU"/>
              </w:rPr>
              <w:t>Study total</w:t>
            </w: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r w:rsidRPr="000F3C8B">
              <w:rPr>
                <w:b/>
                <w:lang w:val="en-AU"/>
              </w:rPr>
              <w:t>3/18</w:t>
            </w: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b/>
                <w:lang w:val="en-AU"/>
              </w:rPr>
              <w:t>2/19</w:t>
            </w:r>
          </w:p>
        </w:tc>
        <w:tc>
          <w:tcPr>
            <w:tcW w:w="2127" w:type="dxa"/>
          </w:tcPr>
          <w:p w:rsidR="00427C46" w:rsidRPr="000F3C8B" w:rsidRDefault="00427C46" w:rsidP="00892211">
            <w:pPr>
              <w:pStyle w:val="TableText0"/>
              <w:rPr>
                <w:b/>
                <w:lang w:val="en-AU"/>
              </w:rPr>
            </w:pPr>
          </w:p>
        </w:tc>
        <w:tc>
          <w:tcPr>
            <w:tcW w:w="524" w:type="dxa"/>
          </w:tcPr>
          <w:p w:rsidR="00427C46" w:rsidRPr="000F3C8B" w:rsidRDefault="00427C46" w:rsidP="000C06E6">
            <w:pPr>
              <w:pStyle w:val="TableText0"/>
              <w:jc w:val="center"/>
              <w:rPr>
                <w:b/>
                <w:lang w:val="en-AU"/>
              </w:rPr>
            </w:pPr>
          </w:p>
        </w:tc>
      </w:tr>
      <w:tr w:rsidR="00427C46" w:rsidRPr="00965DBA" w:rsidTr="0007443E">
        <w:trPr>
          <w:trHeight w:val="126"/>
        </w:trPr>
        <w:tc>
          <w:tcPr>
            <w:tcW w:w="1038" w:type="dxa"/>
          </w:tcPr>
          <w:p w:rsidR="00427C46" w:rsidRPr="000F3C8B" w:rsidRDefault="00427C46" w:rsidP="00892211">
            <w:pPr>
              <w:pStyle w:val="TableText0"/>
              <w:rPr>
                <w:lang w:val="en-AU"/>
              </w:rPr>
            </w:pPr>
            <w:r w:rsidRPr="000F3C8B">
              <w:rPr>
                <w:lang w:val="en-AU"/>
              </w:rPr>
              <w:t>Johnson</w:t>
            </w:r>
            <w:r w:rsidR="004C50A5" w:rsidRPr="000F3C8B">
              <w:rPr>
                <w:lang w:val="en-AU"/>
              </w:rPr>
              <w:t xml:space="preserve"> et al</w:t>
            </w:r>
            <w:r w:rsidRPr="000F3C8B">
              <w:rPr>
                <w:lang w:val="en-AU"/>
              </w:rPr>
              <w:t xml:space="preserve"> (2004)</w:t>
            </w:r>
          </w:p>
        </w:tc>
        <w:tc>
          <w:tcPr>
            <w:tcW w:w="709" w:type="dxa"/>
          </w:tcPr>
          <w:p w:rsidR="00427C46" w:rsidRPr="000F3C8B" w:rsidRDefault="00427C46" w:rsidP="00892211">
            <w:pPr>
              <w:pStyle w:val="TableText0"/>
              <w:rPr>
                <w:lang w:val="en-AU"/>
              </w:rPr>
            </w:pPr>
            <w:r w:rsidRPr="000F3C8B">
              <w:rPr>
                <w:lang w:val="en-AU"/>
              </w:rPr>
              <w:t>III-3</w:t>
            </w:r>
          </w:p>
        </w:tc>
        <w:tc>
          <w:tcPr>
            <w:tcW w:w="568" w:type="dxa"/>
          </w:tcPr>
          <w:p w:rsidR="00427C46" w:rsidRPr="000F3C8B" w:rsidRDefault="00427C46" w:rsidP="00892211">
            <w:pPr>
              <w:pStyle w:val="TableText0"/>
              <w:rPr>
                <w:lang w:val="en-AU"/>
              </w:rPr>
            </w:pPr>
            <w:r w:rsidRPr="000F3C8B">
              <w:rPr>
                <w:lang w:val="en-AU"/>
              </w:rPr>
              <w:t>2/18</w:t>
            </w:r>
          </w:p>
        </w:tc>
        <w:tc>
          <w:tcPr>
            <w:tcW w:w="2552" w:type="dxa"/>
          </w:tcPr>
          <w:p w:rsidR="00427C46" w:rsidRPr="000F3C8B" w:rsidRDefault="00427C46" w:rsidP="00892211">
            <w:pPr>
              <w:pStyle w:val="TableText0"/>
              <w:rPr>
                <w:lang w:val="en-AU"/>
              </w:rPr>
            </w:pPr>
            <w:r w:rsidRPr="000F3C8B">
              <w:rPr>
                <w:lang w:val="en-AU"/>
              </w:rPr>
              <w:t>Stent occlusion from tumour invasion</w:t>
            </w:r>
          </w:p>
        </w:tc>
        <w:tc>
          <w:tcPr>
            <w:tcW w:w="424" w:type="dxa"/>
          </w:tcPr>
          <w:p w:rsidR="00427C46" w:rsidRPr="000F3C8B" w:rsidRDefault="00427C46" w:rsidP="00892211">
            <w:pPr>
              <w:pStyle w:val="TableText0"/>
              <w:rPr>
                <w:lang w:val="en-AU"/>
              </w:rPr>
            </w:pPr>
            <w:r w:rsidRPr="000F3C8B">
              <w:rPr>
                <w:lang w:val="en-AU"/>
              </w:rPr>
              <w:t>1/18</w:t>
            </w:r>
          </w:p>
        </w:tc>
        <w:tc>
          <w:tcPr>
            <w:tcW w:w="2127" w:type="dxa"/>
          </w:tcPr>
          <w:p w:rsidR="00427C46" w:rsidRPr="000F3C8B" w:rsidRDefault="00427C46" w:rsidP="00892211">
            <w:pPr>
              <w:pStyle w:val="TableText0"/>
              <w:rPr>
                <w:lang w:val="en-AU"/>
              </w:rPr>
            </w:pPr>
            <w:r w:rsidRPr="000F3C8B">
              <w:rPr>
                <w:lang w:val="en-AU"/>
              </w:rPr>
              <w:t>Wound infection</w:t>
            </w:r>
          </w:p>
        </w:tc>
        <w:tc>
          <w:tcPr>
            <w:tcW w:w="524" w:type="dxa"/>
          </w:tcPr>
          <w:p w:rsidR="00427C46" w:rsidRPr="000F3C8B" w:rsidRDefault="00427C46" w:rsidP="000C06E6">
            <w:pPr>
              <w:pStyle w:val="TableText0"/>
              <w:jc w:val="center"/>
              <w:rPr>
                <w:lang w:val="en-AU"/>
              </w:rPr>
            </w:pPr>
            <w:r w:rsidRPr="000F3C8B">
              <w:rPr>
                <w:lang w:val="en-AU"/>
              </w:rPr>
              <w:t>NR</w:t>
            </w:r>
          </w:p>
        </w:tc>
      </w:tr>
      <w:tr w:rsidR="00427C46" w:rsidRPr="00965DBA" w:rsidTr="0007443E">
        <w:trPr>
          <w:trHeight w:val="126"/>
        </w:trPr>
        <w:tc>
          <w:tcPr>
            <w:tcW w:w="1038" w:type="dxa"/>
          </w:tcPr>
          <w:p w:rsidR="00427C46" w:rsidRPr="000F3C8B" w:rsidRDefault="00427C46" w:rsidP="00892211">
            <w:pPr>
              <w:pStyle w:val="TableText0"/>
              <w:rPr>
                <w:lang w:val="en-AU"/>
              </w:rPr>
            </w:pPr>
          </w:p>
        </w:tc>
        <w:tc>
          <w:tcPr>
            <w:tcW w:w="709" w:type="dxa"/>
          </w:tcPr>
          <w:p w:rsidR="00427C46" w:rsidRPr="000F3C8B" w:rsidRDefault="00427C46" w:rsidP="00892211">
            <w:pPr>
              <w:pStyle w:val="TableText0"/>
              <w:rPr>
                <w:lang w:val="en-AU"/>
              </w:rPr>
            </w:pPr>
          </w:p>
        </w:tc>
        <w:tc>
          <w:tcPr>
            <w:tcW w:w="568" w:type="dxa"/>
          </w:tcPr>
          <w:p w:rsidR="00427C46" w:rsidRPr="000F3C8B" w:rsidRDefault="00427C46" w:rsidP="00892211">
            <w:pPr>
              <w:pStyle w:val="TableText0"/>
              <w:rPr>
                <w:lang w:val="en-AU"/>
              </w:rPr>
            </w:pPr>
            <w:r w:rsidRPr="000F3C8B">
              <w:rPr>
                <w:lang w:val="en-AU"/>
              </w:rPr>
              <w:t>1/18</w:t>
            </w:r>
          </w:p>
        </w:tc>
        <w:tc>
          <w:tcPr>
            <w:tcW w:w="2552" w:type="dxa"/>
          </w:tcPr>
          <w:p w:rsidR="00427C46" w:rsidRPr="000F3C8B" w:rsidRDefault="00427C46" w:rsidP="00892211">
            <w:pPr>
              <w:pStyle w:val="TableText0"/>
              <w:rPr>
                <w:lang w:val="en-AU"/>
              </w:rPr>
            </w:pPr>
            <w:r w:rsidRPr="000F3C8B">
              <w:rPr>
                <w:lang w:val="en-AU"/>
              </w:rPr>
              <w:t>Tenesmus from stent fracture</w:t>
            </w:r>
          </w:p>
        </w:tc>
        <w:tc>
          <w:tcPr>
            <w:tcW w:w="424" w:type="dxa"/>
          </w:tcPr>
          <w:p w:rsidR="00427C46" w:rsidRPr="000F3C8B" w:rsidRDefault="00427C46" w:rsidP="00892211">
            <w:pPr>
              <w:pStyle w:val="TableText0"/>
              <w:rPr>
                <w:lang w:val="en-AU"/>
              </w:rPr>
            </w:pPr>
          </w:p>
        </w:tc>
        <w:tc>
          <w:tcPr>
            <w:tcW w:w="2127" w:type="dxa"/>
          </w:tcPr>
          <w:p w:rsidR="00427C46" w:rsidRPr="000F3C8B" w:rsidRDefault="00427C46" w:rsidP="00892211">
            <w:pPr>
              <w:pStyle w:val="TableText0"/>
              <w:rPr>
                <w:lang w:val="en-AU"/>
              </w:rPr>
            </w:pPr>
          </w:p>
        </w:tc>
        <w:tc>
          <w:tcPr>
            <w:tcW w:w="524" w:type="dxa"/>
          </w:tcPr>
          <w:p w:rsidR="00427C46" w:rsidRPr="000F3C8B" w:rsidRDefault="00427C46" w:rsidP="000C06E6">
            <w:pPr>
              <w:pStyle w:val="TableText0"/>
              <w:jc w:val="center"/>
              <w:rPr>
                <w:lang w:val="en-AU"/>
              </w:rPr>
            </w:pPr>
          </w:p>
        </w:tc>
      </w:tr>
      <w:tr w:rsidR="00427C46" w:rsidRPr="00965DBA" w:rsidTr="0007443E">
        <w:trPr>
          <w:trHeight w:val="126"/>
        </w:trPr>
        <w:tc>
          <w:tcPr>
            <w:tcW w:w="1038" w:type="dxa"/>
          </w:tcPr>
          <w:p w:rsidR="00427C46" w:rsidRPr="000F3C8B" w:rsidRDefault="00427C46" w:rsidP="00892211">
            <w:pPr>
              <w:pStyle w:val="TableText0"/>
              <w:rPr>
                <w:lang w:val="en-AU"/>
              </w:rPr>
            </w:pPr>
          </w:p>
        </w:tc>
        <w:tc>
          <w:tcPr>
            <w:tcW w:w="709" w:type="dxa"/>
          </w:tcPr>
          <w:p w:rsidR="00427C46" w:rsidRPr="000F3C8B" w:rsidRDefault="00427C46" w:rsidP="00892211">
            <w:pPr>
              <w:pStyle w:val="TableText0"/>
              <w:rPr>
                <w:lang w:val="en-AU"/>
              </w:rPr>
            </w:pPr>
          </w:p>
        </w:tc>
        <w:tc>
          <w:tcPr>
            <w:tcW w:w="568" w:type="dxa"/>
          </w:tcPr>
          <w:p w:rsidR="00427C46" w:rsidRPr="000F3C8B" w:rsidRDefault="00427C46" w:rsidP="00892211">
            <w:pPr>
              <w:pStyle w:val="TableText0"/>
              <w:rPr>
                <w:lang w:val="en-AU"/>
              </w:rPr>
            </w:pPr>
            <w:r w:rsidRPr="000F3C8B">
              <w:rPr>
                <w:lang w:val="en-AU"/>
              </w:rPr>
              <w:t>1/18</w:t>
            </w:r>
          </w:p>
        </w:tc>
        <w:tc>
          <w:tcPr>
            <w:tcW w:w="2552" w:type="dxa"/>
          </w:tcPr>
          <w:p w:rsidR="00427C46" w:rsidRPr="000F3C8B" w:rsidRDefault="00427C46" w:rsidP="00892211">
            <w:pPr>
              <w:pStyle w:val="TableText0"/>
              <w:rPr>
                <w:lang w:val="en-AU"/>
              </w:rPr>
            </w:pPr>
            <w:r w:rsidRPr="000F3C8B">
              <w:rPr>
                <w:lang w:val="en-AU"/>
              </w:rPr>
              <w:t>Perforation and peritonitis from stent fracture</w:t>
            </w:r>
          </w:p>
        </w:tc>
        <w:tc>
          <w:tcPr>
            <w:tcW w:w="424" w:type="dxa"/>
          </w:tcPr>
          <w:p w:rsidR="00427C46" w:rsidRPr="000F3C8B" w:rsidRDefault="00427C46" w:rsidP="00892211">
            <w:pPr>
              <w:pStyle w:val="TableText0"/>
              <w:rPr>
                <w:lang w:val="en-AU"/>
              </w:rPr>
            </w:pPr>
          </w:p>
        </w:tc>
        <w:tc>
          <w:tcPr>
            <w:tcW w:w="2127" w:type="dxa"/>
          </w:tcPr>
          <w:p w:rsidR="00427C46" w:rsidRPr="000F3C8B" w:rsidRDefault="00427C46" w:rsidP="00892211">
            <w:pPr>
              <w:pStyle w:val="TableText0"/>
              <w:rPr>
                <w:lang w:val="en-AU"/>
              </w:rPr>
            </w:pPr>
          </w:p>
        </w:tc>
        <w:tc>
          <w:tcPr>
            <w:tcW w:w="524" w:type="dxa"/>
          </w:tcPr>
          <w:p w:rsidR="00427C46" w:rsidRPr="000F3C8B" w:rsidRDefault="00427C46" w:rsidP="000C06E6">
            <w:pPr>
              <w:pStyle w:val="TableText0"/>
              <w:jc w:val="center"/>
              <w:rPr>
                <w:lang w:val="en-AU"/>
              </w:rPr>
            </w:pPr>
          </w:p>
        </w:tc>
      </w:tr>
      <w:tr w:rsidR="00427C46" w:rsidRPr="00965DBA" w:rsidTr="0007443E">
        <w:trPr>
          <w:trHeight w:val="126"/>
        </w:trPr>
        <w:tc>
          <w:tcPr>
            <w:tcW w:w="1038" w:type="dxa"/>
          </w:tcPr>
          <w:p w:rsidR="00427C46" w:rsidRPr="000F3C8B" w:rsidRDefault="00427C46" w:rsidP="00892211">
            <w:pPr>
              <w:pStyle w:val="TableText0"/>
              <w:rPr>
                <w:b/>
                <w:lang w:val="en-AU"/>
              </w:rPr>
            </w:pPr>
            <w:r w:rsidRPr="000F3C8B">
              <w:rPr>
                <w:b/>
                <w:lang w:val="en-AU"/>
              </w:rPr>
              <w:t>Study total</w:t>
            </w:r>
          </w:p>
        </w:tc>
        <w:tc>
          <w:tcPr>
            <w:tcW w:w="709" w:type="dxa"/>
          </w:tcPr>
          <w:p w:rsidR="00427C46" w:rsidRPr="000F3C8B" w:rsidRDefault="00427C46" w:rsidP="00892211">
            <w:pPr>
              <w:pStyle w:val="TableText0"/>
              <w:rPr>
                <w:b/>
                <w:lang w:val="en-AU"/>
              </w:rPr>
            </w:pPr>
          </w:p>
        </w:tc>
        <w:tc>
          <w:tcPr>
            <w:tcW w:w="568" w:type="dxa"/>
          </w:tcPr>
          <w:p w:rsidR="00427C46" w:rsidRPr="000F3C8B" w:rsidRDefault="00427C46" w:rsidP="00892211">
            <w:pPr>
              <w:pStyle w:val="TableText0"/>
              <w:rPr>
                <w:b/>
                <w:lang w:val="en-AU"/>
              </w:rPr>
            </w:pPr>
            <w:r w:rsidRPr="000F3C8B">
              <w:rPr>
                <w:b/>
                <w:lang w:val="en-AU"/>
              </w:rPr>
              <w:t>4/20</w:t>
            </w:r>
          </w:p>
        </w:tc>
        <w:tc>
          <w:tcPr>
            <w:tcW w:w="2552" w:type="dxa"/>
          </w:tcPr>
          <w:p w:rsidR="00427C46" w:rsidRPr="000F3C8B" w:rsidRDefault="00427C46" w:rsidP="00892211">
            <w:pPr>
              <w:pStyle w:val="TableText0"/>
              <w:rPr>
                <w:b/>
                <w:lang w:val="en-AU"/>
              </w:rPr>
            </w:pPr>
          </w:p>
        </w:tc>
        <w:tc>
          <w:tcPr>
            <w:tcW w:w="424" w:type="dxa"/>
          </w:tcPr>
          <w:p w:rsidR="00427C46" w:rsidRPr="000F3C8B" w:rsidRDefault="00427C46" w:rsidP="00892211">
            <w:pPr>
              <w:pStyle w:val="TableText0"/>
              <w:rPr>
                <w:b/>
                <w:lang w:val="en-AU"/>
              </w:rPr>
            </w:pPr>
            <w:r w:rsidRPr="000F3C8B">
              <w:rPr>
                <w:b/>
                <w:lang w:val="en-AU"/>
              </w:rPr>
              <w:t>1/18</w:t>
            </w:r>
          </w:p>
        </w:tc>
        <w:tc>
          <w:tcPr>
            <w:tcW w:w="2127" w:type="dxa"/>
          </w:tcPr>
          <w:p w:rsidR="00427C46" w:rsidRPr="000F3C8B" w:rsidRDefault="00427C46" w:rsidP="00892211">
            <w:pPr>
              <w:pStyle w:val="TableText0"/>
              <w:rPr>
                <w:b/>
                <w:lang w:val="en-AU"/>
              </w:rPr>
            </w:pPr>
          </w:p>
        </w:tc>
        <w:tc>
          <w:tcPr>
            <w:tcW w:w="524" w:type="dxa"/>
          </w:tcPr>
          <w:p w:rsidR="00427C46" w:rsidRPr="000F3C8B" w:rsidRDefault="00427C46" w:rsidP="000C06E6">
            <w:pPr>
              <w:pStyle w:val="TableText0"/>
              <w:jc w:val="center"/>
              <w:rPr>
                <w:b/>
                <w:lang w:val="en-AU"/>
              </w:rPr>
            </w:pPr>
          </w:p>
        </w:tc>
      </w:tr>
    </w:tbl>
    <w:p w:rsidR="002126E1" w:rsidRPr="00A117D1" w:rsidRDefault="00A117D1" w:rsidP="00892211">
      <w:pPr>
        <w:pStyle w:val="TableNotes"/>
        <w:rPr>
          <w:lang w:val="en-AU"/>
        </w:rPr>
      </w:pPr>
      <w:proofErr w:type="gramStart"/>
      <w:r w:rsidRPr="006A34A7">
        <w:rPr>
          <w:lang w:val="en-AU" w:eastAsia="en-US"/>
        </w:rPr>
        <w:t>n</w:t>
      </w:r>
      <w:proofErr w:type="gramEnd"/>
      <w:r w:rsidRPr="006A34A7">
        <w:rPr>
          <w:lang w:val="en-AU" w:eastAsia="en-US"/>
        </w:rPr>
        <w:t xml:space="preserve">: </w:t>
      </w:r>
      <w:r>
        <w:rPr>
          <w:lang w:val="en-AU" w:eastAsia="en-US"/>
        </w:rPr>
        <w:t xml:space="preserve">Adverse events; </w:t>
      </w:r>
      <w:r w:rsidR="00274F23">
        <w:rPr>
          <w:lang w:val="en-AU" w:eastAsia="en-US"/>
        </w:rPr>
        <w:t xml:space="preserve">N: </w:t>
      </w:r>
      <w:r w:rsidR="00274F23" w:rsidRPr="00274F23">
        <w:rPr>
          <w:lang w:eastAsia="en-US"/>
        </w:rPr>
        <w:t>Based on all patients for whom safety data was reported, regardless of the number of patients enrolled in a study, or their technical/clinical success. In some cases</w:t>
      </w:r>
      <w:r w:rsidR="00E617F5">
        <w:rPr>
          <w:lang w:val="en-AU" w:eastAsia="en-US"/>
        </w:rPr>
        <w:t>,</w:t>
      </w:r>
      <w:r w:rsidR="00274F23" w:rsidRPr="00274F23">
        <w:rPr>
          <w:lang w:eastAsia="en-US"/>
        </w:rPr>
        <w:t xml:space="preserve"> the number of stenting attempts or procedures performed has been considered as the denominator instead of the number of patients</w:t>
      </w:r>
      <w:r>
        <w:rPr>
          <w:lang w:val="en-AU" w:eastAsia="en-US"/>
        </w:rPr>
        <w:t>;</w:t>
      </w:r>
      <w:r w:rsidRPr="00A117D1">
        <w:rPr>
          <w:lang w:eastAsia="en-US"/>
        </w:rPr>
        <w:t xml:space="preserve"> </w:t>
      </w:r>
      <w:r w:rsidRPr="00BE3EA8">
        <w:rPr>
          <w:lang w:eastAsia="en-US"/>
        </w:rPr>
        <w:t>NS: Not stated; NR: Not reported;</w:t>
      </w:r>
      <w:r>
        <w:rPr>
          <w:lang w:val="en-AU" w:eastAsia="en-US"/>
        </w:rPr>
        <w:t xml:space="preserve"> </w:t>
      </w:r>
      <w:r w:rsidR="002126E1" w:rsidRPr="00F13A5A">
        <w:rPr>
          <w:lang w:eastAsia="en-US"/>
        </w:rPr>
        <w:t>SEMS:</w:t>
      </w:r>
      <w:r w:rsidR="00040640" w:rsidRPr="00BE3EA8">
        <w:rPr>
          <w:lang w:eastAsia="en-US"/>
        </w:rPr>
        <w:t xml:space="preserve"> </w:t>
      </w:r>
      <w:r w:rsidR="00D3398A" w:rsidRPr="00BE3EA8">
        <w:rPr>
          <w:lang w:eastAsia="en-US"/>
        </w:rPr>
        <w:t>S</w:t>
      </w:r>
      <w:r>
        <w:rPr>
          <w:lang w:eastAsia="en-US"/>
        </w:rPr>
        <w:t>elf-expanding metallic stent</w:t>
      </w:r>
      <w:r>
        <w:rPr>
          <w:lang w:val="en-AU" w:eastAsia="en-US"/>
        </w:rPr>
        <w:t>.</w:t>
      </w:r>
    </w:p>
    <w:p w:rsidR="002126E1" w:rsidRPr="00EA2600" w:rsidRDefault="002126E1" w:rsidP="00EA3BFB">
      <w:r w:rsidRPr="008F42F9">
        <w:t xml:space="preserve">Only three studies reported a statistical comparison between treatment groups with regard to occurrence rates of adverse events, with none reporting a statistically significant </w:t>
      </w:r>
      <w:r w:rsidRPr="008F42F9">
        <w:lastRenderedPageBreak/>
        <w:t>difference. Fiori et al (2004) reported that one stoma prolapsed in a surgical patient three days post-colostomy, with no statistically significant difference between the two groups concerning morbidity. Baik et al (2006) reported three occurrences of adverse events after SEMS placement compared to two after temporary stoma formation (</w:t>
      </w:r>
      <w:r w:rsidRPr="0007443E">
        <w:rPr>
          <w:i/>
        </w:rPr>
        <w:t>p</w:t>
      </w:r>
      <w:r w:rsidRPr="008F42F9">
        <w:t>=0.66)</w:t>
      </w:r>
      <w:r w:rsidRPr="00325C69">
        <w:t>. Varadarajulu et al (2011) found one of 12 (8.3</w:t>
      </w:r>
      <w:r w:rsidR="005A3D99" w:rsidRPr="007D5B7C">
        <w:t>%</w:t>
      </w:r>
      <w:r w:rsidRPr="007D5B7C">
        <w:t>) SEMS patients experienced complications compared to eight of 24 patients (33.3%) in the surgery group, which only approached statistical significance (</w:t>
      </w:r>
      <w:r w:rsidRPr="0007443E">
        <w:rPr>
          <w:i/>
        </w:rPr>
        <w:t>p</w:t>
      </w:r>
      <w:r w:rsidRPr="007D5B7C">
        <w:t>=0.08). However, the authors noted that no patient who underwent SEMS placement required readmission for a complication, compared to six patients who had received surgery (0</w:t>
      </w:r>
      <w:r w:rsidR="005A3D99" w:rsidRPr="00960A9E">
        <w:t>%</w:t>
      </w:r>
      <w:r w:rsidRPr="00EA2600">
        <w:t xml:space="preserve"> vs 25</w:t>
      </w:r>
      <w:r w:rsidR="005A3D99" w:rsidRPr="00EA2600">
        <w:t>%</w:t>
      </w:r>
      <w:r w:rsidRPr="00EA2600">
        <w:t xml:space="preserve">, </w:t>
      </w:r>
      <w:r w:rsidRPr="0007443E">
        <w:rPr>
          <w:i/>
        </w:rPr>
        <w:t>p</w:t>
      </w:r>
      <w:r w:rsidRPr="00EA2600">
        <w:t>=0.019).</w:t>
      </w:r>
    </w:p>
    <w:p w:rsidR="00D2651B" w:rsidRPr="009672A9" w:rsidRDefault="002126E1" w:rsidP="00EA3BFB">
      <w:r w:rsidRPr="00EC591E">
        <w:t>Among the remaining studies, results were somewhat mixed. Xinopoulos et al (2004) and Johnson et al (2004) repor</w:t>
      </w:r>
      <w:r w:rsidRPr="00430AA8">
        <w:t xml:space="preserve">ted a higher incidence of adverse events after SEMS placement </w:t>
      </w:r>
      <w:r w:rsidR="004F48AA">
        <w:t>compared to</w:t>
      </w:r>
      <w:r w:rsidR="004F48AA" w:rsidRPr="00430AA8">
        <w:t xml:space="preserve"> </w:t>
      </w:r>
      <w:r w:rsidRPr="00430AA8">
        <w:t xml:space="preserve">surgery, while Nagula et al (2010) reported a lower rate of adverse event occurrence after SEMS placement </w:t>
      </w:r>
      <w:r w:rsidR="004F48AA">
        <w:t>compared to</w:t>
      </w:r>
      <w:r w:rsidR="004F48AA" w:rsidRPr="00430AA8">
        <w:t xml:space="preserve"> </w:t>
      </w:r>
      <w:r w:rsidRPr="00430AA8">
        <w:t>surgery. However, none of these res</w:t>
      </w:r>
      <w:r w:rsidR="00EA3BFB" w:rsidRPr="00347DAA">
        <w:t xml:space="preserve">ults were </w:t>
      </w:r>
      <w:r w:rsidR="004F48AA">
        <w:t>compared</w:t>
      </w:r>
      <w:r w:rsidR="004F48AA" w:rsidRPr="00347DAA">
        <w:t xml:space="preserve"> </w:t>
      </w:r>
      <w:r w:rsidR="00EA3BFB" w:rsidRPr="00347DAA">
        <w:t>statistically.</w:t>
      </w:r>
    </w:p>
    <w:p w:rsidR="00CE543C" w:rsidRPr="00DA0155" w:rsidRDefault="00D2651B" w:rsidP="00EA3BFB">
      <w:pPr>
        <w:pStyle w:val="Heading3"/>
      </w:pPr>
      <w:r w:rsidRPr="009672A9">
        <w:t>Non-compara</w:t>
      </w:r>
      <w:r w:rsidRPr="00584C29">
        <w:t>tive evidence (</w:t>
      </w:r>
      <w:r w:rsidR="00A85389" w:rsidRPr="00584C29">
        <w:t>Level IV</w:t>
      </w:r>
      <w:r w:rsidRPr="00584C29">
        <w:t>)</w:t>
      </w:r>
    </w:p>
    <w:p w:rsidR="00933D06" w:rsidRPr="00965DBA" w:rsidRDefault="004F48AA" w:rsidP="00EA3BFB">
      <w:pPr>
        <w:pStyle w:val="Heading4"/>
      </w:pPr>
      <w:r w:rsidRPr="00965DBA">
        <w:t>Procedure</w:t>
      </w:r>
      <w:r>
        <w:t>-</w:t>
      </w:r>
      <w:r w:rsidR="00933D06" w:rsidRPr="00965DBA">
        <w:t>related mortality</w:t>
      </w:r>
    </w:p>
    <w:p w:rsidR="00933D06" w:rsidRPr="00DF686C" w:rsidRDefault="005F5A61" w:rsidP="00E64157">
      <w:r w:rsidRPr="009E5C53">
        <w:t>Fif</w:t>
      </w:r>
      <w:r w:rsidR="00177770" w:rsidRPr="00E2422F">
        <w:t xml:space="preserve">teen </w:t>
      </w:r>
      <w:r w:rsidR="00531B57" w:rsidRPr="00892811">
        <w:t xml:space="preserve">studies reported </w:t>
      </w:r>
      <w:r w:rsidR="009169A7" w:rsidRPr="008978EE">
        <w:t>on</w:t>
      </w:r>
      <w:r w:rsidR="00531B57" w:rsidRPr="008978EE">
        <w:t xml:space="preserve"> </w:t>
      </w:r>
      <w:r w:rsidR="000120C4" w:rsidRPr="008978EE">
        <w:t>procedure</w:t>
      </w:r>
      <w:r w:rsidR="000120C4">
        <w:t>-</w:t>
      </w:r>
      <w:r w:rsidR="00531B57" w:rsidRPr="008978EE">
        <w:t>related mortality</w:t>
      </w:r>
      <w:r w:rsidR="00393061" w:rsidRPr="00A30BA9">
        <w:t>, while the remaining 18 studies did not report on mortalities and/or did not acknowledge</w:t>
      </w:r>
      <w:r w:rsidR="009169A7" w:rsidRPr="005646B6">
        <w:t xml:space="preserve"> explicitly </w:t>
      </w:r>
      <w:r w:rsidR="000120C4">
        <w:t xml:space="preserve">that </w:t>
      </w:r>
      <w:r w:rsidR="009169A7" w:rsidRPr="005646B6">
        <w:t>there were no mortalities</w:t>
      </w:r>
      <w:r w:rsidR="000120C4">
        <w:t>.</w:t>
      </w:r>
      <w:r w:rsidR="00531B57" w:rsidRPr="00003831">
        <w:t xml:space="preserve"> </w:t>
      </w:r>
      <w:r w:rsidR="000120C4">
        <w:t>Of the</w:t>
      </w:r>
      <w:r w:rsidR="009169A7" w:rsidRPr="007D0320">
        <w:t xml:space="preserve"> 1</w:t>
      </w:r>
      <w:r w:rsidR="00177770" w:rsidRPr="00965DBA">
        <w:t>674</w:t>
      </w:r>
      <w:r w:rsidR="009169A7" w:rsidRPr="00965DBA">
        <w:t xml:space="preserve"> patients</w:t>
      </w:r>
      <w:r w:rsidR="000120C4">
        <w:t xml:space="preserve"> included in these studies,</w:t>
      </w:r>
      <w:r w:rsidR="009169A7" w:rsidRPr="00965DBA">
        <w:t xml:space="preserve"> 2</w:t>
      </w:r>
      <w:r w:rsidR="00177770" w:rsidRPr="00F13A5A">
        <w:t>7</w:t>
      </w:r>
      <w:r w:rsidR="009169A7" w:rsidRPr="00BE3EA8">
        <w:t xml:space="preserve"> incidences of </w:t>
      </w:r>
      <w:r w:rsidR="000120C4" w:rsidRPr="00BE3EA8">
        <w:t>procedure</w:t>
      </w:r>
      <w:r w:rsidR="000120C4">
        <w:t>-</w:t>
      </w:r>
      <w:r w:rsidR="009169A7" w:rsidRPr="00BE3EA8">
        <w:t>related mortality</w:t>
      </w:r>
      <w:r w:rsidR="000120C4">
        <w:t xml:space="preserve"> were reported.</w:t>
      </w:r>
      <w:r w:rsidR="00393061" w:rsidRPr="00BE3EA8">
        <w:t xml:space="preserve"> </w:t>
      </w:r>
      <w:r w:rsidR="000120C4">
        <w:t>T</w:t>
      </w:r>
      <w:r w:rsidR="00933D06" w:rsidRPr="00F2707B">
        <w:t xml:space="preserve">he procedure </w:t>
      </w:r>
      <w:r w:rsidR="000120C4" w:rsidRPr="00F2707B">
        <w:t>ha</w:t>
      </w:r>
      <w:r w:rsidR="000120C4">
        <w:t>d</w:t>
      </w:r>
      <w:r w:rsidR="000120C4" w:rsidRPr="00F2707B">
        <w:t xml:space="preserve"> </w:t>
      </w:r>
      <w:r w:rsidR="00933D06" w:rsidRPr="00F2707B">
        <w:t xml:space="preserve">a </w:t>
      </w:r>
      <w:r w:rsidR="00D426DA" w:rsidRPr="00F2707B">
        <w:t xml:space="preserve">mean </w:t>
      </w:r>
      <w:r w:rsidR="00933D06" w:rsidRPr="008F42F9">
        <w:t xml:space="preserve">mortality risk of </w:t>
      </w:r>
      <w:r w:rsidR="00DD2C23" w:rsidRPr="008F42F9">
        <w:t>1.</w:t>
      </w:r>
      <w:r w:rsidR="00177770" w:rsidRPr="008F42F9">
        <w:t>6</w:t>
      </w:r>
      <w:r w:rsidR="00A148C0">
        <w:t xml:space="preserve"> per cent</w:t>
      </w:r>
      <w:r w:rsidR="00DD2C23" w:rsidRPr="008F42F9">
        <w:t xml:space="preserve"> (</w:t>
      </w:r>
      <w:r w:rsidR="00393061" w:rsidRPr="008F42F9">
        <w:t xml:space="preserve">median </w:t>
      </w:r>
      <w:r w:rsidR="00177770" w:rsidRPr="008F42F9">
        <w:t>1.0</w:t>
      </w:r>
      <w:r w:rsidR="00393061" w:rsidRPr="00325C69">
        <w:t xml:space="preserve">%; </w:t>
      </w:r>
      <w:r w:rsidR="00DD2C23" w:rsidRPr="007D5B7C">
        <w:t>range 0-9.2%)</w:t>
      </w:r>
      <w:r w:rsidR="00393061" w:rsidRPr="007D5B7C">
        <w:t>.</w:t>
      </w:r>
      <w:r w:rsidR="00D426DA" w:rsidRPr="007D5B7C">
        <w:t xml:space="preserve"> </w:t>
      </w:r>
      <w:r w:rsidR="00393061" w:rsidRPr="007D5B7C">
        <w:t>The majority</w:t>
      </w:r>
      <w:r w:rsidR="000120C4">
        <w:t xml:space="preserve"> of studies</w:t>
      </w:r>
      <w:r w:rsidR="00393061" w:rsidRPr="007D5B7C">
        <w:t xml:space="preserve">, </w:t>
      </w:r>
      <w:r w:rsidR="00DD2C23" w:rsidRPr="007D5B7C">
        <w:t>1</w:t>
      </w:r>
      <w:r w:rsidR="00011B70" w:rsidRPr="007D5B7C">
        <w:t>3</w:t>
      </w:r>
      <w:r w:rsidR="00DD2C23" w:rsidRPr="007D5B7C">
        <w:t xml:space="preserve"> out of 1</w:t>
      </w:r>
      <w:r w:rsidR="00011B70" w:rsidRPr="007D5B7C">
        <w:t>5</w:t>
      </w:r>
      <w:r w:rsidR="000120C4">
        <w:t xml:space="preserve"> </w:t>
      </w:r>
      <w:r w:rsidR="004D7BB1" w:rsidRPr="007D5B7C">
        <w:t>(</w:t>
      </w:r>
      <w:r w:rsidR="00011B70" w:rsidRPr="00960A9E">
        <w:t>86</w:t>
      </w:r>
      <w:r w:rsidR="004D7BB1" w:rsidRPr="00EA2600">
        <w:t>.</w:t>
      </w:r>
      <w:r w:rsidR="00011B70" w:rsidRPr="00EA2600">
        <w:t>7</w:t>
      </w:r>
      <w:r w:rsidR="004D7BB1" w:rsidRPr="00EA2600">
        <w:t>%)</w:t>
      </w:r>
      <w:r w:rsidR="000120C4">
        <w:t>,</w:t>
      </w:r>
      <w:r w:rsidR="00DD2C23" w:rsidRPr="00EC591E">
        <w:t xml:space="preserve"> report</w:t>
      </w:r>
      <w:r w:rsidR="00132CA0" w:rsidRPr="00EC591E">
        <w:t>ed</w:t>
      </w:r>
      <w:r w:rsidR="00DD2C23" w:rsidRPr="00430AA8">
        <w:t xml:space="preserve"> </w:t>
      </w:r>
      <w:r w:rsidR="00734CAB" w:rsidRPr="00347DAA">
        <w:t>a</w:t>
      </w:r>
      <w:r w:rsidR="00A17461">
        <w:t>n occurrence rate for</w:t>
      </w:r>
      <w:r w:rsidR="00734CAB" w:rsidRPr="00347DAA">
        <w:t xml:space="preserve"> </w:t>
      </w:r>
      <w:r w:rsidR="000120C4" w:rsidRPr="009672A9">
        <w:t>stenting</w:t>
      </w:r>
      <w:r w:rsidR="000120C4">
        <w:t>-</w:t>
      </w:r>
      <w:r w:rsidR="00DD2C23" w:rsidRPr="009672A9">
        <w:t xml:space="preserve">related </w:t>
      </w:r>
      <w:r w:rsidR="00132CA0" w:rsidRPr="009672A9">
        <w:t>death</w:t>
      </w:r>
      <w:r w:rsidR="00A17461">
        <w:t>s of</w:t>
      </w:r>
      <w:r w:rsidR="00DA2FA4" w:rsidRPr="00584C29">
        <w:t xml:space="preserve"> </w:t>
      </w:r>
      <w:r w:rsidR="00734CAB" w:rsidRPr="00CF31D5">
        <w:t>≤4.</w:t>
      </w:r>
      <w:r w:rsidR="00390C53" w:rsidRPr="00A550ED">
        <w:t>5</w:t>
      </w:r>
      <w:r w:rsidR="00F80161">
        <w:t xml:space="preserve"> </w:t>
      </w:r>
      <w:r w:rsidR="00B463D8">
        <w:t>per cent</w:t>
      </w:r>
      <w:r w:rsidR="007C7038" w:rsidRPr="004C658D">
        <w:t xml:space="preserve"> (</w:t>
      </w:r>
      <w:r w:rsidR="006F654A">
        <w:t xml:space="preserve">See </w:t>
      </w:r>
      <w:r w:rsidR="00E64157">
        <w:fldChar w:fldCharType="begin"/>
      </w:r>
      <w:r w:rsidR="00E64157">
        <w:instrText xml:space="preserve"> REF _Ref324944548 \h </w:instrText>
      </w:r>
      <w:r w:rsidR="00E64157">
        <w:fldChar w:fldCharType="separate"/>
      </w:r>
      <w:r w:rsidR="0071544A">
        <w:t xml:space="preserve">Table </w:t>
      </w:r>
      <w:r w:rsidR="0071544A">
        <w:rPr>
          <w:noProof/>
        </w:rPr>
        <w:t>30</w:t>
      </w:r>
      <w:r w:rsidR="00E64157">
        <w:fldChar w:fldCharType="end"/>
      </w:r>
      <w:r w:rsidR="007C7038" w:rsidRPr="009E5C53">
        <w:t>)</w:t>
      </w:r>
      <w:r w:rsidR="00132CA0" w:rsidRPr="00E2422F">
        <w:t xml:space="preserve">. </w:t>
      </w:r>
      <w:r w:rsidR="00132CA0" w:rsidRPr="008978EE">
        <w:t>Athereya et al (2006)</w:t>
      </w:r>
      <w:r w:rsidR="00F80161">
        <w:t>,</w:t>
      </w:r>
      <w:r w:rsidR="00A17461">
        <w:t xml:space="preserve"> however,</w:t>
      </w:r>
      <w:r w:rsidR="00132CA0" w:rsidRPr="008978EE">
        <w:t xml:space="preserve"> recorded </w:t>
      </w:r>
      <w:r w:rsidR="004D7BB1" w:rsidRPr="008978EE">
        <w:t xml:space="preserve">a mean occurrence of </w:t>
      </w:r>
      <w:r w:rsidR="00C24B9B" w:rsidRPr="00A30BA9">
        <w:t>9.2</w:t>
      </w:r>
      <w:r w:rsidR="00A17461">
        <w:t xml:space="preserve"> </w:t>
      </w:r>
      <w:r w:rsidR="00B463D8">
        <w:t>per cent</w:t>
      </w:r>
      <w:r w:rsidR="00C24B9B" w:rsidRPr="00A30BA9">
        <w:t xml:space="preserve"> </w:t>
      </w:r>
      <w:r w:rsidR="00A17461">
        <w:t>but indicated that</w:t>
      </w:r>
      <w:r w:rsidR="00C24B9B" w:rsidRPr="00A30BA9">
        <w:t xml:space="preserve"> it i</w:t>
      </w:r>
      <w:r w:rsidR="00132CA0" w:rsidRPr="005646B6">
        <w:t xml:space="preserve">s unclear whether all </w:t>
      </w:r>
      <w:r w:rsidR="00A17461">
        <w:t xml:space="preserve">of </w:t>
      </w:r>
      <w:r w:rsidR="004D7BB1" w:rsidRPr="00003831">
        <w:t>these</w:t>
      </w:r>
      <w:r w:rsidR="00132CA0" w:rsidRPr="00A87C52">
        <w:t xml:space="preserve"> 8 patients died within 30 days due to stent related complications or other comorbidities. </w:t>
      </w:r>
    </w:p>
    <w:p w:rsidR="007E4441" w:rsidRPr="00960A9E" w:rsidRDefault="00656937" w:rsidP="00EA3BFB">
      <w:r w:rsidRPr="00DF686C">
        <w:t xml:space="preserve">According to </w:t>
      </w:r>
      <w:r w:rsidR="00390C53" w:rsidRPr="00DF686C">
        <w:t>1</w:t>
      </w:r>
      <w:r w:rsidR="00011B70" w:rsidRPr="007D0320">
        <w:t>5</w:t>
      </w:r>
      <w:r w:rsidR="00390C53" w:rsidRPr="00965DBA">
        <w:t xml:space="preserve"> of the level IV studies</w:t>
      </w:r>
      <w:r w:rsidR="00D426DA" w:rsidRPr="00965DBA">
        <w:t>,</w:t>
      </w:r>
      <w:r w:rsidRPr="00965DBA">
        <w:t xml:space="preserve"> </w:t>
      </w:r>
      <w:r w:rsidR="003154E2" w:rsidRPr="00965DBA">
        <w:t>only 2</w:t>
      </w:r>
      <w:r w:rsidR="00011B70" w:rsidRPr="00965DBA">
        <w:t>7</w:t>
      </w:r>
      <w:r w:rsidRPr="00965DBA">
        <w:t xml:space="preserve"> of</w:t>
      </w:r>
      <w:r w:rsidR="00734CAB" w:rsidRPr="00965DBA">
        <w:t xml:space="preserve"> the</w:t>
      </w:r>
      <w:r w:rsidRPr="00F13A5A">
        <w:t xml:space="preserve"> 7</w:t>
      </w:r>
      <w:r w:rsidR="00011B70" w:rsidRPr="00BE3EA8">
        <w:t>5</w:t>
      </w:r>
      <w:r w:rsidRPr="00BE3EA8">
        <w:t xml:space="preserve"> mortalities</w:t>
      </w:r>
      <w:r w:rsidR="00734CAB" w:rsidRPr="00BE3EA8">
        <w:t xml:space="preserve"> </w:t>
      </w:r>
      <w:r w:rsidR="003154E2" w:rsidRPr="00A3741F">
        <w:t xml:space="preserve">that </w:t>
      </w:r>
      <w:r w:rsidRPr="00F2707B">
        <w:t xml:space="preserve">occurred within 30 days resulted from the procedure. </w:t>
      </w:r>
      <w:r w:rsidR="00531B57" w:rsidRPr="008F42F9">
        <w:t>These results indicate</w:t>
      </w:r>
      <w:r w:rsidR="00A17461">
        <w:t xml:space="preserve"> that</w:t>
      </w:r>
      <w:r w:rsidR="00531B57" w:rsidRPr="008F42F9">
        <w:t xml:space="preserve"> more than</w:t>
      </w:r>
      <w:r w:rsidRPr="008F42F9">
        <w:t xml:space="preserve"> 36</w:t>
      </w:r>
      <w:r w:rsidR="00B463D8">
        <w:t xml:space="preserve"> per cent</w:t>
      </w:r>
      <w:r w:rsidRPr="008F42F9">
        <w:t xml:space="preserve"> </w:t>
      </w:r>
      <w:r w:rsidR="00531B57" w:rsidRPr="008F42F9">
        <w:t>of the mortalities reported were procedure related</w:t>
      </w:r>
      <w:r w:rsidR="00A17461">
        <w:t>;</w:t>
      </w:r>
      <w:r w:rsidR="00A17461" w:rsidRPr="008F42F9">
        <w:t xml:space="preserve"> </w:t>
      </w:r>
      <w:r w:rsidR="00531B57" w:rsidRPr="008F42F9">
        <w:t>however</w:t>
      </w:r>
      <w:r w:rsidR="00A17461">
        <w:t>,</w:t>
      </w:r>
      <w:r w:rsidR="00531B57" w:rsidRPr="008F42F9">
        <w:t xml:space="preserve"> </w:t>
      </w:r>
      <w:r w:rsidR="003154E2" w:rsidRPr="008F42F9">
        <w:t xml:space="preserve">this may overestimate </w:t>
      </w:r>
      <w:r w:rsidR="00531B57" w:rsidRPr="008F42F9">
        <w:t>t</w:t>
      </w:r>
      <w:r w:rsidRPr="00325C69">
        <w:t>he actual risk as some of the 1</w:t>
      </w:r>
      <w:r w:rsidR="00011B70" w:rsidRPr="007D5B7C">
        <w:t>5</w:t>
      </w:r>
      <w:r w:rsidRPr="007D5B7C">
        <w:t xml:space="preserve"> </w:t>
      </w:r>
      <w:r w:rsidR="00531B57" w:rsidRPr="007D5B7C">
        <w:t xml:space="preserve">level </w:t>
      </w:r>
      <w:r w:rsidR="00E97E8E" w:rsidRPr="007D5B7C">
        <w:t>IV</w:t>
      </w:r>
      <w:r w:rsidR="00531B57" w:rsidRPr="007D5B7C">
        <w:t xml:space="preserve"> studies</w:t>
      </w:r>
      <w:r w:rsidRPr="007D5B7C">
        <w:t xml:space="preserve"> assessed </w:t>
      </w:r>
      <w:r w:rsidR="000F21E3" w:rsidRPr="007D5B7C">
        <w:t xml:space="preserve">may </w:t>
      </w:r>
      <w:r w:rsidRPr="007D5B7C">
        <w:t xml:space="preserve">have reported only </w:t>
      </w:r>
      <w:r w:rsidR="00A17461" w:rsidRPr="007D5B7C">
        <w:t>procedure</w:t>
      </w:r>
      <w:r w:rsidR="00A17461">
        <w:t>-</w:t>
      </w:r>
      <w:r w:rsidRPr="007D5B7C">
        <w:t>related mortalities without giving non-</w:t>
      </w:r>
      <w:r w:rsidR="00A17461" w:rsidRPr="007D5B7C">
        <w:t>procedure</w:t>
      </w:r>
      <w:r w:rsidR="00A17461">
        <w:t>-</w:t>
      </w:r>
      <w:r w:rsidRPr="007D5B7C">
        <w:t xml:space="preserve">related deaths.  </w:t>
      </w:r>
    </w:p>
    <w:p w:rsidR="000E28E9" w:rsidRPr="0052787F" w:rsidRDefault="00C24B9B" w:rsidP="00712F0D">
      <w:pPr>
        <w:rPr>
          <w:b/>
          <w:bCs/>
        </w:rPr>
      </w:pPr>
      <w:r w:rsidRPr="00EA2600">
        <w:t xml:space="preserve">It </w:t>
      </w:r>
      <w:r w:rsidR="00A17461">
        <w:t>wa</w:t>
      </w:r>
      <w:r w:rsidR="00A17461" w:rsidRPr="00EA2600">
        <w:t xml:space="preserve">s </w:t>
      </w:r>
      <w:r w:rsidR="00315A0A" w:rsidRPr="00EA2600">
        <w:t>apparent</w:t>
      </w:r>
      <w:r w:rsidR="004D7BB1" w:rsidRPr="00EC591E">
        <w:t xml:space="preserve"> in some cases </w:t>
      </w:r>
      <w:r w:rsidR="00A17461">
        <w:t xml:space="preserve">that </w:t>
      </w:r>
      <w:r w:rsidR="004D7BB1" w:rsidRPr="00EC591E">
        <w:t xml:space="preserve">mortality </w:t>
      </w:r>
      <w:r w:rsidR="00734CAB" w:rsidRPr="00EC591E">
        <w:t xml:space="preserve">was </w:t>
      </w:r>
      <w:r w:rsidR="000F21E3" w:rsidRPr="00430AA8">
        <w:t>caused as a consequence</w:t>
      </w:r>
      <w:r w:rsidR="004D7BB1" w:rsidRPr="00347DAA">
        <w:t xml:space="preserve"> of bowel perf</w:t>
      </w:r>
      <w:r w:rsidR="004D7BB1" w:rsidRPr="009672A9">
        <w:t>oration (Lepsenyi et al 2011</w:t>
      </w:r>
      <w:r w:rsidR="00A17461">
        <w:t>;</w:t>
      </w:r>
      <w:r w:rsidR="00A17461" w:rsidRPr="009672A9">
        <w:t xml:space="preserve"> </w:t>
      </w:r>
      <w:r w:rsidR="00531B57" w:rsidRPr="00584C29">
        <w:t>Mackay et al 2011</w:t>
      </w:r>
      <w:r w:rsidR="00A17461">
        <w:t>;</w:t>
      </w:r>
      <w:r w:rsidR="00A17461" w:rsidRPr="00584C29">
        <w:t xml:space="preserve"> </w:t>
      </w:r>
      <w:r w:rsidR="00531B57" w:rsidRPr="00584C29">
        <w:t>Demarquay et al 2008</w:t>
      </w:r>
      <w:r w:rsidR="00A17461">
        <w:t>;</w:t>
      </w:r>
      <w:r w:rsidR="00A17461" w:rsidRPr="00584C29">
        <w:t xml:space="preserve"> </w:t>
      </w:r>
      <w:r w:rsidR="007E4441" w:rsidRPr="00DA0155">
        <w:t>Stenhouse et al 200</w:t>
      </w:r>
      <w:r w:rsidR="00056811">
        <w:t>9</w:t>
      </w:r>
      <w:r w:rsidR="004D7BB1" w:rsidRPr="00DA0155">
        <w:t xml:space="preserve">). </w:t>
      </w:r>
      <w:r w:rsidR="007E4441" w:rsidRPr="00CF31D5">
        <w:t xml:space="preserve">Among </w:t>
      </w:r>
      <w:r w:rsidR="00A17461">
        <w:t xml:space="preserve">the </w:t>
      </w:r>
      <w:r w:rsidR="007E4441" w:rsidRPr="00CF31D5">
        <w:t>2</w:t>
      </w:r>
      <w:r w:rsidR="00D940F6" w:rsidRPr="00A550ED">
        <w:t>7</w:t>
      </w:r>
      <w:r w:rsidR="007E4441" w:rsidRPr="0055406F">
        <w:t xml:space="preserve"> patients who died from the procedure,</w:t>
      </w:r>
      <w:r w:rsidR="005A3D99" w:rsidRPr="004C658D">
        <w:t xml:space="preserve"> </w:t>
      </w:r>
      <w:r w:rsidR="00011B70" w:rsidRPr="00B1508A">
        <w:t>five</w:t>
      </w:r>
      <w:r w:rsidR="007E4441" w:rsidRPr="00B1508A">
        <w:t xml:space="preserve"> </w:t>
      </w:r>
      <w:r w:rsidR="00D43D68">
        <w:t xml:space="preserve">deaths </w:t>
      </w:r>
      <w:r w:rsidR="007E4441" w:rsidRPr="00B1508A">
        <w:t>appeared to be directly due to perforation</w:t>
      </w:r>
      <w:r w:rsidR="007E4441" w:rsidRPr="0072092E">
        <w:t>.</w:t>
      </w:r>
      <w:r w:rsidR="00991DA0">
        <w:t xml:space="preserve"> Authors did not disclose causes </w:t>
      </w:r>
      <w:r w:rsidR="007F0B75">
        <w:t>of</w:t>
      </w:r>
      <w:r w:rsidR="00991DA0">
        <w:t xml:space="preserve"> the remaining 22 mortalities.</w:t>
      </w:r>
      <w:r w:rsidR="003154E2" w:rsidRPr="0072092E">
        <w:t xml:space="preserve"> Bowel perforation </w:t>
      </w:r>
      <w:r w:rsidR="00A17461" w:rsidRPr="0072092E">
        <w:t>appea</w:t>
      </w:r>
      <w:r w:rsidR="00A17461">
        <w:t>red</w:t>
      </w:r>
      <w:r w:rsidR="00A17461" w:rsidRPr="0072092E">
        <w:t xml:space="preserve"> </w:t>
      </w:r>
      <w:r w:rsidR="003154E2" w:rsidRPr="0072092E">
        <w:t xml:space="preserve">to be the most serious adverse event of the intervention </w:t>
      </w:r>
      <w:r w:rsidR="00A17461">
        <w:t>that led to</w:t>
      </w:r>
      <w:r w:rsidR="003154E2" w:rsidRPr="0072092E">
        <w:t xml:space="preserve"> </w:t>
      </w:r>
      <w:r w:rsidR="00A17461" w:rsidRPr="0072092E">
        <w:t>procedure</w:t>
      </w:r>
      <w:r w:rsidR="00A17461">
        <w:t>-</w:t>
      </w:r>
      <w:r w:rsidR="003154E2" w:rsidRPr="0072092E">
        <w:t xml:space="preserve">related mortality. </w:t>
      </w:r>
      <w:r w:rsidR="007E4441" w:rsidRPr="0052787F">
        <w:t xml:space="preserve">  </w:t>
      </w:r>
      <w:bookmarkStart w:id="161" w:name="_Ref315695463"/>
    </w:p>
    <w:p w:rsidR="005901A9" w:rsidRPr="00E64157" w:rsidRDefault="00E64157" w:rsidP="00E64157">
      <w:pPr>
        <w:pStyle w:val="Caption"/>
      </w:pPr>
      <w:bookmarkStart w:id="162" w:name="_Ref324944548"/>
      <w:bookmarkStart w:id="163" w:name="_Toc327522074"/>
      <w:bookmarkEnd w:id="161"/>
      <w:r>
        <w:lastRenderedPageBreak/>
        <w:t xml:space="preserve">Table </w:t>
      </w:r>
      <w:fldSimple w:instr=" SEQ Table \* ARABIC ">
        <w:r w:rsidR="0071544A">
          <w:rPr>
            <w:noProof/>
          </w:rPr>
          <w:t>30</w:t>
        </w:r>
      </w:fldSimple>
      <w:bookmarkEnd w:id="162"/>
      <w:r w:rsidR="005901A9" w:rsidRPr="00E64157">
        <w:tab/>
      </w:r>
      <w:r w:rsidR="00D44189" w:rsidRPr="00E64157">
        <w:t xml:space="preserve">Summary of </w:t>
      </w:r>
      <w:r w:rsidR="009169A7" w:rsidRPr="00E64157">
        <w:t xml:space="preserve">procedure-related </w:t>
      </w:r>
      <w:r w:rsidR="00D44189" w:rsidRPr="00E64157">
        <w:t xml:space="preserve">mortality events reported by </w:t>
      </w:r>
      <w:r w:rsidR="009169A7" w:rsidRPr="00E64157">
        <w:t xml:space="preserve">level IV </w:t>
      </w:r>
      <w:r w:rsidR="00D44189" w:rsidRPr="00E64157">
        <w:t>primary studies</w:t>
      </w:r>
      <w:bookmarkEnd w:id="163"/>
    </w:p>
    <w:tbl>
      <w:tblPr>
        <w:tblW w:w="0" w:type="auto"/>
        <w:tblInd w:w="720" w:type="dxa"/>
        <w:tblBorders>
          <w:top w:val="single" w:sz="12" w:space="0" w:color="auto"/>
          <w:bottom w:val="single" w:sz="12" w:space="0" w:color="auto"/>
        </w:tblBorders>
        <w:tblLayout w:type="fixed"/>
        <w:tblLook w:val="04A0" w:firstRow="1" w:lastRow="0" w:firstColumn="1" w:lastColumn="0" w:noHBand="0" w:noVBand="1"/>
      </w:tblPr>
      <w:tblGrid>
        <w:gridCol w:w="2254"/>
        <w:gridCol w:w="567"/>
        <w:gridCol w:w="567"/>
        <w:gridCol w:w="1417"/>
        <w:gridCol w:w="2656"/>
      </w:tblGrid>
      <w:tr w:rsidR="00A4521F" w:rsidRPr="00BB3C05" w:rsidTr="00A117D1">
        <w:tc>
          <w:tcPr>
            <w:tcW w:w="2254" w:type="dxa"/>
            <w:tcBorders>
              <w:top w:val="single" w:sz="12" w:space="0" w:color="auto"/>
              <w:bottom w:val="single" w:sz="4" w:space="0" w:color="auto"/>
            </w:tcBorders>
            <w:shd w:val="clear" w:color="auto" w:fill="auto"/>
          </w:tcPr>
          <w:p w:rsidR="00A4521F" w:rsidRPr="00BB3C05" w:rsidRDefault="00A4521F" w:rsidP="00434161">
            <w:pPr>
              <w:pStyle w:val="TableHeading0"/>
            </w:pPr>
            <w:r w:rsidRPr="00BB3C05">
              <w:t xml:space="preserve">Study </w:t>
            </w:r>
          </w:p>
        </w:tc>
        <w:tc>
          <w:tcPr>
            <w:tcW w:w="567" w:type="dxa"/>
            <w:tcBorders>
              <w:top w:val="single" w:sz="12" w:space="0" w:color="auto"/>
              <w:bottom w:val="single" w:sz="4" w:space="0" w:color="auto"/>
            </w:tcBorders>
            <w:shd w:val="clear" w:color="auto" w:fill="auto"/>
          </w:tcPr>
          <w:p w:rsidR="00A4521F" w:rsidRPr="00BB3C05" w:rsidRDefault="00A4521F" w:rsidP="0007443E">
            <w:pPr>
              <w:pStyle w:val="TableHeading0"/>
              <w:jc w:val="right"/>
            </w:pPr>
            <w:r w:rsidRPr="00BB3C05">
              <w:t>N</w:t>
            </w:r>
          </w:p>
        </w:tc>
        <w:tc>
          <w:tcPr>
            <w:tcW w:w="567" w:type="dxa"/>
            <w:tcBorders>
              <w:top w:val="single" w:sz="12" w:space="0" w:color="auto"/>
              <w:bottom w:val="single" w:sz="4" w:space="0" w:color="auto"/>
            </w:tcBorders>
            <w:shd w:val="clear" w:color="auto" w:fill="auto"/>
          </w:tcPr>
          <w:p w:rsidR="00A4521F" w:rsidRPr="00BB3C05" w:rsidRDefault="00A4521F" w:rsidP="0007443E">
            <w:pPr>
              <w:pStyle w:val="TableHeading0"/>
              <w:jc w:val="right"/>
            </w:pPr>
            <w:r w:rsidRPr="00BB3C05">
              <w:t>n</w:t>
            </w:r>
          </w:p>
        </w:tc>
        <w:tc>
          <w:tcPr>
            <w:tcW w:w="1417" w:type="dxa"/>
            <w:tcBorders>
              <w:top w:val="single" w:sz="12" w:space="0" w:color="auto"/>
              <w:bottom w:val="single" w:sz="4" w:space="0" w:color="auto"/>
            </w:tcBorders>
            <w:shd w:val="clear" w:color="auto" w:fill="auto"/>
          </w:tcPr>
          <w:p w:rsidR="00A4521F" w:rsidRPr="00BB3C05" w:rsidRDefault="00A4521F" w:rsidP="0007443E">
            <w:pPr>
              <w:pStyle w:val="TableHeading0"/>
              <w:jc w:val="center"/>
            </w:pPr>
            <w:r w:rsidRPr="00BB3C05">
              <w:t>Occurrence</w:t>
            </w:r>
            <w:r w:rsidR="005901A9" w:rsidRPr="00BB3C05">
              <w:t xml:space="preserve"> </w:t>
            </w:r>
            <w:r w:rsidR="00997D4C">
              <w:br/>
            </w:r>
            <w:r w:rsidR="00904E2C" w:rsidRPr="00BB3C05">
              <w:t>(%)</w:t>
            </w:r>
          </w:p>
        </w:tc>
        <w:tc>
          <w:tcPr>
            <w:tcW w:w="2656" w:type="dxa"/>
            <w:tcBorders>
              <w:top w:val="single" w:sz="12" w:space="0" w:color="auto"/>
              <w:bottom w:val="single" w:sz="4" w:space="0" w:color="auto"/>
            </w:tcBorders>
            <w:shd w:val="clear" w:color="auto" w:fill="auto"/>
          </w:tcPr>
          <w:p w:rsidR="00A4521F" w:rsidRPr="00BB3C05" w:rsidRDefault="00A4521F" w:rsidP="00434161">
            <w:pPr>
              <w:pStyle w:val="TableHeading0"/>
            </w:pPr>
            <w:r w:rsidRPr="00BB3C05">
              <w:t>Details</w:t>
            </w:r>
          </w:p>
        </w:tc>
      </w:tr>
      <w:tr w:rsidR="00A4521F" w:rsidRPr="00BB3C05" w:rsidTr="00A117D1">
        <w:tc>
          <w:tcPr>
            <w:tcW w:w="2254" w:type="dxa"/>
            <w:tcBorders>
              <w:top w:val="single" w:sz="4" w:space="0" w:color="auto"/>
            </w:tcBorders>
            <w:shd w:val="clear" w:color="auto" w:fill="auto"/>
          </w:tcPr>
          <w:p w:rsidR="00A4521F" w:rsidRPr="000F3C8B" w:rsidRDefault="00A4521F" w:rsidP="00434161">
            <w:pPr>
              <w:pStyle w:val="TableText0"/>
              <w:rPr>
                <w:lang w:val="en-AU"/>
              </w:rPr>
            </w:pPr>
            <w:r w:rsidRPr="000F3C8B">
              <w:rPr>
                <w:lang w:val="en-AU"/>
              </w:rPr>
              <w:t xml:space="preserve">Lee et al </w:t>
            </w:r>
            <w:r w:rsidR="0050048B" w:rsidRPr="000F3C8B">
              <w:rPr>
                <w:lang w:val="en-AU"/>
              </w:rPr>
              <w:t>(</w:t>
            </w:r>
            <w:r w:rsidRPr="000F3C8B">
              <w:rPr>
                <w:lang w:val="en-AU"/>
              </w:rPr>
              <w:t>2011</w:t>
            </w:r>
            <w:r w:rsidR="0050048B" w:rsidRPr="000F3C8B">
              <w:rPr>
                <w:lang w:val="en-AU"/>
              </w:rPr>
              <w:t>)</w:t>
            </w:r>
          </w:p>
        </w:tc>
        <w:tc>
          <w:tcPr>
            <w:tcW w:w="567" w:type="dxa"/>
            <w:tcBorders>
              <w:top w:val="single" w:sz="4" w:space="0" w:color="auto"/>
            </w:tcBorders>
            <w:shd w:val="clear" w:color="auto" w:fill="auto"/>
          </w:tcPr>
          <w:p w:rsidR="00A4521F" w:rsidRPr="000F3C8B" w:rsidRDefault="00A4521F" w:rsidP="0007443E">
            <w:pPr>
              <w:pStyle w:val="TableText0"/>
              <w:jc w:val="right"/>
              <w:rPr>
                <w:lang w:val="en-AU"/>
              </w:rPr>
            </w:pPr>
            <w:r w:rsidRPr="000F3C8B">
              <w:rPr>
                <w:lang w:val="en-AU"/>
              </w:rPr>
              <w:t>71</w:t>
            </w:r>
          </w:p>
        </w:tc>
        <w:tc>
          <w:tcPr>
            <w:tcW w:w="567" w:type="dxa"/>
            <w:tcBorders>
              <w:top w:val="single" w:sz="4" w:space="0" w:color="auto"/>
            </w:tcBorders>
            <w:shd w:val="clear" w:color="auto" w:fill="auto"/>
          </w:tcPr>
          <w:p w:rsidR="00A4521F" w:rsidRPr="000F3C8B" w:rsidRDefault="00A4521F" w:rsidP="0007443E">
            <w:pPr>
              <w:pStyle w:val="TableText0"/>
              <w:jc w:val="right"/>
              <w:rPr>
                <w:vertAlign w:val="superscript"/>
                <w:lang w:val="en-AU"/>
              </w:rPr>
            </w:pPr>
            <w:r w:rsidRPr="000F3C8B">
              <w:rPr>
                <w:lang w:val="en-AU"/>
              </w:rPr>
              <w:t>0</w:t>
            </w:r>
          </w:p>
        </w:tc>
        <w:tc>
          <w:tcPr>
            <w:tcW w:w="1417" w:type="dxa"/>
            <w:tcBorders>
              <w:top w:val="single" w:sz="4" w:space="0" w:color="auto"/>
            </w:tcBorders>
            <w:shd w:val="clear" w:color="auto" w:fill="auto"/>
          </w:tcPr>
          <w:p w:rsidR="00A4521F" w:rsidRPr="000F3C8B" w:rsidRDefault="00DD2C23" w:rsidP="000C06E6">
            <w:pPr>
              <w:pStyle w:val="TableText0"/>
              <w:jc w:val="right"/>
              <w:rPr>
                <w:lang w:val="en-AU"/>
              </w:rPr>
            </w:pPr>
            <w:r w:rsidRPr="000F3C8B">
              <w:rPr>
                <w:lang w:val="en-AU"/>
              </w:rPr>
              <w:t>0</w:t>
            </w:r>
          </w:p>
        </w:tc>
        <w:tc>
          <w:tcPr>
            <w:tcW w:w="2656" w:type="dxa"/>
            <w:tcBorders>
              <w:top w:val="single" w:sz="4" w:space="0" w:color="auto"/>
            </w:tcBorders>
            <w:shd w:val="clear" w:color="auto" w:fill="auto"/>
          </w:tcPr>
          <w:p w:rsidR="00A4521F" w:rsidRPr="000F3C8B" w:rsidRDefault="00A4521F" w:rsidP="00434161">
            <w:pPr>
              <w:pStyle w:val="TableText0"/>
              <w:rPr>
                <w:lang w:val="en-AU"/>
              </w:rPr>
            </w:pPr>
            <w:r w:rsidRPr="000F3C8B">
              <w:rPr>
                <w:lang w:val="en-AU"/>
              </w:rPr>
              <w:t>No incidences of 30</w:t>
            </w:r>
            <w:r w:rsidR="00D43D68" w:rsidRPr="000F3C8B">
              <w:rPr>
                <w:lang w:val="en-AU"/>
              </w:rPr>
              <w:t>-</w:t>
            </w:r>
            <w:r w:rsidRPr="000F3C8B">
              <w:rPr>
                <w:lang w:val="en-AU"/>
              </w:rPr>
              <w:t>day mortality.</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Lepsenyi et al </w:t>
            </w:r>
            <w:r w:rsidR="0050048B" w:rsidRPr="000F3C8B">
              <w:rPr>
                <w:lang w:val="en-AU"/>
              </w:rPr>
              <w:t>(</w:t>
            </w:r>
            <w:r w:rsidRPr="000F3C8B">
              <w:rPr>
                <w:lang w:val="en-AU"/>
              </w:rPr>
              <w:t>2011</w:t>
            </w:r>
            <w:r w:rsidR="0050048B" w:rsidRPr="000F3C8B">
              <w:rPr>
                <w:lang w:val="en-AU"/>
              </w:rPr>
              <w:t>)</w:t>
            </w:r>
          </w:p>
        </w:tc>
        <w:tc>
          <w:tcPr>
            <w:tcW w:w="567" w:type="dxa"/>
            <w:shd w:val="clear" w:color="auto" w:fill="auto"/>
          </w:tcPr>
          <w:p w:rsidR="00A4521F" w:rsidRPr="000F3C8B" w:rsidRDefault="00A4521F" w:rsidP="00A117D1">
            <w:pPr>
              <w:pStyle w:val="TableText0"/>
              <w:jc w:val="right"/>
              <w:rPr>
                <w:lang w:val="en-AU"/>
              </w:rPr>
            </w:pPr>
            <w:r w:rsidRPr="000F3C8B">
              <w:rPr>
                <w:lang w:val="en-AU"/>
              </w:rPr>
              <w:t>65</w:t>
            </w:r>
            <w:r w:rsidR="00A117D1" w:rsidRPr="000F3C8B">
              <w:rPr>
                <w:vertAlign w:val="superscript"/>
                <w:lang w:val="en-AU"/>
              </w:rPr>
              <w:t>a</w:t>
            </w:r>
          </w:p>
        </w:tc>
        <w:tc>
          <w:tcPr>
            <w:tcW w:w="567" w:type="dxa"/>
            <w:shd w:val="clear" w:color="auto" w:fill="auto"/>
          </w:tcPr>
          <w:p w:rsidR="00A4521F" w:rsidRPr="000F3C8B" w:rsidRDefault="00A4521F" w:rsidP="0007443E">
            <w:pPr>
              <w:pStyle w:val="TableText0"/>
              <w:jc w:val="right"/>
              <w:rPr>
                <w:vertAlign w:val="superscript"/>
                <w:lang w:val="en-AU"/>
              </w:rPr>
            </w:pPr>
            <w:r w:rsidRPr="000F3C8B">
              <w:rPr>
                <w:lang w:val="en-AU"/>
              </w:rPr>
              <w:t>2</w:t>
            </w:r>
            <w:r w:rsidR="00A117D1">
              <w:rPr>
                <w:vertAlign w:val="superscript"/>
                <w:lang w:val="en-AU"/>
              </w:rPr>
              <w:t>b</w:t>
            </w:r>
          </w:p>
        </w:tc>
        <w:tc>
          <w:tcPr>
            <w:tcW w:w="1417" w:type="dxa"/>
            <w:shd w:val="clear" w:color="auto" w:fill="auto"/>
          </w:tcPr>
          <w:p w:rsidR="00A4521F" w:rsidRPr="000F3C8B" w:rsidRDefault="00DD2C23" w:rsidP="000C06E6">
            <w:pPr>
              <w:pStyle w:val="TableText0"/>
              <w:jc w:val="right"/>
              <w:rPr>
                <w:lang w:val="en-AU"/>
              </w:rPr>
            </w:pPr>
            <w:r w:rsidRPr="000F3C8B">
              <w:rPr>
                <w:lang w:val="en-AU"/>
              </w:rPr>
              <w:t>3.</w:t>
            </w:r>
            <w:r w:rsidR="00085314" w:rsidRPr="000F3C8B">
              <w:rPr>
                <w:lang w:val="en-AU"/>
              </w:rPr>
              <w:t>1</w:t>
            </w:r>
          </w:p>
        </w:tc>
        <w:tc>
          <w:tcPr>
            <w:tcW w:w="2656" w:type="dxa"/>
            <w:shd w:val="clear" w:color="auto" w:fill="auto"/>
          </w:tcPr>
          <w:p w:rsidR="00A4521F" w:rsidRPr="000F3C8B" w:rsidRDefault="00FD5107" w:rsidP="00A17461">
            <w:pPr>
              <w:pStyle w:val="TableText0"/>
              <w:rPr>
                <w:lang w:val="en-AU"/>
              </w:rPr>
            </w:pPr>
            <w:r w:rsidRPr="000F3C8B">
              <w:rPr>
                <w:lang w:val="en-AU"/>
              </w:rPr>
              <w:t xml:space="preserve">Only </w:t>
            </w:r>
            <w:r w:rsidR="00A17461" w:rsidRPr="000F3C8B">
              <w:rPr>
                <w:lang w:val="en-AU"/>
              </w:rPr>
              <w:t>procedure-</w:t>
            </w:r>
            <w:r w:rsidRPr="000F3C8B">
              <w:rPr>
                <w:lang w:val="en-AU"/>
              </w:rPr>
              <w:t xml:space="preserve">related deaths were reported. </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Mackay et al </w:t>
            </w:r>
            <w:r w:rsidR="0050048B" w:rsidRPr="000F3C8B">
              <w:rPr>
                <w:lang w:val="en-AU"/>
              </w:rPr>
              <w:t>(</w:t>
            </w:r>
            <w:r w:rsidRPr="000F3C8B">
              <w:rPr>
                <w:lang w:val="en-AU"/>
              </w:rPr>
              <w:t>2011</w:t>
            </w:r>
            <w:r w:rsidR="0050048B" w:rsidRPr="000F3C8B">
              <w:rPr>
                <w:lang w:val="en-AU"/>
              </w:rPr>
              <w:t>)</w:t>
            </w:r>
          </w:p>
        </w:tc>
        <w:tc>
          <w:tcPr>
            <w:tcW w:w="567" w:type="dxa"/>
            <w:shd w:val="clear" w:color="auto" w:fill="auto"/>
          </w:tcPr>
          <w:p w:rsidR="00A4521F" w:rsidRPr="000F3C8B" w:rsidRDefault="00A4521F" w:rsidP="0007443E">
            <w:pPr>
              <w:pStyle w:val="TableText0"/>
              <w:jc w:val="right"/>
              <w:rPr>
                <w:lang w:val="en-AU"/>
              </w:rPr>
            </w:pPr>
            <w:r w:rsidRPr="000F3C8B">
              <w:rPr>
                <w:lang w:val="en-AU"/>
              </w:rPr>
              <w:t>82</w:t>
            </w:r>
          </w:p>
        </w:tc>
        <w:tc>
          <w:tcPr>
            <w:tcW w:w="567" w:type="dxa"/>
            <w:shd w:val="clear" w:color="auto" w:fill="auto"/>
          </w:tcPr>
          <w:p w:rsidR="00A4521F" w:rsidRPr="000F3C8B" w:rsidRDefault="00A4521F" w:rsidP="0007443E">
            <w:pPr>
              <w:pStyle w:val="TableText0"/>
              <w:jc w:val="right"/>
              <w:rPr>
                <w:vertAlign w:val="superscript"/>
                <w:lang w:val="en-AU"/>
              </w:rPr>
            </w:pPr>
            <w:r w:rsidRPr="000F3C8B">
              <w:rPr>
                <w:lang w:val="en-AU"/>
              </w:rPr>
              <w:t>1</w:t>
            </w:r>
            <w:r w:rsidR="00A117D1">
              <w:rPr>
                <w:vertAlign w:val="superscript"/>
                <w:lang w:val="en-AU"/>
              </w:rPr>
              <w:t>b</w:t>
            </w:r>
          </w:p>
        </w:tc>
        <w:tc>
          <w:tcPr>
            <w:tcW w:w="1417" w:type="dxa"/>
            <w:shd w:val="clear" w:color="auto" w:fill="auto"/>
          </w:tcPr>
          <w:p w:rsidR="00A4521F" w:rsidRPr="000F3C8B" w:rsidRDefault="00DD2C23" w:rsidP="000C06E6">
            <w:pPr>
              <w:pStyle w:val="TableText0"/>
              <w:jc w:val="right"/>
              <w:rPr>
                <w:lang w:val="en-AU"/>
              </w:rPr>
            </w:pPr>
            <w:r w:rsidRPr="000F3C8B">
              <w:rPr>
                <w:lang w:val="en-AU"/>
              </w:rPr>
              <w:t>1.2</w:t>
            </w:r>
          </w:p>
        </w:tc>
        <w:tc>
          <w:tcPr>
            <w:tcW w:w="2656" w:type="dxa"/>
            <w:shd w:val="clear" w:color="auto" w:fill="auto"/>
          </w:tcPr>
          <w:p w:rsidR="00A4521F" w:rsidRPr="000F3C8B" w:rsidRDefault="009169A7" w:rsidP="00A17461">
            <w:pPr>
              <w:pStyle w:val="TableText0"/>
              <w:rPr>
                <w:lang w:val="en-AU"/>
              </w:rPr>
            </w:pPr>
            <w:r w:rsidRPr="000F3C8B">
              <w:rPr>
                <w:lang w:val="en-AU"/>
              </w:rPr>
              <w:t xml:space="preserve">Did not list </w:t>
            </w:r>
            <w:r w:rsidR="00A4521F" w:rsidRPr="000F3C8B">
              <w:rPr>
                <w:lang w:val="en-AU"/>
              </w:rPr>
              <w:t xml:space="preserve">31 </w:t>
            </w:r>
            <w:r w:rsidR="00A17461" w:rsidRPr="000F3C8B">
              <w:rPr>
                <w:lang w:val="en-AU"/>
              </w:rPr>
              <w:t>long-</w:t>
            </w:r>
            <w:r w:rsidR="00A4521F" w:rsidRPr="000F3C8B">
              <w:rPr>
                <w:lang w:val="en-AU"/>
              </w:rPr>
              <w:t>term</w:t>
            </w:r>
            <w:r w:rsidRPr="000F3C8B">
              <w:rPr>
                <w:lang w:val="en-AU"/>
              </w:rPr>
              <w:t xml:space="preserve"> </w:t>
            </w:r>
            <w:r w:rsidR="00A4521F" w:rsidRPr="000F3C8B">
              <w:rPr>
                <w:lang w:val="en-AU"/>
              </w:rPr>
              <w:t>(&gt;7 days) complications</w:t>
            </w:r>
            <w:r w:rsidRPr="000F3C8B">
              <w:rPr>
                <w:lang w:val="en-AU"/>
              </w:rPr>
              <w:t>, and therefore could</w:t>
            </w:r>
            <w:r w:rsidR="00A4521F" w:rsidRPr="000F3C8B">
              <w:rPr>
                <w:lang w:val="en-AU"/>
              </w:rPr>
              <w:t xml:space="preserve"> not be </w:t>
            </w:r>
            <w:r w:rsidR="00743F81" w:rsidRPr="000F3C8B">
              <w:rPr>
                <w:lang w:val="en-AU"/>
              </w:rPr>
              <w:t>incorporated</w:t>
            </w:r>
            <w:r w:rsidR="00A4521F" w:rsidRPr="000F3C8B">
              <w:rPr>
                <w:lang w:val="en-AU"/>
              </w:rPr>
              <w:t>.</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Meisner et al </w:t>
            </w:r>
            <w:r w:rsidR="0050048B" w:rsidRPr="000F3C8B">
              <w:rPr>
                <w:lang w:val="en-AU"/>
              </w:rPr>
              <w:t>(</w:t>
            </w:r>
            <w:r w:rsidRPr="000F3C8B">
              <w:rPr>
                <w:lang w:val="en-AU"/>
              </w:rPr>
              <w:t>2011</w:t>
            </w:r>
            <w:r w:rsidR="0050048B" w:rsidRPr="000F3C8B">
              <w:rPr>
                <w:lang w:val="en-AU"/>
              </w:rPr>
              <w:t>)</w:t>
            </w:r>
          </w:p>
        </w:tc>
        <w:tc>
          <w:tcPr>
            <w:tcW w:w="567" w:type="dxa"/>
            <w:shd w:val="clear" w:color="auto" w:fill="auto"/>
          </w:tcPr>
          <w:p w:rsidR="00A4521F" w:rsidRPr="000F3C8B" w:rsidRDefault="00A4521F" w:rsidP="0007443E">
            <w:pPr>
              <w:pStyle w:val="TableText0"/>
              <w:jc w:val="right"/>
              <w:rPr>
                <w:lang w:val="en-AU"/>
              </w:rPr>
            </w:pPr>
            <w:r w:rsidRPr="000F3C8B">
              <w:rPr>
                <w:lang w:val="en-AU"/>
              </w:rPr>
              <w:t>447</w:t>
            </w:r>
          </w:p>
        </w:tc>
        <w:tc>
          <w:tcPr>
            <w:tcW w:w="567" w:type="dxa"/>
            <w:shd w:val="clear" w:color="auto" w:fill="auto"/>
          </w:tcPr>
          <w:p w:rsidR="00A4521F" w:rsidRPr="000F3C8B" w:rsidRDefault="00A4521F" w:rsidP="0007443E">
            <w:pPr>
              <w:pStyle w:val="TableText0"/>
              <w:jc w:val="right"/>
              <w:rPr>
                <w:lang w:val="en-AU"/>
              </w:rPr>
            </w:pPr>
            <w:r w:rsidRPr="000F3C8B">
              <w:rPr>
                <w:lang w:val="en-AU"/>
              </w:rPr>
              <w:t>3</w:t>
            </w:r>
          </w:p>
        </w:tc>
        <w:tc>
          <w:tcPr>
            <w:tcW w:w="1417" w:type="dxa"/>
            <w:shd w:val="clear" w:color="auto" w:fill="auto"/>
          </w:tcPr>
          <w:p w:rsidR="00A4521F" w:rsidRPr="000F3C8B" w:rsidRDefault="00DD2C23" w:rsidP="000C06E6">
            <w:pPr>
              <w:pStyle w:val="TableText0"/>
              <w:jc w:val="right"/>
              <w:rPr>
                <w:lang w:val="en-AU"/>
              </w:rPr>
            </w:pPr>
            <w:r w:rsidRPr="000F3C8B">
              <w:rPr>
                <w:lang w:val="en-AU"/>
              </w:rPr>
              <w:t>0.7</w:t>
            </w:r>
          </w:p>
        </w:tc>
        <w:tc>
          <w:tcPr>
            <w:tcW w:w="2656" w:type="dxa"/>
            <w:shd w:val="clear" w:color="auto" w:fill="auto"/>
          </w:tcPr>
          <w:p w:rsidR="00A4521F" w:rsidRPr="000F3C8B" w:rsidRDefault="00FD5107" w:rsidP="00A17461">
            <w:pPr>
              <w:pStyle w:val="TableText0"/>
              <w:rPr>
                <w:lang w:val="en-AU"/>
              </w:rPr>
            </w:pPr>
            <w:r w:rsidRPr="000F3C8B">
              <w:rPr>
                <w:lang w:val="en-AU"/>
              </w:rPr>
              <w:t xml:space="preserve">3 </w:t>
            </w:r>
            <w:r w:rsidR="00A17461" w:rsidRPr="000F3C8B">
              <w:rPr>
                <w:lang w:val="en-AU"/>
              </w:rPr>
              <w:t>stent-</w:t>
            </w:r>
            <w:r w:rsidR="00A4521F" w:rsidRPr="000F3C8B">
              <w:rPr>
                <w:lang w:val="en-AU"/>
              </w:rPr>
              <w:t>related mortalit</w:t>
            </w:r>
            <w:r w:rsidR="00A17461" w:rsidRPr="000F3C8B">
              <w:rPr>
                <w:lang w:val="en-AU"/>
              </w:rPr>
              <w:t>ies</w:t>
            </w:r>
            <w:r w:rsidRPr="000F3C8B">
              <w:rPr>
                <w:lang w:val="en-AU"/>
              </w:rPr>
              <w:t xml:space="preserve">, among 30 deaths occurred within 6 hours. </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Selinger et al </w:t>
            </w:r>
            <w:r w:rsidR="0050048B" w:rsidRPr="000F3C8B">
              <w:rPr>
                <w:lang w:val="en-AU"/>
              </w:rPr>
              <w:t>(</w:t>
            </w:r>
            <w:r w:rsidRPr="000F3C8B">
              <w:rPr>
                <w:lang w:val="en-AU"/>
              </w:rPr>
              <w:t>2011</w:t>
            </w:r>
            <w:r w:rsidR="0050048B" w:rsidRPr="000F3C8B">
              <w:rPr>
                <w:lang w:val="en-AU"/>
              </w:rPr>
              <w:t>)</w:t>
            </w:r>
            <w:r w:rsidR="00FD5107"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80</w:t>
            </w:r>
          </w:p>
        </w:tc>
        <w:tc>
          <w:tcPr>
            <w:tcW w:w="567" w:type="dxa"/>
            <w:shd w:val="clear" w:color="auto" w:fill="auto"/>
          </w:tcPr>
          <w:p w:rsidR="00A4521F" w:rsidRPr="000F3C8B" w:rsidRDefault="00A4521F" w:rsidP="0007443E">
            <w:pPr>
              <w:pStyle w:val="TableText0"/>
              <w:jc w:val="right"/>
              <w:rPr>
                <w:vertAlign w:val="superscript"/>
                <w:lang w:val="en-AU"/>
              </w:rPr>
            </w:pPr>
            <w:r w:rsidRPr="000F3C8B">
              <w:rPr>
                <w:lang w:val="en-AU"/>
              </w:rPr>
              <w:t>0</w:t>
            </w:r>
          </w:p>
        </w:tc>
        <w:tc>
          <w:tcPr>
            <w:tcW w:w="1417" w:type="dxa"/>
            <w:shd w:val="clear" w:color="auto" w:fill="auto"/>
          </w:tcPr>
          <w:p w:rsidR="00A4521F" w:rsidRPr="000F3C8B" w:rsidRDefault="00DD2C23" w:rsidP="000C06E6">
            <w:pPr>
              <w:pStyle w:val="TableText0"/>
              <w:jc w:val="right"/>
              <w:rPr>
                <w:lang w:val="en-AU"/>
              </w:rPr>
            </w:pPr>
            <w:r w:rsidRPr="000F3C8B">
              <w:rPr>
                <w:lang w:val="en-AU"/>
              </w:rPr>
              <w:t>0</w:t>
            </w:r>
          </w:p>
        </w:tc>
        <w:tc>
          <w:tcPr>
            <w:tcW w:w="2656" w:type="dxa"/>
            <w:shd w:val="clear" w:color="auto" w:fill="auto"/>
          </w:tcPr>
          <w:p w:rsidR="00A4521F" w:rsidRPr="000F3C8B" w:rsidRDefault="00A4521F" w:rsidP="00434161">
            <w:pPr>
              <w:pStyle w:val="TableText0"/>
              <w:rPr>
                <w:lang w:val="en-AU"/>
              </w:rPr>
            </w:pPr>
            <w:r w:rsidRPr="000F3C8B">
              <w:rPr>
                <w:lang w:val="en-AU"/>
              </w:rPr>
              <w:t xml:space="preserve">2 deaths within 5 days, but none related to stenting. </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Young et al </w:t>
            </w:r>
            <w:r w:rsidR="0050048B" w:rsidRPr="000F3C8B">
              <w:rPr>
                <w:lang w:val="en-AU"/>
              </w:rPr>
              <w:t>(</w:t>
            </w:r>
            <w:r w:rsidRPr="000F3C8B">
              <w:rPr>
                <w:lang w:val="en-AU"/>
              </w:rPr>
              <w:t>2011</w:t>
            </w:r>
            <w:r w:rsidR="0050048B" w:rsidRPr="000F3C8B">
              <w:rPr>
                <w:lang w:val="en-AU"/>
              </w:rPr>
              <w:t>)</w:t>
            </w:r>
            <w:r w:rsidR="00FD5107"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100</w:t>
            </w:r>
          </w:p>
        </w:tc>
        <w:tc>
          <w:tcPr>
            <w:tcW w:w="567" w:type="dxa"/>
            <w:shd w:val="clear" w:color="auto" w:fill="auto"/>
          </w:tcPr>
          <w:p w:rsidR="00A4521F" w:rsidRPr="000F3C8B" w:rsidRDefault="00A4521F" w:rsidP="0007443E">
            <w:pPr>
              <w:pStyle w:val="TableText0"/>
              <w:jc w:val="right"/>
              <w:rPr>
                <w:lang w:val="en-AU"/>
              </w:rPr>
            </w:pPr>
            <w:r w:rsidRPr="000F3C8B">
              <w:rPr>
                <w:lang w:val="en-AU"/>
              </w:rPr>
              <w:t>1</w:t>
            </w:r>
          </w:p>
        </w:tc>
        <w:tc>
          <w:tcPr>
            <w:tcW w:w="1417" w:type="dxa"/>
            <w:shd w:val="clear" w:color="auto" w:fill="auto"/>
          </w:tcPr>
          <w:p w:rsidR="00A4521F" w:rsidRPr="000F3C8B" w:rsidRDefault="00DD2C23" w:rsidP="000C06E6">
            <w:pPr>
              <w:pStyle w:val="TableText0"/>
              <w:jc w:val="right"/>
              <w:rPr>
                <w:lang w:val="en-AU"/>
              </w:rPr>
            </w:pPr>
            <w:r w:rsidRPr="000F3C8B">
              <w:rPr>
                <w:lang w:val="en-AU"/>
              </w:rPr>
              <w:t>1.0</w:t>
            </w:r>
          </w:p>
        </w:tc>
        <w:tc>
          <w:tcPr>
            <w:tcW w:w="2656" w:type="dxa"/>
            <w:shd w:val="clear" w:color="auto" w:fill="auto"/>
          </w:tcPr>
          <w:p w:rsidR="00A4521F" w:rsidRPr="000F3C8B" w:rsidRDefault="00A4521F" w:rsidP="00D43D68">
            <w:pPr>
              <w:pStyle w:val="TableText0"/>
              <w:rPr>
                <w:lang w:val="en-AU"/>
              </w:rPr>
            </w:pPr>
            <w:r w:rsidRPr="000F3C8B">
              <w:rPr>
                <w:lang w:val="en-AU"/>
              </w:rPr>
              <w:t xml:space="preserve">Out of </w:t>
            </w:r>
            <w:r w:rsidR="00D43D68" w:rsidRPr="000F3C8B">
              <w:rPr>
                <w:lang w:val="en-AU"/>
              </w:rPr>
              <w:t xml:space="preserve">seven </w:t>
            </w:r>
            <w:r w:rsidRPr="000F3C8B">
              <w:rPr>
                <w:lang w:val="en-AU"/>
              </w:rPr>
              <w:t>30</w:t>
            </w:r>
            <w:r w:rsidR="00A17461" w:rsidRPr="000F3C8B">
              <w:rPr>
                <w:lang w:val="en-AU"/>
              </w:rPr>
              <w:t>-</w:t>
            </w:r>
            <w:r w:rsidRPr="000F3C8B">
              <w:rPr>
                <w:lang w:val="en-AU"/>
              </w:rPr>
              <w:t xml:space="preserve">day mortalities, one was related to stenting. </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Branger et al </w:t>
            </w:r>
            <w:r w:rsidR="0050048B" w:rsidRPr="000F3C8B">
              <w:rPr>
                <w:lang w:val="en-AU"/>
              </w:rPr>
              <w:t>(</w:t>
            </w:r>
            <w:r w:rsidRPr="000F3C8B">
              <w:rPr>
                <w:lang w:val="en-AU"/>
              </w:rPr>
              <w:t>2010</w:t>
            </w:r>
            <w:r w:rsidR="0050048B" w:rsidRPr="000F3C8B">
              <w:rPr>
                <w:lang w:val="en-AU"/>
              </w:rPr>
              <w:t>)</w:t>
            </w:r>
            <w:r w:rsidR="00FD5107"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93</w:t>
            </w:r>
          </w:p>
        </w:tc>
        <w:tc>
          <w:tcPr>
            <w:tcW w:w="567" w:type="dxa"/>
            <w:shd w:val="clear" w:color="auto" w:fill="auto"/>
          </w:tcPr>
          <w:p w:rsidR="00A4521F" w:rsidRPr="000F3C8B" w:rsidRDefault="00A4521F" w:rsidP="0007443E">
            <w:pPr>
              <w:pStyle w:val="TableText0"/>
              <w:jc w:val="right"/>
              <w:rPr>
                <w:lang w:val="en-AU"/>
              </w:rPr>
            </w:pPr>
            <w:r w:rsidRPr="000F3C8B">
              <w:rPr>
                <w:lang w:val="en-AU"/>
              </w:rPr>
              <w:t>5</w:t>
            </w:r>
          </w:p>
        </w:tc>
        <w:tc>
          <w:tcPr>
            <w:tcW w:w="1417" w:type="dxa"/>
            <w:shd w:val="clear" w:color="auto" w:fill="auto"/>
          </w:tcPr>
          <w:p w:rsidR="00A4521F" w:rsidRPr="000F3C8B" w:rsidRDefault="00DD2C23" w:rsidP="000C06E6">
            <w:pPr>
              <w:pStyle w:val="TableText0"/>
              <w:jc w:val="right"/>
              <w:rPr>
                <w:lang w:val="en-AU"/>
              </w:rPr>
            </w:pPr>
            <w:r w:rsidRPr="000F3C8B">
              <w:rPr>
                <w:lang w:val="en-AU"/>
              </w:rPr>
              <w:t>5.</w:t>
            </w:r>
            <w:r w:rsidR="00085314" w:rsidRPr="000F3C8B">
              <w:rPr>
                <w:lang w:val="en-AU"/>
              </w:rPr>
              <w:t>4</w:t>
            </w:r>
          </w:p>
        </w:tc>
        <w:tc>
          <w:tcPr>
            <w:tcW w:w="2656" w:type="dxa"/>
            <w:shd w:val="clear" w:color="auto" w:fill="auto"/>
          </w:tcPr>
          <w:p w:rsidR="00A4521F" w:rsidRPr="000F3C8B" w:rsidRDefault="00FD5107" w:rsidP="00434161">
            <w:pPr>
              <w:pStyle w:val="TableText0"/>
              <w:rPr>
                <w:lang w:val="en-AU"/>
              </w:rPr>
            </w:pPr>
            <w:r w:rsidRPr="000F3C8B">
              <w:rPr>
                <w:lang w:val="en-AU"/>
              </w:rPr>
              <w:t xml:space="preserve">Out of 11 mortalities, 5 were related to stenting. </w:t>
            </w:r>
          </w:p>
        </w:tc>
      </w:tr>
      <w:tr w:rsidR="00A4521F" w:rsidRPr="00BB3C05" w:rsidTr="00A117D1">
        <w:tc>
          <w:tcPr>
            <w:tcW w:w="2254" w:type="dxa"/>
            <w:shd w:val="clear" w:color="auto" w:fill="auto"/>
          </w:tcPr>
          <w:p w:rsidR="00A4521F" w:rsidRPr="000F3C8B" w:rsidRDefault="00A4521F" w:rsidP="00A17461">
            <w:pPr>
              <w:pStyle w:val="TableText0"/>
              <w:rPr>
                <w:lang w:val="en-AU"/>
              </w:rPr>
            </w:pPr>
            <w:r w:rsidRPr="000F3C8B">
              <w:rPr>
                <w:lang w:val="en-AU"/>
              </w:rPr>
              <w:t xml:space="preserve">Kim et al </w:t>
            </w:r>
            <w:r w:rsidR="0050048B" w:rsidRPr="000F3C8B">
              <w:rPr>
                <w:lang w:val="en-AU"/>
              </w:rPr>
              <w:t>(</w:t>
            </w:r>
            <w:r w:rsidRPr="000F3C8B">
              <w:rPr>
                <w:lang w:val="en-AU"/>
              </w:rPr>
              <w:t>2009</w:t>
            </w:r>
            <w:r w:rsidR="0050048B" w:rsidRPr="000F3C8B">
              <w:rPr>
                <w:lang w:val="en-AU"/>
              </w:rPr>
              <w:t>)</w:t>
            </w:r>
          </w:p>
        </w:tc>
        <w:tc>
          <w:tcPr>
            <w:tcW w:w="567" w:type="dxa"/>
            <w:shd w:val="clear" w:color="auto" w:fill="auto"/>
          </w:tcPr>
          <w:p w:rsidR="00A4521F" w:rsidRPr="000F3C8B" w:rsidRDefault="00A4521F" w:rsidP="0007443E">
            <w:pPr>
              <w:pStyle w:val="TableText0"/>
              <w:jc w:val="right"/>
              <w:rPr>
                <w:lang w:val="en-AU"/>
              </w:rPr>
            </w:pPr>
            <w:r w:rsidRPr="000F3C8B">
              <w:rPr>
                <w:lang w:val="en-AU"/>
              </w:rPr>
              <w:t>116</w:t>
            </w:r>
          </w:p>
        </w:tc>
        <w:tc>
          <w:tcPr>
            <w:tcW w:w="567" w:type="dxa"/>
            <w:shd w:val="clear" w:color="auto" w:fill="auto"/>
          </w:tcPr>
          <w:p w:rsidR="00A4521F" w:rsidRPr="000F3C8B" w:rsidRDefault="00A4521F" w:rsidP="0007443E">
            <w:pPr>
              <w:pStyle w:val="TableText0"/>
              <w:jc w:val="right"/>
              <w:rPr>
                <w:lang w:val="en-AU"/>
              </w:rPr>
            </w:pPr>
            <w:r w:rsidRPr="000F3C8B">
              <w:rPr>
                <w:lang w:val="en-AU"/>
              </w:rPr>
              <w:t>2</w:t>
            </w:r>
          </w:p>
        </w:tc>
        <w:tc>
          <w:tcPr>
            <w:tcW w:w="1417" w:type="dxa"/>
            <w:shd w:val="clear" w:color="auto" w:fill="auto"/>
          </w:tcPr>
          <w:p w:rsidR="00A4521F" w:rsidRPr="000F3C8B" w:rsidRDefault="00DD2C23" w:rsidP="000C06E6">
            <w:pPr>
              <w:pStyle w:val="TableText0"/>
              <w:jc w:val="right"/>
              <w:rPr>
                <w:lang w:val="en-AU"/>
              </w:rPr>
            </w:pPr>
            <w:r w:rsidRPr="000F3C8B">
              <w:rPr>
                <w:lang w:val="en-AU"/>
              </w:rPr>
              <w:t>1.7</w:t>
            </w:r>
          </w:p>
        </w:tc>
        <w:tc>
          <w:tcPr>
            <w:tcW w:w="2656" w:type="dxa"/>
            <w:shd w:val="clear" w:color="auto" w:fill="auto"/>
          </w:tcPr>
          <w:p w:rsidR="00A4521F" w:rsidRPr="000F3C8B" w:rsidRDefault="00A17461" w:rsidP="00A17461">
            <w:pPr>
              <w:pStyle w:val="TableText0"/>
              <w:rPr>
                <w:lang w:val="en-AU"/>
              </w:rPr>
            </w:pPr>
            <w:r w:rsidRPr="000F3C8B">
              <w:rPr>
                <w:lang w:val="en-AU"/>
              </w:rPr>
              <w:t>Procedure-</w:t>
            </w:r>
            <w:r w:rsidR="00A4521F" w:rsidRPr="000F3C8B">
              <w:rPr>
                <w:lang w:val="en-AU"/>
              </w:rPr>
              <w:t>related mortality</w:t>
            </w:r>
            <w:r w:rsidR="00D43D68" w:rsidRPr="000F3C8B">
              <w:rPr>
                <w:lang w:val="en-AU"/>
              </w:rPr>
              <w:t>.</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Suh et al </w:t>
            </w:r>
            <w:r w:rsidR="0050048B" w:rsidRPr="000F3C8B">
              <w:rPr>
                <w:lang w:val="en-AU"/>
              </w:rPr>
              <w:t>(</w:t>
            </w:r>
            <w:r w:rsidRPr="000F3C8B">
              <w:rPr>
                <w:lang w:val="en-AU"/>
              </w:rPr>
              <w:t>20</w:t>
            </w:r>
            <w:r w:rsidR="005372EC">
              <w:rPr>
                <w:lang w:val="en-AU"/>
              </w:rPr>
              <w:t>10</w:t>
            </w:r>
            <w:r w:rsidR="0050048B" w:rsidRPr="000F3C8B">
              <w:rPr>
                <w:lang w:val="en-AU"/>
              </w:rPr>
              <w:t>)</w:t>
            </w:r>
            <w:r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55</w:t>
            </w:r>
          </w:p>
        </w:tc>
        <w:tc>
          <w:tcPr>
            <w:tcW w:w="567" w:type="dxa"/>
            <w:shd w:val="clear" w:color="auto" w:fill="auto"/>
          </w:tcPr>
          <w:p w:rsidR="00A4521F" w:rsidRPr="000F3C8B" w:rsidRDefault="00A4521F" w:rsidP="0007443E">
            <w:pPr>
              <w:pStyle w:val="TableText0"/>
              <w:jc w:val="right"/>
              <w:rPr>
                <w:vertAlign w:val="superscript"/>
                <w:lang w:val="en-AU"/>
              </w:rPr>
            </w:pPr>
            <w:r w:rsidRPr="000F3C8B">
              <w:rPr>
                <w:lang w:val="en-AU"/>
              </w:rPr>
              <w:t>0</w:t>
            </w:r>
          </w:p>
        </w:tc>
        <w:tc>
          <w:tcPr>
            <w:tcW w:w="1417" w:type="dxa"/>
            <w:shd w:val="clear" w:color="auto" w:fill="auto"/>
          </w:tcPr>
          <w:p w:rsidR="00A4521F" w:rsidRPr="000F3C8B" w:rsidRDefault="00DD2C23" w:rsidP="000C06E6">
            <w:pPr>
              <w:pStyle w:val="TableText0"/>
              <w:jc w:val="right"/>
              <w:rPr>
                <w:lang w:val="en-AU"/>
              </w:rPr>
            </w:pPr>
            <w:r w:rsidRPr="000F3C8B">
              <w:rPr>
                <w:lang w:val="en-AU"/>
              </w:rPr>
              <w:t>0</w:t>
            </w:r>
          </w:p>
        </w:tc>
        <w:tc>
          <w:tcPr>
            <w:tcW w:w="2656" w:type="dxa"/>
            <w:shd w:val="clear" w:color="auto" w:fill="auto"/>
          </w:tcPr>
          <w:p w:rsidR="00A4521F" w:rsidRPr="000F3C8B" w:rsidRDefault="00A4521F" w:rsidP="00434161">
            <w:pPr>
              <w:pStyle w:val="TableText0"/>
              <w:rPr>
                <w:lang w:val="en-AU"/>
              </w:rPr>
            </w:pPr>
            <w:r w:rsidRPr="000F3C8B">
              <w:rPr>
                <w:lang w:val="en-AU"/>
              </w:rPr>
              <w:t>No stent</w:t>
            </w:r>
            <w:r w:rsidR="00A17461" w:rsidRPr="000F3C8B">
              <w:rPr>
                <w:lang w:val="en-AU"/>
              </w:rPr>
              <w:t>-</w:t>
            </w:r>
            <w:r w:rsidRPr="000F3C8B">
              <w:rPr>
                <w:lang w:val="en-AU"/>
              </w:rPr>
              <w:t>related mortality</w:t>
            </w:r>
            <w:r w:rsidR="00D43D68" w:rsidRPr="000F3C8B">
              <w:rPr>
                <w:lang w:val="en-AU"/>
              </w:rPr>
              <w:t>.</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Baraza et al </w:t>
            </w:r>
            <w:r w:rsidR="0050048B" w:rsidRPr="000F3C8B">
              <w:rPr>
                <w:lang w:val="en-AU"/>
              </w:rPr>
              <w:t>(</w:t>
            </w:r>
            <w:r w:rsidRPr="000F3C8B">
              <w:rPr>
                <w:lang w:val="en-AU"/>
              </w:rPr>
              <w:t>2008</w:t>
            </w:r>
            <w:r w:rsidR="0050048B" w:rsidRPr="000F3C8B">
              <w:rPr>
                <w:lang w:val="en-AU"/>
              </w:rPr>
              <w:t>)</w:t>
            </w:r>
            <w:r w:rsidR="00AC142F"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63</w:t>
            </w:r>
          </w:p>
        </w:tc>
        <w:tc>
          <w:tcPr>
            <w:tcW w:w="567" w:type="dxa"/>
            <w:shd w:val="clear" w:color="auto" w:fill="auto"/>
          </w:tcPr>
          <w:p w:rsidR="00A4521F" w:rsidRPr="000F3C8B" w:rsidRDefault="00A4521F" w:rsidP="0007443E">
            <w:pPr>
              <w:pStyle w:val="TableText0"/>
              <w:jc w:val="right"/>
              <w:rPr>
                <w:vertAlign w:val="superscript"/>
                <w:lang w:val="en-AU"/>
              </w:rPr>
            </w:pPr>
            <w:r w:rsidRPr="000F3C8B">
              <w:rPr>
                <w:lang w:val="en-AU"/>
              </w:rPr>
              <w:t>0</w:t>
            </w:r>
          </w:p>
        </w:tc>
        <w:tc>
          <w:tcPr>
            <w:tcW w:w="1417" w:type="dxa"/>
            <w:shd w:val="clear" w:color="auto" w:fill="auto"/>
          </w:tcPr>
          <w:p w:rsidR="00A4521F" w:rsidRPr="000F3C8B" w:rsidRDefault="00DD2C23" w:rsidP="000C06E6">
            <w:pPr>
              <w:pStyle w:val="TableText0"/>
              <w:jc w:val="right"/>
              <w:rPr>
                <w:lang w:val="en-AU"/>
              </w:rPr>
            </w:pPr>
            <w:r w:rsidRPr="000F3C8B">
              <w:rPr>
                <w:lang w:val="en-AU"/>
              </w:rPr>
              <w:t>0</w:t>
            </w:r>
          </w:p>
        </w:tc>
        <w:tc>
          <w:tcPr>
            <w:tcW w:w="2656" w:type="dxa"/>
            <w:shd w:val="clear" w:color="auto" w:fill="auto"/>
          </w:tcPr>
          <w:p w:rsidR="00A4521F" w:rsidRPr="000F3C8B" w:rsidRDefault="00A4521F" w:rsidP="00A17461">
            <w:pPr>
              <w:pStyle w:val="TableText0"/>
              <w:rPr>
                <w:lang w:val="en-AU"/>
              </w:rPr>
            </w:pPr>
            <w:r w:rsidRPr="000F3C8B">
              <w:rPr>
                <w:lang w:val="en-AU"/>
              </w:rPr>
              <w:t>No stent</w:t>
            </w:r>
            <w:r w:rsidR="00A17461" w:rsidRPr="000F3C8B">
              <w:rPr>
                <w:lang w:val="en-AU"/>
              </w:rPr>
              <w:t>-</w:t>
            </w:r>
            <w:r w:rsidRPr="000F3C8B">
              <w:rPr>
                <w:lang w:val="en-AU"/>
              </w:rPr>
              <w:t xml:space="preserve">related mortalities among 6 </w:t>
            </w:r>
            <w:r w:rsidR="00A17461" w:rsidRPr="000F3C8B">
              <w:rPr>
                <w:lang w:val="en-AU"/>
              </w:rPr>
              <w:t xml:space="preserve">that </w:t>
            </w:r>
            <w:r w:rsidRPr="000F3C8B">
              <w:rPr>
                <w:lang w:val="en-AU"/>
              </w:rPr>
              <w:t xml:space="preserve">occurred within 30 days and 48 </w:t>
            </w:r>
            <w:r w:rsidR="00A17461" w:rsidRPr="000F3C8B">
              <w:rPr>
                <w:lang w:val="en-AU"/>
              </w:rPr>
              <w:t xml:space="preserve">that </w:t>
            </w:r>
            <w:r w:rsidRPr="000F3C8B">
              <w:rPr>
                <w:lang w:val="en-AU"/>
              </w:rPr>
              <w:t>occurred within 2-40 month</w:t>
            </w:r>
            <w:r w:rsidR="00A17461" w:rsidRPr="000F3C8B">
              <w:rPr>
                <w:lang w:val="en-AU"/>
              </w:rPr>
              <w:t>s</w:t>
            </w:r>
            <w:r w:rsidRPr="000F3C8B">
              <w:rPr>
                <w:lang w:val="en-AU"/>
              </w:rPr>
              <w:t xml:space="preserve">.  </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Demarquay et al </w:t>
            </w:r>
            <w:r w:rsidR="0050048B" w:rsidRPr="000F3C8B">
              <w:rPr>
                <w:lang w:val="en-AU"/>
              </w:rPr>
              <w:t>(</w:t>
            </w:r>
            <w:r w:rsidRPr="000F3C8B">
              <w:rPr>
                <w:lang w:val="en-AU"/>
              </w:rPr>
              <w:t>2008</w:t>
            </w:r>
            <w:r w:rsidR="0050048B" w:rsidRPr="000F3C8B">
              <w:rPr>
                <w:lang w:val="en-AU"/>
              </w:rPr>
              <w:t>)</w:t>
            </w:r>
            <w:r w:rsidR="00AC142F"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204</w:t>
            </w:r>
          </w:p>
        </w:tc>
        <w:tc>
          <w:tcPr>
            <w:tcW w:w="567" w:type="dxa"/>
            <w:shd w:val="clear" w:color="auto" w:fill="auto"/>
          </w:tcPr>
          <w:p w:rsidR="00A4521F" w:rsidRPr="000F3C8B" w:rsidRDefault="00A4521F" w:rsidP="0007443E">
            <w:pPr>
              <w:pStyle w:val="TableText0"/>
              <w:jc w:val="right"/>
              <w:rPr>
                <w:vertAlign w:val="superscript"/>
                <w:lang w:val="en-AU"/>
              </w:rPr>
            </w:pPr>
            <w:r w:rsidRPr="000F3C8B">
              <w:rPr>
                <w:lang w:val="en-AU"/>
              </w:rPr>
              <w:t>1</w:t>
            </w:r>
            <w:r w:rsidR="00A117D1">
              <w:rPr>
                <w:vertAlign w:val="superscript"/>
                <w:lang w:val="en-AU"/>
              </w:rPr>
              <w:t>b</w:t>
            </w:r>
          </w:p>
        </w:tc>
        <w:tc>
          <w:tcPr>
            <w:tcW w:w="1417" w:type="dxa"/>
            <w:shd w:val="clear" w:color="auto" w:fill="auto"/>
          </w:tcPr>
          <w:p w:rsidR="00A4521F" w:rsidRPr="000F3C8B" w:rsidRDefault="00DD2C23" w:rsidP="000C06E6">
            <w:pPr>
              <w:pStyle w:val="TableText0"/>
              <w:jc w:val="right"/>
              <w:rPr>
                <w:lang w:val="en-AU"/>
              </w:rPr>
            </w:pPr>
            <w:r w:rsidRPr="000F3C8B">
              <w:rPr>
                <w:lang w:val="en-AU"/>
              </w:rPr>
              <w:t>0.</w:t>
            </w:r>
            <w:r w:rsidR="00085314" w:rsidRPr="000F3C8B">
              <w:rPr>
                <w:lang w:val="en-AU"/>
              </w:rPr>
              <w:t>5</w:t>
            </w:r>
          </w:p>
        </w:tc>
        <w:tc>
          <w:tcPr>
            <w:tcW w:w="2656" w:type="dxa"/>
            <w:shd w:val="clear" w:color="auto" w:fill="auto"/>
          </w:tcPr>
          <w:p w:rsidR="00A4521F" w:rsidRPr="000F3C8B" w:rsidRDefault="00531B57" w:rsidP="00434161">
            <w:pPr>
              <w:pStyle w:val="TableText0"/>
              <w:rPr>
                <w:lang w:val="en-AU"/>
              </w:rPr>
            </w:pPr>
            <w:r w:rsidRPr="000F3C8B">
              <w:rPr>
                <w:lang w:val="en-AU"/>
              </w:rPr>
              <w:t>Potentially due to perforation</w:t>
            </w:r>
            <w:r w:rsidR="00D43D68" w:rsidRPr="000F3C8B">
              <w:rPr>
                <w:lang w:val="en-AU"/>
              </w:rPr>
              <w:t>.</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Stenhouse et al </w:t>
            </w:r>
            <w:r w:rsidR="0050048B" w:rsidRPr="000F3C8B">
              <w:rPr>
                <w:lang w:val="en-AU"/>
              </w:rPr>
              <w:t>(</w:t>
            </w:r>
            <w:r w:rsidRPr="000F3C8B">
              <w:rPr>
                <w:lang w:val="en-AU"/>
              </w:rPr>
              <w:t>200</w:t>
            </w:r>
            <w:r w:rsidR="00056811">
              <w:rPr>
                <w:lang w:val="en-AU"/>
              </w:rPr>
              <w:t>9</w:t>
            </w:r>
            <w:r w:rsidR="0050048B" w:rsidRPr="000F3C8B">
              <w:rPr>
                <w:lang w:val="en-AU"/>
              </w:rPr>
              <w:t>)</w:t>
            </w:r>
            <w:r w:rsidR="00AC142F"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64</w:t>
            </w:r>
          </w:p>
        </w:tc>
        <w:tc>
          <w:tcPr>
            <w:tcW w:w="567" w:type="dxa"/>
            <w:shd w:val="clear" w:color="auto" w:fill="auto"/>
          </w:tcPr>
          <w:p w:rsidR="00A4521F" w:rsidRPr="000F3C8B" w:rsidRDefault="00A4521F" w:rsidP="0007443E">
            <w:pPr>
              <w:pStyle w:val="TableText0"/>
              <w:jc w:val="right"/>
              <w:rPr>
                <w:vertAlign w:val="superscript"/>
                <w:lang w:val="en-AU"/>
              </w:rPr>
            </w:pPr>
            <w:r w:rsidRPr="000F3C8B">
              <w:rPr>
                <w:lang w:val="en-AU"/>
              </w:rPr>
              <w:t>1</w:t>
            </w:r>
            <w:r w:rsidR="00A117D1">
              <w:rPr>
                <w:vertAlign w:val="superscript"/>
                <w:lang w:val="en-AU"/>
              </w:rPr>
              <w:t>b</w:t>
            </w:r>
          </w:p>
        </w:tc>
        <w:tc>
          <w:tcPr>
            <w:tcW w:w="1417" w:type="dxa"/>
            <w:shd w:val="clear" w:color="auto" w:fill="auto"/>
          </w:tcPr>
          <w:p w:rsidR="00A4521F" w:rsidRPr="000F3C8B" w:rsidRDefault="00DD2C23" w:rsidP="000C06E6">
            <w:pPr>
              <w:pStyle w:val="TableText0"/>
              <w:jc w:val="right"/>
              <w:rPr>
                <w:lang w:val="en-AU"/>
              </w:rPr>
            </w:pPr>
            <w:r w:rsidRPr="000F3C8B">
              <w:rPr>
                <w:lang w:val="en-AU"/>
              </w:rPr>
              <w:t>1.6</w:t>
            </w:r>
          </w:p>
        </w:tc>
        <w:tc>
          <w:tcPr>
            <w:tcW w:w="2656" w:type="dxa"/>
            <w:shd w:val="clear" w:color="auto" w:fill="auto"/>
          </w:tcPr>
          <w:p w:rsidR="00A4521F" w:rsidRPr="000F3C8B" w:rsidRDefault="00531B57" w:rsidP="00434161">
            <w:pPr>
              <w:pStyle w:val="TableText0"/>
              <w:rPr>
                <w:lang w:val="en-AU"/>
              </w:rPr>
            </w:pPr>
            <w:r w:rsidRPr="000F3C8B">
              <w:rPr>
                <w:lang w:val="en-AU"/>
              </w:rPr>
              <w:t>Potentially due to perforation</w:t>
            </w:r>
            <w:r w:rsidR="00D43D68" w:rsidRPr="000F3C8B">
              <w:rPr>
                <w:lang w:val="en-AU"/>
              </w:rPr>
              <w:t>.</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Lee et al </w:t>
            </w:r>
            <w:r w:rsidR="0050048B" w:rsidRPr="000F3C8B">
              <w:rPr>
                <w:lang w:val="en-AU"/>
              </w:rPr>
              <w:t>(</w:t>
            </w:r>
            <w:r w:rsidRPr="000F3C8B">
              <w:rPr>
                <w:lang w:val="en-AU"/>
              </w:rPr>
              <w:t>2007</w:t>
            </w:r>
            <w:r w:rsidR="0050048B" w:rsidRPr="000F3C8B">
              <w:rPr>
                <w:lang w:val="en-AU"/>
              </w:rPr>
              <w:t>)</w:t>
            </w:r>
            <w:r w:rsidR="00AC142F"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80</w:t>
            </w:r>
          </w:p>
        </w:tc>
        <w:tc>
          <w:tcPr>
            <w:tcW w:w="567" w:type="dxa"/>
            <w:shd w:val="clear" w:color="auto" w:fill="auto"/>
          </w:tcPr>
          <w:p w:rsidR="00A4521F" w:rsidRPr="000F3C8B" w:rsidRDefault="00A4521F" w:rsidP="0007443E">
            <w:pPr>
              <w:pStyle w:val="TableText0"/>
              <w:jc w:val="right"/>
              <w:rPr>
                <w:lang w:val="en-AU"/>
              </w:rPr>
            </w:pPr>
            <w:r w:rsidRPr="000F3C8B">
              <w:rPr>
                <w:lang w:val="en-AU"/>
              </w:rPr>
              <w:t>0</w:t>
            </w:r>
          </w:p>
        </w:tc>
        <w:tc>
          <w:tcPr>
            <w:tcW w:w="1417" w:type="dxa"/>
            <w:shd w:val="clear" w:color="auto" w:fill="auto"/>
          </w:tcPr>
          <w:p w:rsidR="00A4521F" w:rsidRPr="000F3C8B" w:rsidRDefault="00DD2C23" w:rsidP="000C06E6">
            <w:pPr>
              <w:pStyle w:val="TableText0"/>
              <w:jc w:val="right"/>
              <w:rPr>
                <w:lang w:val="en-AU"/>
              </w:rPr>
            </w:pPr>
            <w:r w:rsidRPr="000F3C8B">
              <w:rPr>
                <w:lang w:val="en-AU"/>
              </w:rPr>
              <w:t>0</w:t>
            </w:r>
          </w:p>
        </w:tc>
        <w:tc>
          <w:tcPr>
            <w:tcW w:w="2656" w:type="dxa"/>
            <w:shd w:val="clear" w:color="auto" w:fill="auto"/>
          </w:tcPr>
          <w:p w:rsidR="00A4521F" w:rsidRPr="000F3C8B" w:rsidRDefault="00A4521F" w:rsidP="00A17461">
            <w:pPr>
              <w:pStyle w:val="TableText0"/>
              <w:rPr>
                <w:lang w:val="en-AU"/>
              </w:rPr>
            </w:pPr>
            <w:r w:rsidRPr="000F3C8B">
              <w:rPr>
                <w:lang w:val="en-AU"/>
              </w:rPr>
              <w:t xml:space="preserve">No </w:t>
            </w:r>
            <w:r w:rsidR="00A17461" w:rsidRPr="000F3C8B">
              <w:rPr>
                <w:lang w:val="en-AU"/>
              </w:rPr>
              <w:t>procedure-</w:t>
            </w:r>
            <w:r w:rsidRPr="000F3C8B">
              <w:rPr>
                <w:lang w:val="en-AU"/>
              </w:rPr>
              <w:t xml:space="preserve">related deaths occurred within 7 days. </w:t>
            </w:r>
          </w:p>
        </w:tc>
      </w:tr>
      <w:tr w:rsidR="00A4521F" w:rsidRPr="00BB3C05" w:rsidTr="00A117D1">
        <w:tc>
          <w:tcPr>
            <w:tcW w:w="2254" w:type="dxa"/>
            <w:shd w:val="clear" w:color="auto" w:fill="auto"/>
          </w:tcPr>
          <w:p w:rsidR="00A4521F" w:rsidRPr="000F3C8B" w:rsidRDefault="00A4521F" w:rsidP="00434161">
            <w:pPr>
              <w:pStyle w:val="TableText0"/>
              <w:rPr>
                <w:lang w:val="en-AU"/>
              </w:rPr>
            </w:pPr>
            <w:r w:rsidRPr="000F3C8B">
              <w:rPr>
                <w:lang w:val="en-AU"/>
              </w:rPr>
              <w:t xml:space="preserve">Mucci-Hennekinne et al </w:t>
            </w:r>
            <w:r w:rsidR="0050048B" w:rsidRPr="000F3C8B">
              <w:rPr>
                <w:lang w:val="en-AU"/>
              </w:rPr>
              <w:t>(</w:t>
            </w:r>
            <w:r w:rsidRPr="000F3C8B">
              <w:rPr>
                <w:lang w:val="en-AU"/>
              </w:rPr>
              <w:t>2007</w:t>
            </w:r>
            <w:r w:rsidR="0050048B" w:rsidRPr="000F3C8B">
              <w:rPr>
                <w:lang w:val="en-AU"/>
              </w:rPr>
              <w:t>)</w:t>
            </w:r>
            <w:r w:rsidR="00AC142F" w:rsidRPr="000F3C8B">
              <w:rPr>
                <w:lang w:val="en-AU"/>
              </w:rPr>
              <w:t xml:space="preserve"> </w:t>
            </w:r>
          </w:p>
        </w:tc>
        <w:tc>
          <w:tcPr>
            <w:tcW w:w="567" w:type="dxa"/>
            <w:shd w:val="clear" w:color="auto" w:fill="auto"/>
          </w:tcPr>
          <w:p w:rsidR="00A4521F" w:rsidRPr="000F3C8B" w:rsidRDefault="00A4521F" w:rsidP="0007443E">
            <w:pPr>
              <w:pStyle w:val="TableText0"/>
              <w:jc w:val="right"/>
              <w:rPr>
                <w:lang w:val="en-AU"/>
              </w:rPr>
            </w:pPr>
            <w:r w:rsidRPr="000F3C8B">
              <w:rPr>
                <w:lang w:val="en-AU"/>
              </w:rPr>
              <w:t>67</w:t>
            </w:r>
          </w:p>
        </w:tc>
        <w:tc>
          <w:tcPr>
            <w:tcW w:w="567" w:type="dxa"/>
            <w:shd w:val="clear" w:color="auto" w:fill="auto"/>
          </w:tcPr>
          <w:p w:rsidR="00A4521F" w:rsidRPr="000F3C8B" w:rsidRDefault="00A4521F" w:rsidP="0007443E">
            <w:pPr>
              <w:pStyle w:val="TableText0"/>
              <w:jc w:val="right"/>
              <w:rPr>
                <w:lang w:val="en-AU"/>
              </w:rPr>
            </w:pPr>
            <w:r w:rsidRPr="000F3C8B">
              <w:rPr>
                <w:lang w:val="en-AU"/>
              </w:rPr>
              <w:t>3</w:t>
            </w:r>
          </w:p>
        </w:tc>
        <w:tc>
          <w:tcPr>
            <w:tcW w:w="1417" w:type="dxa"/>
            <w:shd w:val="clear" w:color="auto" w:fill="auto"/>
          </w:tcPr>
          <w:p w:rsidR="00A4521F" w:rsidRPr="000F3C8B" w:rsidRDefault="00DD2C23" w:rsidP="000C06E6">
            <w:pPr>
              <w:pStyle w:val="TableText0"/>
              <w:jc w:val="right"/>
              <w:rPr>
                <w:lang w:val="en-AU"/>
              </w:rPr>
            </w:pPr>
            <w:r w:rsidRPr="000F3C8B">
              <w:rPr>
                <w:lang w:val="en-AU"/>
              </w:rPr>
              <w:t>4.</w:t>
            </w:r>
            <w:r w:rsidR="00085314" w:rsidRPr="000F3C8B">
              <w:rPr>
                <w:lang w:val="en-AU"/>
              </w:rPr>
              <w:t>5</w:t>
            </w:r>
          </w:p>
        </w:tc>
        <w:tc>
          <w:tcPr>
            <w:tcW w:w="2656" w:type="dxa"/>
            <w:shd w:val="clear" w:color="auto" w:fill="auto"/>
          </w:tcPr>
          <w:p w:rsidR="00A4521F" w:rsidRPr="000F3C8B" w:rsidRDefault="00A17461" w:rsidP="00A17461">
            <w:pPr>
              <w:pStyle w:val="TableText0"/>
              <w:rPr>
                <w:lang w:val="en-AU"/>
              </w:rPr>
            </w:pPr>
            <w:r w:rsidRPr="000F3C8B">
              <w:rPr>
                <w:lang w:val="en-AU"/>
              </w:rPr>
              <w:t>Stent-</w:t>
            </w:r>
            <w:r w:rsidR="00A4521F" w:rsidRPr="000F3C8B">
              <w:rPr>
                <w:lang w:val="en-AU"/>
              </w:rPr>
              <w:t>related mortality</w:t>
            </w:r>
            <w:r w:rsidR="00D43D68" w:rsidRPr="000F3C8B">
              <w:rPr>
                <w:lang w:val="en-AU"/>
              </w:rPr>
              <w:t>.</w:t>
            </w:r>
          </w:p>
        </w:tc>
      </w:tr>
      <w:tr w:rsidR="00A4521F" w:rsidRPr="00BB3C05" w:rsidTr="00A117D1">
        <w:tc>
          <w:tcPr>
            <w:tcW w:w="2254" w:type="dxa"/>
            <w:tcBorders>
              <w:bottom w:val="nil"/>
            </w:tcBorders>
            <w:shd w:val="clear" w:color="auto" w:fill="auto"/>
          </w:tcPr>
          <w:p w:rsidR="00A4521F" w:rsidRPr="000F3C8B" w:rsidRDefault="00A4521F" w:rsidP="00434161">
            <w:pPr>
              <w:pStyle w:val="TableText0"/>
              <w:rPr>
                <w:lang w:val="en-AU"/>
              </w:rPr>
            </w:pPr>
            <w:r w:rsidRPr="000F3C8B">
              <w:rPr>
                <w:lang w:val="en-AU"/>
              </w:rPr>
              <w:t xml:space="preserve">Athreya et al </w:t>
            </w:r>
            <w:r w:rsidR="0050048B" w:rsidRPr="000F3C8B">
              <w:rPr>
                <w:lang w:val="en-AU"/>
              </w:rPr>
              <w:t>(</w:t>
            </w:r>
            <w:r w:rsidRPr="000F3C8B">
              <w:rPr>
                <w:lang w:val="en-AU"/>
              </w:rPr>
              <w:t>2006</w:t>
            </w:r>
            <w:r w:rsidR="0050048B" w:rsidRPr="000F3C8B">
              <w:rPr>
                <w:lang w:val="en-AU"/>
              </w:rPr>
              <w:t>)</w:t>
            </w:r>
            <w:r w:rsidR="00AC142F" w:rsidRPr="000F3C8B">
              <w:rPr>
                <w:lang w:val="en-AU"/>
              </w:rPr>
              <w:t xml:space="preserve"> </w:t>
            </w:r>
          </w:p>
        </w:tc>
        <w:tc>
          <w:tcPr>
            <w:tcW w:w="567" w:type="dxa"/>
            <w:tcBorders>
              <w:bottom w:val="nil"/>
            </w:tcBorders>
            <w:shd w:val="clear" w:color="auto" w:fill="auto"/>
          </w:tcPr>
          <w:p w:rsidR="00A4521F" w:rsidRPr="000F3C8B" w:rsidRDefault="00A4521F" w:rsidP="0007443E">
            <w:pPr>
              <w:pStyle w:val="TableText0"/>
              <w:jc w:val="right"/>
              <w:rPr>
                <w:lang w:val="en-AU"/>
              </w:rPr>
            </w:pPr>
            <w:r w:rsidRPr="000F3C8B">
              <w:rPr>
                <w:lang w:val="en-AU"/>
              </w:rPr>
              <w:t>87</w:t>
            </w:r>
          </w:p>
        </w:tc>
        <w:tc>
          <w:tcPr>
            <w:tcW w:w="567" w:type="dxa"/>
            <w:tcBorders>
              <w:bottom w:val="nil"/>
            </w:tcBorders>
            <w:shd w:val="clear" w:color="auto" w:fill="auto"/>
          </w:tcPr>
          <w:p w:rsidR="00A4521F" w:rsidRPr="000F3C8B" w:rsidRDefault="00A4521F" w:rsidP="0007443E">
            <w:pPr>
              <w:pStyle w:val="TableText0"/>
              <w:jc w:val="right"/>
              <w:rPr>
                <w:lang w:val="en-AU"/>
              </w:rPr>
            </w:pPr>
            <w:r w:rsidRPr="000F3C8B">
              <w:rPr>
                <w:lang w:val="en-AU"/>
              </w:rPr>
              <w:t>8</w:t>
            </w:r>
          </w:p>
        </w:tc>
        <w:tc>
          <w:tcPr>
            <w:tcW w:w="1417" w:type="dxa"/>
            <w:tcBorders>
              <w:bottom w:val="nil"/>
            </w:tcBorders>
            <w:shd w:val="clear" w:color="auto" w:fill="auto"/>
          </w:tcPr>
          <w:p w:rsidR="00A4521F" w:rsidRPr="000F3C8B" w:rsidRDefault="00DD2C23" w:rsidP="000C06E6">
            <w:pPr>
              <w:pStyle w:val="TableText0"/>
              <w:jc w:val="right"/>
              <w:rPr>
                <w:lang w:val="en-AU"/>
              </w:rPr>
            </w:pPr>
            <w:r w:rsidRPr="000F3C8B">
              <w:rPr>
                <w:lang w:val="en-AU"/>
              </w:rPr>
              <w:t>9.2</w:t>
            </w:r>
          </w:p>
        </w:tc>
        <w:tc>
          <w:tcPr>
            <w:tcW w:w="2656" w:type="dxa"/>
            <w:tcBorders>
              <w:bottom w:val="nil"/>
            </w:tcBorders>
            <w:shd w:val="clear" w:color="auto" w:fill="auto"/>
          </w:tcPr>
          <w:p w:rsidR="00A4521F" w:rsidRPr="000F3C8B" w:rsidRDefault="00A4521F" w:rsidP="00434161">
            <w:pPr>
              <w:pStyle w:val="TableText0"/>
              <w:rPr>
                <w:lang w:val="en-AU"/>
              </w:rPr>
            </w:pPr>
            <w:r w:rsidRPr="000F3C8B">
              <w:rPr>
                <w:lang w:val="en-AU"/>
              </w:rPr>
              <w:t>It is unclear whether these 8 patients died (within 30 days) due to the stenting or comorbidity</w:t>
            </w:r>
            <w:r w:rsidR="00D43D68" w:rsidRPr="000F3C8B">
              <w:rPr>
                <w:lang w:val="en-AU"/>
              </w:rPr>
              <w:t>.</w:t>
            </w:r>
          </w:p>
        </w:tc>
      </w:tr>
      <w:tr w:rsidR="00A4521F" w:rsidRPr="00BB3C05" w:rsidTr="00A117D1">
        <w:tc>
          <w:tcPr>
            <w:tcW w:w="2254" w:type="dxa"/>
            <w:tcBorders>
              <w:top w:val="nil"/>
              <w:bottom w:val="single" w:sz="12" w:space="0" w:color="auto"/>
            </w:tcBorders>
            <w:shd w:val="clear" w:color="auto" w:fill="auto"/>
          </w:tcPr>
          <w:p w:rsidR="00A4521F" w:rsidRPr="0007443E" w:rsidRDefault="00A4521F" w:rsidP="00434161">
            <w:pPr>
              <w:pStyle w:val="TableText0"/>
              <w:rPr>
                <w:b/>
                <w:lang w:val="en-AU"/>
              </w:rPr>
            </w:pPr>
            <w:r w:rsidRPr="0007443E">
              <w:rPr>
                <w:b/>
                <w:lang w:val="en-AU"/>
              </w:rPr>
              <w:t>TOTAL (</w:t>
            </w:r>
            <w:r w:rsidR="00DD2C23" w:rsidRPr="0007443E">
              <w:rPr>
                <w:b/>
                <w:lang w:val="en-AU"/>
              </w:rPr>
              <w:t>1</w:t>
            </w:r>
            <w:r w:rsidR="00177770" w:rsidRPr="0007443E">
              <w:rPr>
                <w:b/>
                <w:lang w:val="en-AU"/>
              </w:rPr>
              <w:t>5</w:t>
            </w:r>
            <w:r w:rsidR="00DD2C23" w:rsidRPr="0007443E">
              <w:rPr>
                <w:b/>
                <w:lang w:val="en-AU"/>
              </w:rPr>
              <w:t xml:space="preserve"> studies</w:t>
            </w:r>
            <w:r w:rsidRPr="0007443E">
              <w:rPr>
                <w:b/>
                <w:lang w:val="en-AU"/>
              </w:rPr>
              <w:t>)</w:t>
            </w:r>
          </w:p>
        </w:tc>
        <w:tc>
          <w:tcPr>
            <w:tcW w:w="567" w:type="dxa"/>
            <w:tcBorders>
              <w:top w:val="nil"/>
              <w:bottom w:val="single" w:sz="12" w:space="0" w:color="auto"/>
            </w:tcBorders>
            <w:shd w:val="clear" w:color="auto" w:fill="auto"/>
          </w:tcPr>
          <w:p w:rsidR="00A4521F" w:rsidRPr="0007443E" w:rsidRDefault="00904E2C" w:rsidP="0007443E">
            <w:pPr>
              <w:pStyle w:val="TableText0"/>
              <w:jc w:val="right"/>
              <w:rPr>
                <w:b/>
                <w:lang w:val="en-AU"/>
              </w:rPr>
            </w:pPr>
            <w:r w:rsidRPr="0007443E">
              <w:rPr>
                <w:b/>
                <w:lang w:val="en-AU"/>
              </w:rPr>
              <w:t>1</w:t>
            </w:r>
            <w:r w:rsidR="00177770" w:rsidRPr="0007443E">
              <w:rPr>
                <w:b/>
                <w:lang w:val="en-AU"/>
              </w:rPr>
              <w:t>674</w:t>
            </w:r>
          </w:p>
        </w:tc>
        <w:tc>
          <w:tcPr>
            <w:tcW w:w="567" w:type="dxa"/>
            <w:tcBorders>
              <w:top w:val="nil"/>
              <w:bottom w:val="single" w:sz="12" w:space="0" w:color="auto"/>
            </w:tcBorders>
            <w:shd w:val="clear" w:color="auto" w:fill="auto"/>
          </w:tcPr>
          <w:p w:rsidR="00A4521F" w:rsidRPr="0007443E" w:rsidRDefault="00904E2C" w:rsidP="0007443E">
            <w:pPr>
              <w:pStyle w:val="TableText0"/>
              <w:jc w:val="right"/>
              <w:rPr>
                <w:b/>
                <w:lang w:val="en-AU"/>
              </w:rPr>
            </w:pPr>
            <w:r w:rsidRPr="0007443E">
              <w:rPr>
                <w:b/>
                <w:lang w:val="en-AU"/>
              </w:rPr>
              <w:t>2</w:t>
            </w:r>
            <w:r w:rsidR="00177770" w:rsidRPr="0007443E">
              <w:rPr>
                <w:b/>
                <w:lang w:val="en-AU"/>
              </w:rPr>
              <w:t>7</w:t>
            </w:r>
          </w:p>
        </w:tc>
        <w:tc>
          <w:tcPr>
            <w:tcW w:w="1417" w:type="dxa"/>
            <w:tcBorders>
              <w:top w:val="nil"/>
              <w:bottom w:val="single" w:sz="12" w:space="0" w:color="auto"/>
            </w:tcBorders>
            <w:shd w:val="clear" w:color="auto" w:fill="auto"/>
          </w:tcPr>
          <w:p w:rsidR="00A4521F" w:rsidRPr="0007443E" w:rsidRDefault="00904E2C" w:rsidP="000C06E6">
            <w:pPr>
              <w:pStyle w:val="TableText0"/>
              <w:jc w:val="right"/>
              <w:rPr>
                <w:b/>
                <w:lang w:val="en-AU"/>
              </w:rPr>
            </w:pPr>
            <w:r w:rsidRPr="0007443E">
              <w:rPr>
                <w:b/>
                <w:lang w:val="en-AU"/>
              </w:rPr>
              <w:t>1.</w:t>
            </w:r>
            <w:r w:rsidR="00177770" w:rsidRPr="0007443E">
              <w:rPr>
                <w:b/>
                <w:lang w:val="en-AU"/>
              </w:rPr>
              <w:t>6</w:t>
            </w:r>
          </w:p>
        </w:tc>
        <w:tc>
          <w:tcPr>
            <w:tcW w:w="2656" w:type="dxa"/>
            <w:tcBorders>
              <w:top w:val="nil"/>
              <w:bottom w:val="single" w:sz="12" w:space="0" w:color="auto"/>
            </w:tcBorders>
            <w:shd w:val="clear" w:color="auto" w:fill="auto"/>
          </w:tcPr>
          <w:p w:rsidR="00A4521F" w:rsidRPr="000F3C8B" w:rsidRDefault="00A4521F" w:rsidP="00434161">
            <w:pPr>
              <w:pStyle w:val="TableText0"/>
              <w:rPr>
                <w:lang w:val="en-AU"/>
              </w:rPr>
            </w:pPr>
          </w:p>
        </w:tc>
      </w:tr>
    </w:tbl>
    <w:p w:rsidR="00A117D1" w:rsidRPr="00A117D1" w:rsidRDefault="00A117D1" w:rsidP="00A117D1">
      <w:pPr>
        <w:pStyle w:val="TableNotes"/>
        <w:rPr>
          <w:lang w:eastAsia="en-US"/>
        </w:rPr>
      </w:pPr>
      <w:r w:rsidRPr="00A117D1">
        <w:rPr>
          <w:lang w:eastAsia="en-US"/>
        </w:rPr>
        <w:t>a  N is based on the number of stenting procedures or attempts performed.</w:t>
      </w:r>
    </w:p>
    <w:p w:rsidR="00A117D1" w:rsidRDefault="00A117D1" w:rsidP="00A117D1">
      <w:pPr>
        <w:pStyle w:val="TableNotes"/>
        <w:rPr>
          <w:lang w:val="en-AU" w:eastAsia="en-US"/>
        </w:rPr>
      </w:pPr>
      <w:r w:rsidRPr="00A117D1">
        <w:rPr>
          <w:lang w:eastAsia="en-US"/>
        </w:rPr>
        <w:t xml:space="preserve">b  </w:t>
      </w:r>
      <w:r>
        <w:rPr>
          <w:lang w:val="en-AU" w:eastAsia="en-US"/>
        </w:rPr>
        <w:t>P</w:t>
      </w:r>
      <w:r w:rsidRPr="00A117D1">
        <w:rPr>
          <w:lang w:eastAsia="en-US"/>
        </w:rPr>
        <w:t xml:space="preserve">otentially </w:t>
      </w:r>
      <w:r>
        <w:rPr>
          <w:lang w:val="en-AU" w:eastAsia="en-US"/>
        </w:rPr>
        <w:t>o</w:t>
      </w:r>
      <w:r w:rsidRPr="00A117D1">
        <w:rPr>
          <w:lang w:eastAsia="en-US"/>
        </w:rPr>
        <w:t>ccurred due to perforation.</w:t>
      </w:r>
    </w:p>
    <w:p w:rsidR="00D43D68" w:rsidRDefault="00A117D1" w:rsidP="00A117D1">
      <w:pPr>
        <w:pStyle w:val="TableNotes"/>
        <w:rPr>
          <w:lang w:eastAsia="en-US"/>
        </w:rPr>
      </w:pPr>
      <w:r w:rsidRPr="00A117D1">
        <w:rPr>
          <w:lang w:eastAsia="en-US"/>
        </w:rPr>
        <w:t>n: Events of procedure-related mortality; N: Based on all patients for whom safety data were reported, regardless of the number of patients enrolled in a study, or their technical/clinical success.</w:t>
      </w:r>
    </w:p>
    <w:p w:rsidR="00375C6D" w:rsidRPr="00965DBA" w:rsidRDefault="00933D06" w:rsidP="009D13B1">
      <w:pPr>
        <w:pStyle w:val="Heading4"/>
      </w:pPr>
      <w:r w:rsidRPr="00965DBA">
        <w:t>Morbidity</w:t>
      </w:r>
    </w:p>
    <w:p w:rsidR="0087083A" w:rsidRPr="007D0320" w:rsidRDefault="00375C6D" w:rsidP="00375C6D">
      <w:r w:rsidRPr="009E5C53">
        <w:t>This include</w:t>
      </w:r>
      <w:r w:rsidR="00B8550D" w:rsidRPr="00E2422F">
        <w:t>s the</w:t>
      </w:r>
      <w:r w:rsidRPr="00892811">
        <w:t xml:space="preserve"> </w:t>
      </w:r>
      <w:r w:rsidR="001A444E">
        <w:t>peri-operative</w:t>
      </w:r>
      <w:r w:rsidRPr="00892811">
        <w:t xml:space="preserve"> and </w:t>
      </w:r>
      <w:r w:rsidR="001A444E">
        <w:t>post-operative</w:t>
      </w:r>
      <w:r w:rsidR="006A2195" w:rsidRPr="008978EE">
        <w:t xml:space="preserve"> morbidity of patients. </w:t>
      </w:r>
      <w:r w:rsidR="00A3023B" w:rsidRPr="008978EE">
        <w:t xml:space="preserve">Tumour </w:t>
      </w:r>
      <w:r w:rsidR="00574DF7" w:rsidRPr="008978EE">
        <w:t>growth</w:t>
      </w:r>
      <w:r w:rsidR="00574DF7">
        <w:t>-</w:t>
      </w:r>
      <w:r w:rsidR="00A3023B" w:rsidRPr="008978EE">
        <w:t>related adverse events were the most common, while r</w:t>
      </w:r>
      <w:r w:rsidR="006A2195" w:rsidRPr="00A30BA9">
        <w:t>e-obs</w:t>
      </w:r>
      <w:r w:rsidR="007C7038" w:rsidRPr="005646B6">
        <w:t xml:space="preserve">truction, </w:t>
      </w:r>
      <w:r w:rsidR="003F665D" w:rsidRPr="00003831">
        <w:t xml:space="preserve">migration </w:t>
      </w:r>
      <w:r w:rsidR="007C7038" w:rsidRPr="00A87C52">
        <w:t>and bowel perforation</w:t>
      </w:r>
      <w:r w:rsidR="006A2195" w:rsidRPr="00DF686C">
        <w:t xml:space="preserve"> </w:t>
      </w:r>
      <w:r w:rsidR="009169A7" w:rsidRPr="00DF686C">
        <w:t>were</w:t>
      </w:r>
      <w:r w:rsidR="006A2195" w:rsidRPr="00DF686C">
        <w:t xml:space="preserve"> </w:t>
      </w:r>
      <w:r w:rsidR="00A3023B" w:rsidRPr="007D0320">
        <w:t>p</w:t>
      </w:r>
      <w:r w:rsidR="00A3023B" w:rsidRPr="00965DBA">
        <w:t>rominent</w:t>
      </w:r>
      <w:r w:rsidR="006A2195" w:rsidRPr="00965DBA">
        <w:t xml:space="preserve"> </w:t>
      </w:r>
      <w:r w:rsidR="00574DF7" w:rsidRPr="00965DBA">
        <w:t>stent</w:t>
      </w:r>
      <w:r w:rsidR="00574DF7">
        <w:t>-</w:t>
      </w:r>
      <w:r w:rsidR="006A2195" w:rsidRPr="00965DBA">
        <w:t>related events with a</w:t>
      </w:r>
      <w:r w:rsidR="00531B57" w:rsidRPr="00965DBA">
        <w:t>n</w:t>
      </w:r>
      <w:r w:rsidR="006A2195" w:rsidRPr="00965DBA">
        <w:t xml:space="preserve"> </w:t>
      </w:r>
      <w:r w:rsidR="00524FC8" w:rsidRPr="00F13A5A">
        <w:t>occurrence</w:t>
      </w:r>
      <w:r w:rsidR="006A2195" w:rsidRPr="00BE3EA8">
        <w:t xml:space="preserve"> </w:t>
      </w:r>
      <w:r w:rsidR="00531B57" w:rsidRPr="00BE3EA8">
        <w:t xml:space="preserve">rate of </w:t>
      </w:r>
      <w:r w:rsidR="00EC0C67" w:rsidRPr="00BE3EA8">
        <w:t xml:space="preserve">more than </w:t>
      </w:r>
      <w:r w:rsidR="00531B57" w:rsidRPr="00A3741F">
        <w:t>4</w:t>
      </w:r>
      <w:r w:rsidR="00B463D8">
        <w:t xml:space="preserve"> per cent</w:t>
      </w:r>
      <w:r w:rsidR="00E85810" w:rsidRPr="00F2707B">
        <w:t xml:space="preserve">. </w:t>
      </w:r>
      <w:r w:rsidR="00934564" w:rsidRPr="00F2707B">
        <w:t>The remaining morbidities</w:t>
      </w:r>
      <w:r w:rsidR="00E85810" w:rsidRPr="00F2707B">
        <w:t xml:space="preserve"> </w:t>
      </w:r>
      <w:r w:rsidR="00934564" w:rsidRPr="00F2707B">
        <w:t xml:space="preserve">can be </w:t>
      </w:r>
      <w:r w:rsidR="00574DF7" w:rsidRPr="00F2707B">
        <w:t>categori</w:t>
      </w:r>
      <w:r w:rsidR="00574DF7">
        <w:t>s</w:t>
      </w:r>
      <w:r w:rsidR="00574DF7" w:rsidRPr="00F2707B">
        <w:t xml:space="preserve">ed </w:t>
      </w:r>
      <w:r w:rsidR="00934564" w:rsidRPr="00F2707B">
        <w:t>as</w:t>
      </w:r>
      <w:r w:rsidR="006A2195" w:rsidRPr="00F2707B">
        <w:t xml:space="preserve"> </w:t>
      </w:r>
      <w:r w:rsidR="00574DF7" w:rsidRPr="008F42F9">
        <w:t>sensation</w:t>
      </w:r>
      <w:r w:rsidR="00574DF7">
        <w:t>-</w:t>
      </w:r>
      <w:r w:rsidR="00E85810" w:rsidRPr="008F42F9">
        <w:t xml:space="preserve">related events, bleeding events, infectious events, and other events such as erosion (and/or ulcer), fistula formation and adhesions. </w:t>
      </w:r>
      <w:r w:rsidR="007B5CA4">
        <w:fldChar w:fldCharType="begin"/>
      </w:r>
      <w:r w:rsidR="007B5CA4">
        <w:instrText xml:space="preserve"> REF _Ref324945372 \h </w:instrText>
      </w:r>
      <w:r w:rsidR="007B5CA4">
        <w:fldChar w:fldCharType="separate"/>
      </w:r>
      <w:r w:rsidR="0071544A">
        <w:t xml:space="preserve">Table </w:t>
      </w:r>
      <w:r w:rsidR="0071544A">
        <w:rPr>
          <w:noProof/>
        </w:rPr>
        <w:t>31</w:t>
      </w:r>
      <w:r w:rsidR="007B5CA4">
        <w:fldChar w:fldCharType="end"/>
      </w:r>
      <w:r w:rsidR="007B5CA4">
        <w:t xml:space="preserve"> </w:t>
      </w:r>
      <w:r w:rsidR="00C934D4" w:rsidRPr="00E2422F">
        <w:t>summ</w:t>
      </w:r>
      <w:r w:rsidR="007B5CA4">
        <w:t>aris</w:t>
      </w:r>
      <w:r w:rsidR="00734CAB" w:rsidRPr="00892811">
        <w:t>es</w:t>
      </w:r>
      <w:r w:rsidR="00C934D4" w:rsidRPr="008978EE">
        <w:t xml:space="preserve"> </w:t>
      </w:r>
      <w:r w:rsidR="008C7ED1" w:rsidRPr="008978EE">
        <w:t>adverse events identified among</w:t>
      </w:r>
      <w:r w:rsidR="00734CAB" w:rsidRPr="00A30BA9">
        <w:t xml:space="preserve"> the</w:t>
      </w:r>
      <w:r w:rsidR="00682C7B" w:rsidRPr="005646B6">
        <w:t xml:space="preserve"> included 34</w:t>
      </w:r>
      <w:r w:rsidR="008C7ED1" w:rsidRPr="00003831">
        <w:t xml:space="preserve"> </w:t>
      </w:r>
      <w:r w:rsidR="00531B57" w:rsidRPr="00A87C52">
        <w:t xml:space="preserve">level </w:t>
      </w:r>
      <w:r w:rsidR="00E97E8E" w:rsidRPr="00DF686C">
        <w:t>IV</w:t>
      </w:r>
      <w:r w:rsidR="00531B57" w:rsidRPr="00DF686C">
        <w:t xml:space="preserve"> studies</w:t>
      </w:r>
      <w:r w:rsidR="008C7ED1" w:rsidRPr="00DF686C">
        <w:t xml:space="preserve">. </w:t>
      </w:r>
    </w:p>
    <w:p w:rsidR="0087083A" w:rsidRPr="00A550ED" w:rsidRDefault="007B5CA4" w:rsidP="007B5CA4">
      <w:pPr>
        <w:pStyle w:val="Caption"/>
      </w:pPr>
      <w:bookmarkStart w:id="164" w:name="_Ref324945372"/>
      <w:bookmarkStart w:id="165" w:name="_Toc306634224"/>
      <w:bookmarkStart w:id="166" w:name="_Toc327522075"/>
      <w:r>
        <w:lastRenderedPageBreak/>
        <w:t xml:space="preserve">Table </w:t>
      </w:r>
      <w:fldSimple w:instr=" SEQ Table \* ARABIC ">
        <w:r w:rsidR="0071544A">
          <w:rPr>
            <w:noProof/>
          </w:rPr>
          <w:t>31</w:t>
        </w:r>
      </w:fldSimple>
      <w:bookmarkEnd w:id="164"/>
      <w:r w:rsidR="00C427E8" w:rsidRPr="00DA0155">
        <w:tab/>
      </w:r>
      <w:r w:rsidR="0087083A" w:rsidRPr="00CF31D5">
        <w:t>Summary of adverse events reported by studies includ</w:t>
      </w:r>
      <w:r w:rsidR="0087083A" w:rsidRPr="00A550ED">
        <w:t>ed for assessment</w:t>
      </w:r>
      <w:bookmarkEnd w:id="165"/>
      <w:bookmarkEnd w:id="166"/>
    </w:p>
    <w:tbl>
      <w:tblPr>
        <w:tblW w:w="6709" w:type="dxa"/>
        <w:tblInd w:w="720" w:type="dxa"/>
        <w:tblBorders>
          <w:top w:val="single" w:sz="12" w:space="0" w:color="auto"/>
          <w:bottom w:val="single" w:sz="12" w:space="0" w:color="auto"/>
        </w:tblBorders>
        <w:tblLayout w:type="fixed"/>
        <w:tblCellMar>
          <w:top w:w="28" w:type="dxa"/>
          <w:left w:w="57" w:type="dxa"/>
          <w:bottom w:w="28" w:type="dxa"/>
          <w:right w:w="57" w:type="dxa"/>
        </w:tblCellMar>
        <w:tblLook w:val="0000" w:firstRow="0" w:lastRow="0" w:firstColumn="0" w:lastColumn="0" w:noHBand="0" w:noVBand="0"/>
      </w:tblPr>
      <w:tblGrid>
        <w:gridCol w:w="2172"/>
        <w:gridCol w:w="709"/>
        <w:gridCol w:w="567"/>
        <w:gridCol w:w="852"/>
        <w:gridCol w:w="1275"/>
        <w:gridCol w:w="1134"/>
      </w:tblGrid>
      <w:tr w:rsidR="000C06E6" w:rsidRPr="00BB3C05" w:rsidTr="000C06E6">
        <w:trPr>
          <w:trHeight w:val="128"/>
        </w:trPr>
        <w:tc>
          <w:tcPr>
            <w:tcW w:w="2172" w:type="dxa"/>
            <w:tcBorders>
              <w:top w:val="single" w:sz="12" w:space="0" w:color="auto"/>
              <w:bottom w:val="single" w:sz="4" w:space="0" w:color="auto"/>
            </w:tcBorders>
          </w:tcPr>
          <w:p w:rsidR="000C06E6" w:rsidRPr="004C658D" w:rsidRDefault="000C06E6" w:rsidP="007B5CA4">
            <w:pPr>
              <w:pStyle w:val="TableHeading"/>
              <w:rPr>
                <w:rFonts w:cs="Arial Narrow"/>
                <w:color w:val="000000"/>
                <w:szCs w:val="18"/>
                <w:lang w:eastAsia="en-US"/>
              </w:rPr>
            </w:pPr>
            <w:r w:rsidRPr="0055406F">
              <w:rPr>
                <w:lang w:eastAsia="en-US"/>
              </w:rPr>
              <w:t>Adverse event</w:t>
            </w:r>
          </w:p>
        </w:tc>
        <w:tc>
          <w:tcPr>
            <w:tcW w:w="709" w:type="dxa"/>
            <w:tcBorders>
              <w:top w:val="single" w:sz="12" w:space="0" w:color="auto"/>
              <w:bottom w:val="single" w:sz="4" w:space="0" w:color="auto"/>
            </w:tcBorders>
          </w:tcPr>
          <w:p w:rsidR="000C06E6" w:rsidRPr="00B1508A" w:rsidRDefault="000C06E6" w:rsidP="00162B33">
            <w:pPr>
              <w:pStyle w:val="TableHeading"/>
              <w:jc w:val="right"/>
              <w:rPr>
                <w:lang w:eastAsia="en-US"/>
              </w:rPr>
            </w:pPr>
            <w:r w:rsidRPr="00B1508A">
              <w:rPr>
                <w:lang w:eastAsia="en-US"/>
              </w:rPr>
              <w:t>Studies</w:t>
            </w:r>
          </w:p>
        </w:tc>
        <w:tc>
          <w:tcPr>
            <w:tcW w:w="567" w:type="dxa"/>
            <w:tcBorders>
              <w:top w:val="single" w:sz="12" w:space="0" w:color="auto"/>
              <w:bottom w:val="single" w:sz="4" w:space="0" w:color="auto"/>
            </w:tcBorders>
          </w:tcPr>
          <w:p w:rsidR="000C06E6" w:rsidRPr="00B1508A" w:rsidRDefault="000C06E6" w:rsidP="00162B33">
            <w:pPr>
              <w:pStyle w:val="TableHeading"/>
              <w:jc w:val="right"/>
              <w:rPr>
                <w:lang w:eastAsia="en-US"/>
              </w:rPr>
            </w:pPr>
            <w:r w:rsidRPr="00B1508A">
              <w:rPr>
                <w:lang w:eastAsia="en-US"/>
              </w:rPr>
              <w:t>N</w:t>
            </w:r>
          </w:p>
        </w:tc>
        <w:tc>
          <w:tcPr>
            <w:tcW w:w="852" w:type="dxa"/>
            <w:tcBorders>
              <w:top w:val="single" w:sz="12" w:space="0" w:color="auto"/>
              <w:bottom w:val="single" w:sz="4" w:space="0" w:color="auto"/>
            </w:tcBorders>
          </w:tcPr>
          <w:p w:rsidR="000C06E6" w:rsidRPr="00B1508A" w:rsidRDefault="000C06E6" w:rsidP="00162B33">
            <w:pPr>
              <w:pStyle w:val="TableHeading"/>
              <w:jc w:val="right"/>
              <w:rPr>
                <w:lang w:eastAsia="en-US"/>
              </w:rPr>
            </w:pPr>
            <w:r w:rsidRPr="00B1508A">
              <w:rPr>
                <w:lang w:eastAsia="en-US"/>
              </w:rPr>
              <w:t>n</w:t>
            </w:r>
          </w:p>
          <w:p w:rsidR="000C06E6" w:rsidRPr="00162B33" w:rsidRDefault="000C06E6" w:rsidP="00162B33">
            <w:pPr>
              <w:pStyle w:val="TableHeading"/>
              <w:jc w:val="right"/>
              <w:rPr>
                <w:sz w:val="16"/>
                <w:szCs w:val="16"/>
                <w:lang w:eastAsia="en-US"/>
              </w:rPr>
            </w:pPr>
            <w:r w:rsidRPr="00162B33">
              <w:rPr>
                <w:sz w:val="16"/>
                <w:szCs w:val="16"/>
                <w:lang w:eastAsia="en-US"/>
              </w:rPr>
              <w:t>(Incidence)</w:t>
            </w:r>
          </w:p>
        </w:tc>
        <w:tc>
          <w:tcPr>
            <w:tcW w:w="1275" w:type="dxa"/>
            <w:tcBorders>
              <w:top w:val="single" w:sz="12" w:space="0" w:color="auto"/>
              <w:bottom w:val="single" w:sz="4" w:space="0" w:color="auto"/>
            </w:tcBorders>
          </w:tcPr>
          <w:p w:rsidR="000C06E6" w:rsidRPr="00361416" w:rsidRDefault="000C06E6" w:rsidP="00A117D1">
            <w:pPr>
              <w:pStyle w:val="TableHeading"/>
              <w:jc w:val="right"/>
              <w:rPr>
                <w:lang w:eastAsia="en-US"/>
              </w:rPr>
            </w:pPr>
            <w:r w:rsidRPr="00286445">
              <w:rPr>
                <w:lang w:eastAsia="en-US"/>
              </w:rPr>
              <w:t>Rate where reported</w:t>
            </w:r>
            <w:r w:rsidRPr="00A117D1">
              <w:rPr>
                <w:vertAlign w:val="superscript"/>
                <w:lang w:eastAsia="en-US"/>
              </w:rPr>
              <w:t>a</w:t>
            </w:r>
            <w:r w:rsidRPr="00361416">
              <w:rPr>
                <w:lang w:eastAsia="en-US"/>
              </w:rPr>
              <w:t xml:space="preserve"> (%)</w:t>
            </w:r>
          </w:p>
        </w:tc>
        <w:tc>
          <w:tcPr>
            <w:tcW w:w="1134" w:type="dxa"/>
            <w:tcBorders>
              <w:top w:val="single" w:sz="12" w:space="0" w:color="auto"/>
              <w:bottom w:val="single" w:sz="4" w:space="0" w:color="auto"/>
            </w:tcBorders>
          </w:tcPr>
          <w:p w:rsidR="000C06E6" w:rsidRPr="0072092E" w:rsidRDefault="000C06E6" w:rsidP="00162B33">
            <w:pPr>
              <w:pStyle w:val="TableHeading"/>
              <w:jc w:val="right"/>
              <w:rPr>
                <w:lang w:eastAsia="en-US"/>
              </w:rPr>
            </w:pPr>
            <w:r w:rsidRPr="0086082D">
              <w:rPr>
                <w:lang w:eastAsia="en-US"/>
              </w:rPr>
              <w:t>Range among reported</w:t>
            </w:r>
            <w:r w:rsidRPr="00A117D1">
              <w:rPr>
                <w:vertAlign w:val="superscript"/>
                <w:lang w:eastAsia="en-US"/>
              </w:rPr>
              <w:t>a</w:t>
            </w:r>
            <w:r w:rsidRPr="0072092E">
              <w:rPr>
                <w:lang w:eastAsia="en-US"/>
              </w:rPr>
              <w:t xml:space="preserve"> (%)</w:t>
            </w:r>
          </w:p>
        </w:tc>
      </w:tr>
      <w:tr w:rsidR="000C06E6" w:rsidRPr="00BB3C05" w:rsidTr="000C06E6">
        <w:trPr>
          <w:trHeight w:val="126"/>
        </w:trPr>
        <w:tc>
          <w:tcPr>
            <w:tcW w:w="2172" w:type="dxa"/>
            <w:tcBorders>
              <w:top w:val="single" w:sz="4" w:space="0" w:color="auto"/>
            </w:tcBorders>
          </w:tcPr>
          <w:p w:rsidR="000C06E6" w:rsidRPr="000F3C8B" w:rsidRDefault="000C06E6" w:rsidP="00574DF7">
            <w:pPr>
              <w:pStyle w:val="TableText0"/>
              <w:rPr>
                <w:lang w:val="en-AU"/>
              </w:rPr>
            </w:pPr>
            <w:r w:rsidRPr="000F3C8B">
              <w:rPr>
                <w:lang w:val="en-AU"/>
              </w:rPr>
              <w:t>Tumour growth-related events</w:t>
            </w:r>
          </w:p>
        </w:tc>
        <w:tc>
          <w:tcPr>
            <w:tcW w:w="709" w:type="dxa"/>
            <w:tcBorders>
              <w:top w:val="single" w:sz="4" w:space="0" w:color="auto"/>
            </w:tcBorders>
            <w:vAlign w:val="center"/>
          </w:tcPr>
          <w:p w:rsidR="000C06E6" w:rsidRPr="000F3C8B" w:rsidRDefault="000C06E6" w:rsidP="00162B33">
            <w:pPr>
              <w:pStyle w:val="TableText0"/>
              <w:jc w:val="right"/>
              <w:rPr>
                <w:lang w:val="en-AU"/>
              </w:rPr>
            </w:pPr>
          </w:p>
        </w:tc>
        <w:tc>
          <w:tcPr>
            <w:tcW w:w="567" w:type="dxa"/>
            <w:tcBorders>
              <w:top w:val="single" w:sz="4" w:space="0" w:color="auto"/>
            </w:tcBorders>
            <w:vAlign w:val="center"/>
          </w:tcPr>
          <w:p w:rsidR="000C06E6" w:rsidRPr="000F3C8B" w:rsidRDefault="000C06E6" w:rsidP="00162B33">
            <w:pPr>
              <w:pStyle w:val="TableText0"/>
              <w:jc w:val="right"/>
              <w:rPr>
                <w:lang w:val="en-AU"/>
              </w:rPr>
            </w:pPr>
          </w:p>
        </w:tc>
        <w:tc>
          <w:tcPr>
            <w:tcW w:w="852" w:type="dxa"/>
            <w:tcBorders>
              <w:top w:val="single" w:sz="4" w:space="0" w:color="auto"/>
            </w:tcBorders>
            <w:vAlign w:val="center"/>
          </w:tcPr>
          <w:p w:rsidR="000C06E6" w:rsidRPr="000F3C8B" w:rsidRDefault="000C06E6" w:rsidP="00162B33">
            <w:pPr>
              <w:pStyle w:val="TableText0"/>
              <w:jc w:val="right"/>
              <w:rPr>
                <w:lang w:val="en-AU"/>
              </w:rPr>
            </w:pPr>
          </w:p>
        </w:tc>
        <w:tc>
          <w:tcPr>
            <w:tcW w:w="1275" w:type="dxa"/>
            <w:tcBorders>
              <w:top w:val="single" w:sz="4" w:space="0" w:color="auto"/>
            </w:tcBorders>
            <w:vAlign w:val="center"/>
          </w:tcPr>
          <w:p w:rsidR="000C06E6" w:rsidRPr="000F3C8B" w:rsidRDefault="000C06E6" w:rsidP="00162B33">
            <w:pPr>
              <w:pStyle w:val="TableText0"/>
              <w:jc w:val="right"/>
              <w:rPr>
                <w:lang w:val="en-AU"/>
              </w:rPr>
            </w:pPr>
          </w:p>
        </w:tc>
        <w:tc>
          <w:tcPr>
            <w:tcW w:w="1134" w:type="dxa"/>
            <w:tcBorders>
              <w:top w:val="single" w:sz="4" w:space="0" w:color="auto"/>
            </w:tcBorders>
            <w:vAlign w:val="center"/>
          </w:tcPr>
          <w:p w:rsidR="000C06E6" w:rsidRPr="000F3C8B" w:rsidRDefault="000C06E6" w:rsidP="00162B33">
            <w:pPr>
              <w:pStyle w:val="TableText0"/>
              <w:jc w:val="right"/>
              <w:rPr>
                <w:lang w:val="en-AU"/>
              </w:rPr>
            </w:pP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Tumour ingrowth</w:t>
            </w:r>
          </w:p>
        </w:tc>
        <w:tc>
          <w:tcPr>
            <w:tcW w:w="709" w:type="dxa"/>
            <w:vAlign w:val="center"/>
          </w:tcPr>
          <w:p w:rsidR="000C06E6" w:rsidRPr="000F3C8B" w:rsidRDefault="000C06E6" w:rsidP="00162B33">
            <w:pPr>
              <w:pStyle w:val="TableText0"/>
              <w:jc w:val="right"/>
              <w:rPr>
                <w:lang w:val="en-AU"/>
              </w:rPr>
            </w:pPr>
            <w:r w:rsidRPr="000F3C8B">
              <w:rPr>
                <w:lang w:val="en-AU"/>
              </w:rPr>
              <w:t>8</w:t>
            </w:r>
          </w:p>
        </w:tc>
        <w:tc>
          <w:tcPr>
            <w:tcW w:w="567" w:type="dxa"/>
            <w:vAlign w:val="center"/>
          </w:tcPr>
          <w:p w:rsidR="000C06E6" w:rsidRPr="000F3C8B" w:rsidRDefault="000C06E6" w:rsidP="00162B33">
            <w:pPr>
              <w:pStyle w:val="TableText0"/>
              <w:jc w:val="right"/>
              <w:rPr>
                <w:lang w:val="en-AU"/>
              </w:rPr>
            </w:pPr>
            <w:r w:rsidRPr="000F3C8B">
              <w:rPr>
                <w:lang w:val="en-AU"/>
              </w:rPr>
              <w:t>925</w:t>
            </w:r>
          </w:p>
        </w:tc>
        <w:tc>
          <w:tcPr>
            <w:tcW w:w="852" w:type="dxa"/>
            <w:vAlign w:val="center"/>
          </w:tcPr>
          <w:p w:rsidR="000C06E6" w:rsidRPr="000F3C8B" w:rsidRDefault="000C06E6" w:rsidP="00162B33">
            <w:pPr>
              <w:pStyle w:val="TableText0"/>
              <w:jc w:val="right"/>
              <w:rPr>
                <w:lang w:val="en-AU"/>
              </w:rPr>
            </w:pPr>
            <w:r w:rsidRPr="000F3C8B">
              <w:rPr>
                <w:lang w:val="en-AU"/>
              </w:rPr>
              <w:t>81</w:t>
            </w:r>
          </w:p>
        </w:tc>
        <w:tc>
          <w:tcPr>
            <w:tcW w:w="1275" w:type="dxa"/>
            <w:vAlign w:val="center"/>
          </w:tcPr>
          <w:p w:rsidR="000C06E6" w:rsidRPr="000F3C8B" w:rsidRDefault="000C06E6" w:rsidP="00162B33">
            <w:pPr>
              <w:pStyle w:val="TableText0"/>
              <w:jc w:val="right"/>
              <w:rPr>
                <w:lang w:val="en-AU"/>
              </w:rPr>
            </w:pPr>
            <w:r w:rsidRPr="000F3C8B">
              <w:rPr>
                <w:lang w:val="en-AU"/>
              </w:rPr>
              <w:t>8.8</w:t>
            </w:r>
          </w:p>
        </w:tc>
        <w:tc>
          <w:tcPr>
            <w:tcW w:w="1134" w:type="dxa"/>
            <w:vAlign w:val="center"/>
          </w:tcPr>
          <w:p w:rsidR="000C06E6" w:rsidRPr="000F3C8B" w:rsidRDefault="000C06E6" w:rsidP="00162B33">
            <w:pPr>
              <w:pStyle w:val="TableText0"/>
              <w:jc w:val="right"/>
              <w:rPr>
                <w:lang w:val="en-AU"/>
              </w:rPr>
            </w:pPr>
            <w:r w:rsidRPr="000F3C8B">
              <w:rPr>
                <w:lang w:val="en-AU"/>
              </w:rPr>
              <w:t>3.7-12.7</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Tumour overgrowth</w:t>
            </w:r>
          </w:p>
        </w:tc>
        <w:tc>
          <w:tcPr>
            <w:tcW w:w="709" w:type="dxa"/>
            <w:vAlign w:val="center"/>
          </w:tcPr>
          <w:p w:rsidR="000C06E6" w:rsidRPr="000F3C8B" w:rsidRDefault="000C06E6" w:rsidP="00162B33">
            <w:pPr>
              <w:pStyle w:val="TableText0"/>
              <w:jc w:val="right"/>
              <w:rPr>
                <w:lang w:val="en-AU"/>
              </w:rPr>
            </w:pPr>
            <w:r w:rsidRPr="000F3C8B">
              <w:rPr>
                <w:lang w:val="en-AU"/>
              </w:rPr>
              <w:t>7</w:t>
            </w:r>
          </w:p>
        </w:tc>
        <w:tc>
          <w:tcPr>
            <w:tcW w:w="567" w:type="dxa"/>
            <w:vAlign w:val="center"/>
          </w:tcPr>
          <w:p w:rsidR="000C06E6" w:rsidRPr="000F3C8B" w:rsidRDefault="000C06E6" w:rsidP="00A117D1">
            <w:pPr>
              <w:pStyle w:val="TableText0"/>
              <w:jc w:val="right"/>
              <w:rPr>
                <w:lang w:val="en-AU"/>
              </w:rPr>
            </w:pPr>
            <w:r w:rsidRPr="000F3C8B">
              <w:rPr>
                <w:lang w:val="en-AU"/>
              </w:rPr>
              <w:t>469</w:t>
            </w:r>
            <w:r w:rsidRPr="00A117D1">
              <w:rPr>
                <w:vertAlign w:val="superscript"/>
                <w:lang w:val="en-AU"/>
              </w:rPr>
              <w:t>b</w:t>
            </w:r>
          </w:p>
        </w:tc>
        <w:tc>
          <w:tcPr>
            <w:tcW w:w="852" w:type="dxa"/>
            <w:vAlign w:val="center"/>
          </w:tcPr>
          <w:p w:rsidR="000C06E6" w:rsidRPr="000F3C8B" w:rsidRDefault="000C06E6" w:rsidP="00162B33">
            <w:pPr>
              <w:pStyle w:val="TableText0"/>
              <w:jc w:val="right"/>
              <w:rPr>
                <w:lang w:val="en-AU"/>
              </w:rPr>
            </w:pPr>
            <w:r w:rsidRPr="000F3C8B">
              <w:rPr>
                <w:lang w:val="en-AU"/>
              </w:rPr>
              <w:t>33</w:t>
            </w:r>
          </w:p>
        </w:tc>
        <w:tc>
          <w:tcPr>
            <w:tcW w:w="1275" w:type="dxa"/>
            <w:vAlign w:val="center"/>
          </w:tcPr>
          <w:p w:rsidR="000C06E6" w:rsidRPr="000F3C8B" w:rsidRDefault="000C06E6" w:rsidP="00162B33">
            <w:pPr>
              <w:pStyle w:val="TableText0"/>
              <w:jc w:val="right"/>
              <w:rPr>
                <w:lang w:val="en-AU"/>
              </w:rPr>
            </w:pPr>
            <w:r w:rsidRPr="000F3C8B">
              <w:rPr>
                <w:lang w:val="en-AU"/>
              </w:rPr>
              <w:t>7.0</w:t>
            </w:r>
          </w:p>
        </w:tc>
        <w:tc>
          <w:tcPr>
            <w:tcW w:w="1134" w:type="dxa"/>
            <w:vAlign w:val="center"/>
          </w:tcPr>
          <w:p w:rsidR="000C06E6" w:rsidRPr="000F3C8B" w:rsidRDefault="000C06E6" w:rsidP="00162B33">
            <w:pPr>
              <w:pStyle w:val="TableText0"/>
              <w:jc w:val="right"/>
              <w:rPr>
                <w:lang w:val="en-AU"/>
              </w:rPr>
            </w:pPr>
            <w:r w:rsidRPr="000F3C8B">
              <w:rPr>
                <w:lang w:val="en-AU"/>
              </w:rPr>
              <w:t>1.8-22.5</w:t>
            </w:r>
          </w:p>
        </w:tc>
      </w:tr>
      <w:tr w:rsidR="000C06E6" w:rsidRPr="00BB3C05" w:rsidTr="000C06E6">
        <w:trPr>
          <w:trHeight w:val="126"/>
        </w:trPr>
        <w:tc>
          <w:tcPr>
            <w:tcW w:w="2172" w:type="dxa"/>
          </w:tcPr>
          <w:p w:rsidR="000C06E6" w:rsidRPr="000F3C8B" w:rsidRDefault="000C06E6" w:rsidP="00574DF7">
            <w:pPr>
              <w:pStyle w:val="TableText0"/>
              <w:rPr>
                <w:lang w:val="en-AU"/>
              </w:rPr>
            </w:pPr>
            <w:r w:rsidRPr="000F3C8B">
              <w:rPr>
                <w:lang w:val="en-AU"/>
              </w:rPr>
              <w:t>Stent-related events</w:t>
            </w:r>
          </w:p>
        </w:tc>
        <w:tc>
          <w:tcPr>
            <w:tcW w:w="709" w:type="dxa"/>
            <w:vAlign w:val="center"/>
          </w:tcPr>
          <w:p w:rsidR="000C06E6" w:rsidRPr="000F3C8B" w:rsidRDefault="000C06E6" w:rsidP="00162B33">
            <w:pPr>
              <w:pStyle w:val="TableText0"/>
              <w:jc w:val="right"/>
              <w:rPr>
                <w:lang w:val="en-AU"/>
              </w:rPr>
            </w:pPr>
          </w:p>
        </w:tc>
        <w:tc>
          <w:tcPr>
            <w:tcW w:w="567" w:type="dxa"/>
            <w:vAlign w:val="center"/>
          </w:tcPr>
          <w:p w:rsidR="000C06E6" w:rsidRPr="000F3C8B" w:rsidRDefault="000C06E6" w:rsidP="00162B33">
            <w:pPr>
              <w:pStyle w:val="TableText0"/>
              <w:jc w:val="right"/>
              <w:rPr>
                <w:lang w:val="en-AU"/>
              </w:rPr>
            </w:pPr>
          </w:p>
        </w:tc>
        <w:tc>
          <w:tcPr>
            <w:tcW w:w="852" w:type="dxa"/>
            <w:vAlign w:val="center"/>
          </w:tcPr>
          <w:p w:rsidR="000C06E6" w:rsidRPr="000F3C8B" w:rsidRDefault="000C06E6" w:rsidP="00162B33">
            <w:pPr>
              <w:pStyle w:val="TableText0"/>
              <w:jc w:val="right"/>
              <w:rPr>
                <w:lang w:val="en-AU"/>
              </w:rPr>
            </w:pPr>
          </w:p>
        </w:tc>
        <w:tc>
          <w:tcPr>
            <w:tcW w:w="1275" w:type="dxa"/>
            <w:vAlign w:val="center"/>
          </w:tcPr>
          <w:p w:rsidR="000C06E6" w:rsidRPr="000F3C8B" w:rsidRDefault="000C06E6" w:rsidP="00162B33">
            <w:pPr>
              <w:pStyle w:val="TableText0"/>
              <w:jc w:val="right"/>
              <w:rPr>
                <w:lang w:val="en-AU"/>
              </w:rPr>
            </w:pPr>
          </w:p>
        </w:tc>
        <w:tc>
          <w:tcPr>
            <w:tcW w:w="1134" w:type="dxa"/>
            <w:vAlign w:val="center"/>
          </w:tcPr>
          <w:p w:rsidR="000C06E6" w:rsidRPr="000F3C8B" w:rsidRDefault="000C06E6" w:rsidP="00162B33">
            <w:pPr>
              <w:pStyle w:val="TableText0"/>
              <w:jc w:val="right"/>
              <w:rPr>
                <w:lang w:val="en-AU"/>
              </w:rPr>
            </w:pP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Re-obstruction/occlusion</w:t>
            </w:r>
            <w:r>
              <w:rPr>
                <w:vertAlign w:val="superscript"/>
                <w:lang w:val="en-AU"/>
              </w:rPr>
              <w:t>c</w:t>
            </w:r>
          </w:p>
        </w:tc>
        <w:tc>
          <w:tcPr>
            <w:tcW w:w="709" w:type="dxa"/>
            <w:vAlign w:val="center"/>
          </w:tcPr>
          <w:p w:rsidR="000C06E6" w:rsidRPr="000F3C8B" w:rsidRDefault="000C06E6" w:rsidP="00162B33">
            <w:pPr>
              <w:pStyle w:val="TableText0"/>
              <w:jc w:val="right"/>
              <w:rPr>
                <w:lang w:val="en-AU"/>
              </w:rPr>
            </w:pPr>
            <w:r w:rsidRPr="000F3C8B">
              <w:rPr>
                <w:lang w:val="en-AU"/>
              </w:rPr>
              <w:t>23</w:t>
            </w:r>
          </w:p>
        </w:tc>
        <w:tc>
          <w:tcPr>
            <w:tcW w:w="567" w:type="dxa"/>
            <w:vAlign w:val="center"/>
          </w:tcPr>
          <w:p w:rsidR="000C06E6" w:rsidRPr="000F3C8B" w:rsidRDefault="000C06E6" w:rsidP="00A117D1">
            <w:pPr>
              <w:pStyle w:val="TableText0"/>
              <w:jc w:val="right"/>
              <w:rPr>
                <w:lang w:val="en-AU"/>
              </w:rPr>
            </w:pPr>
            <w:r w:rsidRPr="000F3C8B">
              <w:rPr>
                <w:lang w:val="en-AU"/>
              </w:rPr>
              <w:t>3302</w:t>
            </w:r>
            <w:r w:rsidRPr="00A117D1">
              <w:rPr>
                <w:vertAlign w:val="superscript"/>
                <w:lang w:val="en-AU"/>
              </w:rPr>
              <w:t>b</w:t>
            </w:r>
          </w:p>
        </w:tc>
        <w:tc>
          <w:tcPr>
            <w:tcW w:w="852" w:type="dxa"/>
            <w:vAlign w:val="center"/>
          </w:tcPr>
          <w:p w:rsidR="000C06E6" w:rsidRPr="000F3C8B" w:rsidRDefault="000C06E6" w:rsidP="00162B33">
            <w:pPr>
              <w:pStyle w:val="TableText0"/>
              <w:jc w:val="right"/>
              <w:rPr>
                <w:lang w:val="en-AU"/>
              </w:rPr>
            </w:pPr>
            <w:r w:rsidRPr="000F3C8B">
              <w:rPr>
                <w:lang w:val="en-AU"/>
              </w:rPr>
              <w:t>216</w:t>
            </w:r>
          </w:p>
        </w:tc>
        <w:tc>
          <w:tcPr>
            <w:tcW w:w="1275" w:type="dxa"/>
            <w:vAlign w:val="center"/>
          </w:tcPr>
          <w:p w:rsidR="000C06E6" w:rsidRPr="000F3C8B" w:rsidRDefault="000C06E6" w:rsidP="00162B33">
            <w:pPr>
              <w:pStyle w:val="TableText0"/>
              <w:jc w:val="right"/>
              <w:rPr>
                <w:lang w:val="en-AU"/>
              </w:rPr>
            </w:pPr>
            <w:r w:rsidRPr="000F3C8B">
              <w:rPr>
                <w:lang w:val="en-AU"/>
              </w:rPr>
              <w:t>6.5</w:t>
            </w:r>
          </w:p>
        </w:tc>
        <w:tc>
          <w:tcPr>
            <w:tcW w:w="1134" w:type="dxa"/>
            <w:vAlign w:val="center"/>
          </w:tcPr>
          <w:p w:rsidR="000C06E6" w:rsidRPr="000F3C8B" w:rsidRDefault="000C06E6" w:rsidP="00162B33">
            <w:pPr>
              <w:pStyle w:val="TableText0"/>
              <w:jc w:val="right"/>
              <w:rPr>
                <w:lang w:val="en-AU"/>
              </w:rPr>
            </w:pPr>
            <w:r w:rsidRPr="000F3C8B">
              <w:rPr>
                <w:lang w:val="en-AU"/>
              </w:rPr>
              <w:t>0.5-32.4</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Stent migration</w:t>
            </w:r>
          </w:p>
        </w:tc>
        <w:tc>
          <w:tcPr>
            <w:tcW w:w="709" w:type="dxa"/>
            <w:vAlign w:val="center"/>
          </w:tcPr>
          <w:p w:rsidR="000C06E6" w:rsidRPr="000F3C8B" w:rsidRDefault="000C06E6" w:rsidP="00162B33">
            <w:pPr>
              <w:pStyle w:val="TableText0"/>
              <w:jc w:val="right"/>
              <w:rPr>
                <w:lang w:val="en-AU"/>
              </w:rPr>
            </w:pPr>
            <w:r w:rsidRPr="000F3C8B">
              <w:rPr>
                <w:lang w:val="en-AU"/>
              </w:rPr>
              <w:t>32</w:t>
            </w:r>
          </w:p>
        </w:tc>
        <w:tc>
          <w:tcPr>
            <w:tcW w:w="567" w:type="dxa"/>
            <w:vAlign w:val="center"/>
          </w:tcPr>
          <w:p w:rsidR="000C06E6" w:rsidRPr="000F3C8B" w:rsidRDefault="000C06E6" w:rsidP="00A117D1">
            <w:pPr>
              <w:pStyle w:val="TableText0"/>
              <w:jc w:val="right"/>
              <w:rPr>
                <w:lang w:val="en-AU"/>
              </w:rPr>
            </w:pPr>
            <w:r w:rsidRPr="000F3C8B">
              <w:rPr>
                <w:lang w:val="en-AU"/>
              </w:rPr>
              <w:t>4032</w:t>
            </w:r>
            <w:r w:rsidRPr="00A117D1">
              <w:rPr>
                <w:vertAlign w:val="superscript"/>
                <w:lang w:val="en-AU"/>
              </w:rPr>
              <w:t>b</w:t>
            </w:r>
          </w:p>
        </w:tc>
        <w:tc>
          <w:tcPr>
            <w:tcW w:w="852" w:type="dxa"/>
            <w:vAlign w:val="center"/>
          </w:tcPr>
          <w:p w:rsidR="000C06E6" w:rsidRPr="000F3C8B" w:rsidRDefault="000C06E6" w:rsidP="00162B33">
            <w:pPr>
              <w:pStyle w:val="TableText0"/>
              <w:jc w:val="right"/>
              <w:rPr>
                <w:lang w:val="en-AU"/>
              </w:rPr>
            </w:pPr>
            <w:r w:rsidRPr="000F3C8B">
              <w:rPr>
                <w:lang w:val="en-AU"/>
              </w:rPr>
              <w:t>259</w:t>
            </w:r>
          </w:p>
        </w:tc>
        <w:tc>
          <w:tcPr>
            <w:tcW w:w="1275" w:type="dxa"/>
            <w:vAlign w:val="center"/>
          </w:tcPr>
          <w:p w:rsidR="000C06E6" w:rsidRPr="000F3C8B" w:rsidRDefault="000C06E6" w:rsidP="00162B33">
            <w:pPr>
              <w:pStyle w:val="TableText0"/>
              <w:jc w:val="right"/>
              <w:rPr>
                <w:lang w:val="en-AU"/>
              </w:rPr>
            </w:pPr>
            <w:r w:rsidRPr="000F3C8B">
              <w:rPr>
                <w:lang w:val="en-AU"/>
              </w:rPr>
              <w:t>6.4</w:t>
            </w:r>
          </w:p>
        </w:tc>
        <w:tc>
          <w:tcPr>
            <w:tcW w:w="1134" w:type="dxa"/>
            <w:vAlign w:val="center"/>
          </w:tcPr>
          <w:p w:rsidR="000C06E6" w:rsidRPr="000F3C8B" w:rsidRDefault="000C06E6" w:rsidP="00162B33">
            <w:pPr>
              <w:pStyle w:val="TableText0"/>
              <w:jc w:val="right"/>
              <w:rPr>
                <w:lang w:val="en-AU"/>
              </w:rPr>
            </w:pPr>
            <w:r w:rsidRPr="000F3C8B">
              <w:rPr>
                <w:lang w:val="en-AU"/>
              </w:rPr>
              <w:t>0.9-21.9</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Bowel perforation</w:t>
            </w:r>
            <w:r>
              <w:rPr>
                <w:vertAlign w:val="superscript"/>
                <w:lang w:val="en-AU"/>
              </w:rPr>
              <w:t>d</w:t>
            </w:r>
          </w:p>
        </w:tc>
        <w:tc>
          <w:tcPr>
            <w:tcW w:w="709" w:type="dxa"/>
            <w:vAlign w:val="center"/>
          </w:tcPr>
          <w:p w:rsidR="000C06E6" w:rsidRPr="000F3C8B" w:rsidRDefault="000C06E6" w:rsidP="00162B33">
            <w:pPr>
              <w:pStyle w:val="TableText0"/>
              <w:jc w:val="right"/>
              <w:rPr>
                <w:lang w:val="en-AU"/>
              </w:rPr>
            </w:pPr>
            <w:r w:rsidRPr="000F3C8B">
              <w:rPr>
                <w:lang w:val="en-AU"/>
              </w:rPr>
              <w:t>32</w:t>
            </w:r>
          </w:p>
        </w:tc>
        <w:tc>
          <w:tcPr>
            <w:tcW w:w="567" w:type="dxa"/>
            <w:vAlign w:val="center"/>
          </w:tcPr>
          <w:p w:rsidR="000C06E6" w:rsidRPr="000F3C8B" w:rsidRDefault="000C06E6" w:rsidP="00A117D1">
            <w:pPr>
              <w:pStyle w:val="TableText0"/>
              <w:jc w:val="right"/>
              <w:rPr>
                <w:lang w:val="en-AU"/>
              </w:rPr>
            </w:pPr>
            <w:r w:rsidRPr="000F3C8B">
              <w:rPr>
                <w:lang w:val="en-AU"/>
              </w:rPr>
              <w:t>4032</w:t>
            </w:r>
            <w:r w:rsidRPr="00A117D1">
              <w:rPr>
                <w:vertAlign w:val="superscript"/>
                <w:lang w:val="en-AU"/>
              </w:rPr>
              <w:t>b</w:t>
            </w:r>
          </w:p>
        </w:tc>
        <w:tc>
          <w:tcPr>
            <w:tcW w:w="852" w:type="dxa"/>
            <w:vAlign w:val="center"/>
          </w:tcPr>
          <w:p w:rsidR="000C06E6" w:rsidRPr="000F3C8B" w:rsidRDefault="000C06E6" w:rsidP="00162B33">
            <w:pPr>
              <w:pStyle w:val="TableText0"/>
              <w:jc w:val="right"/>
              <w:rPr>
                <w:lang w:val="en-AU"/>
              </w:rPr>
            </w:pPr>
            <w:r w:rsidRPr="000F3C8B">
              <w:rPr>
                <w:lang w:val="en-AU"/>
              </w:rPr>
              <w:t>167</w:t>
            </w:r>
          </w:p>
        </w:tc>
        <w:tc>
          <w:tcPr>
            <w:tcW w:w="1275" w:type="dxa"/>
            <w:vAlign w:val="center"/>
          </w:tcPr>
          <w:p w:rsidR="000C06E6" w:rsidRPr="000F3C8B" w:rsidRDefault="000C06E6" w:rsidP="00162B33">
            <w:pPr>
              <w:pStyle w:val="TableText0"/>
              <w:jc w:val="right"/>
              <w:rPr>
                <w:lang w:val="en-AU"/>
              </w:rPr>
            </w:pPr>
            <w:r w:rsidRPr="000F3C8B">
              <w:rPr>
                <w:lang w:val="en-AU"/>
              </w:rPr>
              <w:t>4.1</w:t>
            </w:r>
          </w:p>
        </w:tc>
        <w:tc>
          <w:tcPr>
            <w:tcW w:w="1134" w:type="dxa"/>
            <w:vAlign w:val="center"/>
          </w:tcPr>
          <w:p w:rsidR="000C06E6" w:rsidRPr="000F3C8B" w:rsidRDefault="000C06E6" w:rsidP="00162B33">
            <w:pPr>
              <w:pStyle w:val="TableText0"/>
              <w:jc w:val="right"/>
              <w:rPr>
                <w:lang w:val="en-AU"/>
              </w:rPr>
            </w:pPr>
            <w:r w:rsidRPr="000F3C8B">
              <w:rPr>
                <w:lang w:val="en-AU"/>
              </w:rPr>
              <w:t>0-14.1</w:t>
            </w:r>
          </w:p>
        </w:tc>
      </w:tr>
      <w:tr w:rsidR="000C06E6" w:rsidRPr="00BB3C05" w:rsidTr="000C06E6">
        <w:trPr>
          <w:trHeight w:val="126"/>
        </w:trPr>
        <w:tc>
          <w:tcPr>
            <w:tcW w:w="2172" w:type="dxa"/>
          </w:tcPr>
          <w:p w:rsidR="000C06E6" w:rsidRPr="000F3C8B" w:rsidRDefault="000C06E6" w:rsidP="00574DF7">
            <w:pPr>
              <w:pStyle w:val="TableText0"/>
              <w:rPr>
                <w:lang w:val="en-AU"/>
              </w:rPr>
            </w:pPr>
            <w:r w:rsidRPr="000F3C8B">
              <w:rPr>
                <w:lang w:val="en-AU"/>
              </w:rPr>
              <w:t>Sensation-related events</w:t>
            </w:r>
          </w:p>
        </w:tc>
        <w:tc>
          <w:tcPr>
            <w:tcW w:w="709" w:type="dxa"/>
            <w:vAlign w:val="center"/>
          </w:tcPr>
          <w:p w:rsidR="000C06E6" w:rsidRPr="000F3C8B" w:rsidRDefault="000C06E6" w:rsidP="00162B33">
            <w:pPr>
              <w:pStyle w:val="TableText0"/>
              <w:jc w:val="right"/>
              <w:rPr>
                <w:lang w:val="en-AU"/>
              </w:rPr>
            </w:pPr>
          </w:p>
        </w:tc>
        <w:tc>
          <w:tcPr>
            <w:tcW w:w="567" w:type="dxa"/>
            <w:vAlign w:val="center"/>
          </w:tcPr>
          <w:p w:rsidR="000C06E6" w:rsidRPr="000F3C8B" w:rsidRDefault="000C06E6" w:rsidP="00162B33">
            <w:pPr>
              <w:pStyle w:val="TableText0"/>
              <w:jc w:val="right"/>
              <w:rPr>
                <w:lang w:val="en-AU"/>
              </w:rPr>
            </w:pPr>
          </w:p>
        </w:tc>
        <w:tc>
          <w:tcPr>
            <w:tcW w:w="852" w:type="dxa"/>
            <w:vAlign w:val="center"/>
          </w:tcPr>
          <w:p w:rsidR="000C06E6" w:rsidRPr="000F3C8B" w:rsidRDefault="000C06E6" w:rsidP="00162B33">
            <w:pPr>
              <w:pStyle w:val="TableText0"/>
              <w:jc w:val="right"/>
              <w:rPr>
                <w:lang w:val="en-AU"/>
              </w:rPr>
            </w:pPr>
          </w:p>
        </w:tc>
        <w:tc>
          <w:tcPr>
            <w:tcW w:w="1275" w:type="dxa"/>
            <w:vAlign w:val="center"/>
          </w:tcPr>
          <w:p w:rsidR="000C06E6" w:rsidRPr="000F3C8B" w:rsidRDefault="000C06E6" w:rsidP="00162B33">
            <w:pPr>
              <w:pStyle w:val="TableText0"/>
              <w:jc w:val="right"/>
              <w:rPr>
                <w:lang w:val="en-AU"/>
              </w:rPr>
            </w:pPr>
          </w:p>
        </w:tc>
        <w:tc>
          <w:tcPr>
            <w:tcW w:w="1134" w:type="dxa"/>
            <w:vAlign w:val="center"/>
          </w:tcPr>
          <w:p w:rsidR="000C06E6" w:rsidRPr="000F3C8B" w:rsidRDefault="000C06E6" w:rsidP="00162B33">
            <w:pPr>
              <w:pStyle w:val="TableText0"/>
              <w:jc w:val="right"/>
              <w:rPr>
                <w:lang w:val="en-AU"/>
              </w:rPr>
            </w:pP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Pain and/or discomfort</w:t>
            </w:r>
          </w:p>
        </w:tc>
        <w:tc>
          <w:tcPr>
            <w:tcW w:w="709" w:type="dxa"/>
          </w:tcPr>
          <w:p w:rsidR="000C06E6" w:rsidRPr="000F3C8B" w:rsidRDefault="000C06E6" w:rsidP="00162B33">
            <w:pPr>
              <w:pStyle w:val="TableText0"/>
              <w:jc w:val="right"/>
              <w:rPr>
                <w:lang w:val="en-AU"/>
              </w:rPr>
            </w:pPr>
            <w:r w:rsidRPr="000F3C8B">
              <w:rPr>
                <w:lang w:val="en-AU"/>
              </w:rPr>
              <w:t>11</w:t>
            </w:r>
          </w:p>
        </w:tc>
        <w:tc>
          <w:tcPr>
            <w:tcW w:w="567" w:type="dxa"/>
          </w:tcPr>
          <w:p w:rsidR="000C06E6" w:rsidRPr="000F3C8B" w:rsidRDefault="000C06E6" w:rsidP="00A117D1">
            <w:pPr>
              <w:pStyle w:val="TableText0"/>
              <w:jc w:val="right"/>
              <w:rPr>
                <w:lang w:val="en-AU"/>
              </w:rPr>
            </w:pPr>
            <w:r w:rsidRPr="000F3C8B">
              <w:rPr>
                <w:lang w:val="en-AU"/>
              </w:rPr>
              <w:t>1711</w:t>
            </w:r>
            <w:r w:rsidRPr="00A117D1">
              <w:rPr>
                <w:vertAlign w:val="superscript"/>
                <w:lang w:val="en-AU"/>
              </w:rPr>
              <w:t>b</w:t>
            </w:r>
          </w:p>
        </w:tc>
        <w:tc>
          <w:tcPr>
            <w:tcW w:w="852" w:type="dxa"/>
          </w:tcPr>
          <w:p w:rsidR="000C06E6" w:rsidRPr="000F3C8B" w:rsidRDefault="000C06E6" w:rsidP="00162B33">
            <w:pPr>
              <w:pStyle w:val="TableText0"/>
              <w:jc w:val="right"/>
              <w:rPr>
                <w:lang w:val="en-AU"/>
              </w:rPr>
            </w:pPr>
            <w:r w:rsidRPr="000F3C8B">
              <w:rPr>
                <w:lang w:val="en-AU"/>
              </w:rPr>
              <w:t>70</w:t>
            </w:r>
          </w:p>
        </w:tc>
        <w:tc>
          <w:tcPr>
            <w:tcW w:w="1275" w:type="dxa"/>
          </w:tcPr>
          <w:p w:rsidR="000C06E6" w:rsidRPr="000F3C8B" w:rsidRDefault="000C06E6" w:rsidP="00162B33">
            <w:pPr>
              <w:pStyle w:val="TableText0"/>
              <w:jc w:val="right"/>
              <w:rPr>
                <w:lang w:val="en-AU"/>
              </w:rPr>
            </w:pPr>
            <w:r w:rsidRPr="000F3C8B">
              <w:rPr>
                <w:lang w:val="en-AU"/>
              </w:rPr>
              <w:t>4.1</w:t>
            </w:r>
          </w:p>
        </w:tc>
        <w:tc>
          <w:tcPr>
            <w:tcW w:w="1134" w:type="dxa"/>
          </w:tcPr>
          <w:p w:rsidR="000C06E6" w:rsidRPr="000F3C8B" w:rsidRDefault="000C06E6" w:rsidP="00162B33">
            <w:pPr>
              <w:pStyle w:val="TableText0"/>
              <w:jc w:val="right"/>
              <w:rPr>
                <w:lang w:val="en-AU"/>
              </w:rPr>
            </w:pPr>
            <w:r w:rsidRPr="000F3C8B">
              <w:rPr>
                <w:lang w:val="en-AU"/>
              </w:rPr>
              <w:t>0.5-30.0</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Tenesmus</w:t>
            </w:r>
            <w:r>
              <w:rPr>
                <w:vertAlign w:val="superscript"/>
                <w:lang w:val="en-AU"/>
              </w:rPr>
              <w:t>e</w:t>
            </w:r>
          </w:p>
        </w:tc>
        <w:tc>
          <w:tcPr>
            <w:tcW w:w="709" w:type="dxa"/>
          </w:tcPr>
          <w:p w:rsidR="000C06E6" w:rsidRPr="000F3C8B" w:rsidRDefault="000C06E6" w:rsidP="00162B33">
            <w:pPr>
              <w:pStyle w:val="TableText0"/>
              <w:jc w:val="right"/>
              <w:rPr>
                <w:lang w:val="en-AU"/>
              </w:rPr>
            </w:pPr>
            <w:r w:rsidRPr="000F3C8B">
              <w:rPr>
                <w:lang w:val="en-AU"/>
              </w:rPr>
              <w:t>6</w:t>
            </w:r>
          </w:p>
        </w:tc>
        <w:tc>
          <w:tcPr>
            <w:tcW w:w="567" w:type="dxa"/>
          </w:tcPr>
          <w:p w:rsidR="000C06E6" w:rsidRPr="000F3C8B" w:rsidRDefault="000C06E6" w:rsidP="00A117D1">
            <w:pPr>
              <w:pStyle w:val="TableText0"/>
              <w:jc w:val="right"/>
              <w:rPr>
                <w:lang w:val="en-AU"/>
              </w:rPr>
            </w:pPr>
            <w:r w:rsidRPr="000F3C8B">
              <w:rPr>
                <w:lang w:val="en-AU"/>
              </w:rPr>
              <w:t>1151</w:t>
            </w:r>
            <w:r w:rsidRPr="00A117D1">
              <w:rPr>
                <w:vertAlign w:val="superscript"/>
                <w:lang w:val="en-AU"/>
              </w:rPr>
              <w:t>b</w:t>
            </w:r>
          </w:p>
        </w:tc>
        <w:tc>
          <w:tcPr>
            <w:tcW w:w="852" w:type="dxa"/>
          </w:tcPr>
          <w:p w:rsidR="000C06E6" w:rsidRPr="000F3C8B" w:rsidRDefault="000C06E6" w:rsidP="00162B33">
            <w:pPr>
              <w:pStyle w:val="TableText0"/>
              <w:jc w:val="right"/>
              <w:rPr>
                <w:lang w:val="en-AU"/>
              </w:rPr>
            </w:pPr>
            <w:r w:rsidRPr="000F3C8B">
              <w:rPr>
                <w:lang w:val="en-AU"/>
              </w:rPr>
              <w:t>35</w:t>
            </w:r>
          </w:p>
        </w:tc>
        <w:tc>
          <w:tcPr>
            <w:tcW w:w="1275" w:type="dxa"/>
          </w:tcPr>
          <w:p w:rsidR="000C06E6" w:rsidRPr="000F3C8B" w:rsidRDefault="000C06E6" w:rsidP="00162B33">
            <w:pPr>
              <w:pStyle w:val="TableText0"/>
              <w:jc w:val="right"/>
              <w:rPr>
                <w:lang w:val="en-AU"/>
              </w:rPr>
            </w:pPr>
            <w:r w:rsidRPr="000F3C8B">
              <w:rPr>
                <w:lang w:val="en-AU"/>
              </w:rPr>
              <w:t>3.0</w:t>
            </w:r>
          </w:p>
        </w:tc>
        <w:tc>
          <w:tcPr>
            <w:tcW w:w="1134" w:type="dxa"/>
          </w:tcPr>
          <w:p w:rsidR="000C06E6" w:rsidRPr="000F3C8B" w:rsidRDefault="000C06E6" w:rsidP="00162B33">
            <w:pPr>
              <w:pStyle w:val="TableText0"/>
              <w:jc w:val="right"/>
              <w:rPr>
                <w:lang w:val="en-AU"/>
              </w:rPr>
            </w:pPr>
            <w:r w:rsidRPr="000F3C8B">
              <w:rPr>
                <w:lang w:val="en-AU"/>
              </w:rPr>
              <w:t>1.0-15.4</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Bleeding events</w:t>
            </w:r>
          </w:p>
        </w:tc>
        <w:tc>
          <w:tcPr>
            <w:tcW w:w="709" w:type="dxa"/>
          </w:tcPr>
          <w:p w:rsidR="000C06E6" w:rsidRPr="000F3C8B" w:rsidRDefault="000C06E6" w:rsidP="00162B33">
            <w:pPr>
              <w:pStyle w:val="TableText0"/>
              <w:jc w:val="right"/>
              <w:rPr>
                <w:lang w:val="en-AU"/>
              </w:rPr>
            </w:pPr>
          </w:p>
        </w:tc>
        <w:tc>
          <w:tcPr>
            <w:tcW w:w="567" w:type="dxa"/>
          </w:tcPr>
          <w:p w:rsidR="000C06E6" w:rsidRPr="000F3C8B" w:rsidRDefault="000C06E6" w:rsidP="00162B33">
            <w:pPr>
              <w:pStyle w:val="TableText0"/>
              <w:jc w:val="right"/>
              <w:rPr>
                <w:lang w:val="en-AU"/>
              </w:rPr>
            </w:pPr>
          </w:p>
        </w:tc>
        <w:tc>
          <w:tcPr>
            <w:tcW w:w="852" w:type="dxa"/>
          </w:tcPr>
          <w:p w:rsidR="000C06E6" w:rsidRPr="000F3C8B" w:rsidRDefault="000C06E6" w:rsidP="00162B33">
            <w:pPr>
              <w:pStyle w:val="TableText0"/>
              <w:jc w:val="right"/>
              <w:rPr>
                <w:lang w:val="en-AU"/>
              </w:rPr>
            </w:pPr>
          </w:p>
        </w:tc>
        <w:tc>
          <w:tcPr>
            <w:tcW w:w="1275" w:type="dxa"/>
          </w:tcPr>
          <w:p w:rsidR="000C06E6" w:rsidRPr="000F3C8B" w:rsidRDefault="000C06E6" w:rsidP="00162B33">
            <w:pPr>
              <w:pStyle w:val="TableText0"/>
              <w:jc w:val="right"/>
              <w:rPr>
                <w:lang w:val="en-AU"/>
              </w:rPr>
            </w:pPr>
          </w:p>
        </w:tc>
        <w:tc>
          <w:tcPr>
            <w:tcW w:w="1134" w:type="dxa"/>
          </w:tcPr>
          <w:p w:rsidR="000C06E6" w:rsidRPr="000F3C8B" w:rsidRDefault="000C06E6" w:rsidP="00162B33">
            <w:pPr>
              <w:pStyle w:val="TableText0"/>
              <w:jc w:val="right"/>
              <w:rPr>
                <w:lang w:val="en-AU"/>
              </w:rPr>
            </w:pP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Bleeding (minor)</w:t>
            </w:r>
            <w:r>
              <w:rPr>
                <w:vertAlign w:val="superscript"/>
                <w:lang w:val="en-AU"/>
              </w:rPr>
              <w:t>f</w:t>
            </w:r>
          </w:p>
        </w:tc>
        <w:tc>
          <w:tcPr>
            <w:tcW w:w="709" w:type="dxa"/>
          </w:tcPr>
          <w:p w:rsidR="000C06E6" w:rsidRPr="000F3C8B" w:rsidRDefault="000C06E6" w:rsidP="00162B33">
            <w:pPr>
              <w:pStyle w:val="TableText0"/>
              <w:jc w:val="right"/>
              <w:rPr>
                <w:lang w:val="en-AU"/>
              </w:rPr>
            </w:pPr>
            <w:r w:rsidRPr="000F3C8B">
              <w:rPr>
                <w:lang w:val="en-AU"/>
              </w:rPr>
              <w:t>12</w:t>
            </w:r>
          </w:p>
        </w:tc>
        <w:tc>
          <w:tcPr>
            <w:tcW w:w="567" w:type="dxa"/>
          </w:tcPr>
          <w:p w:rsidR="000C06E6" w:rsidRPr="000F3C8B" w:rsidRDefault="000C06E6" w:rsidP="00A117D1">
            <w:pPr>
              <w:pStyle w:val="TableText0"/>
              <w:jc w:val="right"/>
              <w:rPr>
                <w:lang w:val="en-AU"/>
              </w:rPr>
            </w:pPr>
            <w:r w:rsidRPr="000F3C8B">
              <w:rPr>
                <w:lang w:val="en-AU"/>
              </w:rPr>
              <w:t>1457</w:t>
            </w:r>
            <w:r w:rsidRPr="00A117D1">
              <w:rPr>
                <w:vertAlign w:val="superscript"/>
                <w:lang w:val="en-AU"/>
              </w:rPr>
              <w:t>b</w:t>
            </w:r>
          </w:p>
        </w:tc>
        <w:tc>
          <w:tcPr>
            <w:tcW w:w="852" w:type="dxa"/>
          </w:tcPr>
          <w:p w:rsidR="000C06E6" w:rsidRPr="000F3C8B" w:rsidRDefault="000C06E6" w:rsidP="00162B33">
            <w:pPr>
              <w:pStyle w:val="TableText0"/>
              <w:jc w:val="right"/>
              <w:rPr>
                <w:lang w:val="en-AU"/>
              </w:rPr>
            </w:pPr>
            <w:r w:rsidRPr="000F3C8B">
              <w:rPr>
                <w:lang w:val="en-AU"/>
              </w:rPr>
              <w:t xml:space="preserve">  64</w:t>
            </w:r>
          </w:p>
        </w:tc>
        <w:tc>
          <w:tcPr>
            <w:tcW w:w="1275" w:type="dxa"/>
          </w:tcPr>
          <w:p w:rsidR="000C06E6" w:rsidRPr="000F3C8B" w:rsidRDefault="000C06E6" w:rsidP="00162B33">
            <w:pPr>
              <w:pStyle w:val="TableText0"/>
              <w:jc w:val="right"/>
              <w:rPr>
                <w:lang w:val="en-AU"/>
              </w:rPr>
            </w:pPr>
            <w:r w:rsidRPr="000F3C8B">
              <w:rPr>
                <w:lang w:val="en-AU"/>
              </w:rPr>
              <w:t>4.4</w:t>
            </w:r>
          </w:p>
        </w:tc>
        <w:tc>
          <w:tcPr>
            <w:tcW w:w="1134" w:type="dxa"/>
          </w:tcPr>
          <w:p w:rsidR="000C06E6" w:rsidRPr="000F3C8B" w:rsidRDefault="000C06E6" w:rsidP="00162B33">
            <w:pPr>
              <w:pStyle w:val="TableText0"/>
              <w:jc w:val="right"/>
              <w:rPr>
                <w:lang w:val="en-AU"/>
              </w:rPr>
            </w:pPr>
            <w:r w:rsidRPr="000F3C8B">
              <w:rPr>
                <w:lang w:val="en-AU"/>
              </w:rPr>
              <w:t>0-16.1</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Bleeding (general)</w:t>
            </w:r>
          </w:p>
        </w:tc>
        <w:tc>
          <w:tcPr>
            <w:tcW w:w="709" w:type="dxa"/>
          </w:tcPr>
          <w:p w:rsidR="000C06E6" w:rsidRPr="000F3C8B" w:rsidRDefault="000C06E6" w:rsidP="00162B33">
            <w:pPr>
              <w:pStyle w:val="TableText0"/>
              <w:jc w:val="right"/>
              <w:rPr>
                <w:lang w:val="en-AU"/>
              </w:rPr>
            </w:pPr>
            <w:r w:rsidRPr="000F3C8B">
              <w:rPr>
                <w:lang w:val="en-AU"/>
              </w:rPr>
              <w:t>9</w:t>
            </w:r>
          </w:p>
        </w:tc>
        <w:tc>
          <w:tcPr>
            <w:tcW w:w="567" w:type="dxa"/>
          </w:tcPr>
          <w:p w:rsidR="000C06E6" w:rsidRPr="000F3C8B" w:rsidRDefault="000C06E6" w:rsidP="00A117D1">
            <w:pPr>
              <w:pStyle w:val="TableText0"/>
              <w:jc w:val="right"/>
              <w:rPr>
                <w:lang w:val="en-AU"/>
              </w:rPr>
            </w:pPr>
            <w:r w:rsidRPr="000F3C8B">
              <w:rPr>
                <w:lang w:val="en-AU"/>
              </w:rPr>
              <w:t>1474</w:t>
            </w:r>
            <w:r w:rsidRPr="00A117D1">
              <w:rPr>
                <w:vertAlign w:val="superscript"/>
                <w:lang w:val="en-AU"/>
              </w:rPr>
              <w:t>b</w:t>
            </w:r>
          </w:p>
        </w:tc>
        <w:tc>
          <w:tcPr>
            <w:tcW w:w="852" w:type="dxa"/>
          </w:tcPr>
          <w:p w:rsidR="000C06E6" w:rsidRPr="000F3C8B" w:rsidRDefault="000C06E6" w:rsidP="00162B33">
            <w:pPr>
              <w:pStyle w:val="TableText0"/>
              <w:jc w:val="right"/>
              <w:rPr>
                <w:lang w:val="en-AU"/>
              </w:rPr>
            </w:pPr>
            <w:r w:rsidRPr="000F3C8B">
              <w:rPr>
                <w:lang w:val="en-AU"/>
              </w:rPr>
              <w:t xml:space="preserve">  8</w:t>
            </w:r>
          </w:p>
        </w:tc>
        <w:tc>
          <w:tcPr>
            <w:tcW w:w="1275" w:type="dxa"/>
          </w:tcPr>
          <w:p w:rsidR="000C06E6" w:rsidRPr="000F3C8B" w:rsidRDefault="000C06E6" w:rsidP="00162B33">
            <w:pPr>
              <w:pStyle w:val="TableText0"/>
              <w:jc w:val="right"/>
              <w:rPr>
                <w:lang w:val="en-AU"/>
              </w:rPr>
            </w:pPr>
            <w:r w:rsidRPr="000F3C8B">
              <w:rPr>
                <w:lang w:val="en-AU"/>
              </w:rPr>
              <w:t>0.5</w:t>
            </w:r>
          </w:p>
        </w:tc>
        <w:tc>
          <w:tcPr>
            <w:tcW w:w="1134" w:type="dxa"/>
          </w:tcPr>
          <w:p w:rsidR="000C06E6" w:rsidRPr="000F3C8B" w:rsidRDefault="000C06E6" w:rsidP="00162B33">
            <w:pPr>
              <w:pStyle w:val="TableText0"/>
              <w:jc w:val="right"/>
              <w:rPr>
                <w:lang w:val="en-AU"/>
              </w:rPr>
            </w:pPr>
            <w:r w:rsidRPr="000F3C8B">
              <w:rPr>
                <w:lang w:val="en-AU"/>
              </w:rPr>
              <w:t>0-2.5</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Infectious events</w:t>
            </w:r>
          </w:p>
        </w:tc>
        <w:tc>
          <w:tcPr>
            <w:tcW w:w="709" w:type="dxa"/>
            <w:vAlign w:val="center"/>
          </w:tcPr>
          <w:p w:rsidR="000C06E6" w:rsidRPr="000F3C8B" w:rsidRDefault="000C06E6" w:rsidP="00162B33">
            <w:pPr>
              <w:pStyle w:val="TableText0"/>
              <w:jc w:val="right"/>
              <w:rPr>
                <w:lang w:val="en-AU"/>
              </w:rPr>
            </w:pPr>
          </w:p>
        </w:tc>
        <w:tc>
          <w:tcPr>
            <w:tcW w:w="567" w:type="dxa"/>
            <w:vAlign w:val="center"/>
          </w:tcPr>
          <w:p w:rsidR="000C06E6" w:rsidRPr="000F3C8B" w:rsidRDefault="000C06E6" w:rsidP="00162B33">
            <w:pPr>
              <w:pStyle w:val="TableText0"/>
              <w:jc w:val="right"/>
              <w:rPr>
                <w:lang w:val="en-AU"/>
              </w:rPr>
            </w:pPr>
          </w:p>
        </w:tc>
        <w:tc>
          <w:tcPr>
            <w:tcW w:w="852" w:type="dxa"/>
            <w:vAlign w:val="center"/>
          </w:tcPr>
          <w:p w:rsidR="000C06E6" w:rsidRPr="000F3C8B" w:rsidRDefault="000C06E6" w:rsidP="00162B33">
            <w:pPr>
              <w:pStyle w:val="TableText0"/>
              <w:jc w:val="right"/>
              <w:rPr>
                <w:lang w:val="en-AU"/>
              </w:rPr>
            </w:pPr>
          </w:p>
        </w:tc>
        <w:tc>
          <w:tcPr>
            <w:tcW w:w="1275" w:type="dxa"/>
            <w:vAlign w:val="center"/>
          </w:tcPr>
          <w:p w:rsidR="000C06E6" w:rsidRPr="000F3C8B" w:rsidRDefault="000C06E6" w:rsidP="00162B33">
            <w:pPr>
              <w:pStyle w:val="TableText0"/>
              <w:jc w:val="right"/>
              <w:rPr>
                <w:lang w:val="en-AU"/>
              </w:rPr>
            </w:pPr>
          </w:p>
        </w:tc>
        <w:tc>
          <w:tcPr>
            <w:tcW w:w="1134" w:type="dxa"/>
            <w:vAlign w:val="center"/>
          </w:tcPr>
          <w:p w:rsidR="000C06E6" w:rsidRPr="000F3C8B" w:rsidRDefault="000C06E6" w:rsidP="00162B33">
            <w:pPr>
              <w:pStyle w:val="TableText0"/>
              <w:jc w:val="right"/>
              <w:rPr>
                <w:lang w:val="en-AU"/>
              </w:rPr>
            </w:pP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Bacteremia</w:t>
            </w:r>
          </w:p>
        </w:tc>
        <w:tc>
          <w:tcPr>
            <w:tcW w:w="709" w:type="dxa"/>
            <w:vAlign w:val="center"/>
          </w:tcPr>
          <w:p w:rsidR="000C06E6" w:rsidRPr="000F3C8B" w:rsidRDefault="000C06E6" w:rsidP="00162B33">
            <w:pPr>
              <w:pStyle w:val="TableText0"/>
              <w:jc w:val="right"/>
              <w:rPr>
                <w:lang w:val="en-AU"/>
              </w:rPr>
            </w:pPr>
            <w:r w:rsidRPr="000F3C8B">
              <w:rPr>
                <w:lang w:val="en-AU"/>
              </w:rPr>
              <w:t>2</w:t>
            </w:r>
          </w:p>
        </w:tc>
        <w:tc>
          <w:tcPr>
            <w:tcW w:w="567" w:type="dxa"/>
            <w:vAlign w:val="center"/>
          </w:tcPr>
          <w:p w:rsidR="000C06E6" w:rsidRPr="000F3C8B" w:rsidRDefault="000C06E6" w:rsidP="00162B33">
            <w:pPr>
              <w:pStyle w:val="TableText0"/>
              <w:jc w:val="right"/>
              <w:rPr>
                <w:lang w:val="en-AU"/>
              </w:rPr>
            </w:pPr>
            <w:r w:rsidRPr="000F3C8B">
              <w:rPr>
                <w:lang w:val="en-AU"/>
              </w:rPr>
              <w:t>318</w:t>
            </w:r>
          </w:p>
        </w:tc>
        <w:tc>
          <w:tcPr>
            <w:tcW w:w="852" w:type="dxa"/>
            <w:vAlign w:val="center"/>
          </w:tcPr>
          <w:p w:rsidR="000C06E6" w:rsidRPr="000F3C8B" w:rsidRDefault="000C06E6" w:rsidP="00162B33">
            <w:pPr>
              <w:pStyle w:val="TableText0"/>
              <w:jc w:val="right"/>
              <w:rPr>
                <w:lang w:val="en-AU"/>
              </w:rPr>
            </w:pPr>
            <w:r w:rsidRPr="000F3C8B">
              <w:rPr>
                <w:lang w:val="en-AU"/>
              </w:rPr>
              <w:t>8</w:t>
            </w:r>
          </w:p>
        </w:tc>
        <w:tc>
          <w:tcPr>
            <w:tcW w:w="1275" w:type="dxa"/>
            <w:vAlign w:val="center"/>
          </w:tcPr>
          <w:p w:rsidR="000C06E6" w:rsidRPr="000F3C8B" w:rsidRDefault="000C06E6" w:rsidP="00162B33">
            <w:pPr>
              <w:pStyle w:val="TableText0"/>
              <w:jc w:val="right"/>
              <w:rPr>
                <w:lang w:val="en-AU"/>
              </w:rPr>
            </w:pPr>
            <w:r w:rsidRPr="000F3C8B">
              <w:rPr>
                <w:lang w:val="en-AU"/>
              </w:rPr>
              <w:t>2.5</w:t>
            </w:r>
          </w:p>
        </w:tc>
        <w:tc>
          <w:tcPr>
            <w:tcW w:w="1134" w:type="dxa"/>
            <w:vAlign w:val="center"/>
          </w:tcPr>
          <w:p w:rsidR="000C06E6" w:rsidRPr="000F3C8B" w:rsidRDefault="000C06E6" w:rsidP="00162B33">
            <w:pPr>
              <w:pStyle w:val="TableText0"/>
              <w:jc w:val="right"/>
              <w:rPr>
                <w:lang w:val="en-AU"/>
              </w:rPr>
            </w:pPr>
            <w:r w:rsidRPr="000F3C8B">
              <w:rPr>
                <w:lang w:val="en-AU"/>
              </w:rPr>
              <w:t>1.2-3.0</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Peritonitis </w:t>
            </w:r>
          </w:p>
        </w:tc>
        <w:tc>
          <w:tcPr>
            <w:tcW w:w="709" w:type="dxa"/>
            <w:vAlign w:val="center"/>
          </w:tcPr>
          <w:p w:rsidR="000C06E6" w:rsidRPr="000F3C8B" w:rsidRDefault="000C06E6" w:rsidP="00162B33">
            <w:pPr>
              <w:pStyle w:val="TableText0"/>
              <w:jc w:val="right"/>
              <w:rPr>
                <w:lang w:val="en-AU"/>
              </w:rPr>
            </w:pPr>
            <w:r w:rsidRPr="000F3C8B">
              <w:rPr>
                <w:lang w:val="en-AU"/>
              </w:rPr>
              <w:t>1</w:t>
            </w:r>
          </w:p>
        </w:tc>
        <w:tc>
          <w:tcPr>
            <w:tcW w:w="567" w:type="dxa"/>
            <w:vAlign w:val="center"/>
          </w:tcPr>
          <w:p w:rsidR="000C06E6" w:rsidRPr="000F3C8B" w:rsidRDefault="000C06E6" w:rsidP="00162B33">
            <w:pPr>
              <w:pStyle w:val="TableText0"/>
              <w:jc w:val="right"/>
              <w:rPr>
                <w:lang w:val="en-AU"/>
              </w:rPr>
            </w:pPr>
            <w:r w:rsidRPr="000F3C8B">
              <w:rPr>
                <w:lang w:val="en-AU"/>
              </w:rPr>
              <w:t>71</w:t>
            </w:r>
          </w:p>
        </w:tc>
        <w:tc>
          <w:tcPr>
            <w:tcW w:w="852" w:type="dxa"/>
            <w:vAlign w:val="center"/>
          </w:tcPr>
          <w:p w:rsidR="000C06E6" w:rsidRPr="000F3C8B" w:rsidRDefault="000C06E6" w:rsidP="00162B33">
            <w:pPr>
              <w:pStyle w:val="TableText0"/>
              <w:jc w:val="right"/>
              <w:rPr>
                <w:lang w:val="en-AU"/>
              </w:rPr>
            </w:pPr>
            <w:r w:rsidRPr="000F3C8B">
              <w:rPr>
                <w:lang w:val="en-AU"/>
              </w:rPr>
              <w:t>1</w:t>
            </w:r>
          </w:p>
        </w:tc>
        <w:tc>
          <w:tcPr>
            <w:tcW w:w="1275" w:type="dxa"/>
            <w:vAlign w:val="center"/>
          </w:tcPr>
          <w:p w:rsidR="000C06E6" w:rsidRPr="000F3C8B" w:rsidRDefault="000C06E6" w:rsidP="00162B33">
            <w:pPr>
              <w:pStyle w:val="TableText0"/>
              <w:jc w:val="right"/>
              <w:rPr>
                <w:lang w:val="en-AU"/>
              </w:rPr>
            </w:pPr>
            <w:r w:rsidRPr="000F3C8B">
              <w:rPr>
                <w:lang w:val="en-AU"/>
              </w:rPr>
              <w:t>1.4</w:t>
            </w:r>
          </w:p>
        </w:tc>
        <w:tc>
          <w:tcPr>
            <w:tcW w:w="1134" w:type="dxa"/>
            <w:vAlign w:val="center"/>
          </w:tcPr>
          <w:p w:rsidR="000C06E6" w:rsidRPr="000F3C8B" w:rsidRDefault="000C06E6" w:rsidP="00162B33">
            <w:pPr>
              <w:pStyle w:val="TableText0"/>
              <w:jc w:val="right"/>
              <w:rPr>
                <w:lang w:val="en-AU"/>
              </w:rPr>
            </w:pPr>
            <w:r w:rsidRPr="000F3C8B">
              <w:rPr>
                <w:lang w:val="en-AU"/>
              </w:rPr>
              <w:t>NA</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Abscess</w:t>
            </w:r>
          </w:p>
        </w:tc>
        <w:tc>
          <w:tcPr>
            <w:tcW w:w="709" w:type="dxa"/>
            <w:vAlign w:val="center"/>
          </w:tcPr>
          <w:p w:rsidR="000C06E6" w:rsidRPr="000F3C8B" w:rsidRDefault="000C06E6" w:rsidP="00162B33">
            <w:pPr>
              <w:pStyle w:val="TableText0"/>
              <w:jc w:val="right"/>
              <w:rPr>
                <w:lang w:val="en-AU"/>
              </w:rPr>
            </w:pPr>
            <w:r w:rsidRPr="000F3C8B">
              <w:rPr>
                <w:lang w:val="en-AU"/>
              </w:rPr>
              <w:t>2</w:t>
            </w:r>
          </w:p>
        </w:tc>
        <w:tc>
          <w:tcPr>
            <w:tcW w:w="567" w:type="dxa"/>
            <w:vAlign w:val="center"/>
          </w:tcPr>
          <w:p w:rsidR="000C06E6" w:rsidRPr="000F3C8B" w:rsidRDefault="000C06E6" w:rsidP="00162B33">
            <w:pPr>
              <w:pStyle w:val="TableText0"/>
              <w:jc w:val="right"/>
              <w:rPr>
                <w:lang w:val="en-AU"/>
              </w:rPr>
            </w:pPr>
            <w:r w:rsidRPr="000F3C8B">
              <w:rPr>
                <w:lang w:val="en-AU"/>
              </w:rPr>
              <w:t>185</w:t>
            </w:r>
          </w:p>
        </w:tc>
        <w:tc>
          <w:tcPr>
            <w:tcW w:w="852" w:type="dxa"/>
            <w:vAlign w:val="center"/>
          </w:tcPr>
          <w:p w:rsidR="000C06E6" w:rsidRPr="000F3C8B" w:rsidRDefault="000C06E6" w:rsidP="00162B33">
            <w:pPr>
              <w:pStyle w:val="TableText0"/>
              <w:jc w:val="right"/>
              <w:rPr>
                <w:lang w:val="en-AU"/>
              </w:rPr>
            </w:pPr>
            <w:r w:rsidRPr="000F3C8B">
              <w:rPr>
                <w:lang w:val="en-AU"/>
              </w:rPr>
              <w:t>2</w:t>
            </w:r>
          </w:p>
        </w:tc>
        <w:tc>
          <w:tcPr>
            <w:tcW w:w="1275" w:type="dxa"/>
            <w:vAlign w:val="center"/>
          </w:tcPr>
          <w:p w:rsidR="000C06E6" w:rsidRPr="000F3C8B" w:rsidRDefault="000C06E6" w:rsidP="00162B33">
            <w:pPr>
              <w:pStyle w:val="TableText0"/>
              <w:jc w:val="right"/>
              <w:rPr>
                <w:lang w:val="en-AU"/>
              </w:rPr>
            </w:pPr>
            <w:r w:rsidRPr="000F3C8B">
              <w:rPr>
                <w:lang w:val="en-AU"/>
              </w:rPr>
              <w:t>1.1</w:t>
            </w:r>
          </w:p>
        </w:tc>
        <w:tc>
          <w:tcPr>
            <w:tcW w:w="1134" w:type="dxa"/>
            <w:vAlign w:val="center"/>
          </w:tcPr>
          <w:p w:rsidR="000C06E6" w:rsidRPr="000F3C8B" w:rsidRDefault="000C06E6" w:rsidP="00162B33">
            <w:pPr>
              <w:pStyle w:val="TableText0"/>
              <w:jc w:val="right"/>
              <w:rPr>
                <w:lang w:val="en-AU"/>
              </w:rPr>
            </w:pPr>
            <w:r w:rsidRPr="000F3C8B">
              <w:rPr>
                <w:lang w:val="en-AU"/>
              </w:rPr>
              <w:t>1.0-1.2</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     Sepsis</w:t>
            </w:r>
          </w:p>
        </w:tc>
        <w:tc>
          <w:tcPr>
            <w:tcW w:w="709" w:type="dxa"/>
            <w:vAlign w:val="center"/>
          </w:tcPr>
          <w:p w:rsidR="000C06E6" w:rsidRPr="000F3C8B" w:rsidRDefault="000C06E6" w:rsidP="00162B33">
            <w:pPr>
              <w:pStyle w:val="TableText0"/>
              <w:jc w:val="right"/>
              <w:rPr>
                <w:lang w:val="en-AU"/>
              </w:rPr>
            </w:pPr>
            <w:r w:rsidRPr="000F3C8B">
              <w:rPr>
                <w:lang w:val="en-AU"/>
              </w:rPr>
              <w:t>2</w:t>
            </w:r>
          </w:p>
        </w:tc>
        <w:tc>
          <w:tcPr>
            <w:tcW w:w="567" w:type="dxa"/>
            <w:vAlign w:val="center"/>
          </w:tcPr>
          <w:p w:rsidR="000C06E6" w:rsidRPr="000F3C8B" w:rsidRDefault="000C06E6" w:rsidP="00162B33">
            <w:pPr>
              <w:pStyle w:val="TableText0"/>
              <w:jc w:val="right"/>
              <w:rPr>
                <w:lang w:val="en-AU"/>
              </w:rPr>
            </w:pPr>
            <w:r w:rsidRPr="000F3C8B">
              <w:rPr>
                <w:lang w:val="en-AU"/>
              </w:rPr>
              <w:t>257</w:t>
            </w:r>
          </w:p>
        </w:tc>
        <w:tc>
          <w:tcPr>
            <w:tcW w:w="852" w:type="dxa"/>
            <w:vAlign w:val="center"/>
          </w:tcPr>
          <w:p w:rsidR="000C06E6" w:rsidRPr="000F3C8B" w:rsidRDefault="000C06E6" w:rsidP="00162B33">
            <w:pPr>
              <w:pStyle w:val="TableText0"/>
              <w:jc w:val="right"/>
              <w:rPr>
                <w:lang w:val="en-AU"/>
              </w:rPr>
            </w:pPr>
            <w:r w:rsidRPr="000F3C8B">
              <w:rPr>
                <w:lang w:val="en-AU"/>
              </w:rPr>
              <w:t>2</w:t>
            </w:r>
          </w:p>
        </w:tc>
        <w:tc>
          <w:tcPr>
            <w:tcW w:w="1275" w:type="dxa"/>
            <w:vAlign w:val="center"/>
          </w:tcPr>
          <w:p w:rsidR="000C06E6" w:rsidRPr="000F3C8B" w:rsidRDefault="000C06E6" w:rsidP="00162B33">
            <w:pPr>
              <w:pStyle w:val="TableText0"/>
              <w:jc w:val="right"/>
              <w:rPr>
                <w:lang w:val="en-AU"/>
              </w:rPr>
            </w:pPr>
            <w:r w:rsidRPr="000F3C8B">
              <w:rPr>
                <w:lang w:val="en-AU"/>
              </w:rPr>
              <w:t>0.8</w:t>
            </w:r>
          </w:p>
        </w:tc>
        <w:tc>
          <w:tcPr>
            <w:tcW w:w="1134" w:type="dxa"/>
            <w:vAlign w:val="center"/>
          </w:tcPr>
          <w:p w:rsidR="000C06E6" w:rsidRPr="000F3C8B" w:rsidRDefault="000C06E6" w:rsidP="00162B33">
            <w:pPr>
              <w:pStyle w:val="TableText0"/>
              <w:jc w:val="right"/>
              <w:rPr>
                <w:lang w:val="en-AU"/>
              </w:rPr>
            </w:pPr>
            <w:r w:rsidRPr="000F3C8B">
              <w:rPr>
                <w:lang w:val="en-AU"/>
              </w:rPr>
              <w:t>0.6-1.2</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Other events</w:t>
            </w:r>
          </w:p>
        </w:tc>
        <w:tc>
          <w:tcPr>
            <w:tcW w:w="709" w:type="dxa"/>
            <w:vAlign w:val="center"/>
          </w:tcPr>
          <w:p w:rsidR="000C06E6" w:rsidRPr="000F3C8B" w:rsidRDefault="000C06E6" w:rsidP="00162B33">
            <w:pPr>
              <w:pStyle w:val="TableText0"/>
              <w:jc w:val="right"/>
              <w:rPr>
                <w:lang w:val="en-AU"/>
              </w:rPr>
            </w:pPr>
          </w:p>
        </w:tc>
        <w:tc>
          <w:tcPr>
            <w:tcW w:w="567" w:type="dxa"/>
            <w:vAlign w:val="center"/>
          </w:tcPr>
          <w:p w:rsidR="000C06E6" w:rsidRPr="000F3C8B" w:rsidRDefault="000C06E6" w:rsidP="00162B33">
            <w:pPr>
              <w:pStyle w:val="TableText0"/>
              <w:jc w:val="right"/>
              <w:rPr>
                <w:lang w:val="en-AU"/>
              </w:rPr>
            </w:pPr>
          </w:p>
        </w:tc>
        <w:tc>
          <w:tcPr>
            <w:tcW w:w="852" w:type="dxa"/>
            <w:vAlign w:val="center"/>
          </w:tcPr>
          <w:p w:rsidR="000C06E6" w:rsidRPr="000F3C8B" w:rsidRDefault="000C06E6" w:rsidP="00162B33">
            <w:pPr>
              <w:pStyle w:val="TableText0"/>
              <w:jc w:val="right"/>
              <w:rPr>
                <w:lang w:val="en-AU"/>
              </w:rPr>
            </w:pPr>
          </w:p>
        </w:tc>
        <w:tc>
          <w:tcPr>
            <w:tcW w:w="1275" w:type="dxa"/>
            <w:vAlign w:val="center"/>
          </w:tcPr>
          <w:p w:rsidR="000C06E6" w:rsidRPr="000F3C8B" w:rsidRDefault="000C06E6" w:rsidP="00162B33">
            <w:pPr>
              <w:pStyle w:val="TableText0"/>
              <w:jc w:val="right"/>
              <w:rPr>
                <w:lang w:val="en-AU"/>
              </w:rPr>
            </w:pPr>
          </w:p>
        </w:tc>
        <w:tc>
          <w:tcPr>
            <w:tcW w:w="1134" w:type="dxa"/>
            <w:vAlign w:val="center"/>
          </w:tcPr>
          <w:p w:rsidR="000C06E6" w:rsidRPr="000F3C8B" w:rsidRDefault="000C06E6" w:rsidP="00162B33">
            <w:pPr>
              <w:pStyle w:val="TableText0"/>
              <w:jc w:val="right"/>
              <w:rPr>
                <w:lang w:val="en-AU"/>
              </w:rPr>
            </w:pP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 xml:space="preserve">Adhesions </w:t>
            </w:r>
          </w:p>
        </w:tc>
        <w:tc>
          <w:tcPr>
            <w:tcW w:w="709" w:type="dxa"/>
            <w:vAlign w:val="center"/>
          </w:tcPr>
          <w:p w:rsidR="000C06E6" w:rsidRPr="000F3C8B" w:rsidRDefault="000C06E6" w:rsidP="00162B33">
            <w:pPr>
              <w:pStyle w:val="TableText0"/>
              <w:jc w:val="right"/>
              <w:rPr>
                <w:lang w:val="en-AU"/>
              </w:rPr>
            </w:pPr>
            <w:r w:rsidRPr="000F3C8B">
              <w:rPr>
                <w:lang w:val="en-AU"/>
              </w:rPr>
              <w:t>1</w:t>
            </w:r>
          </w:p>
        </w:tc>
        <w:tc>
          <w:tcPr>
            <w:tcW w:w="567" w:type="dxa"/>
            <w:vAlign w:val="center"/>
          </w:tcPr>
          <w:p w:rsidR="000C06E6" w:rsidRPr="000F3C8B" w:rsidRDefault="000C06E6" w:rsidP="00162B33">
            <w:pPr>
              <w:pStyle w:val="TableText0"/>
              <w:jc w:val="right"/>
              <w:rPr>
                <w:lang w:val="en-AU"/>
              </w:rPr>
            </w:pPr>
            <w:r w:rsidRPr="000F3C8B">
              <w:rPr>
                <w:lang w:val="en-AU"/>
              </w:rPr>
              <w:t>71</w:t>
            </w:r>
          </w:p>
        </w:tc>
        <w:tc>
          <w:tcPr>
            <w:tcW w:w="852" w:type="dxa"/>
            <w:vAlign w:val="center"/>
          </w:tcPr>
          <w:p w:rsidR="000C06E6" w:rsidRPr="000F3C8B" w:rsidRDefault="000C06E6" w:rsidP="00162B33">
            <w:pPr>
              <w:pStyle w:val="TableText0"/>
              <w:jc w:val="right"/>
              <w:rPr>
                <w:lang w:val="en-AU"/>
              </w:rPr>
            </w:pPr>
            <w:r w:rsidRPr="000F3C8B">
              <w:rPr>
                <w:lang w:val="en-AU"/>
              </w:rPr>
              <w:t>2</w:t>
            </w:r>
          </w:p>
        </w:tc>
        <w:tc>
          <w:tcPr>
            <w:tcW w:w="1275" w:type="dxa"/>
            <w:vAlign w:val="center"/>
          </w:tcPr>
          <w:p w:rsidR="000C06E6" w:rsidRPr="000F3C8B" w:rsidRDefault="000C06E6" w:rsidP="00162B33">
            <w:pPr>
              <w:pStyle w:val="TableText0"/>
              <w:jc w:val="right"/>
              <w:rPr>
                <w:lang w:val="en-AU"/>
              </w:rPr>
            </w:pPr>
            <w:r w:rsidRPr="000F3C8B">
              <w:rPr>
                <w:lang w:val="en-AU"/>
              </w:rPr>
              <w:t>2.8</w:t>
            </w:r>
          </w:p>
        </w:tc>
        <w:tc>
          <w:tcPr>
            <w:tcW w:w="1134" w:type="dxa"/>
            <w:vAlign w:val="center"/>
          </w:tcPr>
          <w:p w:rsidR="000C06E6" w:rsidRPr="000F3C8B" w:rsidRDefault="000C06E6" w:rsidP="00162B33">
            <w:pPr>
              <w:pStyle w:val="TableText0"/>
              <w:jc w:val="right"/>
              <w:rPr>
                <w:lang w:val="en-AU"/>
              </w:rPr>
            </w:pPr>
            <w:r w:rsidRPr="000F3C8B">
              <w:rPr>
                <w:lang w:val="en-AU"/>
              </w:rPr>
              <w:t>NA</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Erosion and/or ulcer</w:t>
            </w:r>
          </w:p>
        </w:tc>
        <w:tc>
          <w:tcPr>
            <w:tcW w:w="709" w:type="dxa"/>
            <w:vAlign w:val="center"/>
          </w:tcPr>
          <w:p w:rsidR="000C06E6" w:rsidRPr="000F3C8B" w:rsidRDefault="000C06E6" w:rsidP="00162B33">
            <w:pPr>
              <w:pStyle w:val="TableText0"/>
              <w:jc w:val="right"/>
              <w:rPr>
                <w:lang w:val="en-AU"/>
              </w:rPr>
            </w:pPr>
            <w:r w:rsidRPr="000F3C8B">
              <w:rPr>
                <w:lang w:val="en-AU"/>
              </w:rPr>
              <w:t>4</w:t>
            </w:r>
          </w:p>
        </w:tc>
        <w:tc>
          <w:tcPr>
            <w:tcW w:w="567" w:type="dxa"/>
            <w:vAlign w:val="center"/>
          </w:tcPr>
          <w:p w:rsidR="000C06E6" w:rsidRPr="000F3C8B" w:rsidRDefault="000C06E6" w:rsidP="00A117D1">
            <w:pPr>
              <w:pStyle w:val="TableText0"/>
              <w:jc w:val="right"/>
              <w:rPr>
                <w:lang w:val="en-AU"/>
              </w:rPr>
            </w:pPr>
            <w:r w:rsidRPr="000F3C8B">
              <w:rPr>
                <w:lang w:val="en-AU"/>
              </w:rPr>
              <w:t>447</w:t>
            </w:r>
            <w:r w:rsidRPr="00A117D1">
              <w:rPr>
                <w:vertAlign w:val="superscript"/>
                <w:lang w:val="en-AU"/>
              </w:rPr>
              <w:t>b</w:t>
            </w:r>
          </w:p>
        </w:tc>
        <w:tc>
          <w:tcPr>
            <w:tcW w:w="852" w:type="dxa"/>
            <w:vAlign w:val="center"/>
          </w:tcPr>
          <w:p w:rsidR="000C06E6" w:rsidRPr="000F3C8B" w:rsidRDefault="000C06E6" w:rsidP="00162B33">
            <w:pPr>
              <w:pStyle w:val="TableText0"/>
              <w:jc w:val="right"/>
              <w:rPr>
                <w:lang w:val="en-AU"/>
              </w:rPr>
            </w:pPr>
            <w:r w:rsidRPr="000F3C8B">
              <w:rPr>
                <w:lang w:val="en-AU"/>
              </w:rPr>
              <w:t>10</w:t>
            </w:r>
          </w:p>
        </w:tc>
        <w:tc>
          <w:tcPr>
            <w:tcW w:w="1275" w:type="dxa"/>
            <w:vAlign w:val="center"/>
          </w:tcPr>
          <w:p w:rsidR="000C06E6" w:rsidRPr="000F3C8B" w:rsidRDefault="000C06E6" w:rsidP="00162B33">
            <w:pPr>
              <w:pStyle w:val="TableText0"/>
              <w:jc w:val="right"/>
              <w:rPr>
                <w:lang w:val="en-AU"/>
              </w:rPr>
            </w:pPr>
            <w:r w:rsidRPr="000F3C8B">
              <w:rPr>
                <w:lang w:val="en-AU"/>
              </w:rPr>
              <w:t>2.2</w:t>
            </w:r>
          </w:p>
        </w:tc>
        <w:tc>
          <w:tcPr>
            <w:tcW w:w="1134" w:type="dxa"/>
            <w:vAlign w:val="center"/>
          </w:tcPr>
          <w:p w:rsidR="000C06E6" w:rsidRPr="000F3C8B" w:rsidRDefault="000C06E6" w:rsidP="00162B33">
            <w:pPr>
              <w:pStyle w:val="TableText0"/>
              <w:jc w:val="right"/>
              <w:rPr>
                <w:lang w:val="en-AU"/>
              </w:rPr>
            </w:pPr>
            <w:r w:rsidRPr="000F3C8B">
              <w:rPr>
                <w:lang w:val="en-AU"/>
              </w:rPr>
              <w:t>1.6-3.5</w:t>
            </w:r>
          </w:p>
        </w:tc>
      </w:tr>
      <w:tr w:rsidR="000C06E6" w:rsidRPr="00BB3C05" w:rsidTr="000C06E6">
        <w:trPr>
          <w:trHeight w:val="126"/>
        </w:trPr>
        <w:tc>
          <w:tcPr>
            <w:tcW w:w="2172" w:type="dxa"/>
          </w:tcPr>
          <w:p w:rsidR="000C06E6" w:rsidRPr="000F3C8B" w:rsidRDefault="000C06E6" w:rsidP="007B5CA4">
            <w:pPr>
              <w:pStyle w:val="TableText0"/>
              <w:rPr>
                <w:lang w:val="en-AU"/>
              </w:rPr>
            </w:pPr>
            <w:r w:rsidRPr="000F3C8B">
              <w:rPr>
                <w:lang w:val="en-AU"/>
              </w:rPr>
              <w:t>Fistula formation</w:t>
            </w:r>
          </w:p>
        </w:tc>
        <w:tc>
          <w:tcPr>
            <w:tcW w:w="709" w:type="dxa"/>
            <w:vAlign w:val="center"/>
          </w:tcPr>
          <w:p w:rsidR="000C06E6" w:rsidRPr="000F3C8B" w:rsidRDefault="000C06E6" w:rsidP="00162B33">
            <w:pPr>
              <w:pStyle w:val="TableText0"/>
              <w:jc w:val="right"/>
              <w:rPr>
                <w:lang w:val="en-AU"/>
              </w:rPr>
            </w:pPr>
            <w:r w:rsidRPr="000F3C8B">
              <w:rPr>
                <w:lang w:val="en-AU"/>
              </w:rPr>
              <w:t>4</w:t>
            </w:r>
          </w:p>
        </w:tc>
        <w:tc>
          <w:tcPr>
            <w:tcW w:w="567" w:type="dxa"/>
            <w:vAlign w:val="center"/>
          </w:tcPr>
          <w:p w:rsidR="000C06E6" w:rsidRPr="000F3C8B" w:rsidRDefault="000C06E6" w:rsidP="00A117D1">
            <w:pPr>
              <w:pStyle w:val="TableText0"/>
              <w:jc w:val="right"/>
              <w:rPr>
                <w:lang w:val="en-AU"/>
              </w:rPr>
            </w:pPr>
            <w:r w:rsidRPr="000F3C8B">
              <w:rPr>
                <w:lang w:val="en-AU"/>
              </w:rPr>
              <w:t>313</w:t>
            </w:r>
            <w:r w:rsidRPr="00A117D1">
              <w:rPr>
                <w:vertAlign w:val="superscript"/>
                <w:lang w:val="en-AU"/>
              </w:rPr>
              <w:t>b</w:t>
            </w:r>
          </w:p>
        </w:tc>
        <w:tc>
          <w:tcPr>
            <w:tcW w:w="852" w:type="dxa"/>
            <w:vAlign w:val="center"/>
          </w:tcPr>
          <w:p w:rsidR="000C06E6" w:rsidRPr="000F3C8B" w:rsidRDefault="000C06E6" w:rsidP="00162B33">
            <w:pPr>
              <w:pStyle w:val="TableText0"/>
              <w:jc w:val="right"/>
              <w:rPr>
                <w:lang w:val="en-AU"/>
              </w:rPr>
            </w:pPr>
            <w:r w:rsidRPr="000F3C8B">
              <w:rPr>
                <w:lang w:val="en-AU"/>
              </w:rPr>
              <w:t>6</w:t>
            </w:r>
          </w:p>
        </w:tc>
        <w:tc>
          <w:tcPr>
            <w:tcW w:w="1275" w:type="dxa"/>
            <w:vAlign w:val="center"/>
          </w:tcPr>
          <w:p w:rsidR="000C06E6" w:rsidRPr="000F3C8B" w:rsidRDefault="000C06E6" w:rsidP="00162B33">
            <w:pPr>
              <w:pStyle w:val="TableText0"/>
              <w:jc w:val="right"/>
              <w:rPr>
                <w:lang w:val="en-AU"/>
              </w:rPr>
            </w:pPr>
            <w:r w:rsidRPr="000F3C8B">
              <w:rPr>
                <w:lang w:val="en-AU"/>
              </w:rPr>
              <w:t>1.9</w:t>
            </w:r>
          </w:p>
        </w:tc>
        <w:tc>
          <w:tcPr>
            <w:tcW w:w="1134" w:type="dxa"/>
            <w:vAlign w:val="center"/>
          </w:tcPr>
          <w:p w:rsidR="000C06E6" w:rsidRPr="000F3C8B" w:rsidRDefault="000C06E6" w:rsidP="00162B33">
            <w:pPr>
              <w:pStyle w:val="TableText0"/>
              <w:jc w:val="right"/>
              <w:rPr>
                <w:lang w:val="en-AU"/>
              </w:rPr>
            </w:pPr>
            <w:r w:rsidRPr="000F3C8B">
              <w:rPr>
                <w:lang w:val="en-AU"/>
              </w:rPr>
              <w:t>1.0-4.2</w:t>
            </w:r>
          </w:p>
        </w:tc>
      </w:tr>
      <w:tr w:rsidR="000C06E6" w:rsidRPr="00BB3C05" w:rsidTr="000C06E6">
        <w:trPr>
          <w:trHeight w:val="126"/>
        </w:trPr>
        <w:tc>
          <w:tcPr>
            <w:tcW w:w="2172" w:type="dxa"/>
          </w:tcPr>
          <w:p w:rsidR="000C06E6" w:rsidRPr="0007443E" w:rsidRDefault="000C06E6" w:rsidP="007B5CA4">
            <w:pPr>
              <w:pStyle w:val="TableText0"/>
              <w:rPr>
                <w:b/>
                <w:lang w:val="en-AU"/>
              </w:rPr>
            </w:pPr>
            <w:r w:rsidRPr="0007443E">
              <w:rPr>
                <w:b/>
                <w:lang w:val="en-AU"/>
              </w:rPr>
              <w:t>TOTAL</w:t>
            </w:r>
          </w:p>
        </w:tc>
        <w:tc>
          <w:tcPr>
            <w:tcW w:w="709" w:type="dxa"/>
            <w:vAlign w:val="center"/>
          </w:tcPr>
          <w:p w:rsidR="000C06E6" w:rsidRPr="0007443E" w:rsidRDefault="000C06E6" w:rsidP="0007443E">
            <w:pPr>
              <w:pStyle w:val="TableText0"/>
              <w:jc w:val="right"/>
              <w:rPr>
                <w:b/>
                <w:lang w:val="en-AU"/>
              </w:rPr>
            </w:pPr>
            <w:r>
              <w:rPr>
                <w:b/>
                <w:lang w:val="en-AU"/>
              </w:rPr>
              <w:t>33</w:t>
            </w:r>
          </w:p>
        </w:tc>
        <w:tc>
          <w:tcPr>
            <w:tcW w:w="567" w:type="dxa"/>
            <w:vAlign w:val="center"/>
          </w:tcPr>
          <w:p w:rsidR="000C06E6" w:rsidRPr="0007443E" w:rsidRDefault="000C06E6" w:rsidP="0007443E">
            <w:pPr>
              <w:pStyle w:val="TableText0"/>
              <w:jc w:val="right"/>
              <w:rPr>
                <w:b/>
                <w:lang w:val="en-AU"/>
              </w:rPr>
            </w:pPr>
            <w:r w:rsidRPr="0007443E">
              <w:rPr>
                <w:b/>
                <w:lang w:val="en-AU"/>
              </w:rPr>
              <w:t>4103</w:t>
            </w:r>
          </w:p>
        </w:tc>
        <w:tc>
          <w:tcPr>
            <w:tcW w:w="852" w:type="dxa"/>
            <w:vAlign w:val="center"/>
          </w:tcPr>
          <w:p w:rsidR="000C06E6" w:rsidRPr="0007443E" w:rsidRDefault="000C06E6" w:rsidP="0007443E">
            <w:pPr>
              <w:pStyle w:val="TableText0"/>
              <w:jc w:val="right"/>
              <w:rPr>
                <w:b/>
                <w:lang w:val="en-AU"/>
              </w:rPr>
            </w:pPr>
            <w:r w:rsidRPr="0007443E">
              <w:rPr>
                <w:b/>
                <w:lang w:val="en-AU"/>
              </w:rPr>
              <w:t>NA</w:t>
            </w:r>
          </w:p>
        </w:tc>
        <w:tc>
          <w:tcPr>
            <w:tcW w:w="1275" w:type="dxa"/>
            <w:vAlign w:val="center"/>
          </w:tcPr>
          <w:p w:rsidR="000C06E6" w:rsidRPr="0007443E" w:rsidRDefault="000C06E6" w:rsidP="0007443E">
            <w:pPr>
              <w:pStyle w:val="TableText0"/>
              <w:jc w:val="right"/>
              <w:rPr>
                <w:b/>
                <w:lang w:val="en-AU"/>
              </w:rPr>
            </w:pPr>
            <w:r w:rsidRPr="0007443E">
              <w:rPr>
                <w:b/>
                <w:lang w:val="en-AU"/>
              </w:rPr>
              <w:t>NA</w:t>
            </w:r>
          </w:p>
        </w:tc>
        <w:tc>
          <w:tcPr>
            <w:tcW w:w="1134" w:type="dxa"/>
            <w:vAlign w:val="center"/>
          </w:tcPr>
          <w:p w:rsidR="000C06E6" w:rsidRPr="0007443E" w:rsidRDefault="000C06E6" w:rsidP="0007443E">
            <w:pPr>
              <w:pStyle w:val="TableText0"/>
              <w:jc w:val="right"/>
              <w:rPr>
                <w:b/>
                <w:lang w:val="en-AU"/>
              </w:rPr>
            </w:pPr>
            <w:r w:rsidRPr="0007443E">
              <w:rPr>
                <w:b/>
                <w:lang w:val="en-AU"/>
              </w:rPr>
              <w:t>NA</w:t>
            </w:r>
          </w:p>
        </w:tc>
      </w:tr>
    </w:tbl>
    <w:p w:rsidR="000C06E6" w:rsidRPr="000C06E6" w:rsidRDefault="000C06E6" w:rsidP="000C06E6">
      <w:pPr>
        <w:pStyle w:val="TableNotes"/>
        <w:rPr>
          <w:lang w:eastAsia="en-US"/>
        </w:rPr>
      </w:pPr>
      <w:r w:rsidRPr="000C06E6">
        <w:rPr>
          <w:lang w:eastAsia="en-US"/>
        </w:rPr>
        <w:t>a</w:t>
      </w:r>
      <w:r>
        <w:rPr>
          <w:lang w:eastAsia="en-US"/>
        </w:rPr>
        <w:t xml:space="preserve"> </w:t>
      </w:r>
      <w:r w:rsidRPr="00BB3C05">
        <w:rPr>
          <w:lang w:eastAsia="en-US"/>
        </w:rPr>
        <w:t xml:space="preserve"> Calculated by pooling all studies that addressed the event</w:t>
      </w:r>
    </w:p>
    <w:p w:rsidR="000C06E6" w:rsidRPr="000C06E6" w:rsidRDefault="000C06E6" w:rsidP="000C06E6">
      <w:pPr>
        <w:pStyle w:val="TableNotes"/>
        <w:rPr>
          <w:lang w:eastAsia="en-US"/>
        </w:rPr>
      </w:pPr>
      <w:r w:rsidRPr="000C06E6">
        <w:rPr>
          <w:lang w:eastAsia="en-US"/>
        </w:rPr>
        <w:t>b</w:t>
      </w:r>
      <w:r>
        <w:rPr>
          <w:lang w:eastAsia="en-US"/>
        </w:rPr>
        <w:t xml:space="preserve"> </w:t>
      </w:r>
      <w:r w:rsidRPr="00BB3C05">
        <w:rPr>
          <w:lang w:eastAsia="en-US"/>
        </w:rPr>
        <w:t xml:space="preserve"> In some studies the number of stenting attempts or procedures performed has been considered as N ins</w:t>
      </w:r>
      <w:r>
        <w:rPr>
          <w:lang w:eastAsia="en-US"/>
        </w:rPr>
        <w:t>tead of the number of patients.</w:t>
      </w:r>
    </w:p>
    <w:p w:rsidR="000C06E6" w:rsidRPr="00BB3C05" w:rsidRDefault="000C06E6" w:rsidP="000C06E6">
      <w:pPr>
        <w:pStyle w:val="TableNotes"/>
        <w:rPr>
          <w:lang w:eastAsia="en-US"/>
        </w:rPr>
      </w:pPr>
      <w:r w:rsidRPr="000C06E6">
        <w:rPr>
          <w:lang w:eastAsia="en-US"/>
        </w:rPr>
        <w:t>c</w:t>
      </w:r>
      <w:r w:rsidRPr="00BB3C05">
        <w:rPr>
          <w:lang w:eastAsia="en-US"/>
        </w:rPr>
        <w:t xml:space="preserve"> </w:t>
      </w:r>
      <w:r>
        <w:rPr>
          <w:lang w:eastAsia="en-US"/>
        </w:rPr>
        <w:t xml:space="preserve"> </w:t>
      </w:r>
      <w:r w:rsidRPr="00BB3C05">
        <w:rPr>
          <w:lang w:eastAsia="en-US"/>
        </w:rPr>
        <w:t xml:space="preserve">Was a result of faecal/mucosal impaction, tumour ingrowth, tumour overgrowth, stent blockage or migration. </w:t>
      </w:r>
    </w:p>
    <w:p w:rsidR="000C06E6" w:rsidRPr="00BB3C05" w:rsidRDefault="000C06E6" w:rsidP="000C06E6">
      <w:pPr>
        <w:pStyle w:val="TableNotes"/>
        <w:rPr>
          <w:lang w:eastAsia="en-US"/>
        </w:rPr>
      </w:pPr>
      <w:r w:rsidRPr="000C06E6">
        <w:rPr>
          <w:lang w:eastAsia="en-US"/>
        </w:rPr>
        <w:t xml:space="preserve">d  </w:t>
      </w:r>
      <w:r w:rsidRPr="00BB3C05">
        <w:rPr>
          <w:lang w:eastAsia="en-US"/>
        </w:rPr>
        <w:t xml:space="preserve">In a minority of cases this could be a result of pre-interventional balloon dilation rather than the stent itself. </w:t>
      </w:r>
    </w:p>
    <w:p w:rsidR="000C06E6" w:rsidRPr="00BB3C05" w:rsidRDefault="000C06E6" w:rsidP="000C06E6">
      <w:pPr>
        <w:pStyle w:val="TableNotes"/>
        <w:rPr>
          <w:lang w:eastAsia="en-US"/>
        </w:rPr>
      </w:pPr>
      <w:r w:rsidRPr="000C06E6">
        <w:rPr>
          <w:lang w:eastAsia="en-US"/>
        </w:rPr>
        <w:t>e</w:t>
      </w:r>
      <w:r w:rsidRPr="0007443E">
        <w:rPr>
          <w:lang w:eastAsia="en-US"/>
        </w:rPr>
        <w:t xml:space="preserve"> </w:t>
      </w:r>
      <w:r>
        <w:rPr>
          <w:lang w:eastAsia="en-US"/>
        </w:rPr>
        <w:t xml:space="preserve"> </w:t>
      </w:r>
      <w:r w:rsidRPr="00BB3C05">
        <w:rPr>
          <w:lang w:eastAsia="en-US"/>
        </w:rPr>
        <w:t>A feeling of incomplete emptying of the rectum.</w:t>
      </w:r>
    </w:p>
    <w:p w:rsidR="000C06E6" w:rsidRPr="000C06E6" w:rsidRDefault="000C06E6" w:rsidP="000C06E6">
      <w:pPr>
        <w:pStyle w:val="TableNotes"/>
        <w:rPr>
          <w:lang w:eastAsia="en-US"/>
        </w:rPr>
      </w:pPr>
      <w:r w:rsidRPr="000C06E6">
        <w:rPr>
          <w:lang w:eastAsia="en-US"/>
        </w:rPr>
        <w:t xml:space="preserve">f  </w:t>
      </w:r>
      <w:r w:rsidRPr="00BB3C05">
        <w:rPr>
          <w:lang w:eastAsia="en-US"/>
        </w:rPr>
        <w:t>Bleeding events that were explicitly noted to be minor, which had resolved spontaneously, with conservative management and/or appeared in the form of h</w:t>
      </w:r>
      <w:r>
        <w:rPr>
          <w:lang w:eastAsia="en-US"/>
        </w:rPr>
        <w:t>a</w:t>
      </w:r>
      <w:r w:rsidRPr="00BB3C05">
        <w:rPr>
          <w:lang w:eastAsia="en-US"/>
        </w:rPr>
        <w:t>ematochezia. H</w:t>
      </w:r>
      <w:r>
        <w:rPr>
          <w:lang w:eastAsia="en-US"/>
        </w:rPr>
        <w:t>a</w:t>
      </w:r>
      <w:r w:rsidRPr="00BB3C05">
        <w:rPr>
          <w:lang w:eastAsia="en-US"/>
        </w:rPr>
        <w:t>ematochezia is the passage of fresh blood per anus, usually in or with stools.</w:t>
      </w:r>
    </w:p>
    <w:p w:rsidR="001A140C" w:rsidRPr="00A117D1" w:rsidRDefault="00A117D1" w:rsidP="007B5CA4">
      <w:pPr>
        <w:pStyle w:val="TableNotes"/>
        <w:rPr>
          <w:lang w:val="en-AU" w:eastAsia="en-US"/>
        </w:rPr>
      </w:pPr>
      <w:r w:rsidRPr="00BB3C05">
        <w:rPr>
          <w:lang w:eastAsia="en-US"/>
        </w:rPr>
        <w:t>n</w:t>
      </w:r>
      <w:r>
        <w:rPr>
          <w:lang w:eastAsia="en-US"/>
        </w:rPr>
        <w:t>:</w:t>
      </w:r>
      <w:r w:rsidRPr="00BB3C05">
        <w:rPr>
          <w:lang w:eastAsia="en-US"/>
        </w:rPr>
        <w:t xml:space="preserve"> Any stenting</w:t>
      </w:r>
      <w:r>
        <w:rPr>
          <w:lang w:eastAsia="en-US"/>
        </w:rPr>
        <w:t>-</w:t>
      </w:r>
      <w:r w:rsidRPr="00BB3C05">
        <w:rPr>
          <w:lang w:eastAsia="en-US"/>
        </w:rPr>
        <w:t>related events that lead to technical or clinical failures were also incorporated where data was available</w:t>
      </w:r>
      <w:r>
        <w:rPr>
          <w:lang w:val="en-AU" w:eastAsia="en-US"/>
        </w:rPr>
        <w:t xml:space="preserve">; </w:t>
      </w:r>
      <w:r w:rsidR="001A140C" w:rsidRPr="00BB3C05">
        <w:rPr>
          <w:lang w:eastAsia="en-US"/>
        </w:rPr>
        <w:t>N</w:t>
      </w:r>
      <w:r w:rsidR="00997D4C">
        <w:rPr>
          <w:lang w:eastAsia="en-US"/>
        </w:rPr>
        <w:t>:</w:t>
      </w:r>
      <w:r w:rsidR="00F0655E" w:rsidRPr="00BB3C05">
        <w:rPr>
          <w:lang w:eastAsia="en-US"/>
        </w:rPr>
        <w:t xml:space="preserve"> </w:t>
      </w:r>
      <w:r w:rsidR="00997D4C" w:rsidRPr="00BB3C05">
        <w:rPr>
          <w:lang w:eastAsia="en-US"/>
        </w:rPr>
        <w:t>B</w:t>
      </w:r>
      <w:r w:rsidR="00F0655E" w:rsidRPr="00BB3C05">
        <w:rPr>
          <w:lang w:eastAsia="en-US"/>
        </w:rPr>
        <w:t xml:space="preserve">ased on all patients for whom safety data </w:t>
      </w:r>
      <w:r w:rsidR="00B8550D" w:rsidRPr="00BB3C05">
        <w:rPr>
          <w:lang w:eastAsia="en-US"/>
        </w:rPr>
        <w:t xml:space="preserve">was </w:t>
      </w:r>
      <w:r w:rsidR="00F0655E" w:rsidRPr="00BB3C05">
        <w:rPr>
          <w:lang w:eastAsia="en-US"/>
        </w:rPr>
        <w:t xml:space="preserve">reported, regardless of </w:t>
      </w:r>
      <w:r w:rsidR="00B8550D" w:rsidRPr="00BB3C05">
        <w:rPr>
          <w:lang w:eastAsia="en-US"/>
        </w:rPr>
        <w:t xml:space="preserve">the </w:t>
      </w:r>
      <w:r w:rsidR="00F0655E" w:rsidRPr="00BB3C05">
        <w:rPr>
          <w:lang w:eastAsia="en-US"/>
        </w:rPr>
        <w:t xml:space="preserve">number of patients enrolled in a study, or their technical/clinical success. </w:t>
      </w:r>
      <w:r w:rsidR="007C2AA7" w:rsidRPr="00BB3C05">
        <w:rPr>
          <w:lang w:eastAsia="en-US"/>
        </w:rPr>
        <w:t>In some cases</w:t>
      </w:r>
      <w:r w:rsidR="00E617F5">
        <w:rPr>
          <w:lang w:val="en-AU" w:eastAsia="en-US"/>
        </w:rPr>
        <w:t>,</w:t>
      </w:r>
      <w:r w:rsidR="00B8550D" w:rsidRPr="00BB3C05">
        <w:rPr>
          <w:lang w:eastAsia="en-US"/>
        </w:rPr>
        <w:t xml:space="preserve"> the</w:t>
      </w:r>
      <w:r w:rsidR="007C2AA7" w:rsidRPr="00BB3C05">
        <w:rPr>
          <w:lang w:eastAsia="en-US"/>
        </w:rPr>
        <w:t xml:space="preserve"> number of stenting attempts or procedures performed</w:t>
      </w:r>
      <w:r w:rsidR="00B8550D" w:rsidRPr="00BB3C05">
        <w:rPr>
          <w:lang w:eastAsia="en-US"/>
        </w:rPr>
        <w:t xml:space="preserve"> has been</w:t>
      </w:r>
      <w:r w:rsidR="00934564" w:rsidRPr="00BB3C05">
        <w:rPr>
          <w:lang w:eastAsia="en-US"/>
        </w:rPr>
        <w:t xml:space="preserve"> </w:t>
      </w:r>
      <w:r w:rsidR="007C2AA7" w:rsidRPr="00BB3C05">
        <w:rPr>
          <w:lang w:eastAsia="en-US"/>
        </w:rPr>
        <w:t xml:space="preserve">considered as the denominator instead of </w:t>
      </w:r>
      <w:r w:rsidR="00B8550D" w:rsidRPr="00BB3C05">
        <w:rPr>
          <w:lang w:eastAsia="en-US"/>
        </w:rPr>
        <w:t xml:space="preserve">the number of </w:t>
      </w:r>
      <w:r w:rsidR="007C2AA7" w:rsidRPr="00BB3C05">
        <w:rPr>
          <w:lang w:eastAsia="en-US"/>
        </w:rPr>
        <w:t>patients</w:t>
      </w:r>
      <w:r>
        <w:rPr>
          <w:lang w:val="en-AU" w:eastAsia="en-US"/>
        </w:rPr>
        <w:t>;</w:t>
      </w:r>
      <w:r w:rsidR="007C2AA7" w:rsidRPr="00BB3C05">
        <w:rPr>
          <w:lang w:eastAsia="en-US"/>
        </w:rPr>
        <w:t xml:space="preserve"> </w:t>
      </w:r>
      <w:r w:rsidRPr="00BB3C05">
        <w:rPr>
          <w:lang w:eastAsia="en-US"/>
        </w:rPr>
        <w:t>NA</w:t>
      </w:r>
      <w:r>
        <w:rPr>
          <w:lang w:eastAsia="en-US"/>
        </w:rPr>
        <w:t xml:space="preserve">: </w:t>
      </w:r>
      <w:r w:rsidRPr="00BB3C05">
        <w:rPr>
          <w:lang w:eastAsia="en-US"/>
        </w:rPr>
        <w:t>Not applicable</w:t>
      </w:r>
      <w:r>
        <w:rPr>
          <w:lang w:val="en-AU" w:eastAsia="en-US"/>
        </w:rPr>
        <w:t>.</w:t>
      </w:r>
    </w:p>
    <w:p w:rsidR="004441B5" w:rsidRPr="00965DBA" w:rsidRDefault="004441B5" w:rsidP="004441B5">
      <w:pPr>
        <w:pStyle w:val="Heading4"/>
      </w:pPr>
      <w:r w:rsidRPr="00965DBA">
        <w:t>Bowel perforation</w:t>
      </w:r>
    </w:p>
    <w:p w:rsidR="004441B5" w:rsidRPr="00A30BA9" w:rsidRDefault="004441B5" w:rsidP="004441B5">
      <w:r w:rsidRPr="009E5C53">
        <w:t>Bowel perforation is a potentially serious adverse event of stenting which demands emergency surgical management. As such</w:t>
      </w:r>
      <w:r w:rsidR="00574DF7">
        <w:t>,</w:t>
      </w:r>
      <w:r w:rsidRPr="009E5C53">
        <w:t xml:space="preserve"> it appears to be one of the three major complications related to the intervention. The majority of th</w:t>
      </w:r>
      <w:r w:rsidRPr="00E2422F">
        <w:t>e level IV studies (3</w:t>
      </w:r>
      <w:r w:rsidR="00190C3B" w:rsidRPr="00892811">
        <w:t>2</w:t>
      </w:r>
      <w:r w:rsidRPr="008978EE">
        <w:t xml:space="preserve"> of 3</w:t>
      </w:r>
      <w:r w:rsidR="00190C3B" w:rsidRPr="008978EE">
        <w:t>3</w:t>
      </w:r>
      <w:r w:rsidRPr="00A30BA9">
        <w:t>, 97%) addressed the event</w:t>
      </w:r>
      <w:r w:rsidR="00CD06A2">
        <w:t xml:space="preserve"> (</w:t>
      </w:r>
      <w:r w:rsidR="006F654A">
        <w:t xml:space="preserve">See </w:t>
      </w:r>
      <w:r w:rsidR="00CD06A2">
        <w:fldChar w:fldCharType="begin"/>
      </w:r>
      <w:r w:rsidR="00CD06A2">
        <w:instrText xml:space="preserve"> REF _Ref324945654 \h </w:instrText>
      </w:r>
      <w:r w:rsidR="00CD06A2">
        <w:fldChar w:fldCharType="separate"/>
      </w:r>
      <w:r w:rsidR="0071544A" w:rsidRPr="00832436">
        <w:t xml:space="preserve">Table </w:t>
      </w:r>
      <w:r w:rsidR="0071544A">
        <w:rPr>
          <w:noProof/>
        </w:rPr>
        <w:t>32</w:t>
      </w:r>
      <w:r w:rsidR="00CD06A2">
        <w:fldChar w:fldCharType="end"/>
      </w:r>
      <w:r w:rsidR="00CD06A2">
        <w:t>)</w:t>
      </w:r>
      <w:r w:rsidRPr="00A30BA9">
        <w:t xml:space="preserve">. </w:t>
      </w:r>
    </w:p>
    <w:p w:rsidR="004441B5" w:rsidRPr="00A3741F" w:rsidRDefault="004441B5" w:rsidP="004441B5">
      <w:r w:rsidRPr="005646B6">
        <w:t>Out of the 4</w:t>
      </w:r>
      <w:r w:rsidR="00190C3B" w:rsidRPr="00003831">
        <w:t>032</w:t>
      </w:r>
      <w:r w:rsidRPr="00A87C52">
        <w:t xml:space="preserve"> total cases incorporated, 1</w:t>
      </w:r>
      <w:r w:rsidR="00190C3B" w:rsidRPr="00DF686C">
        <w:t>67</w:t>
      </w:r>
      <w:r w:rsidRPr="00DF686C">
        <w:t xml:space="preserve"> perforations were noted reflecting an occurrence rate of 4.</w:t>
      </w:r>
      <w:r w:rsidR="00190C3B" w:rsidRPr="00DF686C">
        <w:t>1</w:t>
      </w:r>
      <w:r w:rsidR="00B463D8">
        <w:t xml:space="preserve"> per cent</w:t>
      </w:r>
      <w:r w:rsidRPr="007D0320">
        <w:t xml:space="preserve">. The median occurrence </w:t>
      </w:r>
      <w:r w:rsidR="00574DF7">
        <w:t>wa</w:t>
      </w:r>
      <w:r w:rsidR="00574DF7" w:rsidRPr="007D0320">
        <w:t xml:space="preserve">s </w:t>
      </w:r>
      <w:r w:rsidRPr="007D0320">
        <w:t>3.</w:t>
      </w:r>
      <w:r w:rsidR="009E41EC" w:rsidRPr="00965DBA">
        <w:t>4</w:t>
      </w:r>
      <w:r w:rsidR="00B463D8">
        <w:t xml:space="preserve"> per cent</w:t>
      </w:r>
      <w:r w:rsidRPr="00965DBA">
        <w:t xml:space="preserve"> with an </w:t>
      </w:r>
      <w:r w:rsidRPr="00965DBA">
        <w:lastRenderedPageBreak/>
        <w:t>occurrence range from 0 to 14.1</w:t>
      </w:r>
      <w:r w:rsidR="00B463D8">
        <w:t xml:space="preserve"> per cent</w:t>
      </w:r>
      <w:r w:rsidRPr="00965DBA">
        <w:t>. In most of the studies (29 of 3</w:t>
      </w:r>
      <w:r w:rsidR="00190C3B" w:rsidRPr="00F13A5A">
        <w:t>2</w:t>
      </w:r>
      <w:r w:rsidRPr="00BE3EA8">
        <w:t>, &gt;</w:t>
      </w:r>
      <w:r w:rsidR="00190C3B" w:rsidRPr="00BE3EA8">
        <w:t>90</w:t>
      </w:r>
      <w:r w:rsidRPr="00A3741F">
        <w:t>%) the rate of bowel perforation was below 10</w:t>
      </w:r>
      <w:r w:rsidR="00B463D8">
        <w:t xml:space="preserve"> per cent</w:t>
      </w:r>
      <w:r w:rsidR="00056811">
        <w:t xml:space="preserve">, and in 22 studies </w:t>
      </w:r>
      <w:r w:rsidR="00056811" w:rsidRPr="00056811">
        <w:t>≤ 5 per cent.</w:t>
      </w:r>
    </w:p>
    <w:p w:rsidR="004441B5" w:rsidRPr="007D5B7C" w:rsidRDefault="004441B5" w:rsidP="004441B5">
      <w:r w:rsidRPr="008F42F9">
        <w:t>Out of 3</w:t>
      </w:r>
      <w:r w:rsidR="00E47067" w:rsidRPr="008F42F9">
        <w:t>2</w:t>
      </w:r>
      <w:r w:rsidRPr="008F42F9">
        <w:t xml:space="preserve"> studies that recorded incidences of bowel perforation, six studies used uncovered stents only</w:t>
      </w:r>
      <w:r w:rsidR="0095179A">
        <w:t>,</w:t>
      </w:r>
      <w:r w:rsidRPr="008F42F9">
        <w:t xml:space="preserve"> seven studies used both uncovered and covered stents, </w:t>
      </w:r>
      <w:r w:rsidR="0095179A">
        <w:t>and</w:t>
      </w:r>
      <w:r w:rsidR="0095179A" w:rsidRPr="008F42F9">
        <w:t xml:space="preserve"> </w:t>
      </w:r>
      <w:r w:rsidR="00084C62" w:rsidRPr="008F42F9">
        <w:t>19</w:t>
      </w:r>
      <w:r w:rsidRPr="008F42F9">
        <w:t xml:space="preserve"> studies did not mention the type of stent </w:t>
      </w:r>
      <w:r w:rsidR="00574DF7">
        <w:t>that was</w:t>
      </w:r>
      <w:r w:rsidRPr="008F42F9">
        <w:t xml:space="preserve"> used. </w:t>
      </w:r>
      <w:r w:rsidR="00574DF7">
        <w:t>Within</w:t>
      </w:r>
      <w:r w:rsidR="00574DF7" w:rsidRPr="008F42F9">
        <w:t xml:space="preserve"> </w:t>
      </w:r>
      <w:r w:rsidRPr="008F42F9">
        <w:t xml:space="preserve">the six studies </w:t>
      </w:r>
      <w:r w:rsidR="00574DF7">
        <w:t xml:space="preserve">that </w:t>
      </w:r>
      <w:r w:rsidRPr="008F42F9">
        <w:t>used onl</w:t>
      </w:r>
      <w:r w:rsidR="00084C62" w:rsidRPr="00325C69">
        <w:t>y</w:t>
      </w:r>
      <w:r w:rsidRPr="007D5B7C">
        <w:t xml:space="preserve"> uncovered stents</w:t>
      </w:r>
      <w:r w:rsidR="00574DF7">
        <w:t>,</w:t>
      </w:r>
      <w:r w:rsidRPr="007D5B7C">
        <w:t xml:space="preserve"> 38 perforations</w:t>
      </w:r>
      <w:r w:rsidR="00574DF7">
        <w:t xml:space="preserve"> were recorded</w:t>
      </w:r>
      <w:r w:rsidRPr="007D5B7C">
        <w:t xml:space="preserve"> (n=763), </w:t>
      </w:r>
      <w:r w:rsidR="00574DF7">
        <w:t>while</w:t>
      </w:r>
      <w:r w:rsidRPr="007D5B7C">
        <w:t xml:space="preserve"> 31 </w:t>
      </w:r>
      <w:r w:rsidR="00574DF7">
        <w:t>perforations were reported in the studies that used both uncovered and covered stents</w:t>
      </w:r>
      <w:r w:rsidR="00574DF7" w:rsidRPr="007D5B7C">
        <w:t xml:space="preserve"> </w:t>
      </w:r>
      <w:r w:rsidRPr="007D5B7C">
        <w:t xml:space="preserve">(n=977). </w:t>
      </w:r>
    </w:p>
    <w:p w:rsidR="004441B5" w:rsidRPr="00EA2600" w:rsidRDefault="004441B5" w:rsidP="004441B5">
      <w:r w:rsidRPr="007D5B7C">
        <w:t>It is noted that some studies did not incorporate bowel perforation into their safety analysis, if the occurrence was immediate and/or led to technical or clinical failure. How</w:t>
      </w:r>
      <w:r w:rsidRPr="00960A9E">
        <w:t>ever, during our analysis</w:t>
      </w:r>
      <w:r w:rsidR="003728E3">
        <w:t>,</w:t>
      </w:r>
      <w:r w:rsidRPr="00960A9E">
        <w:t xml:space="preserve"> such incidences were considered as adverse events and incorporated into the calculation. For example, </w:t>
      </w:r>
      <w:r w:rsidR="003728E3">
        <w:t xml:space="preserve">in their safety assessments, </w:t>
      </w:r>
      <w:r w:rsidRPr="00960A9E">
        <w:t xml:space="preserve">Moon et al (2010), Cho et al (2011) and Yoon et al (2011) did not incorporate </w:t>
      </w:r>
      <w:r w:rsidR="00CA20DB">
        <w:t>nine</w:t>
      </w:r>
      <w:r w:rsidR="00CA20DB" w:rsidRPr="00960A9E">
        <w:t xml:space="preserve"> </w:t>
      </w:r>
      <w:r w:rsidRPr="00960A9E">
        <w:t>incidences of bowel per</w:t>
      </w:r>
      <w:r w:rsidRPr="00EA2600">
        <w:t>foration</w:t>
      </w:r>
      <w:r w:rsidR="003728E3">
        <w:t xml:space="preserve"> </w:t>
      </w:r>
      <w:r w:rsidR="003728E3" w:rsidRPr="00960A9E">
        <w:t>(1, 1 and 7 respective</w:t>
      </w:r>
      <w:r w:rsidR="003728E3">
        <w:t>ly</w:t>
      </w:r>
      <w:r w:rsidR="003728E3" w:rsidRPr="00960A9E">
        <w:t xml:space="preserve">) </w:t>
      </w:r>
      <w:r w:rsidRPr="00EA2600">
        <w:t xml:space="preserve"> </w:t>
      </w:r>
      <w:r w:rsidR="003728E3">
        <w:t>that</w:t>
      </w:r>
      <w:r w:rsidR="003728E3" w:rsidRPr="00EA2600">
        <w:t xml:space="preserve"> </w:t>
      </w:r>
      <w:r w:rsidRPr="00EA2600">
        <w:t xml:space="preserve">occurred almost immediately after the procedure and led to technical/clinical failure. </w:t>
      </w:r>
    </w:p>
    <w:p w:rsidR="004441B5" w:rsidRPr="00B1508A" w:rsidRDefault="004441B5" w:rsidP="004441B5">
      <w:r w:rsidRPr="00EC591E">
        <w:t>Pre</w:t>
      </w:r>
      <w:r w:rsidR="00CA20DB">
        <w:t>-</w:t>
      </w:r>
      <w:r w:rsidRPr="00EC591E">
        <w:t xml:space="preserve"> and peri-interventional dilation appears to be associated with bowel perforation (Watt et al 2007). </w:t>
      </w:r>
      <w:r w:rsidR="00084C62" w:rsidRPr="00430AA8">
        <w:t xml:space="preserve">Fourteen </w:t>
      </w:r>
      <w:r w:rsidRPr="00347DAA">
        <w:t>studies u</w:t>
      </w:r>
      <w:r w:rsidRPr="009672A9">
        <w:t>sed dilation by a balloon, Bougie or Savary-Gillard dilator, when the obstruction did not al</w:t>
      </w:r>
      <w:r w:rsidR="009E41EC" w:rsidRPr="009672A9">
        <w:t>low passage of the stent deploy</w:t>
      </w:r>
      <w:r w:rsidRPr="00584C29">
        <w:t>ment system and when the stent did not expand adequately after deployment. Studies that used dilation recorded 5.</w:t>
      </w:r>
      <w:r w:rsidR="00084C62" w:rsidRPr="00DA0155">
        <w:t>1</w:t>
      </w:r>
      <w:r w:rsidR="00B463D8">
        <w:t xml:space="preserve"> per cent</w:t>
      </w:r>
      <w:r w:rsidRPr="00CF31D5">
        <w:t xml:space="preserve"> bowel </w:t>
      </w:r>
      <w:r w:rsidRPr="00A550ED">
        <w:t>perforation (n=2</w:t>
      </w:r>
      <w:r w:rsidR="00084C62" w:rsidRPr="0055406F">
        <w:t>104</w:t>
      </w:r>
      <w:r w:rsidRPr="004C658D">
        <w:t xml:space="preserve">), while the </w:t>
      </w:r>
      <w:r w:rsidR="0050048B">
        <w:t>six</w:t>
      </w:r>
      <w:r w:rsidR="0050048B" w:rsidRPr="004C658D">
        <w:t xml:space="preserve"> </w:t>
      </w:r>
      <w:r w:rsidRPr="004C658D">
        <w:t xml:space="preserve">studies that did not use dilation recorded </w:t>
      </w:r>
      <w:r w:rsidR="003728E3">
        <w:t>a</w:t>
      </w:r>
      <w:r w:rsidR="003728E3" w:rsidRPr="004C658D">
        <w:t xml:space="preserve"> </w:t>
      </w:r>
      <w:r w:rsidRPr="004C658D">
        <w:t>3.4</w:t>
      </w:r>
      <w:r w:rsidR="00B463D8">
        <w:t xml:space="preserve"> per cent</w:t>
      </w:r>
      <w:r w:rsidRPr="004C658D">
        <w:t xml:space="preserve"> bowel perforation rate</w:t>
      </w:r>
      <w:r w:rsidR="00F953F0" w:rsidRPr="00B1508A">
        <w:t xml:space="preserve"> </w:t>
      </w:r>
      <w:r w:rsidRPr="00B1508A">
        <w:t xml:space="preserve">(n=522). </w:t>
      </w:r>
      <w:r w:rsidR="003728E3">
        <w:t>No</w:t>
      </w:r>
      <w:r w:rsidRPr="00B1508A">
        <w:t xml:space="preserve"> studies used dilation routinely.   </w:t>
      </w:r>
    </w:p>
    <w:p w:rsidR="004441B5" w:rsidRPr="0086082D" w:rsidRDefault="00CD06A2" w:rsidP="00CD06A2">
      <w:pPr>
        <w:pStyle w:val="Caption"/>
      </w:pPr>
      <w:bookmarkStart w:id="167" w:name="_Ref324945654"/>
      <w:bookmarkStart w:id="168" w:name="_Toc327522076"/>
      <w:r w:rsidRPr="00832436">
        <w:lastRenderedPageBreak/>
        <w:t xml:space="preserve">Table </w:t>
      </w:r>
      <w:fldSimple w:instr=" SEQ Table \* ARABIC ">
        <w:r w:rsidR="0071544A">
          <w:rPr>
            <w:noProof/>
          </w:rPr>
          <w:t>32</w:t>
        </w:r>
      </w:fldSimple>
      <w:bookmarkEnd w:id="167"/>
      <w:r w:rsidR="004441B5" w:rsidRPr="00832436">
        <w:tab/>
        <w:t>Summary of bowel perforation events reported by included primary studies</w:t>
      </w:r>
      <w:bookmarkEnd w:id="168"/>
    </w:p>
    <w:tbl>
      <w:tblPr>
        <w:tblW w:w="7600" w:type="dxa"/>
        <w:tblInd w:w="720" w:type="dxa"/>
        <w:tblBorders>
          <w:top w:val="single" w:sz="4" w:space="0" w:color="auto"/>
          <w:bottom w:val="single" w:sz="4" w:space="0" w:color="auto"/>
          <w:insideH w:val="single" w:sz="4" w:space="0" w:color="auto"/>
        </w:tblBorders>
        <w:tblLook w:val="04A0" w:firstRow="1" w:lastRow="0" w:firstColumn="1" w:lastColumn="0" w:noHBand="0" w:noVBand="1"/>
      </w:tblPr>
      <w:tblGrid>
        <w:gridCol w:w="1969"/>
        <w:gridCol w:w="567"/>
        <w:gridCol w:w="1167"/>
        <w:gridCol w:w="1243"/>
        <w:gridCol w:w="1417"/>
        <w:gridCol w:w="1237"/>
      </w:tblGrid>
      <w:tr w:rsidR="004441B5" w:rsidRPr="00BB3C05" w:rsidTr="000C06E6">
        <w:trPr>
          <w:trHeight w:val="669"/>
        </w:trPr>
        <w:tc>
          <w:tcPr>
            <w:tcW w:w="1969" w:type="dxa"/>
            <w:tcBorders>
              <w:top w:val="single" w:sz="12" w:space="0" w:color="auto"/>
              <w:bottom w:val="single" w:sz="4" w:space="0" w:color="auto"/>
            </w:tcBorders>
            <w:shd w:val="clear" w:color="auto" w:fill="auto"/>
            <w:noWrap/>
            <w:hideMark/>
          </w:tcPr>
          <w:p w:rsidR="004441B5" w:rsidRPr="0072092E" w:rsidRDefault="004441B5" w:rsidP="00CD06A2">
            <w:pPr>
              <w:pStyle w:val="TableHeading0"/>
            </w:pPr>
            <w:r w:rsidRPr="0072092E">
              <w:t>Author</w:t>
            </w:r>
          </w:p>
        </w:tc>
        <w:tc>
          <w:tcPr>
            <w:tcW w:w="567" w:type="dxa"/>
            <w:tcBorders>
              <w:top w:val="single" w:sz="12" w:space="0" w:color="auto"/>
              <w:bottom w:val="single" w:sz="4" w:space="0" w:color="auto"/>
            </w:tcBorders>
            <w:shd w:val="clear" w:color="auto" w:fill="auto"/>
            <w:noWrap/>
            <w:hideMark/>
          </w:tcPr>
          <w:p w:rsidR="004441B5" w:rsidRPr="0052787F" w:rsidRDefault="004441B5" w:rsidP="00475E45">
            <w:pPr>
              <w:pStyle w:val="TableHeading0"/>
              <w:jc w:val="center"/>
            </w:pPr>
            <w:r w:rsidRPr="0052787F">
              <w:t>N</w:t>
            </w:r>
          </w:p>
        </w:tc>
        <w:tc>
          <w:tcPr>
            <w:tcW w:w="1167" w:type="dxa"/>
            <w:tcBorders>
              <w:top w:val="single" w:sz="12" w:space="0" w:color="auto"/>
              <w:bottom w:val="single" w:sz="4" w:space="0" w:color="auto"/>
            </w:tcBorders>
            <w:shd w:val="clear" w:color="auto" w:fill="auto"/>
            <w:noWrap/>
            <w:hideMark/>
          </w:tcPr>
          <w:p w:rsidR="004441B5" w:rsidRPr="00A84480" w:rsidRDefault="004441B5" w:rsidP="0007443E">
            <w:pPr>
              <w:pStyle w:val="TableHeading0"/>
              <w:jc w:val="center"/>
            </w:pPr>
            <w:r w:rsidRPr="00A84480">
              <w:t xml:space="preserve">Events of perforation </w:t>
            </w:r>
            <w:r w:rsidR="00CD06A2">
              <w:br/>
              <w:t>(</w:t>
            </w:r>
            <w:r w:rsidRPr="00A84480">
              <w:t>n</w:t>
            </w:r>
            <w:r w:rsidR="00CD06A2">
              <w:t>)</w:t>
            </w:r>
          </w:p>
        </w:tc>
        <w:tc>
          <w:tcPr>
            <w:tcW w:w="1243" w:type="dxa"/>
            <w:tcBorders>
              <w:top w:val="single" w:sz="12" w:space="0" w:color="auto"/>
              <w:bottom w:val="single" w:sz="4" w:space="0" w:color="auto"/>
            </w:tcBorders>
            <w:shd w:val="clear" w:color="auto" w:fill="auto"/>
          </w:tcPr>
          <w:p w:rsidR="004441B5" w:rsidRPr="00186148" w:rsidRDefault="004441B5" w:rsidP="0007443E">
            <w:pPr>
              <w:pStyle w:val="TableHeading0"/>
              <w:jc w:val="center"/>
            </w:pPr>
            <w:r w:rsidRPr="00186148">
              <w:t>Occurrence (%)</w:t>
            </w:r>
          </w:p>
        </w:tc>
        <w:tc>
          <w:tcPr>
            <w:tcW w:w="1417" w:type="dxa"/>
            <w:tcBorders>
              <w:top w:val="single" w:sz="12" w:space="0" w:color="auto"/>
              <w:bottom w:val="single" w:sz="4" w:space="0" w:color="auto"/>
            </w:tcBorders>
          </w:tcPr>
          <w:p w:rsidR="004441B5" w:rsidRPr="00A32225" w:rsidRDefault="004441B5" w:rsidP="00475E45">
            <w:pPr>
              <w:pStyle w:val="TableHeading0"/>
              <w:jc w:val="center"/>
            </w:pPr>
            <w:r w:rsidRPr="00A32225">
              <w:t>Type of stent (covered vs uncovered)</w:t>
            </w:r>
          </w:p>
        </w:tc>
        <w:tc>
          <w:tcPr>
            <w:tcW w:w="1237" w:type="dxa"/>
            <w:tcBorders>
              <w:top w:val="single" w:sz="12" w:space="0" w:color="auto"/>
              <w:bottom w:val="single" w:sz="4" w:space="0" w:color="auto"/>
            </w:tcBorders>
          </w:tcPr>
          <w:p w:rsidR="004441B5" w:rsidRPr="005C214B" w:rsidRDefault="004441B5" w:rsidP="0007443E">
            <w:pPr>
              <w:pStyle w:val="TableHeading0"/>
              <w:jc w:val="center"/>
            </w:pPr>
            <w:r w:rsidRPr="005C214B">
              <w:t>Dilation</w:t>
            </w:r>
          </w:p>
        </w:tc>
      </w:tr>
      <w:tr w:rsidR="000C06E6" w:rsidRPr="00BB3C05" w:rsidTr="000C06E6">
        <w:trPr>
          <w:trHeight w:val="260"/>
        </w:trPr>
        <w:tc>
          <w:tcPr>
            <w:tcW w:w="1969" w:type="dxa"/>
            <w:tcBorders>
              <w:top w:val="single" w:sz="4" w:space="0" w:color="auto"/>
              <w:bottom w:val="nil"/>
            </w:tcBorders>
            <w:shd w:val="clear" w:color="auto" w:fill="auto"/>
            <w:noWrap/>
            <w:hideMark/>
          </w:tcPr>
          <w:p w:rsidR="000C06E6" w:rsidRPr="000F3C8B" w:rsidRDefault="000C06E6" w:rsidP="00CD06A2">
            <w:pPr>
              <w:pStyle w:val="TableText0"/>
              <w:rPr>
                <w:lang w:val="en-AU"/>
              </w:rPr>
            </w:pPr>
            <w:r w:rsidRPr="000F3C8B">
              <w:rPr>
                <w:lang w:val="en-AU"/>
              </w:rPr>
              <w:t>Cho et al (2011)</w:t>
            </w:r>
          </w:p>
        </w:tc>
        <w:tc>
          <w:tcPr>
            <w:tcW w:w="567" w:type="dxa"/>
            <w:tcBorders>
              <w:top w:val="single" w:sz="4" w:space="0" w:color="auto"/>
              <w:bottom w:val="nil"/>
            </w:tcBorders>
            <w:shd w:val="clear" w:color="auto" w:fill="auto"/>
            <w:noWrap/>
            <w:hideMark/>
          </w:tcPr>
          <w:p w:rsidR="000C06E6" w:rsidRPr="000F3C8B" w:rsidRDefault="000C06E6" w:rsidP="000C06E6">
            <w:pPr>
              <w:pStyle w:val="TableText0"/>
              <w:jc w:val="right"/>
              <w:rPr>
                <w:lang w:val="en-AU"/>
              </w:rPr>
            </w:pPr>
            <w:r w:rsidRPr="000F3C8B">
              <w:rPr>
                <w:lang w:val="en-AU"/>
              </w:rPr>
              <w:t>136</w:t>
            </w:r>
          </w:p>
        </w:tc>
        <w:tc>
          <w:tcPr>
            <w:tcW w:w="1167" w:type="dxa"/>
            <w:tcBorders>
              <w:top w:val="single" w:sz="4" w:space="0" w:color="auto"/>
              <w:bottom w:val="nil"/>
            </w:tcBorders>
            <w:shd w:val="clear" w:color="auto" w:fill="auto"/>
            <w:noWrap/>
            <w:hideMark/>
          </w:tcPr>
          <w:p w:rsidR="000C06E6" w:rsidRPr="000F3C8B" w:rsidRDefault="000C06E6" w:rsidP="000C06E6">
            <w:pPr>
              <w:pStyle w:val="TableText0"/>
              <w:jc w:val="right"/>
              <w:rPr>
                <w:lang w:val="en-AU"/>
              </w:rPr>
            </w:pPr>
            <w:r w:rsidRPr="000F3C8B">
              <w:rPr>
                <w:lang w:val="en-AU"/>
              </w:rPr>
              <w:t>3</w:t>
            </w:r>
            <w:r w:rsidRPr="000F3C8B">
              <w:rPr>
                <w:vertAlign w:val="superscript"/>
                <w:lang w:val="en-AU"/>
              </w:rPr>
              <w:t>a</w:t>
            </w:r>
          </w:p>
        </w:tc>
        <w:tc>
          <w:tcPr>
            <w:tcW w:w="1243" w:type="dxa"/>
            <w:tcBorders>
              <w:top w:val="single" w:sz="4" w:space="0" w:color="auto"/>
              <w:bottom w:val="nil"/>
            </w:tcBorders>
            <w:shd w:val="clear" w:color="auto" w:fill="auto"/>
          </w:tcPr>
          <w:p w:rsidR="000C06E6" w:rsidRPr="000F3C8B" w:rsidRDefault="000C06E6" w:rsidP="000C06E6">
            <w:pPr>
              <w:pStyle w:val="TableText0"/>
              <w:jc w:val="right"/>
              <w:rPr>
                <w:lang w:val="en-AU"/>
              </w:rPr>
            </w:pPr>
            <w:r w:rsidRPr="000F3C8B">
              <w:rPr>
                <w:lang w:val="en-AU"/>
              </w:rPr>
              <w:t>2.2</w:t>
            </w:r>
          </w:p>
        </w:tc>
        <w:tc>
          <w:tcPr>
            <w:tcW w:w="1417" w:type="dxa"/>
            <w:tcBorders>
              <w:top w:val="single" w:sz="4" w:space="0" w:color="auto"/>
              <w:bottom w:val="nil"/>
            </w:tcBorders>
          </w:tcPr>
          <w:p w:rsidR="000C06E6" w:rsidRPr="000F3C8B" w:rsidRDefault="000C06E6" w:rsidP="000C06E6">
            <w:pPr>
              <w:pStyle w:val="TableText0"/>
              <w:jc w:val="center"/>
              <w:rPr>
                <w:lang w:val="en-AU"/>
              </w:rPr>
            </w:pPr>
            <w:r w:rsidRPr="000F3C8B">
              <w:rPr>
                <w:lang w:val="en-AU"/>
              </w:rPr>
              <w:t>Mix</w:t>
            </w:r>
          </w:p>
        </w:tc>
        <w:tc>
          <w:tcPr>
            <w:tcW w:w="1237" w:type="dxa"/>
            <w:tcBorders>
              <w:top w:val="single" w:sz="4" w:space="0" w:color="auto"/>
              <w:bottom w:val="nil"/>
            </w:tcBorders>
          </w:tcPr>
          <w:p w:rsidR="000C06E6" w:rsidRPr="000F3C8B" w:rsidRDefault="000C06E6" w:rsidP="000C06E6">
            <w:pPr>
              <w:pStyle w:val="TableText0"/>
              <w:jc w:val="right"/>
              <w:rPr>
                <w:lang w:val="en-AU"/>
              </w:rPr>
            </w:pPr>
            <w:r w:rsidRPr="000F3C8B">
              <w:rPr>
                <w:lang w:val="en-AU"/>
              </w:rPr>
              <w:t>Used in ≥1</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De Gregorio et al (2011)</w:t>
            </w:r>
          </w:p>
        </w:tc>
        <w:tc>
          <w:tcPr>
            <w:tcW w:w="5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467</w:t>
            </w:r>
          </w:p>
        </w:tc>
        <w:tc>
          <w:tcPr>
            <w:tcW w:w="11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11</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2.4</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NR</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NR</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Keränen et al (2011)</w:t>
            </w:r>
          </w:p>
        </w:tc>
        <w:tc>
          <w:tcPr>
            <w:tcW w:w="5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100</w:t>
            </w:r>
          </w:p>
        </w:tc>
        <w:tc>
          <w:tcPr>
            <w:tcW w:w="1167" w:type="dxa"/>
            <w:tcBorders>
              <w:top w:val="nil"/>
              <w:bottom w:val="nil"/>
            </w:tcBorders>
            <w:shd w:val="clear" w:color="auto" w:fill="auto"/>
            <w:noWrap/>
          </w:tcPr>
          <w:p w:rsidR="000C06E6" w:rsidRPr="000F3C8B" w:rsidRDefault="000C06E6" w:rsidP="000C06E6">
            <w:pPr>
              <w:pStyle w:val="TableText0"/>
              <w:jc w:val="right"/>
              <w:rPr>
                <w:vertAlign w:val="superscript"/>
                <w:lang w:val="en-AU"/>
              </w:rPr>
            </w:pPr>
            <w:r w:rsidRPr="000F3C8B">
              <w:rPr>
                <w:lang w:val="en-AU"/>
              </w:rPr>
              <w:t>6</w:t>
            </w:r>
            <w:r w:rsidRPr="000F3C8B">
              <w:rPr>
                <w:vertAlign w:val="superscript"/>
                <w:lang w:val="en-AU"/>
              </w:rPr>
              <w:t>b</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6.0</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NR</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1</w:t>
            </w:r>
          </w:p>
        </w:tc>
      </w:tr>
      <w:tr w:rsidR="000C06E6" w:rsidRPr="00BB3C05" w:rsidTr="000C06E6">
        <w:trPr>
          <w:trHeight w:val="260"/>
        </w:trPr>
        <w:tc>
          <w:tcPr>
            <w:tcW w:w="1969" w:type="dxa"/>
            <w:tcBorders>
              <w:top w:val="nil"/>
              <w:bottom w:val="nil"/>
            </w:tcBorders>
            <w:shd w:val="clear" w:color="auto" w:fill="auto"/>
            <w:noWrap/>
            <w:hideMark/>
          </w:tcPr>
          <w:p w:rsidR="000C06E6" w:rsidRPr="000F3C8B" w:rsidRDefault="000C06E6" w:rsidP="00CD06A2">
            <w:pPr>
              <w:pStyle w:val="TableText0"/>
              <w:rPr>
                <w:lang w:val="en-AU"/>
              </w:rPr>
            </w:pPr>
            <w:r w:rsidRPr="000F3C8B">
              <w:rPr>
                <w:lang w:val="en-AU"/>
              </w:rPr>
              <w:t>Lee et al (2011)</w:t>
            </w:r>
          </w:p>
        </w:tc>
        <w:tc>
          <w:tcPr>
            <w:tcW w:w="567" w:type="dxa"/>
            <w:tcBorders>
              <w:top w:val="nil"/>
              <w:bottom w:val="nil"/>
            </w:tcBorders>
            <w:shd w:val="clear" w:color="auto" w:fill="auto"/>
            <w:noWrap/>
            <w:hideMark/>
          </w:tcPr>
          <w:p w:rsidR="000C06E6" w:rsidRPr="000F3C8B" w:rsidRDefault="000C06E6" w:rsidP="000C06E6">
            <w:pPr>
              <w:pStyle w:val="TableText0"/>
              <w:jc w:val="right"/>
              <w:rPr>
                <w:lang w:val="en-AU"/>
              </w:rPr>
            </w:pPr>
            <w:r w:rsidRPr="000F3C8B">
              <w:rPr>
                <w:lang w:val="en-AU"/>
              </w:rPr>
              <w:t>71</w:t>
            </w:r>
          </w:p>
        </w:tc>
        <w:tc>
          <w:tcPr>
            <w:tcW w:w="1167" w:type="dxa"/>
            <w:tcBorders>
              <w:top w:val="nil"/>
              <w:bottom w:val="nil"/>
            </w:tcBorders>
            <w:shd w:val="clear" w:color="auto" w:fill="auto"/>
            <w:noWrap/>
            <w:hideMark/>
          </w:tcPr>
          <w:p w:rsidR="000C06E6" w:rsidRPr="000F3C8B" w:rsidRDefault="000C06E6" w:rsidP="000C06E6">
            <w:pPr>
              <w:pStyle w:val="TableText0"/>
              <w:jc w:val="right"/>
              <w:rPr>
                <w:lang w:val="en-AU"/>
              </w:rPr>
            </w:pPr>
            <w:r w:rsidRPr="000F3C8B">
              <w:rPr>
                <w:lang w:val="en-AU"/>
              </w:rPr>
              <w:t>9</w:t>
            </w:r>
            <w:r w:rsidRPr="000F3C8B">
              <w:rPr>
                <w:vertAlign w:val="superscript"/>
                <w:lang w:val="en-AU"/>
              </w:rPr>
              <w:t>c</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12.7</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Mix</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Not used</w:t>
            </w:r>
          </w:p>
        </w:tc>
      </w:tr>
      <w:tr w:rsidR="000C06E6" w:rsidRPr="00BB3C05" w:rsidTr="000C06E6">
        <w:trPr>
          <w:trHeight w:val="260"/>
        </w:trPr>
        <w:tc>
          <w:tcPr>
            <w:tcW w:w="1969" w:type="dxa"/>
            <w:tcBorders>
              <w:top w:val="nil"/>
              <w:bottom w:val="nil"/>
            </w:tcBorders>
            <w:shd w:val="clear" w:color="auto" w:fill="auto"/>
            <w:noWrap/>
            <w:hideMark/>
          </w:tcPr>
          <w:p w:rsidR="000C06E6" w:rsidRPr="000F3C8B" w:rsidRDefault="000C06E6" w:rsidP="00CD06A2">
            <w:pPr>
              <w:pStyle w:val="TableText0"/>
              <w:rPr>
                <w:lang w:val="en-AU"/>
              </w:rPr>
            </w:pPr>
            <w:r w:rsidRPr="000F3C8B">
              <w:rPr>
                <w:lang w:val="en-AU"/>
              </w:rPr>
              <w:t>Lepsenyi et al (2011)</w:t>
            </w:r>
          </w:p>
        </w:tc>
        <w:tc>
          <w:tcPr>
            <w:tcW w:w="567" w:type="dxa"/>
            <w:tcBorders>
              <w:top w:val="nil"/>
              <w:bottom w:val="nil"/>
            </w:tcBorders>
            <w:shd w:val="clear" w:color="auto" w:fill="auto"/>
            <w:noWrap/>
            <w:hideMark/>
          </w:tcPr>
          <w:p w:rsidR="000C06E6" w:rsidRPr="000F3C8B" w:rsidRDefault="000C06E6" w:rsidP="00832436">
            <w:pPr>
              <w:pStyle w:val="TableText0"/>
              <w:jc w:val="right"/>
              <w:rPr>
                <w:lang w:val="en-AU"/>
              </w:rPr>
            </w:pPr>
            <w:r w:rsidRPr="000F3C8B">
              <w:rPr>
                <w:lang w:val="en-AU"/>
              </w:rPr>
              <w:t>65</w:t>
            </w:r>
            <w:r w:rsidR="00832436" w:rsidRPr="00832436">
              <w:rPr>
                <w:vertAlign w:val="superscript"/>
                <w:lang w:val="en-AU"/>
              </w:rPr>
              <w:t>d</w:t>
            </w:r>
          </w:p>
        </w:tc>
        <w:tc>
          <w:tcPr>
            <w:tcW w:w="1167" w:type="dxa"/>
            <w:tcBorders>
              <w:top w:val="nil"/>
              <w:bottom w:val="nil"/>
            </w:tcBorders>
            <w:shd w:val="clear" w:color="auto" w:fill="auto"/>
            <w:noWrap/>
            <w:hideMark/>
          </w:tcPr>
          <w:p w:rsidR="000C06E6" w:rsidRPr="000F3C8B" w:rsidRDefault="000C06E6" w:rsidP="000C06E6">
            <w:pPr>
              <w:pStyle w:val="TableText0"/>
              <w:jc w:val="right"/>
              <w:rPr>
                <w:lang w:val="en-AU"/>
              </w:rPr>
            </w:pPr>
            <w:r w:rsidRPr="000F3C8B">
              <w:rPr>
                <w:lang w:val="en-AU"/>
              </w:rPr>
              <w:t>4</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6.2</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NR</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NR</w:t>
            </w:r>
          </w:p>
        </w:tc>
      </w:tr>
      <w:tr w:rsidR="000C06E6" w:rsidRPr="00BB3C05" w:rsidTr="000C06E6">
        <w:trPr>
          <w:trHeight w:val="260"/>
        </w:trPr>
        <w:tc>
          <w:tcPr>
            <w:tcW w:w="1969" w:type="dxa"/>
            <w:tcBorders>
              <w:top w:val="nil"/>
              <w:bottom w:val="nil"/>
            </w:tcBorders>
            <w:shd w:val="clear" w:color="auto" w:fill="auto"/>
            <w:noWrap/>
            <w:hideMark/>
          </w:tcPr>
          <w:p w:rsidR="000C06E6" w:rsidRPr="000F3C8B" w:rsidRDefault="000C06E6" w:rsidP="00CD06A2">
            <w:pPr>
              <w:pStyle w:val="TableText0"/>
              <w:rPr>
                <w:lang w:val="en-AU"/>
              </w:rPr>
            </w:pPr>
            <w:r w:rsidRPr="000F3C8B">
              <w:rPr>
                <w:lang w:val="en-AU"/>
              </w:rPr>
              <w:t>Mackay et al (2011)</w:t>
            </w:r>
          </w:p>
        </w:tc>
        <w:tc>
          <w:tcPr>
            <w:tcW w:w="567" w:type="dxa"/>
            <w:tcBorders>
              <w:top w:val="nil"/>
              <w:bottom w:val="nil"/>
            </w:tcBorders>
            <w:shd w:val="clear" w:color="auto" w:fill="auto"/>
            <w:noWrap/>
            <w:hideMark/>
          </w:tcPr>
          <w:p w:rsidR="000C06E6" w:rsidRPr="008E1733" w:rsidRDefault="000C06E6" w:rsidP="000C06E6">
            <w:pPr>
              <w:pStyle w:val="TableText0"/>
              <w:jc w:val="right"/>
              <w:rPr>
                <w:lang w:val="en-AU"/>
              </w:rPr>
            </w:pPr>
            <w:r w:rsidRPr="008E1733">
              <w:rPr>
                <w:lang w:val="en-AU"/>
              </w:rPr>
              <w:t>82</w:t>
            </w:r>
          </w:p>
        </w:tc>
        <w:tc>
          <w:tcPr>
            <w:tcW w:w="1167" w:type="dxa"/>
            <w:tcBorders>
              <w:top w:val="nil"/>
              <w:bottom w:val="nil"/>
            </w:tcBorders>
            <w:shd w:val="clear" w:color="auto" w:fill="auto"/>
            <w:noWrap/>
            <w:hideMark/>
          </w:tcPr>
          <w:p w:rsidR="000C06E6" w:rsidRPr="008E1733" w:rsidRDefault="000C06E6" w:rsidP="000C06E6">
            <w:pPr>
              <w:pStyle w:val="TableText0"/>
              <w:jc w:val="right"/>
              <w:rPr>
                <w:lang w:val="en-AU"/>
              </w:rPr>
            </w:pPr>
            <w:r w:rsidRPr="008E1733">
              <w:rPr>
                <w:lang w:val="en-AU"/>
              </w:rPr>
              <w:t>2</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2.4</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NR</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NR</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Meisner et al (2011)</w:t>
            </w:r>
          </w:p>
        </w:tc>
        <w:tc>
          <w:tcPr>
            <w:tcW w:w="567" w:type="dxa"/>
            <w:tcBorders>
              <w:top w:val="nil"/>
              <w:bottom w:val="nil"/>
            </w:tcBorders>
            <w:shd w:val="clear" w:color="auto" w:fill="auto"/>
            <w:noWrap/>
          </w:tcPr>
          <w:p w:rsidR="000C06E6" w:rsidRPr="008E1733" w:rsidRDefault="000C06E6" w:rsidP="000C06E6">
            <w:pPr>
              <w:pStyle w:val="TableText0"/>
              <w:jc w:val="right"/>
              <w:rPr>
                <w:lang w:val="en-AU"/>
              </w:rPr>
            </w:pPr>
            <w:r w:rsidRPr="008E1733">
              <w:rPr>
                <w:lang w:val="en-AU"/>
              </w:rPr>
              <w:t>382</w:t>
            </w:r>
          </w:p>
        </w:tc>
        <w:tc>
          <w:tcPr>
            <w:tcW w:w="1167" w:type="dxa"/>
            <w:tcBorders>
              <w:top w:val="nil"/>
              <w:bottom w:val="nil"/>
            </w:tcBorders>
            <w:shd w:val="clear" w:color="auto" w:fill="auto"/>
            <w:noWrap/>
          </w:tcPr>
          <w:p w:rsidR="000C06E6" w:rsidRPr="008E1733" w:rsidRDefault="000C06E6" w:rsidP="000C06E6">
            <w:pPr>
              <w:pStyle w:val="TableText0"/>
              <w:jc w:val="right"/>
              <w:rPr>
                <w:lang w:val="en-AU"/>
              </w:rPr>
            </w:pPr>
            <w:r w:rsidRPr="008E1733">
              <w:rPr>
                <w:lang w:val="en-AU"/>
              </w:rPr>
              <w:t>15</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3.9</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Uncovered</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14</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Park et al (2011)</w:t>
            </w:r>
          </w:p>
        </w:tc>
        <w:tc>
          <w:tcPr>
            <w:tcW w:w="5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103</w:t>
            </w:r>
          </w:p>
        </w:tc>
        <w:tc>
          <w:tcPr>
            <w:tcW w:w="11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1</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1.0</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Mix</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1</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Selinger et al (2011)</w:t>
            </w:r>
          </w:p>
        </w:tc>
        <w:tc>
          <w:tcPr>
            <w:tcW w:w="5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80</w:t>
            </w:r>
          </w:p>
        </w:tc>
        <w:tc>
          <w:tcPr>
            <w:tcW w:w="11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2</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2.5</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NR</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NR</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Yoon et al (2011)</w:t>
            </w:r>
          </w:p>
        </w:tc>
        <w:tc>
          <w:tcPr>
            <w:tcW w:w="5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412</w:t>
            </w:r>
          </w:p>
        </w:tc>
        <w:tc>
          <w:tcPr>
            <w:tcW w:w="11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15</w:t>
            </w:r>
            <w:r w:rsidR="00832436">
              <w:rPr>
                <w:vertAlign w:val="superscript"/>
                <w:lang w:val="en-AU"/>
              </w:rPr>
              <w:t>e</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3.6</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Mix</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16</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Young et al (2011)</w:t>
            </w:r>
          </w:p>
        </w:tc>
        <w:tc>
          <w:tcPr>
            <w:tcW w:w="5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100</w:t>
            </w:r>
          </w:p>
        </w:tc>
        <w:tc>
          <w:tcPr>
            <w:tcW w:w="11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6</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6.0</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NR</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Used in some</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Branger et al (2010)</w:t>
            </w:r>
          </w:p>
        </w:tc>
        <w:tc>
          <w:tcPr>
            <w:tcW w:w="5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93</w:t>
            </w:r>
          </w:p>
        </w:tc>
        <w:tc>
          <w:tcPr>
            <w:tcW w:w="11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3</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3.2</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NR</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NR</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lang w:val="en-AU"/>
              </w:rPr>
            </w:pPr>
            <w:r w:rsidRPr="000F3C8B">
              <w:rPr>
                <w:lang w:val="en-AU"/>
              </w:rPr>
              <w:t>Kim et al (2010)</w:t>
            </w:r>
          </w:p>
        </w:tc>
        <w:tc>
          <w:tcPr>
            <w:tcW w:w="567" w:type="dxa"/>
            <w:tcBorders>
              <w:top w:val="nil"/>
              <w:bottom w:val="nil"/>
            </w:tcBorders>
            <w:shd w:val="clear" w:color="auto" w:fill="auto"/>
            <w:noWrap/>
          </w:tcPr>
          <w:p w:rsidR="000C06E6" w:rsidRPr="000F3C8B" w:rsidRDefault="000C06E6" w:rsidP="00832436">
            <w:pPr>
              <w:pStyle w:val="TableText0"/>
              <w:jc w:val="right"/>
              <w:rPr>
                <w:lang w:val="en-AU"/>
              </w:rPr>
            </w:pPr>
            <w:r w:rsidRPr="000F3C8B">
              <w:rPr>
                <w:lang w:val="en-AU"/>
              </w:rPr>
              <w:t>110</w:t>
            </w:r>
            <w:r w:rsidR="00832436" w:rsidRPr="00832436">
              <w:rPr>
                <w:vertAlign w:val="superscript"/>
                <w:lang w:val="en-AU"/>
              </w:rPr>
              <w:t>d</w:t>
            </w:r>
          </w:p>
        </w:tc>
        <w:tc>
          <w:tcPr>
            <w:tcW w:w="1167" w:type="dxa"/>
            <w:tcBorders>
              <w:top w:val="nil"/>
              <w:bottom w:val="nil"/>
            </w:tcBorders>
            <w:shd w:val="clear" w:color="auto" w:fill="auto"/>
            <w:noWrap/>
          </w:tcPr>
          <w:p w:rsidR="000C06E6" w:rsidRPr="000F3C8B" w:rsidRDefault="000C06E6" w:rsidP="000C06E6">
            <w:pPr>
              <w:pStyle w:val="TableText0"/>
              <w:jc w:val="right"/>
              <w:rPr>
                <w:lang w:val="en-AU"/>
              </w:rPr>
            </w:pPr>
            <w:r w:rsidRPr="000F3C8B">
              <w:rPr>
                <w:lang w:val="en-AU"/>
              </w:rPr>
              <w:t>0</w:t>
            </w:r>
          </w:p>
        </w:tc>
        <w:tc>
          <w:tcPr>
            <w:tcW w:w="1243" w:type="dxa"/>
            <w:tcBorders>
              <w:top w:val="nil"/>
              <w:bottom w:val="nil"/>
            </w:tcBorders>
            <w:shd w:val="clear" w:color="auto" w:fill="auto"/>
          </w:tcPr>
          <w:p w:rsidR="000C06E6" w:rsidRPr="000F3C8B" w:rsidRDefault="000C06E6" w:rsidP="000C06E6">
            <w:pPr>
              <w:pStyle w:val="TableText0"/>
              <w:jc w:val="right"/>
              <w:rPr>
                <w:lang w:val="en-AU"/>
              </w:rPr>
            </w:pPr>
            <w:r w:rsidRPr="000F3C8B">
              <w:rPr>
                <w:lang w:val="en-AU"/>
              </w:rPr>
              <w:t>0.00</w:t>
            </w:r>
          </w:p>
        </w:tc>
        <w:tc>
          <w:tcPr>
            <w:tcW w:w="1417" w:type="dxa"/>
            <w:tcBorders>
              <w:top w:val="nil"/>
              <w:bottom w:val="nil"/>
            </w:tcBorders>
          </w:tcPr>
          <w:p w:rsidR="000C06E6" w:rsidRPr="000F3C8B" w:rsidRDefault="000C06E6" w:rsidP="000C06E6">
            <w:pPr>
              <w:pStyle w:val="TableText0"/>
              <w:jc w:val="center"/>
              <w:rPr>
                <w:lang w:val="en-AU"/>
              </w:rPr>
            </w:pPr>
            <w:r w:rsidRPr="000F3C8B">
              <w:rPr>
                <w:lang w:val="en-AU"/>
              </w:rPr>
              <w:t>Uncovered</w:t>
            </w:r>
          </w:p>
        </w:tc>
        <w:tc>
          <w:tcPr>
            <w:tcW w:w="1237" w:type="dxa"/>
            <w:tcBorders>
              <w:top w:val="nil"/>
              <w:bottom w:val="nil"/>
            </w:tcBorders>
          </w:tcPr>
          <w:p w:rsidR="000C06E6" w:rsidRPr="000F3C8B" w:rsidRDefault="000C06E6" w:rsidP="000C06E6">
            <w:pPr>
              <w:pStyle w:val="TableText0"/>
              <w:jc w:val="right"/>
              <w:rPr>
                <w:lang w:val="en-AU"/>
              </w:rPr>
            </w:pPr>
            <w:r w:rsidRPr="000F3C8B">
              <w:rPr>
                <w:lang w:val="en-AU"/>
              </w:rPr>
              <w:t>Not used</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Li et al (2010)</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50</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0</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0</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Not used</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Moon et al (2010)</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68</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2</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2.9</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Mix</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NR</w:t>
            </w:r>
          </w:p>
        </w:tc>
      </w:tr>
      <w:tr w:rsidR="000C06E6" w:rsidRPr="00BB3C05" w:rsidTr="000C06E6">
        <w:trPr>
          <w:trHeight w:val="260"/>
        </w:trPr>
        <w:tc>
          <w:tcPr>
            <w:tcW w:w="1969" w:type="dxa"/>
            <w:tcBorders>
              <w:top w:val="nil"/>
              <w:bottom w:val="nil"/>
            </w:tcBorders>
            <w:shd w:val="clear" w:color="auto" w:fill="auto"/>
            <w:noWrap/>
            <w:hideMark/>
          </w:tcPr>
          <w:p w:rsidR="000C06E6" w:rsidRPr="000F3C8B" w:rsidRDefault="000C06E6" w:rsidP="00CD06A2">
            <w:pPr>
              <w:pStyle w:val="TableText0"/>
              <w:rPr>
                <w:szCs w:val="18"/>
                <w:lang w:val="en-AU"/>
              </w:rPr>
            </w:pPr>
            <w:r w:rsidRPr="000F3C8B">
              <w:rPr>
                <w:szCs w:val="18"/>
                <w:lang w:val="en-AU"/>
              </w:rPr>
              <w:t>Park et al (2010)</w:t>
            </w:r>
          </w:p>
        </w:tc>
        <w:tc>
          <w:tcPr>
            <w:tcW w:w="5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107</w:t>
            </w:r>
          </w:p>
        </w:tc>
        <w:tc>
          <w:tcPr>
            <w:tcW w:w="11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0</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0</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Mix</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1</w:t>
            </w:r>
          </w:p>
        </w:tc>
      </w:tr>
      <w:tr w:rsidR="000C06E6" w:rsidRPr="00BB3C05" w:rsidTr="000C06E6">
        <w:trPr>
          <w:trHeight w:val="260"/>
        </w:trPr>
        <w:tc>
          <w:tcPr>
            <w:tcW w:w="1969" w:type="dxa"/>
            <w:tcBorders>
              <w:top w:val="nil"/>
              <w:bottom w:val="nil"/>
            </w:tcBorders>
            <w:shd w:val="clear" w:color="auto" w:fill="auto"/>
            <w:noWrap/>
            <w:hideMark/>
          </w:tcPr>
          <w:p w:rsidR="000C06E6" w:rsidRPr="000F3C8B" w:rsidRDefault="000C06E6" w:rsidP="00AC0BF7">
            <w:pPr>
              <w:pStyle w:val="TableText0"/>
              <w:rPr>
                <w:szCs w:val="18"/>
                <w:lang w:val="en-AU"/>
              </w:rPr>
            </w:pPr>
            <w:r w:rsidRPr="000F3C8B">
              <w:rPr>
                <w:szCs w:val="18"/>
                <w:lang w:val="en-AU"/>
              </w:rPr>
              <w:t xml:space="preserve">Small </w:t>
            </w:r>
            <w:r>
              <w:rPr>
                <w:szCs w:val="18"/>
                <w:lang w:val="en-AU"/>
              </w:rPr>
              <w:t>et al</w:t>
            </w:r>
            <w:r w:rsidRPr="000F3C8B">
              <w:rPr>
                <w:szCs w:val="18"/>
                <w:lang w:val="en-AU"/>
              </w:rPr>
              <w:t xml:space="preserve"> (2010)</w:t>
            </w:r>
          </w:p>
        </w:tc>
        <w:tc>
          <w:tcPr>
            <w:tcW w:w="5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233</w:t>
            </w:r>
          </w:p>
        </w:tc>
        <w:tc>
          <w:tcPr>
            <w:tcW w:w="1167" w:type="dxa"/>
            <w:tcBorders>
              <w:top w:val="nil"/>
              <w:bottom w:val="nil"/>
            </w:tcBorders>
            <w:shd w:val="clear" w:color="auto" w:fill="auto"/>
            <w:noWrap/>
            <w:hideMark/>
          </w:tcPr>
          <w:p w:rsidR="000C06E6" w:rsidRPr="000F3C8B" w:rsidRDefault="000C06E6" w:rsidP="000C06E6">
            <w:pPr>
              <w:pStyle w:val="TableText0"/>
              <w:jc w:val="right"/>
              <w:rPr>
                <w:szCs w:val="18"/>
                <w:vertAlign w:val="superscript"/>
                <w:lang w:val="en-AU"/>
              </w:rPr>
            </w:pPr>
            <w:r w:rsidRPr="000F3C8B">
              <w:rPr>
                <w:szCs w:val="18"/>
                <w:lang w:val="en-AU"/>
              </w:rPr>
              <w:t>19</w:t>
            </w:r>
            <w:r w:rsidR="00832436">
              <w:rPr>
                <w:szCs w:val="18"/>
                <w:vertAlign w:val="superscript"/>
                <w:lang w:val="en-AU"/>
              </w:rPr>
              <w:t>f</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8.2</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Used in some</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FE2DAA">
            <w:pPr>
              <w:pStyle w:val="TableText0"/>
              <w:rPr>
                <w:szCs w:val="18"/>
                <w:lang w:val="en-AU"/>
              </w:rPr>
            </w:pPr>
            <w:r w:rsidRPr="000F3C8B">
              <w:rPr>
                <w:szCs w:val="18"/>
                <w:lang w:val="en-AU"/>
              </w:rPr>
              <w:t>Kim et al (2009)</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116</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7</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6.0</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55</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5372EC">
            <w:pPr>
              <w:pStyle w:val="TableText0"/>
              <w:rPr>
                <w:szCs w:val="18"/>
                <w:lang w:val="en-AU"/>
              </w:rPr>
            </w:pPr>
            <w:r w:rsidRPr="000F3C8B">
              <w:rPr>
                <w:szCs w:val="18"/>
                <w:lang w:val="en-AU"/>
              </w:rPr>
              <w:t>Suh et al (20</w:t>
            </w:r>
            <w:r>
              <w:rPr>
                <w:szCs w:val="18"/>
                <w:lang w:val="en-AU"/>
              </w:rPr>
              <w:t>10</w:t>
            </w:r>
            <w:r w:rsidRPr="000F3C8B">
              <w:rPr>
                <w:szCs w:val="18"/>
                <w:lang w:val="en-AU"/>
              </w:rPr>
              <w:t>)</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55</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1</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1.8</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Uncovered</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Not used</w:t>
            </w:r>
          </w:p>
        </w:tc>
      </w:tr>
      <w:tr w:rsidR="000C06E6" w:rsidRPr="00BB3C05" w:rsidTr="000C06E6">
        <w:trPr>
          <w:trHeight w:val="260"/>
        </w:trPr>
        <w:tc>
          <w:tcPr>
            <w:tcW w:w="1969" w:type="dxa"/>
            <w:tcBorders>
              <w:top w:val="nil"/>
              <w:bottom w:val="nil"/>
            </w:tcBorders>
            <w:shd w:val="clear" w:color="auto" w:fill="auto"/>
            <w:noWrap/>
            <w:hideMark/>
          </w:tcPr>
          <w:p w:rsidR="000C06E6" w:rsidRPr="000F3C8B" w:rsidRDefault="000C06E6" w:rsidP="00CD06A2">
            <w:pPr>
              <w:pStyle w:val="TableText0"/>
              <w:rPr>
                <w:szCs w:val="18"/>
                <w:lang w:val="en-AU"/>
              </w:rPr>
            </w:pPr>
            <w:r w:rsidRPr="000F3C8B">
              <w:rPr>
                <w:szCs w:val="18"/>
                <w:lang w:val="en-AU"/>
              </w:rPr>
              <w:t>Demarquay et al (2008)</w:t>
            </w:r>
          </w:p>
        </w:tc>
        <w:tc>
          <w:tcPr>
            <w:tcW w:w="5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204</w:t>
            </w:r>
          </w:p>
        </w:tc>
        <w:tc>
          <w:tcPr>
            <w:tcW w:w="11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8</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3.9</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NR</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Masci et al (2008)</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72</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1</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1.4</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NR</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Shrivastava et al (2008)</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81</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10</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12.4</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2</w:t>
            </w:r>
          </w:p>
        </w:tc>
      </w:tr>
      <w:tr w:rsidR="000C06E6" w:rsidRPr="00BB3C05" w:rsidTr="000C06E6">
        <w:trPr>
          <w:trHeight w:val="260"/>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Small and Baron (2008)</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85</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12</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14.1</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Uncovered</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 xml:space="preserve"> 7</w:t>
            </w:r>
          </w:p>
        </w:tc>
      </w:tr>
      <w:tr w:rsidR="000C06E6" w:rsidRPr="00BB3C05" w:rsidTr="000C06E6">
        <w:trPr>
          <w:trHeight w:val="260"/>
        </w:trPr>
        <w:tc>
          <w:tcPr>
            <w:tcW w:w="1969" w:type="dxa"/>
            <w:tcBorders>
              <w:top w:val="nil"/>
              <w:bottom w:val="nil"/>
            </w:tcBorders>
            <w:shd w:val="clear" w:color="auto" w:fill="auto"/>
            <w:noWrap/>
            <w:hideMark/>
          </w:tcPr>
          <w:p w:rsidR="000C06E6" w:rsidRPr="000F3C8B" w:rsidRDefault="000C06E6" w:rsidP="00CD06A2">
            <w:pPr>
              <w:pStyle w:val="TableText0"/>
              <w:rPr>
                <w:szCs w:val="18"/>
                <w:lang w:val="en-AU"/>
              </w:rPr>
            </w:pPr>
            <w:r w:rsidRPr="000F3C8B">
              <w:rPr>
                <w:szCs w:val="18"/>
                <w:lang w:val="en-AU"/>
              </w:rPr>
              <w:t>Stenhouse et al (200</w:t>
            </w:r>
            <w:r>
              <w:rPr>
                <w:szCs w:val="18"/>
                <w:lang w:val="en-AU"/>
              </w:rPr>
              <w:t>9</w:t>
            </w:r>
            <w:r w:rsidRPr="000F3C8B">
              <w:rPr>
                <w:szCs w:val="18"/>
                <w:lang w:val="en-AU"/>
              </w:rPr>
              <w:t>)</w:t>
            </w:r>
          </w:p>
        </w:tc>
        <w:tc>
          <w:tcPr>
            <w:tcW w:w="5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64</w:t>
            </w:r>
          </w:p>
        </w:tc>
        <w:tc>
          <w:tcPr>
            <w:tcW w:w="11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4</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6.2</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Uncovered</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NR</w:t>
            </w:r>
          </w:p>
        </w:tc>
      </w:tr>
      <w:tr w:rsidR="000C06E6" w:rsidRPr="00BB3C05" w:rsidTr="000C06E6">
        <w:trPr>
          <w:trHeight w:val="271"/>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Alcantara et al (2007)</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95</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4</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4.2</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4</w:t>
            </w:r>
          </w:p>
        </w:tc>
      </w:tr>
      <w:tr w:rsidR="000C06E6" w:rsidRPr="00BB3C05" w:rsidTr="000C06E6">
        <w:trPr>
          <w:trHeight w:val="271"/>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Jost et al (2007)</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67</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6</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9.0</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Uncovered</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10</w:t>
            </w:r>
          </w:p>
        </w:tc>
      </w:tr>
      <w:tr w:rsidR="000C06E6" w:rsidRPr="00BB3C05" w:rsidTr="000C06E6">
        <w:trPr>
          <w:trHeight w:val="271"/>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Lee et al (2007)</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80</w:t>
            </w:r>
          </w:p>
        </w:tc>
        <w:tc>
          <w:tcPr>
            <w:tcW w:w="1167" w:type="dxa"/>
            <w:tcBorders>
              <w:top w:val="nil"/>
              <w:bottom w:val="nil"/>
            </w:tcBorders>
            <w:shd w:val="clear" w:color="auto" w:fill="auto"/>
            <w:noWrap/>
          </w:tcPr>
          <w:p w:rsidR="000C06E6" w:rsidRPr="000F3C8B" w:rsidRDefault="000C06E6" w:rsidP="000C06E6">
            <w:pPr>
              <w:pStyle w:val="TableText0"/>
              <w:jc w:val="right"/>
              <w:rPr>
                <w:szCs w:val="18"/>
                <w:vertAlign w:val="superscript"/>
                <w:lang w:val="en-AU"/>
              </w:rPr>
            </w:pPr>
            <w:r w:rsidRPr="000F3C8B">
              <w:rPr>
                <w:szCs w:val="18"/>
                <w:lang w:val="en-AU"/>
              </w:rPr>
              <w:t>1</w:t>
            </w:r>
            <w:r w:rsidR="00832436">
              <w:rPr>
                <w:szCs w:val="18"/>
                <w:vertAlign w:val="superscript"/>
                <w:lang w:val="en-AU"/>
              </w:rPr>
              <w:t>g</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1.2</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Mix</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NR</w:t>
            </w:r>
          </w:p>
        </w:tc>
      </w:tr>
      <w:tr w:rsidR="000C06E6" w:rsidRPr="00BB3C05" w:rsidTr="000C06E6">
        <w:trPr>
          <w:trHeight w:val="271"/>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Mucci-Hennekinne et al (2007)</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67</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2</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3.0</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NR</w:t>
            </w:r>
          </w:p>
        </w:tc>
      </w:tr>
      <w:tr w:rsidR="000C06E6" w:rsidRPr="00BB3C05" w:rsidTr="000C06E6">
        <w:trPr>
          <w:trHeight w:val="271"/>
        </w:trPr>
        <w:tc>
          <w:tcPr>
            <w:tcW w:w="1969" w:type="dxa"/>
            <w:tcBorders>
              <w:top w:val="nil"/>
              <w:bottom w:val="nil"/>
            </w:tcBorders>
            <w:shd w:val="clear" w:color="auto" w:fill="auto"/>
            <w:noWrap/>
            <w:hideMark/>
          </w:tcPr>
          <w:p w:rsidR="000C06E6" w:rsidRPr="000F3C8B" w:rsidRDefault="000C06E6" w:rsidP="00CD06A2">
            <w:pPr>
              <w:pStyle w:val="TableText0"/>
              <w:rPr>
                <w:szCs w:val="18"/>
                <w:lang w:val="en-AU"/>
              </w:rPr>
            </w:pPr>
            <w:r w:rsidRPr="000F3C8B">
              <w:rPr>
                <w:szCs w:val="18"/>
                <w:lang w:val="en-AU"/>
              </w:rPr>
              <w:t>Athreya et al (2006)</w:t>
            </w:r>
          </w:p>
        </w:tc>
        <w:tc>
          <w:tcPr>
            <w:tcW w:w="5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87</w:t>
            </w:r>
          </w:p>
        </w:tc>
        <w:tc>
          <w:tcPr>
            <w:tcW w:w="11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4</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4.6</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1</w:t>
            </w:r>
          </w:p>
        </w:tc>
      </w:tr>
      <w:tr w:rsidR="000C06E6" w:rsidRPr="00BB3C05" w:rsidTr="000C06E6">
        <w:trPr>
          <w:trHeight w:val="271"/>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Garcia-Cano et al (2006)</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175</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7</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4.0</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Not used</w:t>
            </w:r>
          </w:p>
        </w:tc>
      </w:tr>
      <w:tr w:rsidR="000C06E6" w:rsidRPr="00BB3C05" w:rsidTr="000C06E6">
        <w:trPr>
          <w:trHeight w:val="271"/>
        </w:trPr>
        <w:tc>
          <w:tcPr>
            <w:tcW w:w="1969" w:type="dxa"/>
            <w:tcBorders>
              <w:top w:val="nil"/>
              <w:bottom w:val="nil"/>
            </w:tcBorders>
            <w:shd w:val="clear" w:color="auto" w:fill="auto"/>
            <w:noWrap/>
          </w:tcPr>
          <w:p w:rsidR="000C06E6" w:rsidRPr="000F3C8B" w:rsidRDefault="000C06E6" w:rsidP="00CD06A2">
            <w:pPr>
              <w:pStyle w:val="TableText0"/>
              <w:rPr>
                <w:szCs w:val="18"/>
                <w:lang w:val="en-AU"/>
              </w:rPr>
            </w:pPr>
            <w:r w:rsidRPr="000F3C8B">
              <w:rPr>
                <w:szCs w:val="18"/>
                <w:lang w:val="en-AU"/>
              </w:rPr>
              <w:t>Vitale et al (2006)</w:t>
            </w:r>
          </w:p>
        </w:tc>
        <w:tc>
          <w:tcPr>
            <w:tcW w:w="5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54</w:t>
            </w:r>
          </w:p>
        </w:tc>
        <w:tc>
          <w:tcPr>
            <w:tcW w:w="1167" w:type="dxa"/>
            <w:tcBorders>
              <w:top w:val="nil"/>
              <w:bottom w:val="nil"/>
            </w:tcBorders>
            <w:shd w:val="clear" w:color="auto" w:fill="auto"/>
            <w:noWrap/>
          </w:tcPr>
          <w:p w:rsidR="000C06E6" w:rsidRPr="000F3C8B" w:rsidRDefault="000C06E6" w:rsidP="000C06E6">
            <w:pPr>
              <w:pStyle w:val="TableText0"/>
              <w:jc w:val="right"/>
              <w:rPr>
                <w:szCs w:val="18"/>
                <w:lang w:val="en-AU"/>
              </w:rPr>
            </w:pPr>
            <w:r w:rsidRPr="000F3C8B">
              <w:rPr>
                <w:szCs w:val="18"/>
                <w:lang w:val="en-AU"/>
              </w:rPr>
              <w:t>1</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1.8</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NR</w:t>
            </w:r>
          </w:p>
        </w:tc>
      </w:tr>
      <w:tr w:rsidR="000C06E6" w:rsidRPr="00BB3C05" w:rsidTr="000C06E6">
        <w:trPr>
          <w:trHeight w:val="271"/>
        </w:trPr>
        <w:tc>
          <w:tcPr>
            <w:tcW w:w="1969" w:type="dxa"/>
            <w:tcBorders>
              <w:top w:val="nil"/>
              <w:bottom w:val="nil"/>
            </w:tcBorders>
            <w:shd w:val="clear" w:color="auto" w:fill="auto"/>
            <w:noWrap/>
            <w:hideMark/>
          </w:tcPr>
          <w:p w:rsidR="000C06E6" w:rsidRPr="000F3C8B" w:rsidRDefault="000C06E6" w:rsidP="00FE2DAA">
            <w:pPr>
              <w:pStyle w:val="TableText0"/>
              <w:rPr>
                <w:szCs w:val="18"/>
                <w:lang w:val="en-AU"/>
              </w:rPr>
            </w:pPr>
            <w:r w:rsidRPr="000F3C8B">
              <w:rPr>
                <w:szCs w:val="18"/>
                <w:lang w:val="en-AU"/>
              </w:rPr>
              <w:t>Mainar et al (1999)</w:t>
            </w:r>
          </w:p>
        </w:tc>
        <w:tc>
          <w:tcPr>
            <w:tcW w:w="5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71</w:t>
            </w:r>
          </w:p>
        </w:tc>
        <w:tc>
          <w:tcPr>
            <w:tcW w:w="1167" w:type="dxa"/>
            <w:tcBorders>
              <w:top w:val="nil"/>
              <w:bottom w:val="nil"/>
            </w:tcBorders>
            <w:shd w:val="clear" w:color="auto" w:fill="auto"/>
            <w:noWrap/>
            <w:hideMark/>
          </w:tcPr>
          <w:p w:rsidR="000C06E6" w:rsidRPr="000F3C8B" w:rsidRDefault="000C06E6" w:rsidP="000C06E6">
            <w:pPr>
              <w:pStyle w:val="TableText0"/>
              <w:jc w:val="right"/>
              <w:rPr>
                <w:szCs w:val="18"/>
                <w:lang w:val="en-AU"/>
              </w:rPr>
            </w:pPr>
            <w:r w:rsidRPr="000F3C8B">
              <w:rPr>
                <w:szCs w:val="18"/>
                <w:lang w:val="en-AU"/>
              </w:rPr>
              <w:t>1</w:t>
            </w:r>
          </w:p>
        </w:tc>
        <w:tc>
          <w:tcPr>
            <w:tcW w:w="1243" w:type="dxa"/>
            <w:tcBorders>
              <w:top w:val="nil"/>
              <w:bottom w:val="nil"/>
            </w:tcBorders>
            <w:shd w:val="clear" w:color="auto" w:fill="auto"/>
          </w:tcPr>
          <w:p w:rsidR="000C06E6" w:rsidRPr="000F3C8B" w:rsidRDefault="000C06E6" w:rsidP="000C06E6">
            <w:pPr>
              <w:pStyle w:val="TableText0"/>
              <w:jc w:val="right"/>
              <w:rPr>
                <w:szCs w:val="18"/>
                <w:lang w:val="en-AU"/>
              </w:rPr>
            </w:pPr>
            <w:r w:rsidRPr="000F3C8B">
              <w:rPr>
                <w:szCs w:val="18"/>
                <w:lang w:val="en-AU"/>
              </w:rPr>
              <w:t>1.4</w:t>
            </w:r>
          </w:p>
        </w:tc>
        <w:tc>
          <w:tcPr>
            <w:tcW w:w="1417" w:type="dxa"/>
            <w:tcBorders>
              <w:top w:val="nil"/>
              <w:bottom w:val="nil"/>
            </w:tcBorders>
          </w:tcPr>
          <w:p w:rsidR="000C06E6" w:rsidRPr="000F3C8B" w:rsidRDefault="000C06E6" w:rsidP="000C06E6">
            <w:pPr>
              <w:pStyle w:val="TableText0"/>
              <w:jc w:val="center"/>
              <w:rPr>
                <w:szCs w:val="18"/>
                <w:lang w:val="en-AU"/>
              </w:rPr>
            </w:pPr>
            <w:r w:rsidRPr="000F3C8B">
              <w:rPr>
                <w:szCs w:val="18"/>
                <w:lang w:val="en-AU"/>
              </w:rPr>
              <w:t>NR</w:t>
            </w:r>
          </w:p>
        </w:tc>
        <w:tc>
          <w:tcPr>
            <w:tcW w:w="1237" w:type="dxa"/>
            <w:tcBorders>
              <w:top w:val="nil"/>
              <w:bottom w:val="nil"/>
            </w:tcBorders>
          </w:tcPr>
          <w:p w:rsidR="000C06E6" w:rsidRPr="000F3C8B" w:rsidRDefault="000C06E6" w:rsidP="000C06E6">
            <w:pPr>
              <w:pStyle w:val="TableText0"/>
              <w:jc w:val="right"/>
              <w:rPr>
                <w:szCs w:val="18"/>
                <w:lang w:val="en-AU"/>
              </w:rPr>
            </w:pPr>
            <w:r w:rsidRPr="000F3C8B">
              <w:rPr>
                <w:szCs w:val="18"/>
                <w:lang w:val="en-AU"/>
              </w:rPr>
              <w:t>Not used</w:t>
            </w:r>
          </w:p>
        </w:tc>
      </w:tr>
      <w:tr w:rsidR="000C06E6" w:rsidRPr="00BB3C05" w:rsidTr="000C06E6">
        <w:trPr>
          <w:trHeight w:val="286"/>
        </w:trPr>
        <w:tc>
          <w:tcPr>
            <w:tcW w:w="1969" w:type="dxa"/>
            <w:tcBorders>
              <w:top w:val="nil"/>
              <w:bottom w:val="single" w:sz="12" w:space="0" w:color="auto"/>
            </w:tcBorders>
            <w:shd w:val="clear" w:color="auto" w:fill="auto"/>
            <w:noWrap/>
          </w:tcPr>
          <w:p w:rsidR="000C06E6" w:rsidRPr="000F3C8B" w:rsidRDefault="000C06E6" w:rsidP="00CD06A2">
            <w:pPr>
              <w:pStyle w:val="TableText0"/>
              <w:rPr>
                <w:b/>
                <w:szCs w:val="18"/>
                <w:lang w:val="en-AU"/>
              </w:rPr>
            </w:pPr>
            <w:r w:rsidRPr="000F3C8B">
              <w:rPr>
                <w:b/>
                <w:szCs w:val="18"/>
                <w:lang w:val="en-AU"/>
              </w:rPr>
              <w:t>TOTAL (32 studies)</w:t>
            </w:r>
          </w:p>
        </w:tc>
        <w:tc>
          <w:tcPr>
            <w:tcW w:w="567" w:type="dxa"/>
            <w:tcBorders>
              <w:top w:val="nil"/>
              <w:bottom w:val="single" w:sz="12" w:space="0" w:color="auto"/>
            </w:tcBorders>
            <w:shd w:val="clear" w:color="auto" w:fill="auto"/>
            <w:noWrap/>
          </w:tcPr>
          <w:p w:rsidR="000C06E6" w:rsidRPr="000F3C8B" w:rsidRDefault="000C06E6" w:rsidP="000C06E6">
            <w:pPr>
              <w:pStyle w:val="TableText0"/>
              <w:jc w:val="right"/>
              <w:rPr>
                <w:b/>
                <w:szCs w:val="18"/>
                <w:lang w:val="en-AU"/>
              </w:rPr>
            </w:pPr>
            <w:r w:rsidRPr="000F3C8B">
              <w:rPr>
                <w:b/>
                <w:szCs w:val="18"/>
                <w:lang w:val="en-AU"/>
              </w:rPr>
              <w:t>4032</w:t>
            </w:r>
          </w:p>
        </w:tc>
        <w:tc>
          <w:tcPr>
            <w:tcW w:w="1167" w:type="dxa"/>
            <w:tcBorders>
              <w:top w:val="nil"/>
              <w:bottom w:val="single" w:sz="12" w:space="0" w:color="auto"/>
            </w:tcBorders>
            <w:shd w:val="clear" w:color="auto" w:fill="auto"/>
            <w:noWrap/>
          </w:tcPr>
          <w:p w:rsidR="000C06E6" w:rsidRPr="000F3C8B" w:rsidRDefault="000C06E6" w:rsidP="000C06E6">
            <w:pPr>
              <w:pStyle w:val="TableText0"/>
              <w:jc w:val="right"/>
              <w:rPr>
                <w:b/>
                <w:szCs w:val="18"/>
                <w:lang w:val="en-AU"/>
              </w:rPr>
            </w:pPr>
            <w:r w:rsidRPr="000F3C8B">
              <w:rPr>
                <w:b/>
                <w:szCs w:val="18"/>
                <w:lang w:val="en-AU"/>
              </w:rPr>
              <w:t>167</w:t>
            </w:r>
          </w:p>
        </w:tc>
        <w:tc>
          <w:tcPr>
            <w:tcW w:w="1243" w:type="dxa"/>
            <w:tcBorders>
              <w:top w:val="nil"/>
              <w:bottom w:val="single" w:sz="12" w:space="0" w:color="auto"/>
            </w:tcBorders>
            <w:shd w:val="clear" w:color="auto" w:fill="auto"/>
          </w:tcPr>
          <w:p w:rsidR="000C06E6" w:rsidRPr="000F3C8B" w:rsidRDefault="000C06E6" w:rsidP="000C06E6">
            <w:pPr>
              <w:pStyle w:val="TableText0"/>
              <w:jc w:val="right"/>
              <w:rPr>
                <w:b/>
                <w:szCs w:val="18"/>
                <w:lang w:val="en-AU"/>
              </w:rPr>
            </w:pPr>
            <w:r w:rsidRPr="000F3C8B">
              <w:rPr>
                <w:b/>
                <w:szCs w:val="18"/>
                <w:lang w:val="en-AU"/>
              </w:rPr>
              <w:t>4.1</w:t>
            </w:r>
          </w:p>
        </w:tc>
        <w:tc>
          <w:tcPr>
            <w:tcW w:w="1417" w:type="dxa"/>
            <w:tcBorders>
              <w:top w:val="nil"/>
              <w:bottom w:val="single" w:sz="12" w:space="0" w:color="auto"/>
            </w:tcBorders>
          </w:tcPr>
          <w:p w:rsidR="000C06E6" w:rsidRPr="000F3C8B" w:rsidRDefault="000C06E6" w:rsidP="000C06E6">
            <w:pPr>
              <w:pStyle w:val="TableText0"/>
              <w:jc w:val="center"/>
              <w:rPr>
                <w:b/>
                <w:szCs w:val="18"/>
                <w:lang w:val="en-AU"/>
              </w:rPr>
            </w:pPr>
            <w:r w:rsidRPr="000F3C8B">
              <w:rPr>
                <w:b/>
                <w:szCs w:val="18"/>
                <w:lang w:val="en-AU"/>
              </w:rPr>
              <w:t>-</w:t>
            </w:r>
          </w:p>
        </w:tc>
        <w:tc>
          <w:tcPr>
            <w:tcW w:w="1237" w:type="dxa"/>
            <w:tcBorders>
              <w:top w:val="nil"/>
              <w:bottom w:val="single" w:sz="12" w:space="0" w:color="auto"/>
            </w:tcBorders>
          </w:tcPr>
          <w:p w:rsidR="000C06E6" w:rsidRPr="000F3C8B" w:rsidRDefault="000C06E6" w:rsidP="000C06E6">
            <w:pPr>
              <w:pStyle w:val="TableText0"/>
              <w:jc w:val="right"/>
              <w:rPr>
                <w:b/>
                <w:szCs w:val="18"/>
                <w:lang w:val="en-AU"/>
              </w:rPr>
            </w:pPr>
            <w:r w:rsidRPr="000F3C8B">
              <w:rPr>
                <w:b/>
                <w:szCs w:val="18"/>
                <w:lang w:val="en-AU"/>
              </w:rPr>
              <w:t>-</w:t>
            </w:r>
          </w:p>
        </w:tc>
      </w:tr>
    </w:tbl>
    <w:p w:rsidR="000C06E6" w:rsidRDefault="000C06E6" w:rsidP="000C06E6">
      <w:pPr>
        <w:pStyle w:val="TableNotes"/>
        <w:rPr>
          <w:lang w:eastAsia="en-US"/>
        </w:rPr>
      </w:pPr>
      <w:r>
        <w:rPr>
          <w:lang w:eastAsia="en-US"/>
        </w:rPr>
        <w:t>a  Includes one immediate bowel perforation that led to technical failure and two post-interventional perforations.</w:t>
      </w:r>
    </w:p>
    <w:p w:rsidR="000C06E6" w:rsidRDefault="000C06E6" w:rsidP="000C06E6">
      <w:pPr>
        <w:pStyle w:val="TableNotes"/>
        <w:rPr>
          <w:lang w:eastAsia="en-US"/>
        </w:rPr>
      </w:pPr>
      <w:r>
        <w:rPr>
          <w:lang w:eastAsia="en-US"/>
        </w:rPr>
        <w:t>b  Includes two early (≤7 days) perforations and four late (&gt;7 days) events.</w:t>
      </w:r>
    </w:p>
    <w:p w:rsidR="000C06E6" w:rsidRDefault="000C06E6" w:rsidP="000C06E6">
      <w:pPr>
        <w:pStyle w:val="TableNotes"/>
        <w:rPr>
          <w:lang w:eastAsia="en-US"/>
        </w:rPr>
      </w:pPr>
      <w:r>
        <w:rPr>
          <w:lang w:eastAsia="en-US"/>
        </w:rPr>
        <w:t>c  Includes 4 early (&lt;30 days) complications and 5 late (&gt;30 days) complications.</w:t>
      </w:r>
    </w:p>
    <w:p w:rsidR="00832436" w:rsidRDefault="00832436" w:rsidP="00832436">
      <w:pPr>
        <w:pStyle w:val="TableNotes"/>
        <w:rPr>
          <w:lang w:val="en-AU" w:eastAsia="en-US"/>
        </w:rPr>
      </w:pPr>
      <w:proofErr w:type="gramStart"/>
      <w:r>
        <w:rPr>
          <w:lang w:val="en-AU" w:eastAsia="en-US"/>
        </w:rPr>
        <w:t xml:space="preserve">d </w:t>
      </w:r>
      <w:r>
        <w:rPr>
          <w:lang w:eastAsia="en-US"/>
        </w:rPr>
        <w:t xml:space="preserve"> N</w:t>
      </w:r>
      <w:proofErr w:type="gramEnd"/>
      <w:r>
        <w:rPr>
          <w:lang w:eastAsia="en-US"/>
        </w:rPr>
        <w:t xml:space="preserve"> </w:t>
      </w:r>
      <w:r>
        <w:rPr>
          <w:lang w:val="en-AU" w:eastAsia="en-US"/>
        </w:rPr>
        <w:t>b</w:t>
      </w:r>
      <w:r>
        <w:rPr>
          <w:lang w:eastAsia="en-US"/>
        </w:rPr>
        <w:t>ased on number of stenting procedures or attempts performed.</w:t>
      </w:r>
    </w:p>
    <w:p w:rsidR="000C06E6" w:rsidRDefault="00832436" w:rsidP="000C06E6">
      <w:pPr>
        <w:pStyle w:val="TableNotes"/>
        <w:rPr>
          <w:lang w:eastAsia="en-US"/>
        </w:rPr>
      </w:pPr>
      <w:proofErr w:type="gramStart"/>
      <w:r>
        <w:rPr>
          <w:lang w:val="en-AU" w:eastAsia="en-US"/>
        </w:rPr>
        <w:t xml:space="preserve">e </w:t>
      </w:r>
      <w:r w:rsidR="000C06E6">
        <w:rPr>
          <w:lang w:eastAsia="en-US"/>
        </w:rPr>
        <w:t xml:space="preserve"> Includes</w:t>
      </w:r>
      <w:proofErr w:type="gramEnd"/>
      <w:r w:rsidR="000C06E6">
        <w:rPr>
          <w:lang w:eastAsia="en-US"/>
        </w:rPr>
        <w:t xml:space="preserve"> 7 immediate (&lt;96hrs) perforations which lead to clinical failure and 8 long-term perforations.</w:t>
      </w:r>
    </w:p>
    <w:p w:rsidR="000C06E6" w:rsidRDefault="00832436" w:rsidP="000C06E6">
      <w:pPr>
        <w:pStyle w:val="TableNotes"/>
        <w:rPr>
          <w:lang w:eastAsia="en-US"/>
        </w:rPr>
      </w:pPr>
      <w:proofErr w:type="gramStart"/>
      <w:r>
        <w:rPr>
          <w:lang w:val="en-AU" w:eastAsia="en-US"/>
        </w:rPr>
        <w:t>f</w:t>
      </w:r>
      <w:r w:rsidR="000C06E6">
        <w:rPr>
          <w:lang w:eastAsia="en-US"/>
        </w:rPr>
        <w:t xml:space="preserve">  Includes</w:t>
      </w:r>
      <w:proofErr w:type="gramEnd"/>
      <w:r w:rsidR="000C06E6">
        <w:rPr>
          <w:lang w:eastAsia="en-US"/>
        </w:rPr>
        <w:t xml:space="preserve"> one intraprocedual perforation and 18 late (&gt;7 days) perforations.</w:t>
      </w:r>
    </w:p>
    <w:p w:rsidR="000C06E6" w:rsidRDefault="00832436" w:rsidP="000C06E6">
      <w:pPr>
        <w:pStyle w:val="TableNotes"/>
        <w:rPr>
          <w:lang w:val="en-AU" w:eastAsia="en-US"/>
        </w:rPr>
      </w:pPr>
      <w:proofErr w:type="gramStart"/>
      <w:r>
        <w:rPr>
          <w:lang w:val="en-AU" w:eastAsia="en-US"/>
        </w:rPr>
        <w:t>g</w:t>
      </w:r>
      <w:r w:rsidR="000C06E6">
        <w:rPr>
          <w:lang w:eastAsia="en-US"/>
        </w:rPr>
        <w:t xml:space="preserve">  Occurred</w:t>
      </w:r>
      <w:proofErr w:type="gramEnd"/>
      <w:r w:rsidR="000C06E6">
        <w:rPr>
          <w:lang w:eastAsia="en-US"/>
        </w:rPr>
        <w:t xml:space="preserve"> within 7 days.</w:t>
      </w:r>
    </w:p>
    <w:p w:rsidR="000C06E6" w:rsidRPr="000C06E6" w:rsidRDefault="000C06E6" w:rsidP="000C06E6">
      <w:pPr>
        <w:pStyle w:val="TableNotes"/>
        <w:rPr>
          <w:lang w:eastAsia="en-US"/>
        </w:rPr>
      </w:pPr>
      <w:r w:rsidRPr="000C06E6">
        <w:rPr>
          <w:lang w:eastAsia="en-US"/>
        </w:rPr>
        <w:t>N:  Based on all patients for whom safety data are reported, regardless of number of patients enrolled in a study, or their technical/clinical success. In some cases, the number of stenting attempts or procedures performed has been considered</w:t>
      </w:r>
      <w:r>
        <w:rPr>
          <w:lang w:val="en-AU" w:eastAsia="en-US"/>
        </w:rPr>
        <w:t xml:space="preserve"> </w:t>
      </w:r>
      <w:r w:rsidRPr="000C06E6">
        <w:rPr>
          <w:lang w:eastAsia="en-US"/>
        </w:rPr>
        <w:t>as the denominator instead of the number of patients.</w:t>
      </w:r>
    </w:p>
    <w:p w:rsidR="00712F0D" w:rsidRPr="00965DBA" w:rsidRDefault="00712F0D" w:rsidP="000C06E6">
      <w:pPr>
        <w:pStyle w:val="Heading4"/>
      </w:pPr>
      <w:r w:rsidRPr="00965DBA">
        <w:lastRenderedPageBreak/>
        <w:t>Re-obstruction</w:t>
      </w:r>
    </w:p>
    <w:p w:rsidR="00712F0D" w:rsidRPr="008978EE" w:rsidRDefault="00712F0D" w:rsidP="00712F0D">
      <w:r w:rsidRPr="009E5C53">
        <w:t>Re-obstruction was the most common reported adverse event re</w:t>
      </w:r>
      <w:r w:rsidRPr="00E2422F">
        <w:t>lated to the intervention.</w:t>
      </w:r>
      <w:r w:rsidRPr="00892811">
        <w:rPr>
          <w:color w:val="FF0000"/>
        </w:rPr>
        <w:t xml:space="preserve"> </w:t>
      </w:r>
      <w:r w:rsidR="00050563">
        <w:rPr>
          <w:color w:val="FF0000"/>
        </w:rPr>
        <w:fldChar w:fldCharType="begin"/>
      </w:r>
      <w:r w:rsidR="00050563">
        <w:rPr>
          <w:color w:val="FF0000"/>
        </w:rPr>
        <w:instrText xml:space="preserve"> REF _Ref324946125 \h </w:instrText>
      </w:r>
      <w:r w:rsidR="00050563">
        <w:rPr>
          <w:color w:val="FF0000"/>
        </w:rPr>
      </w:r>
      <w:r w:rsidR="00050563">
        <w:rPr>
          <w:color w:val="FF0000"/>
        </w:rPr>
        <w:fldChar w:fldCharType="separate"/>
      </w:r>
      <w:r w:rsidR="0071544A">
        <w:t xml:space="preserve">Table </w:t>
      </w:r>
      <w:r w:rsidR="0071544A">
        <w:rPr>
          <w:noProof/>
        </w:rPr>
        <w:t>33</w:t>
      </w:r>
      <w:r w:rsidR="00050563">
        <w:rPr>
          <w:color w:val="FF0000"/>
        </w:rPr>
        <w:fldChar w:fldCharType="end"/>
      </w:r>
      <w:r w:rsidR="00FE2DAA">
        <w:rPr>
          <w:color w:val="FF0000"/>
        </w:rPr>
        <w:t xml:space="preserve"> </w:t>
      </w:r>
      <w:r w:rsidR="00FE2DAA">
        <w:t>lists</w:t>
      </w:r>
      <w:r w:rsidR="00FE2DAA" w:rsidRPr="00E2422F">
        <w:t xml:space="preserve"> </w:t>
      </w:r>
      <w:r w:rsidRPr="00E2422F">
        <w:t>the studies that reported peri- and post-operative events that appear to lead to re-obstruction, stent blockage and/or occlusion. While in most cases</w:t>
      </w:r>
      <w:r w:rsidR="00FE2DAA">
        <w:t>,</w:t>
      </w:r>
      <w:r w:rsidRPr="00E2422F">
        <w:t xml:space="preserve"> tumour growth and faecal (a</w:t>
      </w:r>
      <w:r w:rsidRPr="00892811">
        <w:t>nd mucosal) impactions appear</w:t>
      </w:r>
      <w:r w:rsidR="00FE2DAA">
        <w:t>ed</w:t>
      </w:r>
      <w:r w:rsidRPr="00892811">
        <w:t xml:space="preserve"> to be the leading cause for re-obstruction, there </w:t>
      </w:r>
      <w:r w:rsidR="00FE2DAA">
        <w:t>we</w:t>
      </w:r>
      <w:r w:rsidR="00FE2DAA" w:rsidRPr="00892811">
        <w:t xml:space="preserve">re </w:t>
      </w:r>
      <w:r w:rsidRPr="00892811">
        <w:t>incidences of stent migration and intestinal debris facilitating re-obstruction (Lee et al 2011</w:t>
      </w:r>
      <w:r w:rsidR="00FE2DAA">
        <w:t>;</w:t>
      </w:r>
      <w:r w:rsidR="00FE2DAA" w:rsidRPr="00892811">
        <w:t xml:space="preserve"> </w:t>
      </w:r>
      <w:r w:rsidRPr="00892811">
        <w:t>Meisner et al</w:t>
      </w:r>
      <w:r w:rsidR="00FE2DAA">
        <w:t xml:space="preserve"> </w:t>
      </w:r>
      <w:r w:rsidRPr="00892811">
        <w:t>2011</w:t>
      </w:r>
      <w:r w:rsidR="00FE2DAA">
        <w:t>;</w:t>
      </w:r>
      <w:r w:rsidR="00FE2DAA" w:rsidRPr="00892811">
        <w:t xml:space="preserve"> </w:t>
      </w:r>
      <w:r w:rsidRPr="00892811">
        <w:t>Li et al 2010</w:t>
      </w:r>
      <w:r w:rsidR="00FE2DAA">
        <w:t>;</w:t>
      </w:r>
      <w:r w:rsidR="00FE2DAA" w:rsidRPr="00892811">
        <w:t xml:space="preserve"> </w:t>
      </w:r>
      <w:r w:rsidRPr="00892811">
        <w:t>Moon et al 2010</w:t>
      </w:r>
      <w:r w:rsidR="00FE2DAA">
        <w:t>;</w:t>
      </w:r>
      <w:r w:rsidR="00FE2DAA" w:rsidRPr="00892811">
        <w:t xml:space="preserve"> </w:t>
      </w:r>
      <w:r w:rsidRPr="00892811">
        <w:t>Park et al 2010</w:t>
      </w:r>
      <w:r w:rsidR="00FE2DAA">
        <w:t>;</w:t>
      </w:r>
      <w:r w:rsidR="00FE2DAA" w:rsidRPr="00892811">
        <w:t xml:space="preserve"> </w:t>
      </w:r>
      <w:r w:rsidRPr="00892811">
        <w:t>Suh</w:t>
      </w:r>
      <w:r w:rsidRPr="008978EE">
        <w:t xml:space="preserve"> et al 20</w:t>
      </w:r>
      <w:r w:rsidR="005372EC">
        <w:t>10</w:t>
      </w:r>
      <w:r w:rsidR="00FE2DAA">
        <w:t>;</w:t>
      </w:r>
      <w:r w:rsidRPr="008978EE">
        <w:t xml:space="preserve"> Alcantara 2007). </w:t>
      </w:r>
    </w:p>
    <w:p w:rsidR="00712F0D" w:rsidRPr="005646B6" w:rsidRDefault="00712F0D" w:rsidP="007E2F42">
      <w:r w:rsidRPr="008978EE">
        <w:t xml:space="preserve">Re-obstructions were reported in 23 studies which consisted of a total patient base of 3302 patients. </w:t>
      </w:r>
      <w:r w:rsidR="007E2F42" w:rsidRPr="00DF686C">
        <w:t>The occurrence of re-obstruction ranged from 0.5</w:t>
      </w:r>
      <w:r w:rsidR="007E2F42">
        <w:t xml:space="preserve"> per cent</w:t>
      </w:r>
      <w:r w:rsidR="007E2F42" w:rsidRPr="00DF686C">
        <w:t xml:space="preserve"> (Yoon et al 2011) to 32.4</w:t>
      </w:r>
      <w:r w:rsidR="007E2F42">
        <w:t xml:space="preserve"> per cent</w:t>
      </w:r>
      <w:r w:rsidR="007E2F42" w:rsidRPr="00DF686C">
        <w:t xml:space="preserve"> (</w:t>
      </w:r>
      <w:r w:rsidR="007E2F42" w:rsidRPr="007D0320">
        <w:t>Lee et al 2011) with a mean of 6.5</w:t>
      </w:r>
      <w:r w:rsidR="007E2F42">
        <w:t xml:space="preserve"> per cent</w:t>
      </w:r>
      <w:r w:rsidR="007E2F42" w:rsidRPr="007D0320">
        <w:t>, and a median of 7.7</w:t>
      </w:r>
      <w:r w:rsidR="007E2F42">
        <w:t xml:space="preserve"> per cent</w:t>
      </w:r>
      <w:r w:rsidR="007E2F42" w:rsidRPr="007D0320">
        <w:t>. The majority</w:t>
      </w:r>
      <w:r w:rsidR="007E2F42">
        <w:t xml:space="preserve"> of studies</w:t>
      </w:r>
      <w:r w:rsidR="007E2F42" w:rsidRPr="007D0320">
        <w:t>, 17 of 23 (</w:t>
      </w:r>
      <w:r w:rsidR="00450D6E">
        <w:t>74</w:t>
      </w:r>
      <w:r w:rsidR="007E2F42" w:rsidRPr="007D0320">
        <w:t>%)</w:t>
      </w:r>
      <w:r w:rsidR="007E2F42">
        <w:t>,</w:t>
      </w:r>
      <w:r w:rsidR="007E2F42" w:rsidRPr="007D0320">
        <w:t xml:space="preserve"> reported an occurrence rate of &lt;15</w:t>
      </w:r>
      <w:r w:rsidR="007E2F42">
        <w:t xml:space="preserve"> per cent.</w:t>
      </w:r>
      <w:r w:rsidR="007E2F42" w:rsidRPr="007D0320">
        <w:t xml:space="preserve"> Four studies reported an </w:t>
      </w:r>
      <w:r w:rsidR="007E2F42">
        <w:t>incidence rate between</w:t>
      </w:r>
      <w:r w:rsidR="007E2F42" w:rsidRPr="00965DBA">
        <w:t xml:space="preserve"> 1</w:t>
      </w:r>
      <w:r w:rsidR="007E2F42">
        <w:t>6 and</w:t>
      </w:r>
      <w:r w:rsidR="007E2F42" w:rsidRPr="00F13A5A">
        <w:t xml:space="preserve"> 2</w:t>
      </w:r>
      <w:r w:rsidR="007E2F42">
        <w:t>1 per cent (Moon et al</w:t>
      </w:r>
      <w:r w:rsidR="007E2F42" w:rsidRPr="00F13A5A">
        <w:t xml:space="preserve"> 2010 – 16.2%; </w:t>
      </w:r>
      <w:r w:rsidR="00785AD7">
        <w:t>Small and Baron</w:t>
      </w:r>
      <w:r w:rsidR="007E2F42" w:rsidRPr="00F13A5A">
        <w:t xml:space="preserve"> 2008 – 16.5%; Cho et al 2011</w:t>
      </w:r>
      <w:r w:rsidR="00450D6E" w:rsidRPr="00450D6E">
        <w:t xml:space="preserve"> – </w:t>
      </w:r>
      <w:r w:rsidR="007E2F42" w:rsidRPr="00F13A5A">
        <w:t>18.4%; Jost et al 2007</w:t>
      </w:r>
      <w:r w:rsidR="00450D6E" w:rsidRPr="00450D6E">
        <w:t xml:space="preserve"> – </w:t>
      </w:r>
      <w:r w:rsidR="007E2F42" w:rsidRPr="00F13A5A">
        <w:t xml:space="preserve">20.9%). </w:t>
      </w:r>
      <w:r w:rsidRPr="00A30BA9">
        <w:t xml:space="preserve">Among </w:t>
      </w:r>
      <w:r w:rsidR="007E2F42">
        <w:t>the</w:t>
      </w:r>
      <w:r w:rsidR="00FE2DAA">
        <w:t xml:space="preserve"> occurrences</w:t>
      </w:r>
      <w:r w:rsidR="007E2F42">
        <w:t xml:space="preserve"> of re-obstruction</w:t>
      </w:r>
      <w:r w:rsidR="00FE2DAA">
        <w:t>,</w:t>
      </w:r>
      <w:r w:rsidR="00FE2DAA" w:rsidRPr="00A30BA9">
        <w:t xml:space="preserve"> </w:t>
      </w:r>
      <w:r w:rsidRPr="00A30BA9">
        <w:t xml:space="preserve">44 </w:t>
      </w:r>
      <w:r w:rsidR="00FE2DAA">
        <w:t>were reported</w:t>
      </w:r>
      <w:r w:rsidR="00FE2DAA" w:rsidRPr="00A30BA9">
        <w:t xml:space="preserve"> </w:t>
      </w:r>
      <w:r w:rsidRPr="00A30BA9">
        <w:t xml:space="preserve">in the </w:t>
      </w:r>
      <w:r w:rsidR="00FE2DAA">
        <w:t>four</w:t>
      </w:r>
      <w:r w:rsidR="00FE2DAA" w:rsidRPr="00A30BA9">
        <w:t xml:space="preserve"> </w:t>
      </w:r>
      <w:r w:rsidRPr="00A30BA9">
        <w:t xml:space="preserve">studies that used uncovered stents only (n=589), while 73 re-obstructions </w:t>
      </w:r>
      <w:r w:rsidR="00FE2DAA">
        <w:t xml:space="preserve">were </w:t>
      </w:r>
      <w:r w:rsidRPr="00A30BA9">
        <w:t xml:space="preserve">reported in the </w:t>
      </w:r>
      <w:r w:rsidR="00FE2DAA">
        <w:t xml:space="preserve">six </w:t>
      </w:r>
      <w:r w:rsidRPr="00A30BA9">
        <w:t>studies</w:t>
      </w:r>
      <w:r w:rsidR="00FE2DAA">
        <w:t xml:space="preserve"> that</w:t>
      </w:r>
      <w:r w:rsidRPr="00A30BA9">
        <w:t xml:space="preserve"> used both covered and uncovered stents (n=897). </w:t>
      </w:r>
    </w:p>
    <w:p w:rsidR="00712F0D" w:rsidRPr="00A87C52" w:rsidRDefault="00FE2DAA" w:rsidP="00712F0D">
      <w:r>
        <w:t>The r</w:t>
      </w:r>
      <w:r w:rsidR="00712F0D" w:rsidRPr="00003831">
        <w:t xml:space="preserve">esults of Mackay et al </w:t>
      </w:r>
      <w:r>
        <w:t>(</w:t>
      </w:r>
      <w:r w:rsidR="00712F0D" w:rsidRPr="00003831">
        <w:t>2011</w:t>
      </w:r>
      <w:r>
        <w:t>)</w:t>
      </w:r>
      <w:r w:rsidR="00712F0D" w:rsidRPr="00003831">
        <w:t xml:space="preserve"> have not been incorporated into our calculation as the authors do not specify the number of patients </w:t>
      </w:r>
      <w:r w:rsidR="00450D6E">
        <w:t>who</w:t>
      </w:r>
      <w:r w:rsidR="00450D6E" w:rsidRPr="00003831">
        <w:t xml:space="preserve"> </w:t>
      </w:r>
      <w:r w:rsidR="00712F0D" w:rsidRPr="00003831">
        <w:t>had this event during the long-term (&gt;7 days</w:t>
      </w:r>
      <w:r w:rsidR="00712F0D" w:rsidRPr="00A87C52">
        <w:t xml:space="preserve">) </w:t>
      </w:r>
      <w:r w:rsidRPr="00A87C52">
        <w:t>follow</w:t>
      </w:r>
      <w:r>
        <w:t>-</w:t>
      </w:r>
      <w:r w:rsidR="00712F0D" w:rsidRPr="00A87C52">
        <w:t xml:space="preserve">up. </w:t>
      </w:r>
      <w:r>
        <w:t>The a</w:t>
      </w:r>
      <w:r w:rsidRPr="00A87C52">
        <w:t xml:space="preserve">uthors </w:t>
      </w:r>
      <w:r w:rsidR="00712F0D" w:rsidRPr="00A87C52">
        <w:t xml:space="preserve">mentioned 31 patients who experienced </w:t>
      </w:r>
      <w:r w:rsidRPr="00A87C52">
        <w:t>long</w:t>
      </w:r>
      <w:r>
        <w:t>-</w:t>
      </w:r>
      <w:r w:rsidR="00712F0D" w:rsidRPr="00A87C52">
        <w:t xml:space="preserve">term complications </w:t>
      </w:r>
      <w:r>
        <w:t>that</w:t>
      </w:r>
      <w:r w:rsidRPr="00A87C52">
        <w:t xml:space="preserve"> </w:t>
      </w:r>
      <w:r w:rsidR="00712F0D" w:rsidRPr="00A87C52">
        <w:t xml:space="preserve">included stent migration, stent obstruction, tenesmus, diarrhoea and faecal incontinence (Mackay et al 2011).  </w:t>
      </w:r>
    </w:p>
    <w:p w:rsidR="00712F0D" w:rsidRPr="008F42F9" w:rsidRDefault="00712F0D" w:rsidP="00712F0D">
      <w:r w:rsidRPr="00BE3EA8">
        <w:t xml:space="preserve">Lee et al </w:t>
      </w:r>
      <w:r w:rsidR="00083987">
        <w:t>(</w:t>
      </w:r>
      <w:r w:rsidRPr="00BE3EA8">
        <w:t>2011</w:t>
      </w:r>
      <w:r w:rsidR="00083987">
        <w:t>)</w:t>
      </w:r>
      <w:r w:rsidRPr="00BE3EA8">
        <w:t xml:space="preserve"> </w:t>
      </w:r>
      <w:r w:rsidR="00083987">
        <w:t>reported</w:t>
      </w:r>
      <w:r w:rsidR="00450D6E">
        <w:t xml:space="preserve"> </w:t>
      </w:r>
      <w:r w:rsidRPr="00BE3EA8">
        <w:t xml:space="preserve">an exceptionally high incidence of re-obstruction </w:t>
      </w:r>
      <w:r w:rsidR="00083987">
        <w:t>(</w:t>
      </w:r>
      <w:r w:rsidRPr="00BE3EA8">
        <w:t>32.4</w:t>
      </w:r>
      <w:r w:rsidR="00083987">
        <w:t>%)</w:t>
      </w:r>
      <w:r w:rsidRPr="00BE3EA8">
        <w:t xml:space="preserve">. This study </w:t>
      </w:r>
      <w:r w:rsidR="00083987">
        <w:t>was</w:t>
      </w:r>
      <w:r w:rsidRPr="00BE3EA8">
        <w:t xml:space="preserve"> </w:t>
      </w:r>
      <w:r w:rsidR="00083987" w:rsidRPr="00BE3EA8">
        <w:t>followed</w:t>
      </w:r>
      <w:r w:rsidR="00083987">
        <w:t>-</w:t>
      </w:r>
      <w:r w:rsidRPr="00BE3EA8">
        <w:t xml:space="preserve">up </w:t>
      </w:r>
      <w:r w:rsidR="00083987">
        <w:t xml:space="preserve">for </w:t>
      </w:r>
      <w:r w:rsidRPr="00BE3EA8">
        <w:t>9.63</w:t>
      </w:r>
      <w:r w:rsidR="00083987">
        <w:t xml:space="preserve"> </w:t>
      </w:r>
      <w:r w:rsidRPr="00BE3EA8">
        <w:t>±</w:t>
      </w:r>
      <w:r w:rsidR="00083987">
        <w:t xml:space="preserve"> </w:t>
      </w:r>
      <w:r w:rsidRPr="00BE3EA8">
        <w:t xml:space="preserve">10.14 months (range, 0.6-43.14), which </w:t>
      </w:r>
      <w:r w:rsidR="00083987">
        <w:t>is considerably longer than other included studies</w:t>
      </w:r>
      <w:r w:rsidRPr="00BE3EA8">
        <w:t xml:space="preserve">. </w:t>
      </w:r>
      <w:r w:rsidR="00083987">
        <w:t>The a</w:t>
      </w:r>
      <w:r w:rsidRPr="00BE3EA8">
        <w:t>uthors also noted</w:t>
      </w:r>
      <w:r w:rsidR="00450D6E">
        <w:t xml:space="preserve"> </w:t>
      </w:r>
      <w:r w:rsidRPr="00BE3EA8">
        <w:t>21 events of re-obstructions caused by stent migration (7 patients), tumour outgrowth (15 patients</w:t>
      </w:r>
      <w:r w:rsidRPr="008F42F9">
        <w:t xml:space="preserve">) and ingrowth (3 patients). Six patients in whom re-obstruction developed needed palliative surgery, and another 15 patients (21.1%) were treated with a second stenting. Two patients were managed conservatively. </w:t>
      </w:r>
    </w:p>
    <w:p w:rsidR="00712F0D" w:rsidRPr="00325C69" w:rsidRDefault="00712F0D" w:rsidP="00712F0D">
      <w:r w:rsidRPr="008F42F9">
        <w:t xml:space="preserve">Three studies compared incidences of re-obstructions </w:t>
      </w:r>
      <w:r w:rsidR="00083987">
        <w:t xml:space="preserve">that </w:t>
      </w:r>
      <w:r w:rsidRPr="008F42F9">
        <w:t xml:space="preserve">occurred within seven days </w:t>
      </w:r>
      <w:r w:rsidR="00083987">
        <w:t xml:space="preserve">with those that occurred </w:t>
      </w:r>
      <w:r w:rsidRPr="008F42F9">
        <w:t>after seven days (Keränen et al 2011</w:t>
      </w:r>
      <w:r w:rsidR="00083987">
        <w:t>;</w:t>
      </w:r>
      <w:r w:rsidR="00083987" w:rsidRPr="008F42F9">
        <w:t xml:space="preserve"> </w:t>
      </w:r>
      <w:r w:rsidRPr="008F42F9">
        <w:t>Selinger et al 2011</w:t>
      </w:r>
      <w:r w:rsidR="00083987">
        <w:t>;</w:t>
      </w:r>
      <w:r w:rsidRPr="008F42F9">
        <w:t xml:space="preserve"> </w:t>
      </w:r>
      <w:r w:rsidR="00785AD7">
        <w:t>Small and Baron</w:t>
      </w:r>
      <w:r w:rsidRPr="008F42F9">
        <w:t xml:space="preserve"> 2008). Among the 27 </w:t>
      </w:r>
      <w:r w:rsidR="00083987">
        <w:t xml:space="preserve">reported </w:t>
      </w:r>
      <w:r w:rsidRPr="008F42F9">
        <w:t>events, four re-obstructions occurred within a week</w:t>
      </w:r>
      <w:r w:rsidR="00083987">
        <w:t>,</w:t>
      </w:r>
      <w:r w:rsidRPr="008F42F9">
        <w:t xml:space="preserve"> and 22 </w:t>
      </w:r>
      <w:r w:rsidR="00083987">
        <w:t xml:space="preserve">occurred </w:t>
      </w:r>
      <w:r w:rsidRPr="008F42F9">
        <w:t xml:space="preserve">afterwards. This </w:t>
      </w:r>
      <w:r w:rsidR="00083987" w:rsidRPr="008F42F9">
        <w:t>indicate</w:t>
      </w:r>
      <w:r w:rsidR="00083987">
        <w:t>d</w:t>
      </w:r>
      <w:r w:rsidR="00083987" w:rsidRPr="008F42F9">
        <w:t xml:space="preserve"> </w:t>
      </w:r>
      <w:r w:rsidRPr="008F42F9">
        <w:t>that the late re-obstructions (&gt;7 days) were nearly five times more likely to occur than the early events (&lt;7 days). This may be due to the fact that re-obstructions occur as a result of tumour growth and stent migration</w:t>
      </w:r>
      <w:r w:rsidR="00450D6E">
        <w:t>,</w:t>
      </w:r>
      <w:r w:rsidRPr="008F42F9">
        <w:t xml:space="preserve"> which is likely to occur over </w:t>
      </w:r>
      <w:r w:rsidR="00450D6E">
        <w:t xml:space="preserve">a </w:t>
      </w:r>
      <w:r w:rsidRPr="008F42F9">
        <w:t>period of time (Le</w:t>
      </w:r>
      <w:r w:rsidRPr="00325C69">
        <w:t xml:space="preserve">e et al 2011). </w:t>
      </w:r>
    </w:p>
    <w:p w:rsidR="00712F0D" w:rsidRPr="007D5B7C" w:rsidRDefault="00712F0D" w:rsidP="00712F0D">
      <w:r w:rsidRPr="007D5B7C">
        <w:t xml:space="preserve">In some cases re-obstruction has been managed by re-stenting. For instance, Alcantara et al (2007) managed all four incidences of re-obstruction through re-insertion of stents. Another case of re-obstruction manifested by faecal impaction was also resolved by re-stenting (Young et al 2011). </w:t>
      </w:r>
      <w:r w:rsidR="00083987">
        <w:t>The m</w:t>
      </w:r>
      <w:r w:rsidRPr="007D5B7C">
        <w:t>ajority of patients</w:t>
      </w:r>
      <w:r w:rsidR="00083987">
        <w:t xml:space="preserve"> that</w:t>
      </w:r>
      <w:r w:rsidRPr="007D5B7C">
        <w:t xml:space="preserve"> experienced re-obstructions </w:t>
      </w:r>
      <w:r w:rsidR="00083987">
        <w:t>were</w:t>
      </w:r>
      <w:r w:rsidR="00083987" w:rsidRPr="007D5B7C">
        <w:t xml:space="preserve"> </w:t>
      </w:r>
      <w:r w:rsidRPr="007D5B7C">
        <w:t xml:space="preserve">managed by re-stenting, which has been clinically successful. </w:t>
      </w:r>
      <w:r w:rsidR="00083987">
        <w:t>If</w:t>
      </w:r>
      <w:r w:rsidRPr="007D5B7C">
        <w:t xml:space="preserve"> re-stenting </w:t>
      </w:r>
      <w:r w:rsidR="00083987">
        <w:t>w</w:t>
      </w:r>
      <w:r w:rsidR="00926149">
        <w:t>ere</w:t>
      </w:r>
      <w:r w:rsidR="00083987">
        <w:t xml:space="preserve"> not</w:t>
      </w:r>
      <w:r w:rsidRPr="007D5B7C">
        <w:t xml:space="preserve"> successful</w:t>
      </w:r>
      <w:r w:rsidR="00083987">
        <w:t>,</w:t>
      </w:r>
      <w:r w:rsidRPr="007D5B7C">
        <w:t xml:space="preserve"> surgical correction would be necessary to resolve the obstruction (Lee et al 2011).  </w:t>
      </w:r>
    </w:p>
    <w:p w:rsidR="00712F0D" w:rsidRPr="00361416" w:rsidRDefault="00050563" w:rsidP="00050563">
      <w:pPr>
        <w:pStyle w:val="Caption"/>
      </w:pPr>
      <w:bookmarkStart w:id="169" w:name="_Ref324946125"/>
      <w:bookmarkStart w:id="170" w:name="_Toc327522077"/>
      <w:r>
        <w:lastRenderedPageBreak/>
        <w:t xml:space="preserve">Table </w:t>
      </w:r>
      <w:fldSimple w:instr=" SEQ Table \* ARABIC ">
        <w:r w:rsidR="0071544A">
          <w:rPr>
            <w:noProof/>
          </w:rPr>
          <w:t>33</w:t>
        </w:r>
      </w:fldSimple>
      <w:bookmarkEnd w:id="169"/>
      <w:r w:rsidR="00712F0D" w:rsidRPr="00361416">
        <w:tab/>
        <w:t>Summary of re-obstruction events reported by included primary studies</w:t>
      </w:r>
      <w:bookmarkEnd w:id="170"/>
    </w:p>
    <w:tbl>
      <w:tblPr>
        <w:tblW w:w="7523" w:type="dxa"/>
        <w:tblInd w:w="720" w:type="dxa"/>
        <w:tblBorders>
          <w:top w:val="single" w:sz="12" w:space="0" w:color="auto"/>
          <w:bottom w:val="single" w:sz="12" w:space="0" w:color="auto"/>
        </w:tblBorders>
        <w:tblLook w:val="04A0" w:firstRow="1" w:lastRow="0" w:firstColumn="1" w:lastColumn="0" w:noHBand="0" w:noVBand="1"/>
      </w:tblPr>
      <w:tblGrid>
        <w:gridCol w:w="2235"/>
        <w:gridCol w:w="850"/>
        <w:gridCol w:w="1559"/>
        <w:gridCol w:w="1418"/>
        <w:gridCol w:w="1461"/>
      </w:tblGrid>
      <w:tr w:rsidR="00712F0D" w:rsidRPr="00584C29" w:rsidTr="00A3108C">
        <w:trPr>
          <w:trHeight w:val="288"/>
        </w:trPr>
        <w:tc>
          <w:tcPr>
            <w:tcW w:w="2235" w:type="dxa"/>
            <w:tcBorders>
              <w:top w:val="single" w:sz="12" w:space="0" w:color="auto"/>
              <w:bottom w:val="single" w:sz="4" w:space="0" w:color="auto"/>
            </w:tcBorders>
            <w:shd w:val="clear" w:color="auto" w:fill="auto"/>
            <w:noWrap/>
            <w:hideMark/>
          </w:tcPr>
          <w:p w:rsidR="00712F0D" w:rsidRPr="00584C29" w:rsidRDefault="00712F0D" w:rsidP="00A3108C">
            <w:pPr>
              <w:pStyle w:val="TableHeading"/>
            </w:pPr>
            <w:r w:rsidRPr="00584C29">
              <w:t>Author</w:t>
            </w:r>
          </w:p>
        </w:tc>
        <w:tc>
          <w:tcPr>
            <w:tcW w:w="850" w:type="dxa"/>
            <w:tcBorders>
              <w:top w:val="single" w:sz="12" w:space="0" w:color="auto"/>
              <w:bottom w:val="single" w:sz="4" w:space="0" w:color="auto"/>
            </w:tcBorders>
            <w:shd w:val="clear" w:color="auto" w:fill="auto"/>
            <w:noWrap/>
            <w:hideMark/>
          </w:tcPr>
          <w:p w:rsidR="00712F0D" w:rsidRPr="00584C29" w:rsidRDefault="00712F0D" w:rsidP="00A3108C">
            <w:pPr>
              <w:pStyle w:val="TableHeading"/>
              <w:jc w:val="center"/>
            </w:pPr>
            <w:r w:rsidRPr="00584C29">
              <w:t>N</w:t>
            </w:r>
          </w:p>
        </w:tc>
        <w:tc>
          <w:tcPr>
            <w:tcW w:w="1559" w:type="dxa"/>
            <w:tcBorders>
              <w:top w:val="single" w:sz="12" w:space="0" w:color="auto"/>
              <w:bottom w:val="single" w:sz="4" w:space="0" w:color="auto"/>
            </w:tcBorders>
            <w:shd w:val="clear" w:color="auto" w:fill="auto"/>
            <w:noWrap/>
            <w:hideMark/>
          </w:tcPr>
          <w:p w:rsidR="00712F0D" w:rsidRPr="00584C29" w:rsidRDefault="00712F0D" w:rsidP="00A3108C">
            <w:pPr>
              <w:pStyle w:val="TableHeading"/>
              <w:jc w:val="center"/>
            </w:pPr>
            <w:r w:rsidRPr="00584C29">
              <w:t xml:space="preserve">Events of </w:t>
            </w:r>
            <w:r w:rsidR="00926149">
              <w:br/>
            </w:r>
            <w:r w:rsidRPr="00584C29">
              <w:t xml:space="preserve">re-obstructions </w:t>
            </w:r>
            <w:r w:rsidR="00926149">
              <w:br/>
            </w:r>
            <w:r w:rsidRPr="00584C29">
              <w:t>n</w:t>
            </w:r>
          </w:p>
        </w:tc>
        <w:tc>
          <w:tcPr>
            <w:tcW w:w="1418" w:type="dxa"/>
            <w:tcBorders>
              <w:top w:val="single" w:sz="12" w:space="0" w:color="auto"/>
              <w:bottom w:val="single" w:sz="4" w:space="0" w:color="auto"/>
            </w:tcBorders>
            <w:shd w:val="clear" w:color="auto" w:fill="auto"/>
            <w:noWrap/>
            <w:hideMark/>
          </w:tcPr>
          <w:p w:rsidR="00712F0D" w:rsidRPr="00584C29" w:rsidRDefault="00712F0D" w:rsidP="00A3108C">
            <w:pPr>
              <w:pStyle w:val="TableHeading"/>
              <w:jc w:val="center"/>
            </w:pPr>
            <w:r w:rsidRPr="00584C29">
              <w:t>Occurrence (%)</w:t>
            </w:r>
          </w:p>
        </w:tc>
        <w:tc>
          <w:tcPr>
            <w:tcW w:w="1461" w:type="dxa"/>
            <w:tcBorders>
              <w:top w:val="single" w:sz="12" w:space="0" w:color="auto"/>
              <w:bottom w:val="single" w:sz="4" w:space="0" w:color="auto"/>
            </w:tcBorders>
            <w:shd w:val="clear" w:color="auto" w:fill="auto"/>
          </w:tcPr>
          <w:p w:rsidR="00712F0D" w:rsidRPr="00584C29" w:rsidRDefault="00712F0D" w:rsidP="00A3108C">
            <w:pPr>
              <w:pStyle w:val="TableHeading"/>
              <w:jc w:val="center"/>
            </w:pPr>
            <w:r w:rsidRPr="00584C29">
              <w:t>Type of stent</w:t>
            </w:r>
            <w:r w:rsidR="00083987">
              <w:t xml:space="preserve"> </w:t>
            </w:r>
            <w:r w:rsidRPr="00584C29">
              <w:t>(covered vs uncovered)</w:t>
            </w:r>
          </w:p>
        </w:tc>
      </w:tr>
      <w:tr w:rsidR="00712F0D" w:rsidRPr="00584C29" w:rsidTr="00A3108C">
        <w:trPr>
          <w:trHeight w:val="288"/>
        </w:trPr>
        <w:tc>
          <w:tcPr>
            <w:tcW w:w="2235" w:type="dxa"/>
            <w:tcBorders>
              <w:top w:val="single" w:sz="4" w:space="0" w:color="auto"/>
            </w:tcBorders>
            <w:shd w:val="clear" w:color="auto" w:fill="auto"/>
            <w:noWrap/>
          </w:tcPr>
          <w:p w:rsidR="00712F0D" w:rsidRPr="000F3C8B" w:rsidRDefault="00712F0D" w:rsidP="00A3108C">
            <w:pPr>
              <w:pStyle w:val="TableText0"/>
              <w:rPr>
                <w:lang w:val="en-AU"/>
              </w:rPr>
            </w:pPr>
            <w:r w:rsidRPr="000F3C8B">
              <w:rPr>
                <w:lang w:val="en-AU"/>
              </w:rPr>
              <w:t xml:space="preserve">Cho et al </w:t>
            </w:r>
            <w:r w:rsidR="00926149" w:rsidRPr="000F3C8B">
              <w:rPr>
                <w:lang w:val="en-AU"/>
              </w:rPr>
              <w:t>(</w:t>
            </w:r>
            <w:r w:rsidRPr="000F3C8B">
              <w:rPr>
                <w:lang w:val="en-AU"/>
              </w:rPr>
              <w:t>2011</w:t>
            </w:r>
            <w:r w:rsidR="00926149" w:rsidRPr="000F3C8B">
              <w:rPr>
                <w:lang w:val="en-AU"/>
              </w:rPr>
              <w:t>)</w:t>
            </w:r>
          </w:p>
        </w:tc>
        <w:tc>
          <w:tcPr>
            <w:tcW w:w="850" w:type="dxa"/>
            <w:tcBorders>
              <w:top w:val="single" w:sz="4" w:space="0" w:color="auto"/>
            </w:tcBorders>
            <w:shd w:val="clear" w:color="auto" w:fill="auto"/>
            <w:noWrap/>
          </w:tcPr>
          <w:p w:rsidR="00712F0D" w:rsidRPr="000F3C8B" w:rsidRDefault="00712F0D" w:rsidP="00A3108C">
            <w:pPr>
              <w:pStyle w:val="TableText0"/>
              <w:jc w:val="right"/>
              <w:rPr>
                <w:lang w:val="en-AU"/>
              </w:rPr>
            </w:pPr>
            <w:r w:rsidRPr="000F3C8B">
              <w:rPr>
                <w:lang w:val="en-AU"/>
              </w:rPr>
              <w:t>136</w:t>
            </w:r>
          </w:p>
        </w:tc>
        <w:tc>
          <w:tcPr>
            <w:tcW w:w="1559" w:type="dxa"/>
            <w:tcBorders>
              <w:top w:val="single" w:sz="4" w:space="0" w:color="auto"/>
            </w:tcBorders>
            <w:shd w:val="clear" w:color="auto" w:fill="auto"/>
            <w:noWrap/>
          </w:tcPr>
          <w:p w:rsidR="00712F0D" w:rsidRPr="000F3C8B" w:rsidRDefault="00712F0D" w:rsidP="00A3108C">
            <w:pPr>
              <w:pStyle w:val="TableText0"/>
              <w:jc w:val="right"/>
              <w:rPr>
                <w:lang w:val="en-AU"/>
              </w:rPr>
            </w:pPr>
            <w:r w:rsidRPr="000F3C8B">
              <w:rPr>
                <w:lang w:val="en-AU"/>
              </w:rPr>
              <w:t>25</w:t>
            </w:r>
            <w:r w:rsidRPr="000F3C8B">
              <w:rPr>
                <w:vertAlign w:val="superscript"/>
                <w:lang w:val="en-AU"/>
              </w:rPr>
              <w:t>a</w:t>
            </w:r>
          </w:p>
        </w:tc>
        <w:tc>
          <w:tcPr>
            <w:tcW w:w="1418" w:type="dxa"/>
            <w:tcBorders>
              <w:top w:val="single" w:sz="4" w:space="0" w:color="auto"/>
            </w:tcBorders>
            <w:shd w:val="clear" w:color="auto" w:fill="auto"/>
            <w:noWrap/>
          </w:tcPr>
          <w:p w:rsidR="00712F0D" w:rsidRPr="000F3C8B" w:rsidRDefault="003F1391" w:rsidP="00A3108C">
            <w:pPr>
              <w:pStyle w:val="TableText0"/>
              <w:jc w:val="right"/>
              <w:rPr>
                <w:lang w:val="en-AU"/>
              </w:rPr>
            </w:pPr>
            <w:r w:rsidRPr="000F3C8B">
              <w:rPr>
                <w:lang w:val="en-AU"/>
              </w:rPr>
              <w:t>18.4</w:t>
            </w:r>
          </w:p>
        </w:tc>
        <w:tc>
          <w:tcPr>
            <w:tcW w:w="1461" w:type="dxa"/>
            <w:tcBorders>
              <w:top w:val="single" w:sz="4" w:space="0" w:color="auto"/>
            </w:tcBorders>
            <w:shd w:val="clear" w:color="auto" w:fill="auto"/>
          </w:tcPr>
          <w:p w:rsidR="00712F0D" w:rsidRPr="000F3C8B" w:rsidRDefault="00712F0D" w:rsidP="00A3108C">
            <w:pPr>
              <w:pStyle w:val="TableText0"/>
              <w:jc w:val="center"/>
              <w:rPr>
                <w:lang w:val="en-AU"/>
              </w:rPr>
            </w:pPr>
            <w:r w:rsidRPr="000F3C8B">
              <w:rPr>
                <w:lang w:val="en-AU"/>
              </w:rPr>
              <w:t>Mix</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De Gregorio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467</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22</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4.7</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Keränen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100</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8</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8.0</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Lee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71</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23</w:t>
            </w:r>
            <w:r w:rsidRPr="000F3C8B">
              <w:rPr>
                <w:vertAlign w:val="superscript"/>
                <w:lang w:val="en-AU"/>
              </w:rPr>
              <w:t>b</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32.4</w:t>
            </w:r>
          </w:p>
        </w:tc>
        <w:tc>
          <w:tcPr>
            <w:tcW w:w="1461" w:type="dxa"/>
            <w:shd w:val="clear" w:color="auto" w:fill="auto"/>
          </w:tcPr>
          <w:p w:rsidR="00712F0D" w:rsidRPr="000F3C8B" w:rsidRDefault="00712F0D" w:rsidP="00A3108C">
            <w:pPr>
              <w:pStyle w:val="TableText0"/>
              <w:jc w:val="center"/>
              <w:rPr>
                <w:lang w:val="en-AU"/>
              </w:rPr>
            </w:pPr>
            <w:r w:rsidRPr="000F3C8B">
              <w:rPr>
                <w:lang w:val="en-AU"/>
              </w:rPr>
              <w:t>Mix</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Lepsenyi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65</w:t>
            </w:r>
            <w:r w:rsidR="00A3108C" w:rsidRPr="00A3108C">
              <w:rPr>
                <w:vertAlign w:val="superscript"/>
                <w:lang w:val="en-AU"/>
              </w:rPr>
              <w:t>c</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5</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7.7</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Meisner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382</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8</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2.1</w:t>
            </w:r>
          </w:p>
        </w:tc>
        <w:tc>
          <w:tcPr>
            <w:tcW w:w="1461" w:type="dxa"/>
            <w:shd w:val="clear" w:color="auto" w:fill="auto"/>
          </w:tcPr>
          <w:p w:rsidR="00712F0D" w:rsidRPr="000F3C8B" w:rsidRDefault="00712F0D" w:rsidP="00A3108C">
            <w:pPr>
              <w:pStyle w:val="TableText0"/>
              <w:jc w:val="center"/>
              <w:rPr>
                <w:lang w:val="en-AU"/>
              </w:rPr>
            </w:pPr>
            <w:r w:rsidRPr="000F3C8B">
              <w:rPr>
                <w:lang w:val="en-AU"/>
              </w:rPr>
              <w:t>Uncovered</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Park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103</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10</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9.7</w:t>
            </w:r>
          </w:p>
        </w:tc>
        <w:tc>
          <w:tcPr>
            <w:tcW w:w="1461" w:type="dxa"/>
            <w:shd w:val="clear" w:color="auto" w:fill="auto"/>
          </w:tcPr>
          <w:p w:rsidR="00712F0D" w:rsidRPr="000F3C8B" w:rsidRDefault="00712F0D" w:rsidP="00A3108C">
            <w:pPr>
              <w:pStyle w:val="TableText0"/>
              <w:jc w:val="center"/>
              <w:rPr>
                <w:lang w:val="en-AU"/>
              </w:rPr>
            </w:pPr>
            <w:r w:rsidRPr="000F3C8B">
              <w:rPr>
                <w:lang w:val="en-AU"/>
              </w:rPr>
              <w:t>Mix</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Selinger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80</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5</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6.2</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Yoon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412</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2</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0.5</w:t>
            </w:r>
          </w:p>
        </w:tc>
        <w:tc>
          <w:tcPr>
            <w:tcW w:w="1461" w:type="dxa"/>
            <w:shd w:val="clear" w:color="auto" w:fill="auto"/>
          </w:tcPr>
          <w:p w:rsidR="00712F0D" w:rsidRPr="000F3C8B" w:rsidRDefault="00712F0D" w:rsidP="00A3108C">
            <w:pPr>
              <w:pStyle w:val="TableText0"/>
              <w:jc w:val="center"/>
              <w:rPr>
                <w:lang w:val="en-AU"/>
              </w:rPr>
            </w:pPr>
            <w:r w:rsidRPr="000F3C8B">
              <w:rPr>
                <w:lang w:val="en-AU"/>
              </w:rPr>
              <w:t>Mix</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Young et al </w:t>
            </w:r>
            <w:r w:rsidR="00926149" w:rsidRPr="000F3C8B">
              <w:rPr>
                <w:lang w:val="en-AU"/>
              </w:rPr>
              <w:t>(</w:t>
            </w:r>
            <w:r w:rsidRPr="000F3C8B">
              <w:rPr>
                <w:lang w:val="en-AU"/>
              </w:rPr>
              <w:t>2011</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100</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6</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6.0</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Branger et al </w:t>
            </w:r>
            <w:r w:rsidR="00926149" w:rsidRPr="000F3C8B">
              <w:rPr>
                <w:lang w:val="en-AU"/>
              </w:rPr>
              <w:t>(</w:t>
            </w:r>
            <w:r w:rsidRPr="000F3C8B">
              <w:rPr>
                <w:lang w:val="en-AU"/>
              </w:rPr>
              <w:t>2010</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93</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11</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11.8</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Li et al  </w:t>
            </w:r>
            <w:r w:rsidR="00926149" w:rsidRPr="000F3C8B">
              <w:rPr>
                <w:lang w:val="en-AU"/>
              </w:rPr>
              <w:t>(</w:t>
            </w:r>
            <w:r w:rsidRPr="000F3C8B">
              <w:rPr>
                <w:lang w:val="en-AU"/>
              </w:rPr>
              <w:t>2010</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50</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1</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2.0</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Moon et al </w:t>
            </w:r>
            <w:r w:rsidR="00926149" w:rsidRPr="000F3C8B">
              <w:rPr>
                <w:lang w:val="en-AU"/>
              </w:rPr>
              <w:t>(</w:t>
            </w:r>
            <w:r w:rsidRPr="000F3C8B">
              <w:rPr>
                <w:lang w:val="en-AU"/>
              </w:rPr>
              <w:t>2010</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68</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11</w:t>
            </w:r>
            <w:r w:rsidR="00A3108C">
              <w:rPr>
                <w:vertAlign w:val="superscript"/>
                <w:lang w:val="en-AU"/>
              </w:rPr>
              <w:t>d</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16.2</w:t>
            </w:r>
          </w:p>
        </w:tc>
        <w:tc>
          <w:tcPr>
            <w:tcW w:w="1461" w:type="dxa"/>
            <w:shd w:val="clear" w:color="auto" w:fill="auto"/>
          </w:tcPr>
          <w:p w:rsidR="00712F0D" w:rsidRPr="000F3C8B" w:rsidRDefault="00712F0D" w:rsidP="00A3108C">
            <w:pPr>
              <w:pStyle w:val="TableText0"/>
              <w:jc w:val="center"/>
              <w:rPr>
                <w:lang w:val="en-AU"/>
              </w:rPr>
            </w:pPr>
            <w:r w:rsidRPr="000F3C8B">
              <w:rPr>
                <w:lang w:val="en-AU"/>
              </w:rPr>
              <w:t>Mix</w:t>
            </w:r>
          </w:p>
        </w:tc>
      </w:tr>
      <w:tr w:rsidR="00712F0D" w:rsidRPr="00584C29" w:rsidTr="00A3108C">
        <w:trPr>
          <w:trHeight w:val="288"/>
        </w:trPr>
        <w:tc>
          <w:tcPr>
            <w:tcW w:w="2235" w:type="dxa"/>
            <w:shd w:val="clear" w:color="auto" w:fill="auto"/>
            <w:noWrap/>
          </w:tcPr>
          <w:p w:rsidR="00712F0D" w:rsidRPr="000F3C8B" w:rsidRDefault="00712F0D" w:rsidP="00A3108C">
            <w:pPr>
              <w:pStyle w:val="TableText0"/>
              <w:rPr>
                <w:lang w:val="en-AU"/>
              </w:rPr>
            </w:pPr>
            <w:r w:rsidRPr="000F3C8B">
              <w:rPr>
                <w:lang w:val="en-AU"/>
              </w:rPr>
              <w:t xml:space="preserve">Park et al </w:t>
            </w:r>
            <w:r w:rsidR="00926149" w:rsidRPr="000F3C8B">
              <w:rPr>
                <w:lang w:val="en-AU"/>
              </w:rPr>
              <w:t>(</w:t>
            </w:r>
            <w:r w:rsidRPr="000F3C8B">
              <w:rPr>
                <w:lang w:val="en-AU"/>
              </w:rPr>
              <w:t>2010</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107</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2</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1.9</w:t>
            </w:r>
          </w:p>
        </w:tc>
        <w:tc>
          <w:tcPr>
            <w:tcW w:w="1461" w:type="dxa"/>
            <w:shd w:val="clear" w:color="auto" w:fill="auto"/>
          </w:tcPr>
          <w:p w:rsidR="00712F0D" w:rsidRPr="000F3C8B" w:rsidRDefault="00712F0D" w:rsidP="00A3108C">
            <w:pPr>
              <w:pStyle w:val="TableText0"/>
              <w:jc w:val="center"/>
              <w:rPr>
                <w:lang w:val="en-AU"/>
              </w:rPr>
            </w:pPr>
            <w:r w:rsidRPr="000F3C8B">
              <w:rPr>
                <w:lang w:val="en-AU"/>
              </w:rPr>
              <w:t>Mix</w:t>
            </w:r>
          </w:p>
        </w:tc>
      </w:tr>
      <w:tr w:rsidR="00712F0D" w:rsidRPr="00584C29" w:rsidTr="00A3108C">
        <w:trPr>
          <w:trHeight w:val="288"/>
        </w:trPr>
        <w:tc>
          <w:tcPr>
            <w:tcW w:w="2235" w:type="dxa"/>
            <w:shd w:val="clear" w:color="auto" w:fill="auto"/>
            <w:noWrap/>
          </w:tcPr>
          <w:p w:rsidR="00712F0D" w:rsidRPr="000F3C8B" w:rsidRDefault="00785AD7" w:rsidP="00A3108C">
            <w:pPr>
              <w:pStyle w:val="TableText0"/>
              <w:rPr>
                <w:lang w:val="en-AU"/>
              </w:rPr>
            </w:pPr>
            <w:r w:rsidRPr="000F3C8B">
              <w:rPr>
                <w:lang w:val="en-AU"/>
              </w:rPr>
              <w:t xml:space="preserve">Small </w:t>
            </w:r>
            <w:r w:rsidR="00AC0BF7">
              <w:rPr>
                <w:lang w:val="en-AU"/>
              </w:rPr>
              <w:t>et al</w:t>
            </w:r>
            <w:r w:rsidR="00712F0D" w:rsidRPr="000F3C8B">
              <w:rPr>
                <w:lang w:val="en-AU"/>
              </w:rPr>
              <w:t xml:space="preserve"> </w:t>
            </w:r>
            <w:r w:rsidR="00926149" w:rsidRPr="000F3C8B">
              <w:rPr>
                <w:lang w:val="en-AU"/>
              </w:rPr>
              <w:t>(</w:t>
            </w:r>
            <w:r w:rsidR="00712F0D" w:rsidRPr="000F3C8B">
              <w:rPr>
                <w:lang w:val="en-AU"/>
              </w:rPr>
              <w:t>2010</w:t>
            </w:r>
            <w:r w:rsidR="00926149" w:rsidRPr="000F3C8B">
              <w:rPr>
                <w:lang w:val="en-AU"/>
              </w:rPr>
              <w:t>)</w:t>
            </w:r>
          </w:p>
        </w:tc>
        <w:tc>
          <w:tcPr>
            <w:tcW w:w="850" w:type="dxa"/>
            <w:shd w:val="clear" w:color="auto" w:fill="auto"/>
            <w:noWrap/>
          </w:tcPr>
          <w:p w:rsidR="00712F0D" w:rsidRPr="000F3C8B" w:rsidRDefault="00712F0D" w:rsidP="00A3108C">
            <w:pPr>
              <w:pStyle w:val="TableText0"/>
              <w:jc w:val="right"/>
              <w:rPr>
                <w:lang w:val="en-AU"/>
              </w:rPr>
            </w:pPr>
            <w:r w:rsidRPr="000F3C8B">
              <w:rPr>
                <w:lang w:val="en-AU"/>
              </w:rPr>
              <w:t>233</w:t>
            </w:r>
          </w:p>
        </w:tc>
        <w:tc>
          <w:tcPr>
            <w:tcW w:w="1559" w:type="dxa"/>
            <w:shd w:val="clear" w:color="auto" w:fill="auto"/>
            <w:noWrap/>
          </w:tcPr>
          <w:p w:rsidR="00712F0D" w:rsidRPr="000F3C8B" w:rsidRDefault="00712F0D" w:rsidP="00A3108C">
            <w:pPr>
              <w:pStyle w:val="TableText0"/>
              <w:jc w:val="right"/>
              <w:rPr>
                <w:lang w:val="en-AU"/>
              </w:rPr>
            </w:pPr>
            <w:r w:rsidRPr="000F3C8B">
              <w:rPr>
                <w:lang w:val="en-AU"/>
              </w:rPr>
              <w:t>18</w:t>
            </w:r>
          </w:p>
        </w:tc>
        <w:tc>
          <w:tcPr>
            <w:tcW w:w="1418" w:type="dxa"/>
            <w:shd w:val="clear" w:color="auto" w:fill="auto"/>
            <w:noWrap/>
          </w:tcPr>
          <w:p w:rsidR="00712F0D" w:rsidRPr="000F3C8B" w:rsidRDefault="003F1391" w:rsidP="00A3108C">
            <w:pPr>
              <w:pStyle w:val="TableText0"/>
              <w:jc w:val="right"/>
              <w:rPr>
                <w:lang w:val="en-AU"/>
              </w:rPr>
            </w:pPr>
            <w:r w:rsidRPr="000F3C8B">
              <w:rPr>
                <w:lang w:val="en-AU"/>
              </w:rPr>
              <w:t>7.7</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hideMark/>
          </w:tcPr>
          <w:p w:rsidR="00712F0D" w:rsidRPr="000F3C8B" w:rsidRDefault="00712F0D" w:rsidP="00A3108C">
            <w:pPr>
              <w:pStyle w:val="TableText0"/>
              <w:rPr>
                <w:lang w:val="en-AU"/>
              </w:rPr>
            </w:pPr>
            <w:r w:rsidRPr="000F3C8B">
              <w:rPr>
                <w:lang w:val="en-AU"/>
              </w:rPr>
              <w:t xml:space="preserve">Suh et al </w:t>
            </w:r>
            <w:r w:rsidR="00926149" w:rsidRPr="000F3C8B">
              <w:rPr>
                <w:lang w:val="en-AU"/>
              </w:rPr>
              <w:t>(</w:t>
            </w:r>
            <w:r w:rsidRPr="000F3C8B">
              <w:rPr>
                <w:lang w:val="en-AU"/>
              </w:rPr>
              <w:t>20</w:t>
            </w:r>
            <w:r w:rsidR="005372EC">
              <w:rPr>
                <w:lang w:val="en-AU"/>
              </w:rPr>
              <w:t>10</w:t>
            </w:r>
            <w:r w:rsidR="00926149" w:rsidRPr="000F3C8B">
              <w:rPr>
                <w:lang w:val="en-AU"/>
              </w:rPr>
              <w:t>)</w:t>
            </w:r>
          </w:p>
        </w:tc>
        <w:tc>
          <w:tcPr>
            <w:tcW w:w="850" w:type="dxa"/>
            <w:shd w:val="clear" w:color="auto" w:fill="auto"/>
            <w:noWrap/>
            <w:hideMark/>
          </w:tcPr>
          <w:p w:rsidR="00712F0D" w:rsidRPr="000F3C8B" w:rsidRDefault="00712F0D" w:rsidP="00A3108C">
            <w:pPr>
              <w:pStyle w:val="TableText0"/>
              <w:jc w:val="right"/>
              <w:rPr>
                <w:lang w:val="en-AU"/>
              </w:rPr>
            </w:pPr>
            <w:r w:rsidRPr="000F3C8B">
              <w:rPr>
                <w:lang w:val="en-AU"/>
              </w:rPr>
              <w:t>55</w:t>
            </w:r>
          </w:p>
        </w:tc>
        <w:tc>
          <w:tcPr>
            <w:tcW w:w="1559" w:type="dxa"/>
            <w:shd w:val="clear" w:color="auto" w:fill="auto"/>
            <w:noWrap/>
            <w:hideMark/>
          </w:tcPr>
          <w:p w:rsidR="00712F0D" w:rsidRPr="000F3C8B" w:rsidRDefault="00712F0D" w:rsidP="00A3108C">
            <w:pPr>
              <w:pStyle w:val="TableText0"/>
              <w:jc w:val="right"/>
              <w:rPr>
                <w:lang w:val="en-AU"/>
              </w:rPr>
            </w:pPr>
            <w:r w:rsidRPr="000F3C8B">
              <w:rPr>
                <w:lang w:val="en-AU"/>
              </w:rPr>
              <w:t>8</w:t>
            </w:r>
          </w:p>
        </w:tc>
        <w:tc>
          <w:tcPr>
            <w:tcW w:w="1418" w:type="dxa"/>
            <w:shd w:val="clear" w:color="auto" w:fill="auto"/>
            <w:noWrap/>
            <w:hideMark/>
          </w:tcPr>
          <w:p w:rsidR="00712F0D" w:rsidRPr="000F3C8B" w:rsidRDefault="003F1391" w:rsidP="00A3108C">
            <w:pPr>
              <w:pStyle w:val="TableText0"/>
              <w:jc w:val="right"/>
              <w:rPr>
                <w:lang w:val="en-AU"/>
              </w:rPr>
            </w:pPr>
            <w:r w:rsidRPr="000F3C8B">
              <w:rPr>
                <w:lang w:val="en-AU"/>
              </w:rPr>
              <w:t>14.6</w:t>
            </w:r>
          </w:p>
        </w:tc>
        <w:tc>
          <w:tcPr>
            <w:tcW w:w="1461" w:type="dxa"/>
            <w:shd w:val="clear" w:color="auto" w:fill="auto"/>
          </w:tcPr>
          <w:p w:rsidR="00712F0D" w:rsidRPr="000F3C8B" w:rsidRDefault="00712F0D" w:rsidP="00A3108C">
            <w:pPr>
              <w:pStyle w:val="TableText0"/>
              <w:jc w:val="center"/>
              <w:rPr>
                <w:lang w:val="en-AU"/>
              </w:rPr>
            </w:pPr>
            <w:r w:rsidRPr="000F3C8B">
              <w:rPr>
                <w:lang w:val="en-AU"/>
              </w:rPr>
              <w:t>Uncovered</w:t>
            </w:r>
          </w:p>
        </w:tc>
      </w:tr>
      <w:tr w:rsidR="00712F0D" w:rsidRPr="00584C29" w:rsidTr="00A3108C">
        <w:trPr>
          <w:trHeight w:val="288"/>
        </w:trPr>
        <w:tc>
          <w:tcPr>
            <w:tcW w:w="2235" w:type="dxa"/>
            <w:shd w:val="clear" w:color="auto" w:fill="auto"/>
            <w:noWrap/>
            <w:hideMark/>
          </w:tcPr>
          <w:p w:rsidR="00712F0D" w:rsidRPr="000F3C8B" w:rsidRDefault="00712F0D" w:rsidP="00A3108C">
            <w:pPr>
              <w:pStyle w:val="TableText0"/>
              <w:rPr>
                <w:lang w:val="en-AU"/>
              </w:rPr>
            </w:pPr>
            <w:r w:rsidRPr="000F3C8B">
              <w:rPr>
                <w:lang w:val="en-AU"/>
              </w:rPr>
              <w:t xml:space="preserve">Demarquay et al </w:t>
            </w:r>
            <w:r w:rsidR="00926149" w:rsidRPr="000F3C8B">
              <w:rPr>
                <w:lang w:val="en-AU"/>
              </w:rPr>
              <w:t>(</w:t>
            </w:r>
            <w:r w:rsidRPr="000F3C8B">
              <w:rPr>
                <w:lang w:val="en-AU"/>
              </w:rPr>
              <w:t>2008</w:t>
            </w:r>
            <w:r w:rsidR="00926149" w:rsidRPr="000F3C8B">
              <w:rPr>
                <w:lang w:val="en-AU"/>
              </w:rPr>
              <w:t>)</w:t>
            </w:r>
          </w:p>
        </w:tc>
        <w:tc>
          <w:tcPr>
            <w:tcW w:w="850" w:type="dxa"/>
            <w:shd w:val="clear" w:color="auto" w:fill="auto"/>
            <w:noWrap/>
            <w:hideMark/>
          </w:tcPr>
          <w:p w:rsidR="00712F0D" w:rsidRPr="000F3C8B" w:rsidRDefault="00712F0D" w:rsidP="00A3108C">
            <w:pPr>
              <w:pStyle w:val="TableText0"/>
              <w:jc w:val="right"/>
              <w:rPr>
                <w:lang w:val="en-AU"/>
              </w:rPr>
            </w:pPr>
            <w:r w:rsidRPr="000F3C8B">
              <w:rPr>
                <w:lang w:val="en-AU"/>
              </w:rPr>
              <w:t>204</w:t>
            </w:r>
          </w:p>
        </w:tc>
        <w:tc>
          <w:tcPr>
            <w:tcW w:w="1559" w:type="dxa"/>
            <w:shd w:val="clear" w:color="auto" w:fill="auto"/>
            <w:noWrap/>
            <w:hideMark/>
          </w:tcPr>
          <w:p w:rsidR="00712F0D" w:rsidRPr="000F3C8B" w:rsidRDefault="00712F0D" w:rsidP="00A3108C">
            <w:pPr>
              <w:pStyle w:val="TableText0"/>
              <w:jc w:val="right"/>
              <w:rPr>
                <w:lang w:val="en-AU"/>
              </w:rPr>
            </w:pPr>
            <w:r w:rsidRPr="000F3C8B">
              <w:rPr>
                <w:lang w:val="en-AU"/>
              </w:rPr>
              <w:t>6</w:t>
            </w:r>
          </w:p>
        </w:tc>
        <w:tc>
          <w:tcPr>
            <w:tcW w:w="1418" w:type="dxa"/>
            <w:shd w:val="clear" w:color="auto" w:fill="auto"/>
            <w:noWrap/>
            <w:hideMark/>
          </w:tcPr>
          <w:p w:rsidR="00712F0D" w:rsidRPr="000F3C8B" w:rsidRDefault="003F1391" w:rsidP="00A3108C">
            <w:pPr>
              <w:pStyle w:val="TableText0"/>
              <w:jc w:val="right"/>
              <w:rPr>
                <w:lang w:val="en-AU"/>
              </w:rPr>
            </w:pPr>
            <w:r w:rsidRPr="000F3C8B">
              <w:rPr>
                <w:lang w:val="en-AU"/>
              </w:rPr>
              <w:t>2.9</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hideMark/>
          </w:tcPr>
          <w:p w:rsidR="00712F0D" w:rsidRPr="000F3C8B" w:rsidRDefault="00785AD7" w:rsidP="00A3108C">
            <w:pPr>
              <w:pStyle w:val="TableText0"/>
              <w:rPr>
                <w:lang w:val="en-AU"/>
              </w:rPr>
            </w:pPr>
            <w:r w:rsidRPr="000F3C8B">
              <w:rPr>
                <w:lang w:val="en-AU"/>
              </w:rPr>
              <w:t>Small and Baron</w:t>
            </w:r>
            <w:r w:rsidR="00712F0D" w:rsidRPr="000F3C8B">
              <w:rPr>
                <w:lang w:val="en-AU"/>
              </w:rPr>
              <w:t xml:space="preserve"> </w:t>
            </w:r>
            <w:r w:rsidR="00926149" w:rsidRPr="000F3C8B">
              <w:rPr>
                <w:lang w:val="en-AU"/>
              </w:rPr>
              <w:t>(</w:t>
            </w:r>
            <w:r w:rsidR="00712F0D" w:rsidRPr="000F3C8B">
              <w:rPr>
                <w:lang w:val="en-AU"/>
              </w:rPr>
              <w:t>2008</w:t>
            </w:r>
            <w:r w:rsidR="00926149" w:rsidRPr="000F3C8B">
              <w:rPr>
                <w:lang w:val="en-AU"/>
              </w:rPr>
              <w:t>)</w:t>
            </w:r>
          </w:p>
        </w:tc>
        <w:tc>
          <w:tcPr>
            <w:tcW w:w="850" w:type="dxa"/>
            <w:shd w:val="clear" w:color="auto" w:fill="auto"/>
            <w:noWrap/>
            <w:hideMark/>
          </w:tcPr>
          <w:p w:rsidR="00712F0D" w:rsidRPr="000F3C8B" w:rsidRDefault="00712F0D" w:rsidP="00A3108C">
            <w:pPr>
              <w:pStyle w:val="TableText0"/>
              <w:jc w:val="right"/>
              <w:rPr>
                <w:lang w:val="en-AU"/>
              </w:rPr>
            </w:pPr>
            <w:r w:rsidRPr="000F3C8B">
              <w:rPr>
                <w:lang w:val="en-AU"/>
              </w:rPr>
              <w:t>85</w:t>
            </w:r>
          </w:p>
        </w:tc>
        <w:tc>
          <w:tcPr>
            <w:tcW w:w="1559" w:type="dxa"/>
            <w:shd w:val="clear" w:color="auto" w:fill="auto"/>
            <w:noWrap/>
            <w:hideMark/>
          </w:tcPr>
          <w:p w:rsidR="00712F0D" w:rsidRPr="000F3C8B" w:rsidRDefault="00712F0D" w:rsidP="00A3108C">
            <w:pPr>
              <w:pStyle w:val="TableText0"/>
              <w:jc w:val="right"/>
              <w:rPr>
                <w:lang w:val="en-AU"/>
              </w:rPr>
            </w:pPr>
            <w:r w:rsidRPr="000F3C8B">
              <w:rPr>
                <w:lang w:val="en-AU"/>
              </w:rPr>
              <w:t>14</w:t>
            </w:r>
            <w:r w:rsidR="00A3108C">
              <w:rPr>
                <w:vertAlign w:val="superscript"/>
                <w:lang w:val="en-AU"/>
              </w:rPr>
              <w:t>e</w:t>
            </w:r>
          </w:p>
        </w:tc>
        <w:tc>
          <w:tcPr>
            <w:tcW w:w="1418" w:type="dxa"/>
            <w:shd w:val="clear" w:color="auto" w:fill="auto"/>
            <w:noWrap/>
            <w:hideMark/>
          </w:tcPr>
          <w:p w:rsidR="00712F0D" w:rsidRPr="000F3C8B" w:rsidRDefault="003F1391" w:rsidP="00A3108C">
            <w:pPr>
              <w:pStyle w:val="TableText0"/>
              <w:jc w:val="right"/>
              <w:rPr>
                <w:lang w:val="en-AU"/>
              </w:rPr>
            </w:pPr>
            <w:r w:rsidRPr="000F3C8B">
              <w:rPr>
                <w:lang w:val="en-AU"/>
              </w:rPr>
              <w:t>16.5</w:t>
            </w:r>
          </w:p>
        </w:tc>
        <w:tc>
          <w:tcPr>
            <w:tcW w:w="1461" w:type="dxa"/>
            <w:shd w:val="clear" w:color="auto" w:fill="auto"/>
          </w:tcPr>
          <w:p w:rsidR="00712F0D" w:rsidRPr="000F3C8B" w:rsidRDefault="00712F0D" w:rsidP="00A3108C">
            <w:pPr>
              <w:pStyle w:val="TableText0"/>
              <w:jc w:val="center"/>
              <w:rPr>
                <w:lang w:val="en-AU"/>
              </w:rPr>
            </w:pPr>
            <w:r w:rsidRPr="000F3C8B">
              <w:rPr>
                <w:lang w:val="en-AU"/>
              </w:rPr>
              <w:t>Uncovered</w:t>
            </w:r>
          </w:p>
        </w:tc>
      </w:tr>
      <w:tr w:rsidR="00712F0D" w:rsidRPr="00584C29" w:rsidTr="00A3108C">
        <w:trPr>
          <w:trHeight w:val="288"/>
        </w:trPr>
        <w:tc>
          <w:tcPr>
            <w:tcW w:w="2235" w:type="dxa"/>
            <w:shd w:val="clear" w:color="auto" w:fill="auto"/>
            <w:noWrap/>
            <w:hideMark/>
          </w:tcPr>
          <w:p w:rsidR="00712F0D" w:rsidRPr="000F3C8B" w:rsidRDefault="00712F0D" w:rsidP="00A3108C">
            <w:pPr>
              <w:pStyle w:val="TableText0"/>
              <w:rPr>
                <w:lang w:val="en-AU"/>
              </w:rPr>
            </w:pPr>
            <w:r w:rsidRPr="000F3C8B">
              <w:rPr>
                <w:lang w:val="en-AU"/>
              </w:rPr>
              <w:t xml:space="preserve">Alcantara et al </w:t>
            </w:r>
            <w:r w:rsidR="00926149" w:rsidRPr="000F3C8B">
              <w:rPr>
                <w:lang w:val="en-AU"/>
              </w:rPr>
              <w:t>(</w:t>
            </w:r>
            <w:r w:rsidRPr="000F3C8B">
              <w:rPr>
                <w:lang w:val="en-AU"/>
              </w:rPr>
              <w:t>2007</w:t>
            </w:r>
            <w:r w:rsidR="00926149" w:rsidRPr="000F3C8B">
              <w:rPr>
                <w:lang w:val="en-AU"/>
              </w:rPr>
              <w:t>)</w:t>
            </w:r>
          </w:p>
        </w:tc>
        <w:tc>
          <w:tcPr>
            <w:tcW w:w="850" w:type="dxa"/>
            <w:shd w:val="clear" w:color="auto" w:fill="auto"/>
            <w:noWrap/>
            <w:hideMark/>
          </w:tcPr>
          <w:p w:rsidR="00712F0D" w:rsidRPr="000F3C8B" w:rsidRDefault="00712F0D" w:rsidP="00A3108C">
            <w:pPr>
              <w:pStyle w:val="TableText0"/>
              <w:jc w:val="right"/>
              <w:rPr>
                <w:lang w:val="en-AU"/>
              </w:rPr>
            </w:pPr>
            <w:r w:rsidRPr="000F3C8B">
              <w:rPr>
                <w:lang w:val="en-AU"/>
              </w:rPr>
              <w:t>95</w:t>
            </w:r>
          </w:p>
        </w:tc>
        <w:tc>
          <w:tcPr>
            <w:tcW w:w="1559" w:type="dxa"/>
            <w:shd w:val="clear" w:color="auto" w:fill="auto"/>
            <w:noWrap/>
            <w:hideMark/>
          </w:tcPr>
          <w:p w:rsidR="00712F0D" w:rsidRPr="000F3C8B" w:rsidRDefault="00712F0D" w:rsidP="00A3108C">
            <w:pPr>
              <w:pStyle w:val="TableText0"/>
              <w:jc w:val="right"/>
              <w:rPr>
                <w:lang w:val="en-AU"/>
              </w:rPr>
            </w:pPr>
            <w:r w:rsidRPr="000F3C8B">
              <w:rPr>
                <w:lang w:val="en-AU"/>
              </w:rPr>
              <w:t>4</w:t>
            </w:r>
          </w:p>
        </w:tc>
        <w:tc>
          <w:tcPr>
            <w:tcW w:w="1418" w:type="dxa"/>
            <w:shd w:val="clear" w:color="auto" w:fill="auto"/>
            <w:noWrap/>
            <w:hideMark/>
          </w:tcPr>
          <w:p w:rsidR="00712F0D" w:rsidRPr="000F3C8B" w:rsidRDefault="003F1391" w:rsidP="00A3108C">
            <w:pPr>
              <w:pStyle w:val="TableText0"/>
              <w:jc w:val="right"/>
              <w:rPr>
                <w:lang w:val="en-AU"/>
              </w:rPr>
            </w:pPr>
            <w:r w:rsidRPr="000F3C8B">
              <w:rPr>
                <w:lang w:val="en-AU"/>
              </w:rPr>
              <w:t>4.2</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88"/>
        </w:trPr>
        <w:tc>
          <w:tcPr>
            <w:tcW w:w="2235" w:type="dxa"/>
            <w:shd w:val="clear" w:color="auto" w:fill="auto"/>
            <w:noWrap/>
            <w:hideMark/>
          </w:tcPr>
          <w:p w:rsidR="00712F0D" w:rsidRPr="000F3C8B" w:rsidRDefault="00712F0D" w:rsidP="00A3108C">
            <w:pPr>
              <w:pStyle w:val="TableText0"/>
              <w:rPr>
                <w:lang w:val="en-AU"/>
              </w:rPr>
            </w:pPr>
            <w:r w:rsidRPr="000F3C8B">
              <w:rPr>
                <w:lang w:val="en-AU"/>
              </w:rPr>
              <w:t xml:space="preserve">Jost et al </w:t>
            </w:r>
            <w:r w:rsidR="00926149" w:rsidRPr="000F3C8B">
              <w:rPr>
                <w:lang w:val="en-AU"/>
              </w:rPr>
              <w:t>(</w:t>
            </w:r>
            <w:r w:rsidRPr="000F3C8B">
              <w:rPr>
                <w:lang w:val="en-AU"/>
              </w:rPr>
              <w:t>2007</w:t>
            </w:r>
            <w:r w:rsidR="00926149" w:rsidRPr="000F3C8B">
              <w:rPr>
                <w:lang w:val="en-AU"/>
              </w:rPr>
              <w:t>)</w:t>
            </w:r>
          </w:p>
        </w:tc>
        <w:tc>
          <w:tcPr>
            <w:tcW w:w="850" w:type="dxa"/>
            <w:shd w:val="clear" w:color="auto" w:fill="auto"/>
            <w:noWrap/>
            <w:hideMark/>
          </w:tcPr>
          <w:p w:rsidR="00712F0D" w:rsidRPr="000F3C8B" w:rsidRDefault="00712F0D" w:rsidP="00A3108C">
            <w:pPr>
              <w:pStyle w:val="TableText0"/>
              <w:jc w:val="right"/>
              <w:rPr>
                <w:lang w:val="en-AU"/>
              </w:rPr>
            </w:pPr>
            <w:r w:rsidRPr="000F3C8B">
              <w:rPr>
                <w:lang w:val="en-AU"/>
              </w:rPr>
              <w:t>67</w:t>
            </w:r>
          </w:p>
        </w:tc>
        <w:tc>
          <w:tcPr>
            <w:tcW w:w="1559" w:type="dxa"/>
            <w:shd w:val="clear" w:color="auto" w:fill="auto"/>
            <w:noWrap/>
            <w:hideMark/>
          </w:tcPr>
          <w:p w:rsidR="00712F0D" w:rsidRPr="000F3C8B" w:rsidRDefault="00712F0D" w:rsidP="00A3108C">
            <w:pPr>
              <w:pStyle w:val="TableText0"/>
              <w:jc w:val="right"/>
              <w:rPr>
                <w:lang w:val="en-AU"/>
              </w:rPr>
            </w:pPr>
            <w:r w:rsidRPr="000F3C8B">
              <w:rPr>
                <w:lang w:val="en-AU"/>
              </w:rPr>
              <w:t>14</w:t>
            </w:r>
          </w:p>
        </w:tc>
        <w:tc>
          <w:tcPr>
            <w:tcW w:w="1418" w:type="dxa"/>
            <w:shd w:val="clear" w:color="auto" w:fill="auto"/>
            <w:noWrap/>
            <w:hideMark/>
          </w:tcPr>
          <w:p w:rsidR="00712F0D" w:rsidRPr="000F3C8B" w:rsidRDefault="003F1391" w:rsidP="00A3108C">
            <w:pPr>
              <w:pStyle w:val="TableText0"/>
              <w:jc w:val="right"/>
              <w:rPr>
                <w:lang w:val="en-AU"/>
              </w:rPr>
            </w:pPr>
            <w:r w:rsidRPr="000F3C8B">
              <w:rPr>
                <w:lang w:val="en-AU"/>
              </w:rPr>
              <w:t>20.9</w:t>
            </w:r>
          </w:p>
        </w:tc>
        <w:tc>
          <w:tcPr>
            <w:tcW w:w="1461" w:type="dxa"/>
            <w:shd w:val="clear" w:color="auto" w:fill="auto"/>
          </w:tcPr>
          <w:p w:rsidR="00712F0D" w:rsidRPr="000F3C8B" w:rsidRDefault="00712F0D" w:rsidP="00A3108C">
            <w:pPr>
              <w:pStyle w:val="TableText0"/>
              <w:jc w:val="center"/>
              <w:rPr>
                <w:lang w:val="en-AU"/>
              </w:rPr>
            </w:pPr>
            <w:r w:rsidRPr="000F3C8B">
              <w:rPr>
                <w:lang w:val="en-AU"/>
              </w:rPr>
              <w:t>Uncovered</w:t>
            </w:r>
          </w:p>
        </w:tc>
      </w:tr>
      <w:tr w:rsidR="00712F0D" w:rsidRPr="00584C29" w:rsidTr="00A3108C">
        <w:trPr>
          <w:trHeight w:val="288"/>
        </w:trPr>
        <w:tc>
          <w:tcPr>
            <w:tcW w:w="2235" w:type="dxa"/>
            <w:shd w:val="clear" w:color="auto" w:fill="auto"/>
            <w:noWrap/>
            <w:hideMark/>
          </w:tcPr>
          <w:p w:rsidR="00712F0D" w:rsidRPr="000F3C8B" w:rsidRDefault="00712F0D" w:rsidP="00A3108C">
            <w:pPr>
              <w:pStyle w:val="TableText0"/>
              <w:rPr>
                <w:lang w:val="en-AU"/>
              </w:rPr>
            </w:pPr>
            <w:r w:rsidRPr="000F3C8B">
              <w:rPr>
                <w:lang w:val="en-AU"/>
              </w:rPr>
              <w:t xml:space="preserve">Mucci-Hennekinne et al </w:t>
            </w:r>
            <w:r w:rsidR="00926149" w:rsidRPr="000F3C8B">
              <w:rPr>
                <w:lang w:val="en-AU"/>
              </w:rPr>
              <w:t>(</w:t>
            </w:r>
            <w:r w:rsidRPr="000F3C8B">
              <w:rPr>
                <w:lang w:val="en-AU"/>
              </w:rPr>
              <w:t>2007</w:t>
            </w:r>
            <w:r w:rsidR="00926149" w:rsidRPr="000F3C8B">
              <w:rPr>
                <w:lang w:val="en-AU"/>
              </w:rPr>
              <w:t>)</w:t>
            </w:r>
          </w:p>
        </w:tc>
        <w:tc>
          <w:tcPr>
            <w:tcW w:w="850" w:type="dxa"/>
            <w:shd w:val="clear" w:color="auto" w:fill="auto"/>
            <w:noWrap/>
            <w:hideMark/>
          </w:tcPr>
          <w:p w:rsidR="00712F0D" w:rsidRPr="000F3C8B" w:rsidRDefault="00712F0D" w:rsidP="00A3108C">
            <w:pPr>
              <w:pStyle w:val="TableText0"/>
              <w:jc w:val="right"/>
              <w:rPr>
                <w:lang w:val="en-AU"/>
              </w:rPr>
            </w:pPr>
            <w:r w:rsidRPr="000F3C8B">
              <w:rPr>
                <w:lang w:val="en-AU"/>
              </w:rPr>
              <w:t>67</w:t>
            </w:r>
          </w:p>
        </w:tc>
        <w:tc>
          <w:tcPr>
            <w:tcW w:w="1559" w:type="dxa"/>
            <w:shd w:val="clear" w:color="auto" w:fill="auto"/>
            <w:noWrap/>
            <w:hideMark/>
          </w:tcPr>
          <w:p w:rsidR="00712F0D" w:rsidRPr="000F3C8B" w:rsidRDefault="00712F0D" w:rsidP="00A3108C">
            <w:pPr>
              <w:pStyle w:val="TableText0"/>
              <w:jc w:val="right"/>
              <w:rPr>
                <w:lang w:val="en-AU"/>
              </w:rPr>
            </w:pPr>
            <w:r w:rsidRPr="000F3C8B">
              <w:rPr>
                <w:lang w:val="en-AU"/>
              </w:rPr>
              <w:t>8</w:t>
            </w:r>
          </w:p>
        </w:tc>
        <w:tc>
          <w:tcPr>
            <w:tcW w:w="1418" w:type="dxa"/>
            <w:shd w:val="clear" w:color="auto" w:fill="auto"/>
            <w:noWrap/>
            <w:hideMark/>
          </w:tcPr>
          <w:p w:rsidR="00712F0D" w:rsidRPr="000F3C8B" w:rsidRDefault="003F1391" w:rsidP="00A3108C">
            <w:pPr>
              <w:pStyle w:val="TableText0"/>
              <w:jc w:val="right"/>
              <w:rPr>
                <w:lang w:val="en-AU"/>
              </w:rPr>
            </w:pPr>
            <w:r w:rsidRPr="000F3C8B">
              <w:rPr>
                <w:lang w:val="en-AU"/>
              </w:rPr>
              <w:t>11.9</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300"/>
        </w:trPr>
        <w:tc>
          <w:tcPr>
            <w:tcW w:w="2235" w:type="dxa"/>
            <w:shd w:val="clear" w:color="auto" w:fill="auto"/>
            <w:noWrap/>
            <w:hideMark/>
          </w:tcPr>
          <w:p w:rsidR="00712F0D" w:rsidRPr="000F3C8B" w:rsidRDefault="00712F0D" w:rsidP="00A3108C">
            <w:pPr>
              <w:pStyle w:val="TableText0"/>
              <w:rPr>
                <w:lang w:val="en-AU"/>
              </w:rPr>
            </w:pPr>
            <w:r w:rsidRPr="000F3C8B">
              <w:rPr>
                <w:lang w:val="en-AU"/>
              </w:rPr>
              <w:t xml:space="preserve">Athreya et al </w:t>
            </w:r>
            <w:r w:rsidR="00926149" w:rsidRPr="000F3C8B">
              <w:rPr>
                <w:lang w:val="en-AU"/>
              </w:rPr>
              <w:t>(</w:t>
            </w:r>
            <w:r w:rsidRPr="000F3C8B">
              <w:rPr>
                <w:lang w:val="en-AU"/>
              </w:rPr>
              <w:t>2006</w:t>
            </w:r>
            <w:r w:rsidR="00926149" w:rsidRPr="000F3C8B">
              <w:rPr>
                <w:lang w:val="en-AU"/>
              </w:rPr>
              <w:t>)</w:t>
            </w:r>
          </w:p>
        </w:tc>
        <w:tc>
          <w:tcPr>
            <w:tcW w:w="850" w:type="dxa"/>
            <w:shd w:val="clear" w:color="auto" w:fill="auto"/>
            <w:noWrap/>
            <w:hideMark/>
          </w:tcPr>
          <w:p w:rsidR="00712F0D" w:rsidRPr="000F3C8B" w:rsidRDefault="00712F0D" w:rsidP="00A3108C">
            <w:pPr>
              <w:pStyle w:val="TableText0"/>
              <w:jc w:val="right"/>
              <w:rPr>
                <w:lang w:val="en-AU"/>
              </w:rPr>
            </w:pPr>
            <w:r w:rsidRPr="000F3C8B">
              <w:rPr>
                <w:lang w:val="en-AU"/>
              </w:rPr>
              <w:t>87</w:t>
            </w:r>
          </w:p>
        </w:tc>
        <w:tc>
          <w:tcPr>
            <w:tcW w:w="1559" w:type="dxa"/>
            <w:shd w:val="clear" w:color="auto" w:fill="auto"/>
            <w:noWrap/>
            <w:hideMark/>
          </w:tcPr>
          <w:p w:rsidR="00712F0D" w:rsidRPr="000F3C8B" w:rsidRDefault="00712F0D" w:rsidP="00A3108C">
            <w:pPr>
              <w:pStyle w:val="TableText0"/>
              <w:jc w:val="right"/>
              <w:rPr>
                <w:lang w:val="en-AU"/>
              </w:rPr>
            </w:pPr>
            <w:r w:rsidRPr="000F3C8B">
              <w:rPr>
                <w:lang w:val="en-AU"/>
              </w:rPr>
              <w:t>2</w:t>
            </w:r>
          </w:p>
        </w:tc>
        <w:tc>
          <w:tcPr>
            <w:tcW w:w="1418" w:type="dxa"/>
            <w:shd w:val="clear" w:color="auto" w:fill="auto"/>
            <w:noWrap/>
            <w:hideMark/>
          </w:tcPr>
          <w:p w:rsidR="00712F0D" w:rsidRPr="000F3C8B" w:rsidRDefault="003F1391" w:rsidP="00A3108C">
            <w:pPr>
              <w:pStyle w:val="TableText0"/>
              <w:jc w:val="right"/>
              <w:rPr>
                <w:lang w:val="en-AU"/>
              </w:rPr>
            </w:pPr>
            <w:r w:rsidRPr="000F3C8B">
              <w:rPr>
                <w:lang w:val="en-AU"/>
              </w:rPr>
              <w:t>2.3</w:t>
            </w:r>
          </w:p>
        </w:tc>
        <w:tc>
          <w:tcPr>
            <w:tcW w:w="1461" w:type="dxa"/>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300"/>
        </w:trPr>
        <w:tc>
          <w:tcPr>
            <w:tcW w:w="2235" w:type="dxa"/>
            <w:tcBorders>
              <w:bottom w:val="nil"/>
            </w:tcBorders>
            <w:shd w:val="clear" w:color="auto" w:fill="auto"/>
            <w:noWrap/>
          </w:tcPr>
          <w:p w:rsidR="00712F0D" w:rsidRPr="000F3C8B" w:rsidRDefault="00712F0D" w:rsidP="00A3108C">
            <w:pPr>
              <w:pStyle w:val="TableText0"/>
              <w:rPr>
                <w:lang w:val="en-AU"/>
              </w:rPr>
            </w:pPr>
            <w:r w:rsidRPr="000F3C8B">
              <w:rPr>
                <w:lang w:val="en-AU"/>
              </w:rPr>
              <w:t>Garcia-Cano</w:t>
            </w:r>
            <w:r w:rsidR="00083987" w:rsidRPr="000F3C8B">
              <w:rPr>
                <w:lang w:val="en-AU"/>
              </w:rPr>
              <w:t xml:space="preserve"> et al</w:t>
            </w:r>
            <w:r w:rsidRPr="000F3C8B">
              <w:rPr>
                <w:lang w:val="en-AU"/>
              </w:rPr>
              <w:t xml:space="preserve"> </w:t>
            </w:r>
            <w:r w:rsidR="00926149" w:rsidRPr="000F3C8B">
              <w:rPr>
                <w:lang w:val="en-AU"/>
              </w:rPr>
              <w:t>(</w:t>
            </w:r>
            <w:r w:rsidRPr="000F3C8B">
              <w:rPr>
                <w:lang w:val="en-AU"/>
              </w:rPr>
              <w:t>2006</w:t>
            </w:r>
            <w:r w:rsidR="00926149" w:rsidRPr="000F3C8B">
              <w:rPr>
                <w:lang w:val="en-AU"/>
              </w:rPr>
              <w:t>)</w:t>
            </w:r>
          </w:p>
        </w:tc>
        <w:tc>
          <w:tcPr>
            <w:tcW w:w="850" w:type="dxa"/>
            <w:tcBorders>
              <w:bottom w:val="nil"/>
            </w:tcBorders>
            <w:shd w:val="clear" w:color="auto" w:fill="auto"/>
            <w:noWrap/>
          </w:tcPr>
          <w:p w:rsidR="00712F0D" w:rsidRPr="000F3C8B" w:rsidRDefault="00712F0D" w:rsidP="00A3108C">
            <w:pPr>
              <w:pStyle w:val="TableText0"/>
              <w:jc w:val="right"/>
              <w:rPr>
                <w:lang w:val="en-AU"/>
              </w:rPr>
            </w:pPr>
            <w:r w:rsidRPr="000F3C8B">
              <w:rPr>
                <w:lang w:val="en-AU"/>
              </w:rPr>
              <w:t>175</w:t>
            </w:r>
          </w:p>
        </w:tc>
        <w:tc>
          <w:tcPr>
            <w:tcW w:w="1559" w:type="dxa"/>
            <w:tcBorders>
              <w:bottom w:val="nil"/>
            </w:tcBorders>
            <w:shd w:val="clear" w:color="auto" w:fill="auto"/>
            <w:noWrap/>
          </w:tcPr>
          <w:p w:rsidR="00712F0D" w:rsidRPr="000F3C8B" w:rsidRDefault="00712F0D" w:rsidP="00A3108C">
            <w:pPr>
              <w:pStyle w:val="TableText0"/>
              <w:jc w:val="right"/>
              <w:rPr>
                <w:lang w:val="en-AU"/>
              </w:rPr>
            </w:pPr>
            <w:r w:rsidRPr="000F3C8B">
              <w:rPr>
                <w:lang w:val="en-AU"/>
              </w:rPr>
              <w:t>3</w:t>
            </w:r>
          </w:p>
        </w:tc>
        <w:tc>
          <w:tcPr>
            <w:tcW w:w="1418" w:type="dxa"/>
            <w:tcBorders>
              <w:bottom w:val="nil"/>
            </w:tcBorders>
            <w:shd w:val="clear" w:color="auto" w:fill="auto"/>
            <w:noWrap/>
          </w:tcPr>
          <w:p w:rsidR="00712F0D" w:rsidRPr="000F3C8B" w:rsidRDefault="003F1391" w:rsidP="00A3108C">
            <w:pPr>
              <w:pStyle w:val="TableText0"/>
              <w:jc w:val="right"/>
              <w:rPr>
                <w:lang w:val="en-AU"/>
              </w:rPr>
            </w:pPr>
            <w:r w:rsidRPr="000F3C8B">
              <w:rPr>
                <w:lang w:val="en-AU"/>
              </w:rPr>
              <w:t>1.7</w:t>
            </w:r>
          </w:p>
        </w:tc>
        <w:tc>
          <w:tcPr>
            <w:tcW w:w="1461" w:type="dxa"/>
            <w:tcBorders>
              <w:bottom w:val="nil"/>
            </w:tcBorders>
            <w:shd w:val="clear" w:color="auto" w:fill="auto"/>
          </w:tcPr>
          <w:p w:rsidR="00712F0D" w:rsidRPr="000F3C8B" w:rsidRDefault="00712F0D" w:rsidP="00A3108C">
            <w:pPr>
              <w:pStyle w:val="TableText0"/>
              <w:jc w:val="center"/>
              <w:rPr>
                <w:lang w:val="en-AU"/>
              </w:rPr>
            </w:pPr>
            <w:r w:rsidRPr="000F3C8B">
              <w:rPr>
                <w:lang w:val="en-AU"/>
              </w:rPr>
              <w:t>NR</w:t>
            </w:r>
          </w:p>
        </w:tc>
      </w:tr>
      <w:tr w:rsidR="00712F0D" w:rsidRPr="00584C29" w:rsidTr="00A3108C">
        <w:trPr>
          <w:trHeight w:val="237"/>
        </w:trPr>
        <w:tc>
          <w:tcPr>
            <w:tcW w:w="2235" w:type="dxa"/>
            <w:tcBorders>
              <w:top w:val="nil"/>
              <w:bottom w:val="single" w:sz="12" w:space="0" w:color="auto"/>
            </w:tcBorders>
            <w:shd w:val="clear" w:color="auto" w:fill="auto"/>
            <w:noWrap/>
          </w:tcPr>
          <w:p w:rsidR="00712F0D" w:rsidRPr="000F3C8B" w:rsidRDefault="00712F0D" w:rsidP="00A3108C">
            <w:pPr>
              <w:pStyle w:val="TableText0"/>
              <w:rPr>
                <w:b/>
                <w:lang w:val="en-AU"/>
              </w:rPr>
            </w:pPr>
            <w:r w:rsidRPr="000F3C8B">
              <w:rPr>
                <w:b/>
                <w:lang w:val="en-AU"/>
              </w:rPr>
              <w:t>TOTAL (23 studies)</w:t>
            </w:r>
          </w:p>
        </w:tc>
        <w:tc>
          <w:tcPr>
            <w:tcW w:w="850" w:type="dxa"/>
            <w:tcBorders>
              <w:top w:val="nil"/>
              <w:bottom w:val="single" w:sz="12" w:space="0" w:color="auto"/>
            </w:tcBorders>
            <w:shd w:val="clear" w:color="auto" w:fill="auto"/>
            <w:noWrap/>
          </w:tcPr>
          <w:p w:rsidR="00712F0D" w:rsidRPr="000F3C8B" w:rsidRDefault="00712F0D" w:rsidP="00A3108C">
            <w:pPr>
              <w:pStyle w:val="TableText0"/>
              <w:jc w:val="right"/>
              <w:rPr>
                <w:b/>
                <w:lang w:val="en-AU"/>
              </w:rPr>
            </w:pPr>
            <w:r w:rsidRPr="000F3C8B">
              <w:rPr>
                <w:b/>
                <w:lang w:val="en-AU"/>
              </w:rPr>
              <w:t>3302</w:t>
            </w:r>
          </w:p>
        </w:tc>
        <w:tc>
          <w:tcPr>
            <w:tcW w:w="1559" w:type="dxa"/>
            <w:tcBorders>
              <w:top w:val="nil"/>
              <w:bottom w:val="single" w:sz="12" w:space="0" w:color="auto"/>
            </w:tcBorders>
            <w:shd w:val="clear" w:color="auto" w:fill="auto"/>
            <w:noWrap/>
          </w:tcPr>
          <w:p w:rsidR="00712F0D" w:rsidRPr="000F3C8B" w:rsidRDefault="00712F0D" w:rsidP="00A3108C">
            <w:pPr>
              <w:pStyle w:val="TableText0"/>
              <w:jc w:val="right"/>
              <w:rPr>
                <w:b/>
                <w:lang w:val="en-AU"/>
              </w:rPr>
            </w:pPr>
            <w:r w:rsidRPr="000F3C8B">
              <w:rPr>
                <w:b/>
                <w:lang w:val="en-AU"/>
              </w:rPr>
              <w:t>216</w:t>
            </w:r>
          </w:p>
        </w:tc>
        <w:tc>
          <w:tcPr>
            <w:tcW w:w="1418" w:type="dxa"/>
            <w:tcBorders>
              <w:top w:val="nil"/>
              <w:bottom w:val="single" w:sz="12" w:space="0" w:color="auto"/>
            </w:tcBorders>
            <w:shd w:val="clear" w:color="auto" w:fill="auto"/>
            <w:noWrap/>
          </w:tcPr>
          <w:p w:rsidR="00712F0D" w:rsidRPr="000F3C8B" w:rsidRDefault="00712F0D" w:rsidP="00A3108C">
            <w:pPr>
              <w:pStyle w:val="TableText0"/>
              <w:jc w:val="right"/>
              <w:rPr>
                <w:b/>
                <w:lang w:val="en-AU"/>
              </w:rPr>
            </w:pPr>
            <w:r w:rsidRPr="000F3C8B">
              <w:rPr>
                <w:b/>
                <w:lang w:val="en-AU"/>
              </w:rPr>
              <w:t>6.</w:t>
            </w:r>
            <w:r w:rsidR="003F1391" w:rsidRPr="000F3C8B">
              <w:rPr>
                <w:b/>
                <w:lang w:val="en-AU"/>
              </w:rPr>
              <w:t>5</w:t>
            </w:r>
          </w:p>
        </w:tc>
        <w:tc>
          <w:tcPr>
            <w:tcW w:w="1461" w:type="dxa"/>
            <w:tcBorders>
              <w:top w:val="nil"/>
              <w:bottom w:val="single" w:sz="12" w:space="0" w:color="auto"/>
            </w:tcBorders>
            <w:shd w:val="clear" w:color="auto" w:fill="auto"/>
          </w:tcPr>
          <w:p w:rsidR="00712F0D" w:rsidRPr="000F3C8B" w:rsidRDefault="00712F0D" w:rsidP="00A3108C">
            <w:pPr>
              <w:pStyle w:val="TableText0"/>
              <w:jc w:val="center"/>
              <w:rPr>
                <w:b/>
                <w:lang w:val="en-AU"/>
              </w:rPr>
            </w:pPr>
            <w:r w:rsidRPr="000F3C8B">
              <w:rPr>
                <w:b/>
                <w:lang w:val="en-AU"/>
              </w:rPr>
              <w:t>-</w:t>
            </w:r>
          </w:p>
        </w:tc>
      </w:tr>
    </w:tbl>
    <w:p w:rsidR="00A3108C" w:rsidRDefault="00A3108C" w:rsidP="00A3108C">
      <w:pPr>
        <w:pStyle w:val="TableNotes"/>
        <w:rPr>
          <w:lang w:val="en-AU" w:eastAsia="en-US"/>
        </w:rPr>
      </w:pPr>
      <w:r w:rsidRPr="00A3108C">
        <w:rPr>
          <w:lang w:eastAsia="en-US"/>
        </w:rPr>
        <w:t>a  Includes 2 early stent re-occlusions, 1 faecal impaction and 22 late re-occlusions.</w:t>
      </w:r>
      <w:r w:rsidRPr="00A3108C">
        <w:rPr>
          <w:lang w:eastAsia="en-US"/>
        </w:rPr>
        <w:br/>
        <w:t xml:space="preserve">b  Includes 2 cases of faecal impactions which occurred within 30 days and 21 stent obstructions which occurred after 30 days. Late obstructions caused by stent migration (n=7), tumour outgrowth (n=15), and ingrowth (n=3). Fifteen patients were treated by re-stenting and six needed palliative surgery. </w:t>
      </w:r>
      <w:r w:rsidRPr="00A3108C">
        <w:rPr>
          <w:lang w:eastAsia="en-US"/>
        </w:rPr>
        <w:br/>
      </w:r>
      <w:proofErr w:type="gramStart"/>
      <w:r>
        <w:rPr>
          <w:lang w:val="en-AU" w:eastAsia="en-US"/>
        </w:rPr>
        <w:t>c</w:t>
      </w:r>
      <w:r w:rsidRPr="00A3108C">
        <w:rPr>
          <w:lang w:eastAsia="en-US"/>
        </w:rPr>
        <w:t xml:space="preserve"> </w:t>
      </w:r>
      <w:r>
        <w:rPr>
          <w:lang w:val="en-AU" w:eastAsia="en-US"/>
        </w:rPr>
        <w:t xml:space="preserve"> </w:t>
      </w:r>
      <w:r w:rsidRPr="00A3108C">
        <w:rPr>
          <w:lang w:eastAsia="en-US"/>
        </w:rPr>
        <w:t>N</w:t>
      </w:r>
      <w:proofErr w:type="gramEnd"/>
      <w:r w:rsidRPr="00A3108C">
        <w:rPr>
          <w:lang w:eastAsia="en-US"/>
        </w:rPr>
        <w:t xml:space="preserve">  Based on the number of stenting procedures or attempts performed.</w:t>
      </w:r>
    </w:p>
    <w:p w:rsidR="00A3108C" w:rsidRPr="00F57498" w:rsidRDefault="00A3108C" w:rsidP="00A3108C">
      <w:pPr>
        <w:pStyle w:val="TableNotes"/>
        <w:rPr>
          <w:lang w:val="en-AU" w:eastAsia="en-US"/>
        </w:rPr>
      </w:pPr>
      <w:proofErr w:type="gramStart"/>
      <w:r>
        <w:rPr>
          <w:lang w:val="en-AU" w:eastAsia="en-US"/>
        </w:rPr>
        <w:t>d</w:t>
      </w:r>
      <w:r w:rsidRPr="00A3108C">
        <w:rPr>
          <w:lang w:eastAsia="en-US"/>
        </w:rPr>
        <w:t xml:space="preserve">  Includes</w:t>
      </w:r>
      <w:proofErr w:type="gramEnd"/>
      <w:r w:rsidRPr="00A3108C">
        <w:rPr>
          <w:lang w:eastAsia="en-US"/>
        </w:rPr>
        <w:t xml:space="preserve"> 3 cases of faecal impactions (one of them lead to clinical failure) and 8 stent occlusions (1 within 7 days and 7 after 7 days).</w:t>
      </w:r>
      <w:r w:rsidRPr="00A3108C">
        <w:rPr>
          <w:lang w:eastAsia="en-US"/>
        </w:rPr>
        <w:br/>
      </w:r>
      <w:proofErr w:type="gramStart"/>
      <w:r>
        <w:rPr>
          <w:lang w:val="en-AU" w:eastAsia="en-US"/>
        </w:rPr>
        <w:t>e</w:t>
      </w:r>
      <w:r w:rsidRPr="00A3108C">
        <w:rPr>
          <w:lang w:eastAsia="en-US"/>
        </w:rPr>
        <w:t xml:space="preserve">  Includes</w:t>
      </w:r>
      <w:proofErr w:type="gramEnd"/>
      <w:r w:rsidRPr="00A3108C">
        <w:rPr>
          <w:lang w:eastAsia="en-US"/>
        </w:rPr>
        <w:t xml:space="preserve"> 3 early (&lt;7 days) stent occlusions, 10 late (&gt;7 days) stent occlusions and one distal obstruction.</w:t>
      </w:r>
      <w:r w:rsidRPr="00A3108C">
        <w:rPr>
          <w:lang w:eastAsia="en-US"/>
        </w:rPr>
        <w:br/>
        <w:t>N:  Based on all patients for whom safety data was reported, regardless of the number of patients enrolled in a study, or their technical/clinical success. In some cases, the number of stenting attempts or procedures performed has been considered as the denominator inst</w:t>
      </w:r>
      <w:r w:rsidR="00F57498">
        <w:rPr>
          <w:lang w:eastAsia="en-US"/>
        </w:rPr>
        <w:t>ead of the number of patients.</w:t>
      </w:r>
    </w:p>
    <w:p w:rsidR="00CB2EA2" w:rsidRPr="00965DBA" w:rsidRDefault="00CB2EA2" w:rsidP="00C2693F">
      <w:pPr>
        <w:pStyle w:val="Heading4"/>
      </w:pPr>
      <w:r w:rsidRPr="00965DBA">
        <w:t>Stent migration</w:t>
      </w:r>
    </w:p>
    <w:p w:rsidR="00874530" w:rsidRPr="00E2422F" w:rsidRDefault="00713413" w:rsidP="008637D5">
      <w:bookmarkStart w:id="171" w:name="_Toc318034774"/>
      <w:bookmarkStart w:id="172" w:name="_Toc318034866"/>
      <w:r w:rsidRPr="009E5C53">
        <w:t xml:space="preserve">Out of </w:t>
      </w:r>
      <w:r w:rsidR="00DF4C31" w:rsidRPr="00E2422F">
        <w:t xml:space="preserve">the </w:t>
      </w:r>
      <w:r w:rsidRPr="00892811">
        <w:t>3</w:t>
      </w:r>
      <w:r w:rsidR="00E65B38" w:rsidRPr="008978EE">
        <w:t>3</w:t>
      </w:r>
      <w:r w:rsidRPr="008978EE">
        <w:t xml:space="preserve"> </w:t>
      </w:r>
      <w:r w:rsidR="00531B57" w:rsidRPr="00A30BA9">
        <w:t xml:space="preserve">level </w:t>
      </w:r>
      <w:r w:rsidR="00E70E70" w:rsidRPr="005646B6">
        <w:t>IV</w:t>
      </w:r>
      <w:r w:rsidR="00531B57" w:rsidRPr="00003831">
        <w:t xml:space="preserve"> studies</w:t>
      </w:r>
      <w:r w:rsidRPr="00A87C52">
        <w:t xml:space="preserve"> included in the safety analysis, 3</w:t>
      </w:r>
      <w:r w:rsidR="00E65B38" w:rsidRPr="00DF686C">
        <w:t>2</w:t>
      </w:r>
      <w:r w:rsidRPr="00DF686C">
        <w:t xml:space="preserve"> </w:t>
      </w:r>
      <w:r w:rsidR="00DF4C31" w:rsidRPr="00DF686C">
        <w:t>stated</w:t>
      </w:r>
      <w:r w:rsidRPr="007D0320">
        <w:t xml:space="preserve"> incidences of </w:t>
      </w:r>
      <w:r w:rsidR="00DF4C31" w:rsidRPr="00F13A5A">
        <w:t xml:space="preserve">stent </w:t>
      </w:r>
      <w:r w:rsidRPr="00BE3EA8">
        <w:t xml:space="preserve">migration. This </w:t>
      </w:r>
      <w:r w:rsidR="001061BB" w:rsidRPr="00BE3EA8">
        <w:t>incorporate</w:t>
      </w:r>
      <w:r w:rsidR="001061BB">
        <w:t>d</w:t>
      </w:r>
      <w:r w:rsidR="001061BB" w:rsidRPr="00BE3EA8">
        <w:t xml:space="preserve"> </w:t>
      </w:r>
      <w:r w:rsidR="00E65B38" w:rsidRPr="00BE3EA8">
        <w:t xml:space="preserve">4032 </w:t>
      </w:r>
      <w:r w:rsidRPr="00A3741F">
        <w:t xml:space="preserve">of the total </w:t>
      </w:r>
      <w:r w:rsidR="00E65B38" w:rsidRPr="00F2707B">
        <w:t xml:space="preserve">4103 </w:t>
      </w:r>
      <w:r w:rsidR="00546321" w:rsidRPr="00F2707B">
        <w:t xml:space="preserve">patients that </w:t>
      </w:r>
      <w:r w:rsidR="00F048E5" w:rsidRPr="00F2707B">
        <w:t xml:space="preserve">were </w:t>
      </w:r>
      <w:r w:rsidR="00546321" w:rsidRPr="008F42F9">
        <w:t xml:space="preserve">included in the </w:t>
      </w:r>
      <w:r w:rsidR="00531B57" w:rsidRPr="008F42F9">
        <w:t xml:space="preserve">level </w:t>
      </w:r>
      <w:r w:rsidR="00E70E70" w:rsidRPr="008F42F9">
        <w:t>IV</w:t>
      </w:r>
      <w:r w:rsidR="00546321" w:rsidRPr="008F42F9">
        <w:t xml:space="preserve"> evidence</w:t>
      </w:r>
      <w:r w:rsidR="00DF4C31" w:rsidRPr="008F42F9">
        <w:t xml:space="preserve"> base. </w:t>
      </w:r>
      <w:r w:rsidR="00575A2B" w:rsidRPr="008F42F9">
        <w:t>A</w:t>
      </w:r>
      <w:r w:rsidRPr="00325C69">
        <w:t xml:space="preserve"> </w:t>
      </w:r>
      <w:r w:rsidR="005D3DF5" w:rsidRPr="007D5B7C">
        <w:t xml:space="preserve">total of </w:t>
      </w:r>
      <w:r w:rsidR="00E65B38" w:rsidRPr="007D5B7C">
        <w:t xml:space="preserve">259 </w:t>
      </w:r>
      <w:r w:rsidR="005D3DF5" w:rsidRPr="007D5B7C">
        <w:t xml:space="preserve">incidences of </w:t>
      </w:r>
      <w:r w:rsidRPr="007D5B7C">
        <w:t xml:space="preserve">stent migration </w:t>
      </w:r>
      <w:r w:rsidR="00DF4C31" w:rsidRPr="007D5B7C">
        <w:t>following stent insertion</w:t>
      </w:r>
      <w:r w:rsidR="00575A2B" w:rsidRPr="007D5B7C">
        <w:t xml:space="preserve"> were reported </w:t>
      </w:r>
      <w:r w:rsidR="001061BB">
        <w:t>within the</w:t>
      </w:r>
      <w:r w:rsidR="001061BB" w:rsidRPr="007D5B7C">
        <w:t xml:space="preserve"> </w:t>
      </w:r>
      <w:r w:rsidR="005D3DF5" w:rsidRPr="007D5B7C">
        <w:t>follow</w:t>
      </w:r>
      <w:r w:rsidR="00F048E5" w:rsidRPr="007D5B7C">
        <w:t>-</w:t>
      </w:r>
      <w:r w:rsidR="005D3DF5" w:rsidRPr="00960A9E">
        <w:t>up periods</w:t>
      </w:r>
      <w:r w:rsidR="00575377" w:rsidRPr="00EA2600">
        <w:t xml:space="preserve"> that data</w:t>
      </w:r>
      <w:r w:rsidR="00F048E5" w:rsidRPr="00EA2600">
        <w:t xml:space="preserve"> was</w:t>
      </w:r>
      <w:r w:rsidR="00575377" w:rsidRPr="00EA2600">
        <w:t xml:space="preserve"> provided</w:t>
      </w:r>
      <w:r w:rsidR="0073556C" w:rsidRPr="00EC591E">
        <w:t xml:space="preserve"> </w:t>
      </w:r>
      <w:r w:rsidR="00531B57" w:rsidRPr="00EC591E">
        <w:t>for</w:t>
      </w:r>
      <w:r w:rsidR="00D238F1" w:rsidRPr="00430AA8">
        <w:t xml:space="preserve"> </w:t>
      </w:r>
      <w:r w:rsidR="00BC5F52" w:rsidRPr="00347DAA">
        <w:t>(See</w:t>
      </w:r>
      <w:r w:rsidR="006F654A">
        <w:t xml:space="preserve"> </w:t>
      </w:r>
      <w:r w:rsidR="00050563">
        <w:fldChar w:fldCharType="begin"/>
      </w:r>
      <w:r w:rsidR="00050563">
        <w:instrText xml:space="preserve"> REF _Ref324946384 \h </w:instrText>
      </w:r>
      <w:r w:rsidR="00050563">
        <w:fldChar w:fldCharType="separate"/>
      </w:r>
      <w:r w:rsidR="0071544A" w:rsidRPr="00050563">
        <w:t xml:space="preserve">Table </w:t>
      </w:r>
      <w:r w:rsidR="0071544A">
        <w:rPr>
          <w:noProof/>
        </w:rPr>
        <w:t>34</w:t>
      </w:r>
      <w:r w:rsidR="00050563">
        <w:fldChar w:fldCharType="end"/>
      </w:r>
      <w:r w:rsidR="00BC5F52" w:rsidRPr="009E5C53">
        <w:t>)</w:t>
      </w:r>
      <w:bookmarkEnd w:id="171"/>
      <w:bookmarkEnd w:id="172"/>
      <w:r w:rsidR="001061BB">
        <w:t>.</w:t>
      </w:r>
    </w:p>
    <w:p w:rsidR="00713413" w:rsidRPr="00DA0155" w:rsidRDefault="00874530" w:rsidP="008637D5">
      <w:r w:rsidRPr="00E2422F">
        <w:t xml:space="preserve">The </w:t>
      </w:r>
      <w:r w:rsidR="00546321" w:rsidRPr="00892811">
        <w:t>occurrence</w:t>
      </w:r>
      <w:r w:rsidR="007077F9" w:rsidRPr="008978EE">
        <w:t xml:space="preserve"> rate of migration </w:t>
      </w:r>
      <w:r w:rsidR="001061BB" w:rsidRPr="008978EE">
        <w:t>ran</w:t>
      </w:r>
      <w:r w:rsidR="001061BB" w:rsidRPr="00A30BA9">
        <w:t>ge</w:t>
      </w:r>
      <w:r w:rsidR="001061BB">
        <w:t>d</w:t>
      </w:r>
      <w:r w:rsidR="001061BB" w:rsidRPr="00003831">
        <w:t xml:space="preserve"> </w:t>
      </w:r>
      <w:r w:rsidR="007077F9" w:rsidRPr="00003831">
        <w:t xml:space="preserve">from </w:t>
      </w:r>
      <w:r w:rsidRPr="00A87C52">
        <w:t>0.9</w:t>
      </w:r>
      <w:r w:rsidR="00B463D8">
        <w:t xml:space="preserve"> per cent</w:t>
      </w:r>
      <w:r w:rsidRPr="00A87C52">
        <w:t xml:space="preserve"> (Kim et </w:t>
      </w:r>
      <w:r w:rsidRPr="00DF686C">
        <w:t>al 2010) to 21.</w:t>
      </w:r>
      <w:r w:rsidR="00C1779E" w:rsidRPr="00DF686C">
        <w:t>9</w:t>
      </w:r>
      <w:r w:rsidR="00B463D8">
        <w:t xml:space="preserve"> per cent</w:t>
      </w:r>
      <w:r w:rsidRPr="00DF686C">
        <w:t xml:space="preserve"> (Stenhouse et al 200</w:t>
      </w:r>
      <w:r w:rsidR="00056811">
        <w:t>9</w:t>
      </w:r>
      <w:r w:rsidRPr="00DF686C">
        <w:t>)</w:t>
      </w:r>
      <w:r w:rsidR="008A7FE4">
        <w:t>,</w:t>
      </w:r>
      <w:r w:rsidRPr="00DF686C">
        <w:t xml:space="preserve"> where the mean occurrence of the event </w:t>
      </w:r>
      <w:r w:rsidR="001061BB">
        <w:t>wa</w:t>
      </w:r>
      <w:r w:rsidR="001061BB" w:rsidRPr="00DF686C">
        <w:t xml:space="preserve">s </w:t>
      </w:r>
      <w:r w:rsidRPr="00DF686C">
        <w:t xml:space="preserve">calculated </w:t>
      </w:r>
      <w:r w:rsidR="007077F9" w:rsidRPr="00F13A5A">
        <w:t>at</w:t>
      </w:r>
      <w:r w:rsidRPr="00BE3EA8">
        <w:t xml:space="preserve"> 6.</w:t>
      </w:r>
      <w:r w:rsidR="00E65B38" w:rsidRPr="00BE3EA8">
        <w:t>4</w:t>
      </w:r>
      <w:r w:rsidR="00B463D8">
        <w:t xml:space="preserve"> per cent</w:t>
      </w:r>
      <w:r w:rsidRPr="00A3741F">
        <w:t xml:space="preserve"> among </w:t>
      </w:r>
      <w:r w:rsidR="007077F9" w:rsidRPr="00F2707B">
        <w:t xml:space="preserve">the </w:t>
      </w:r>
      <w:r w:rsidRPr="00F2707B">
        <w:t>3</w:t>
      </w:r>
      <w:r w:rsidR="00E65B38" w:rsidRPr="00F2707B">
        <w:t>2</w:t>
      </w:r>
      <w:r w:rsidRPr="00F2707B">
        <w:t xml:space="preserve"> </w:t>
      </w:r>
      <w:r w:rsidR="007077F9" w:rsidRPr="00F2707B">
        <w:t>studies</w:t>
      </w:r>
      <w:r w:rsidRPr="00154934">
        <w:t xml:space="preserve">. </w:t>
      </w:r>
      <w:r w:rsidR="007077F9" w:rsidRPr="00154934">
        <w:t xml:space="preserve">The median rate of stent migration was </w:t>
      </w:r>
      <w:r w:rsidR="00976A87" w:rsidRPr="00154934">
        <w:t>7</w:t>
      </w:r>
      <w:r w:rsidR="00A71B16" w:rsidRPr="00154934">
        <w:t>.</w:t>
      </w:r>
      <w:r w:rsidR="00976A87" w:rsidRPr="00CC0B1F">
        <w:t>1</w:t>
      </w:r>
      <w:r w:rsidR="00B463D8">
        <w:t xml:space="preserve"> per cent</w:t>
      </w:r>
      <w:r w:rsidR="00A71B16" w:rsidRPr="008F42F9">
        <w:t xml:space="preserve">. </w:t>
      </w:r>
      <w:r w:rsidR="00B80A48" w:rsidRPr="008F42F9">
        <w:t xml:space="preserve">Twenty </w:t>
      </w:r>
      <w:r w:rsidR="00976A87" w:rsidRPr="008F42F9">
        <w:t xml:space="preserve">two </w:t>
      </w:r>
      <w:r w:rsidR="00B80A48" w:rsidRPr="008F42F9">
        <w:t>(&gt;6</w:t>
      </w:r>
      <w:r w:rsidR="00976A87" w:rsidRPr="008F42F9">
        <w:t>8</w:t>
      </w:r>
      <w:r w:rsidR="00B80A48" w:rsidRPr="008F42F9">
        <w:t>%) studies reported &lt;10</w:t>
      </w:r>
      <w:r w:rsidR="00B463D8">
        <w:t xml:space="preserve"> per cent</w:t>
      </w:r>
      <w:r w:rsidR="00B80A48" w:rsidRPr="008F42F9">
        <w:t xml:space="preserve"> rate of migrations. </w:t>
      </w:r>
      <w:r w:rsidR="00A71B16" w:rsidRPr="00325C69">
        <w:t>T</w:t>
      </w:r>
      <w:r w:rsidRPr="007D5B7C">
        <w:t>he majority of studies (3</w:t>
      </w:r>
      <w:r w:rsidR="00976A87" w:rsidRPr="007D5B7C">
        <w:t>0</w:t>
      </w:r>
      <w:r w:rsidRPr="007D5B7C">
        <w:t xml:space="preserve"> of 3</w:t>
      </w:r>
      <w:r w:rsidR="00976A87" w:rsidRPr="007D5B7C">
        <w:t>2</w:t>
      </w:r>
      <w:r w:rsidR="001061BB">
        <w:t>;</w:t>
      </w:r>
      <w:r w:rsidR="001061BB" w:rsidRPr="007D5B7C">
        <w:t xml:space="preserve"> </w:t>
      </w:r>
      <w:r w:rsidR="00546321" w:rsidRPr="007D5B7C">
        <w:t>&gt;9</w:t>
      </w:r>
      <w:r w:rsidR="00976A87" w:rsidRPr="007D5B7C">
        <w:t>3</w:t>
      </w:r>
      <w:r w:rsidR="00546321" w:rsidRPr="007D5B7C">
        <w:t xml:space="preserve">%) </w:t>
      </w:r>
      <w:r w:rsidR="007077F9" w:rsidRPr="00960A9E">
        <w:t>record</w:t>
      </w:r>
      <w:r w:rsidR="007077F9" w:rsidRPr="00EA2600">
        <w:t>ed</w:t>
      </w:r>
      <w:r w:rsidR="00546321" w:rsidRPr="00EA2600">
        <w:t xml:space="preserve"> &lt;15</w:t>
      </w:r>
      <w:r w:rsidR="001061BB">
        <w:t xml:space="preserve"> per cent</w:t>
      </w:r>
      <w:r w:rsidR="001061BB" w:rsidRPr="00EA2600">
        <w:t xml:space="preserve"> </w:t>
      </w:r>
      <w:r w:rsidR="00546321" w:rsidRPr="00EA2600">
        <w:t>incidence of stent migration</w:t>
      </w:r>
      <w:r w:rsidR="00575A2B" w:rsidRPr="00EA2600">
        <w:t>, while</w:t>
      </w:r>
      <w:r w:rsidR="00521C18" w:rsidRPr="00EC591E">
        <w:t xml:space="preserve"> </w:t>
      </w:r>
      <w:r w:rsidR="00546321" w:rsidRPr="00EC591E">
        <w:t xml:space="preserve">Lee </w:t>
      </w:r>
      <w:r w:rsidR="00546321" w:rsidRPr="00EC591E">
        <w:lastRenderedPageBreak/>
        <w:t>et al (2007) and Stenhouse et al (200</w:t>
      </w:r>
      <w:r w:rsidR="00056811">
        <w:t>9</w:t>
      </w:r>
      <w:r w:rsidR="00546321" w:rsidRPr="00EC591E">
        <w:t xml:space="preserve">) </w:t>
      </w:r>
      <w:r w:rsidR="00A71B16" w:rsidRPr="00430AA8">
        <w:t>experienced</w:t>
      </w:r>
      <w:r w:rsidR="00F048E5" w:rsidRPr="00347DAA">
        <w:t xml:space="preserve"> the</w:t>
      </w:r>
      <w:r w:rsidR="00575A2B" w:rsidRPr="009672A9">
        <w:t xml:space="preserve"> highest incidence rates, </w:t>
      </w:r>
      <w:r w:rsidR="00546321" w:rsidRPr="009672A9">
        <w:t>16.2</w:t>
      </w:r>
      <w:r w:rsidR="00B463D8">
        <w:t xml:space="preserve"> per cent</w:t>
      </w:r>
      <w:r w:rsidR="00546321" w:rsidRPr="009672A9">
        <w:t xml:space="preserve"> and 21.</w:t>
      </w:r>
      <w:r w:rsidR="00C1779E" w:rsidRPr="00584C29">
        <w:t>9</w:t>
      </w:r>
      <w:r w:rsidR="00B463D8">
        <w:t xml:space="preserve"> per cent</w:t>
      </w:r>
      <w:r w:rsidR="00546321" w:rsidRPr="00584C29">
        <w:t xml:space="preserve"> respectively. </w:t>
      </w:r>
    </w:p>
    <w:p w:rsidR="007929CE" w:rsidRPr="00CD21F6" w:rsidRDefault="001061BB" w:rsidP="008637D5">
      <w:r>
        <w:t>The m</w:t>
      </w:r>
      <w:r w:rsidR="007929CE" w:rsidRPr="00CF31D5">
        <w:t>ajority of studies (1</w:t>
      </w:r>
      <w:r w:rsidR="00976A87" w:rsidRPr="00A550ED">
        <w:t>8</w:t>
      </w:r>
      <w:r w:rsidR="007929CE" w:rsidRPr="0055406F">
        <w:t xml:space="preserve"> of 3</w:t>
      </w:r>
      <w:r w:rsidR="00976A87" w:rsidRPr="004C658D">
        <w:t>2</w:t>
      </w:r>
      <w:r w:rsidR="007929CE" w:rsidRPr="00B1508A">
        <w:t xml:space="preserve">) did not mention the type of stents used. Six studies used only uncovered stents and eight studies used both uncovered and covered types. Among the studies </w:t>
      </w:r>
      <w:r>
        <w:t>that</w:t>
      </w:r>
      <w:r w:rsidRPr="00B1508A">
        <w:t xml:space="preserve"> </w:t>
      </w:r>
      <w:r w:rsidR="007929CE" w:rsidRPr="00B1508A">
        <w:t>used uncovered stents only, 44 incidences of stent migrations occurred (n=763</w:t>
      </w:r>
      <w:r>
        <w:t>;</w:t>
      </w:r>
      <w:r w:rsidRPr="00B1508A">
        <w:t xml:space="preserve"> </w:t>
      </w:r>
      <w:r w:rsidR="007929CE" w:rsidRPr="00B1508A">
        <w:t>5.8</w:t>
      </w:r>
      <w:r>
        <w:t>%</w:t>
      </w:r>
      <w:r w:rsidR="007929CE" w:rsidRPr="00B1508A">
        <w:t xml:space="preserve"> occurrence</w:t>
      </w:r>
      <w:r>
        <w:t>)</w:t>
      </w:r>
      <w:r w:rsidR="007929CE" w:rsidRPr="00B1508A">
        <w:t>. In contrast</w:t>
      </w:r>
      <w:r>
        <w:t>,</w:t>
      </w:r>
      <w:r w:rsidR="007929CE" w:rsidRPr="00B1508A">
        <w:t xml:space="preserve"> among the </w:t>
      </w:r>
      <w:r w:rsidR="00976A87" w:rsidRPr="00B1508A">
        <w:t xml:space="preserve">eight </w:t>
      </w:r>
      <w:r w:rsidR="007929CE" w:rsidRPr="00B1508A">
        <w:t>st</w:t>
      </w:r>
      <w:r w:rsidR="007929CE" w:rsidRPr="001949E9">
        <w:t>udies (n=1048) that used both covered and covered stents</w:t>
      </w:r>
      <w:r>
        <w:t>,</w:t>
      </w:r>
      <w:r w:rsidR="007929CE" w:rsidRPr="001949E9">
        <w:t xml:space="preserve"> 95 incidences of stent migration</w:t>
      </w:r>
      <w:r>
        <w:t xml:space="preserve"> were reported</w:t>
      </w:r>
      <w:r w:rsidR="007929CE" w:rsidRPr="001949E9">
        <w:t xml:space="preserve"> </w:t>
      </w:r>
      <w:r>
        <w:t xml:space="preserve">(9.1% </w:t>
      </w:r>
      <w:r w:rsidR="007929CE" w:rsidRPr="001949E9">
        <w:t>occurrence</w:t>
      </w:r>
      <w:r>
        <w:t>)</w:t>
      </w:r>
      <w:r w:rsidR="007929CE" w:rsidRPr="001949E9">
        <w:t xml:space="preserve">. </w:t>
      </w:r>
    </w:p>
    <w:p w:rsidR="00816699" w:rsidRPr="001166E9" w:rsidRDefault="00CC5563" w:rsidP="008637D5">
      <w:r w:rsidRPr="0086082D">
        <w:t>Ten studies</w:t>
      </w:r>
      <w:r w:rsidR="00DC5FE3" w:rsidRPr="0072092E">
        <w:t xml:space="preserve"> </w:t>
      </w:r>
      <w:r w:rsidRPr="0072092E">
        <w:t>provided data on t</w:t>
      </w:r>
      <w:r w:rsidR="00816699" w:rsidRPr="0072092E">
        <w:t xml:space="preserve">ime </w:t>
      </w:r>
      <w:r w:rsidR="00734CAB" w:rsidRPr="0052787F">
        <w:t xml:space="preserve">until </w:t>
      </w:r>
      <w:r w:rsidR="00816699" w:rsidRPr="0052787F">
        <w:t>stent migration</w:t>
      </w:r>
      <w:r w:rsidRPr="0099516A">
        <w:t xml:space="preserve"> (n=1058). Among 96 total migrations</w:t>
      </w:r>
      <w:r w:rsidR="005A3D99" w:rsidRPr="00A84480">
        <w:t>,</w:t>
      </w:r>
      <w:r w:rsidRPr="00186148">
        <w:t xml:space="preserve"> 40 occurred within a week</w:t>
      </w:r>
      <w:r w:rsidR="00531B57" w:rsidRPr="00A32225">
        <w:t xml:space="preserve"> </w:t>
      </w:r>
      <w:r w:rsidRPr="005C214B">
        <w:t xml:space="preserve">of stent insertion </w:t>
      </w:r>
      <w:r w:rsidR="001061BB" w:rsidRPr="00A32225">
        <w:t>(early migration)</w:t>
      </w:r>
      <w:r w:rsidR="001061BB">
        <w:t>,</w:t>
      </w:r>
      <w:r w:rsidR="001061BB" w:rsidRPr="005C214B">
        <w:t xml:space="preserve"> </w:t>
      </w:r>
      <w:r w:rsidRPr="005C214B">
        <w:t>and 56 occurred after seven day</w:t>
      </w:r>
      <w:r w:rsidR="001061BB">
        <w:t>s</w:t>
      </w:r>
      <w:r w:rsidRPr="005C214B">
        <w:t xml:space="preserve"> </w:t>
      </w:r>
      <w:r w:rsidR="00531B57" w:rsidRPr="00C27C1E">
        <w:t>(late migration)</w:t>
      </w:r>
      <w:r w:rsidRPr="00027046">
        <w:t xml:space="preserve">. This </w:t>
      </w:r>
      <w:r w:rsidR="001061BB" w:rsidRPr="00027046">
        <w:t>indicate</w:t>
      </w:r>
      <w:r w:rsidR="001061BB">
        <w:t>d</w:t>
      </w:r>
      <w:r w:rsidR="001061BB" w:rsidRPr="00027046">
        <w:t xml:space="preserve"> </w:t>
      </w:r>
      <w:r w:rsidR="00734CAB" w:rsidRPr="00027046">
        <w:t>a</w:t>
      </w:r>
      <w:r w:rsidRPr="00027046">
        <w:t xml:space="preserve"> 41.</w:t>
      </w:r>
      <w:r w:rsidR="00C1779E" w:rsidRPr="00027046">
        <w:t>7</w:t>
      </w:r>
      <w:r w:rsidR="00B463D8">
        <w:t xml:space="preserve"> per cent</w:t>
      </w:r>
      <w:r w:rsidR="00734CAB" w:rsidRPr="00EA5A32">
        <w:t xml:space="preserve"> tendency for </w:t>
      </w:r>
      <w:r w:rsidRPr="00083501">
        <w:t>early</w:t>
      </w:r>
      <w:r w:rsidR="00C03AE1" w:rsidRPr="00367FF6">
        <w:t xml:space="preserve"> occurrence,</w:t>
      </w:r>
      <w:r w:rsidRPr="00367FF6">
        <w:t xml:space="preserve"> </w:t>
      </w:r>
      <w:r w:rsidR="00C03AE1" w:rsidRPr="00C71844">
        <w:t xml:space="preserve">if the stent is patent to </w:t>
      </w:r>
      <w:r w:rsidRPr="00C71844">
        <w:t xml:space="preserve">migration. </w:t>
      </w:r>
    </w:p>
    <w:p w:rsidR="00CC5563" w:rsidRPr="00BB3C05" w:rsidRDefault="00CC5563" w:rsidP="004441B5">
      <w:r w:rsidRPr="00BB3C05">
        <w:t xml:space="preserve">Distal migration of the stents </w:t>
      </w:r>
      <w:r w:rsidR="001061BB" w:rsidRPr="00BB3C05">
        <w:t>w</w:t>
      </w:r>
      <w:r w:rsidR="001061BB">
        <w:t>as</w:t>
      </w:r>
      <w:r w:rsidR="001061BB" w:rsidRPr="00BB3C05">
        <w:t xml:space="preserve"> </w:t>
      </w:r>
      <w:r w:rsidRPr="00BB3C05">
        <w:t>the most common</w:t>
      </w:r>
      <w:r w:rsidR="001061BB">
        <w:t>,</w:t>
      </w:r>
      <w:r w:rsidRPr="00BB3C05">
        <w:t xml:space="preserve"> with </w:t>
      </w:r>
      <w:r w:rsidR="001061BB">
        <w:t>the</w:t>
      </w:r>
      <w:r w:rsidR="001061BB" w:rsidRPr="00BB3C05">
        <w:t xml:space="preserve"> </w:t>
      </w:r>
      <w:r w:rsidRPr="00BB3C05">
        <w:t xml:space="preserve">potential </w:t>
      </w:r>
      <w:r w:rsidR="001061BB">
        <w:t xml:space="preserve">for </w:t>
      </w:r>
      <w:r w:rsidR="00DC5FE3" w:rsidRPr="00BB3C05">
        <w:t>spontaneous</w:t>
      </w:r>
      <w:r w:rsidRPr="00BB3C05">
        <w:t xml:space="preserve"> </w:t>
      </w:r>
      <w:r w:rsidR="00DC5FE3" w:rsidRPr="00BB3C05">
        <w:t>expulsion</w:t>
      </w:r>
      <w:r w:rsidRPr="00BB3C05">
        <w:t xml:space="preserve"> via </w:t>
      </w:r>
      <w:r w:rsidR="001061BB">
        <w:t xml:space="preserve">the </w:t>
      </w:r>
      <w:r w:rsidRPr="00BB3C05">
        <w:t>anus (Li et al 2010). However</w:t>
      </w:r>
      <w:r w:rsidR="005A3D99" w:rsidRPr="00BB3C05">
        <w:t>,</w:t>
      </w:r>
      <w:r w:rsidRPr="00BB3C05">
        <w:t xml:space="preserve"> </w:t>
      </w:r>
      <w:r w:rsidR="001061BB">
        <w:t xml:space="preserve">the </w:t>
      </w:r>
      <w:r w:rsidRPr="00BB3C05">
        <w:t xml:space="preserve">possibility of proximal migration </w:t>
      </w:r>
      <w:r w:rsidR="00734CAB" w:rsidRPr="00BB3C05">
        <w:t xml:space="preserve">was </w:t>
      </w:r>
      <w:r w:rsidR="003F1391" w:rsidRPr="00BB3C05">
        <w:t>also noted. Garcia-</w:t>
      </w:r>
      <w:r w:rsidR="001061BB">
        <w:t>C</w:t>
      </w:r>
      <w:r w:rsidR="001061BB" w:rsidRPr="00BB3C05">
        <w:t xml:space="preserve">ano </w:t>
      </w:r>
      <w:r w:rsidR="001061BB">
        <w:t xml:space="preserve">et al </w:t>
      </w:r>
      <w:r w:rsidRPr="00BB3C05">
        <w:t xml:space="preserve">(2006) recorded two incidences of proximal migration </w:t>
      </w:r>
      <w:r w:rsidR="001061BB">
        <w:t>from</w:t>
      </w:r>
      <w:r w:rsidR="001061BB" w:rsidRPr="00BB3C05">
        <w:t xml:space="preserve"> </w:t>
      </w:r>
      <w:r w:rsidR="00734CAB" w:rsidRPr="00BB3C05">
        <w:t xml:space="preserve">a </w:t>
      </w:r>
      <w:r w:rsidRPr="00BB3C05">
        <w:t xml:space="preserve">total of </w:t>
      </w:r>
      <w:r w:rsidR="005A3D99" w:rsidRPr="00BB3C05">
        <w:t>seven</w:t>
      </w:r>
      <w:r w:rsidRPr="00BB3C05">
        <w:t xml:space="preserve"> incidences. </w:t>
      </w:r>
    </w:p>
    <w:p w:rsidR="009D7329" w:rsidRPr="00BB3C05" w:rsidRDefault="00D238F1" w:rsidP="00C2693F">
      <w:pPr>
        <w:sectPr w:rsidR="009D7329" w:rsidRPr="00BB3C05" w:rsidSect="00287570">
          <w:footerReference w:type="default" r:id="rId35"/>
          <w:pgSz w:w="11906" w:h="16838"/>
          <w:pgMar w:top="1440" w:right="1440" w:bottom="1440" w:left="1440" w:header="720" w:footer="720" w:gutter="0"/>
          <w:paperSrc w:first="2" w:other="2"/>
          <w:cols w:space="720"/>
          <w:docGrid w:linePitch="326"/>
        </w:sectPr>
      </w:pPr>
      <w:r w:rsidRPr="00BB3C05">
        <w:t xml:space="preserve">It should be noted that some studies </w:t>
      </w:r>
      <w:r w:rsidR="00725B0E" w:rsidRPr="00BB3C05">
        <w:t>have not incorporated stent migration into their safety analysis, if the occurrence was immediate and</w:t>
      </w:r>
      <w:r w:rsidR="00B80A48" w:rsidRPr="00BB3C05">
        <w:t>/or</w:t>
      </w:r>
      <w:r w:rsidR="00725B0E" w:rsidRPr="00BB3C05">
        <w:t xml:space="preserve"> resulted </w:t>
      </w:r>
      <w:r w:rsidR="00F048E5" w:rsidRPr="00BB3C05">
        <w:t xml:space="preserve">in </w:t>
      </w:r>
      <w:r w:rsidR="00725B0E" w:rsidRPr="00BB3C05">
        <w:t>technical or clinical failure. However</w:t>
      </w:r>
      <w:r w:rsidR="001061BB">
        <w:t>,</w:t>
      </w:r>
      <w:r w:rsidR="00725B0E" w:rsidRPr="00BB3C05">
        <w:t xml:space="preserve"> during our </w:t>
      </w:r>
      <w:r w:rsidR="00521C18" w:rsidRPr="00BB3C05">
        <w:t xml:space="preserve">assessment </w:t>
      </w:r>
      <w:r w:rsidR="00B80A48" w:rsidRPr="00BB3C05">
        <w:t>such incidences were</w:t>
      </w:r>
      <w:r w:rsidR="00725B0E" w:rsidRPr="00BB3C05">
        <w:t xml:space="preserve"> considered </w:t>
      </w:r>
      <w:r w:rsidR="00816699" w:rsidRPr="00BB3C05">
        <w:t>as adverse</w:t>
      </w:r>
      <w:r w:rsidR="00725B0E" w:rsidRPr="00BB3C05">
        <w:t xml:space="preserve"> event</w:t>
      </w:r>
      <w:r w:rsidR="00B80A48" w:rsidRPr="00BB3C05">
        <w:t>s</w:t>
      </w:r>
      <w:r w:rsidR="00725B0E" w:rsidRPr="00BB3C05">
        <w:t xml:space="preserve"> and incorporated into the calculation. For instance, </w:t>
      </w:r>
      <w:r w:rsidR="00B80A48" w:rsidRPr="00BB3C05">
        <w:t xml:space="preserve">Cho et al (2011) reported </w:t>
      </w:r>
      <w:r w:rsidR="005A3D99" w:rsidRPr="00BB3C05">
        <w:t>three</w:t>
      </w:r>
      <w:r w:rsidR="00B80A48" w:rsidRPr="00BB3C05">
        <w:t xml:space="preserve"> incidences of stent migration leading to clinical failures and we have considered that the study experienced </w:t>
      </w:r>
      <w:r w:rsidR="00F048E5" w:rsidRPr="00BB3C05">
        <w:t xml:space="preserve">a </w:t>
      </w:r>
      <w:r w:rsidR="00B80A48" w:rsidRPr="00BB3C05">
        <w:t>total of 14 incidences of stent migration including the 11 post</w:t>
      </w:r>
      <w:r w:rsidR="00521C18" w:rsidRPr="00BB3C05">
        <w:t>-</w:t>
      </w:r>
      <w:r w:rsidR="00B80A48" w:rsidRPr="00BB3C05">
        <w:t>interventional complications</w:t>
      </w:r>
      <w:r w:rsidR="009E0D31" w:rsidRPr="00BB3C05">
        <w:t xml:space="preserve"> </w:t>
      </w:r>
      <w:r w:rsidR="00B80A48" w:rsidRPr="00BB3C05">
        <w:t>(n=</w:t>
      </w:r>
      <w:r w:rsidR="00BA7CEC" w:rsidRPr="00BB3C05">
        <w:t>136)</w:t>
      </w:r>
      <w:r w:rsidR="00B80A48" w:rsidRPr="00BB3C05">
        <w:t>.</w:t>
      </w:r>
      <w:r w:rsidR="00471068" w:rsidRPr="00BB3C05">
        <w:t xml:space="preserve"> </w:t>
      </w:r>
      <w:r w:rsidR="00BA7CEC" w:rsidRPr="00BB3C05">
        <w:t xml:space="preserve">In the same manner, Mucci-Hennekinne et al (2007) </w:t>
      </w:r>
      <w:r w:rsidR="00471068" w:rsidRPr="00BB3C05">
        <w:t xml:space="preserve">reported </w:t>
      </w:r>
      <w:r w:rsidR="005A3D99" w:rsidRPr="00BB3C05">
        <w:t>three</w:t>
      </w:r>
      <w:r w:rsidR="00471068" w:rsidRPr="00BB3C05">
        <w:t xml:space="preserve"> cases of stent migration including one immediate migration which has been incorporated </w:t>
      </w:r>
      <w:r w:rsidR="00F048E5" w:rsidRPr="00BB3C05">
        <w:t>in</w:t>
      </w:r>
      <w:r w:rsidR="00471068" w:rsidRPr="00BB3C05">
        <w:t>to our calculation.</w:t>
      </w:r>
    </w:p>
    <w:p w:rsidR="00950C20" w:rsidRPr="00050563" w:rsidRDefault="00050563" w:rsidP="00050563">
      <w:pPr>
        <w:pStyle w:val="Caption"/>
      </w:pPr>
      <w:bookmarkStart w:id="173" w:name="_Ref324946384"/>
      <w:bookmarkStart w:id="174" w:name="_Toc327522078"/>
      <w:r w:rsidRPr="00050563">
        <w:lastRenderedPageBreak/>
        <w:t xml:space="preserve">Table </w:t>
      </w:r>
      <w:fldSimple w:instr=" SEQ Table \* ARABIC ">
        <w:r w:rsidR="0071544A">
          <w:rPr>
            <w:noProof/>
          </w:rPr>
          <w:t>34</w:t>
        </w:r>
      </w:fldSimple>
      <w:bookmarkEnd w:id="173"/>
      <w:r w:rsidR="008637D5" w:rsidRPr="00050563">
        <w:tab/>
      </w:r>
      <w:r w:rsidR="00991686" w:rsidRPr="00050563">
        <w:t>S</w:t>
      </w:r>
      <w:r w:rsidR="00950C20" w:rsidRPr="00050563">
        <w:t>ummary of stent migration events reported by included primary studies</w:t>
      </w:r>
      <w:bookmarkEnd w:id="174"/>
    </w:p>
    <w:tbl>
      <w:tblPr>
        <w:tblW w:w="11331" w:type="dxa"/>
        <w:tblInd w:w="720" w:type="dxa"/>
        <w:tblBorders>
          <w:top w:val="single" w:sz="12" w:space="0" w:color="auto"/>
          <w:bottom w:val="single" w:sz="12" w:space="0" w:color="auto"/>
        </w:tblBorders>
        <w:tblLayout w:type="fixed"/>
        <w:tblLook w:val="04A0" w:firstRow="1" w:lastRow="0" w:firstColumn="1" w:lastColumn="0" w:noHBand="0" w:noVBand="1"/>
      </w:tblPr>
      <w:tblGrid>
        <w:gridCol w:w="1806"/>
        <w:gridCol w:w="669"/>
        <w:gridCol w:w="1308"/>
        <w:gridCol w:w="1275"/>
        <w:gridCol w:w="1441"/>
        <w:gridCol w:w="3095"/>
        <w:gridCol w:w="868"/>
        <w:gridCol w:w="869"/>
      </w:tblGrid>
      <w:tr w:rsidR="00A3108C" w:rsidRPr="00BB3C05" w:rsidTr="000D3EF2">
        <w:trPr>
          <w:cantSplit/>
          <w:trHeight w:val="295"/>
          <w:tblHeader/>
        </w:trPr>
        <w:tc>
          <w:tcPr>
            <w:tcW w:w="1806" w:type="dxa"/>
            <w:vMerge w:val="restart"/>
            <w:tcBorders>
              <w:top w:val="single" w:sz="12" w:space="0" w:color="auto"/>
            </w:tcBorders>
            <w:shd w:val="clear" w:color="auto" w:fill="auto"/>
            <w:noWrap/>
            <w:hideMark/>
          </w:tcPr>
          <w:p w:rsidR="00A3108C" w:rsidRPr="00083501" w:rsidRDefault="00A3108C" w:rsidP="00050563">
            <w:pPr>
              <w:pStyle w:val="TableHeading0"/>
            </w:pPr>
            <w:r w:rsidRPr="00083501">
              <w:t>Author</w:t>
            </w:r>
          </w:p>
        </w:tc>
        <w:tc>
          <w:tcPr>
            <w:tcW w:w="669" w:type="dxa"/>
            <w:vMerge w:val="restart"/>
            <w:tcBorders>
              <w:top w:val="single" w:sz="12" w:space="0" w:color="auto"/>
            </w:tcBorders>
            <w:shd w:val="clear" w:color="auto" w:fill="auto"/>
            <w:noWrap/>
            <w:hideMark/>
          </w:tcPr>
          <w:p w:rsidR="00A3108C" w:rsidRPr="00367FF6" w:rsidRDefault="00A3108C" w:rsidP="0007443E">
            <w:pPr>
              <w:pStyle w:val="TableHeading0"/>
              <w:jc w:val="right"/>
            </w:pPr>
            <w:r w:rsidRPr="00367FF6">
              <w:t>N</w:t>
            </w:r>
          </w:p>
        </w:tc>
        <w:tc>
          <w:tcPr>
            <w:tcW w:w="1308" w:type="dxa"/>
            <w:vMerge w:val="restart"/>
            <w:tcBorders>
              <w:top w:val="single" w:sz="12" w:space="0" w:color="auto"/>
            </w:tcBorders>
            <w:shd w:val="clear" w:color="auto" w:fill="auto"/>
            <w:noWrap/>
            <w:hideMark/>
          </w:tcPr>
          <w:p w:rsidR="00A3108C" w:rsidRPr="00C71844" w:rsidRDefault="00A3108C" w:rsidP="0007443E">
            <w:pPr>
              <w:pStyle w:val="TableHeading0"/>
              <w:jc w:val="right"/>
            </w:pPr>
            <w:r w:rsidRPr="00C71844">
              <w:t xml:space="preserve">Events of migration </w:t>
            </w:r>
            <w:r>
              <w:t>(</w:t>
            </w:r>
            <w:r w:rsidRPr="00C71844">
              <w:t>n</w:t>
            </w:r>
            <w:r>
              <w:t>)</w:t>
            </w:r>
          </w:p>
        </w:tc>
        <w:tc>
          <w:tcPr>
            <w:tcW w:w="1275" w:type="dxa"/>
            <w:vMerge w:val="restart"/>
            <w:tcBorders>
              <w:top w:val="single" w:sz="12" w:space="0" w:color="auto"/>
            </w:tcBorders>
            <w:shd w:val="clear" w:color="auto" w:fill="auto"/>
            <w:noWrap/>
            <w:hideMark/>
          </w:tcPr>
          <w:p w:rsidR="00A3108C" w:rsidRPr="00C71844" w:rsidRDefault="00A3108C" w:rsidP="0007443E">
            <w:pPr>
              <w:pStyle w:val="TableHeading0"/>
              <w:jc w:val="right"/>
            </w:pPr>
            <w:r w:rsidRPr="00C71844">
              <w:t>Occurrence (%)</w:t>
            </w:r>
          </w:p>
        </w:tc>
        <w:tc>
          <w:tcPr>
            <w:tcW w:w="1441" w:type="dxa"/>
            <w:vMerge w:val="restart"/>
            <w:tcBorders>
              <w:top w:val="single" w:sz="12" w:space="0" w:color="auto"/>
            </w:tcBorders>
            <w:shd w:val="clear" w:color="auto" w:fill="auto"/>
          </w:tcPr>
          <w:p w:rsidR="00A3108C" w:rsidRPr="00BB3C05" w:rsidRDefault="00A3108C" w:rsidP="00050563">
            <w:pPr>
              <w:pStyle w:val="TableHeading0"/>
            </w:pPr>
            <w:r w:rsidRPr="001166E9">
              <w:t>Type of stent (covered vs uncovered)</w:t>
            </w:r>
          </w:p>
        </w:tc>
        <w:tc>
          <w:tcPr>
            <w:tcW w:w="3095" w:type="dxa"/>
            <w:vMerge w:val="restart"/>
            <w:tcBorders>
              <w:top w:val="single" w:sz="12" w:space="0" w:color="auto"/>
            </w:tcBorders>
            <w:shd w:val="clear" w:color="auto" w:fill="auto"/>
          </w:tcPr>
          <w:p w:rsidR="00A3108C" w:rsidRPr="00BB3C05" w:rsidRDefault="00A3108C" w:rsidP="00050563">
            <w:pPr>
              <w:pStyle w:val="TableHeading0"/>
            </w:pPr>
            <w:r w:rsidRPr="00BB3C05">
              <w:t xml:space="preserve">Length of follow-up </w:t>
            </w:r>
          </w:p>
        </w:tc>
        <w:tc>
          <w:tcPr>
            <w:tcW w:w="1737" w:type="dxa"/>
            <w:gridSpan w:val="2"/>
            <w:tcBorders>
              <w:top w:val="single" w:sz="12" w:space="0" w:color="auto"/>
              <w:bottom w:val="nil"/>
            </w:tcBorders>
          </w:tcPr>
          <w:p w:rsidR="00A3108C" w:rsidRPr="00BB3C05" w:rsidRDefault="00A3108C" w:rsidP="00A3108C">
            <w:pPr>
              <w:pStyle w:val="TableHeading0"/>
              <w:jc w:val="center"/>
            </w:pPr>
            <w:r>
              <w:t>Time of m</w:t>
            </w:r>
            <w:r w:rsidRPr="00BB3C05">
              <w:t>igration</w:t>
            </w:r>
            <w:r w:rsidRPr="00A3108C">
              <w:rPr>
                <w:vertAlign w:val="superscript"/>
              </w:rPr>
              <w:t>a</w:t>
            </w:r>
          </w:p>
        </w:tc>
      </w:tr>
      <w:tr w:rsidR="00A3108C" w:rsidRPr="00BB3C05" w:rsidTr="000D3EF2">
        <w:trPr>
          <w:cantSplit/>
          <w:trHeight w:val="294"/>
          <w:tblHeader/>
        </w:trPr>
        <w:tc>
          <w:tcPr>
            <w:tcW w:w="1806" w:type="dxa"/>
            <w:vMerge/>
            <w:tcBorders>
              <w:bottom w:val="single" w:sz="4" w:space="0" w:color="auto"/>
            </w:tcBorders>
            <w:shd w:val="clear" w:color="auto" w:fill="auto"/>
            <w:noWrap/>
          </w:tcPr>
          <w:p w:rsidR="00A3108C" w:rsidRPr="00083501" w:rsidRDefault="00A3108C" w:rsidP="00050563">
            <w:pPr>
              <w:pStyle w:val="TableHeading0"/>
            </w:pPr>
          </w:p>
        </w:tc>
        <w:tc>
          <w:tcPr>
            <w:tcW w:w="669" w:type="dxa"/>
            <w:vMerge/>
            <w:tcBorders>
              <w:bottom w:val="single" w:sz="4" w:space="0" w:color="auto"/>
            </w:tcBorders>
            <w:shd w:val="clear" w:color="auto" w:fill="auto"/>
            <w:noWrap/>
          </w:tcPr>
          <w:p w:rsidR="00A3108C" w:rsidRPr="00367FF6" w:rsidRDefault="00A3108C" w:rsidP="0007443E">
            <w:pPr>
              <w:pStyle w:val="TableHeading0"/>
              <w:jc w:val="right"/>
            </w:pPr>
          </w:p>
        </w:tc>
        <w:tc>
          <w:tcPr>
            <w:tcW w:w="1308" w:type="dxa"/>
            <w:vMerge/>
            <w:tcBorders>
              <w:bottom w:val="single" w:sz="4" w:space="0" w:color="auto"/>
            </w:tcBorders>
            <w:shd w:val="clear" w:color="auto" w:fill="auto"/>
            <w:noWrap/>
          </w:tcPr>
          <w:p w:rsidR="00A3108C" w:rsidRPr="00C71844" w:rsidRDefault="00A3108C" w:rsidP="0007443E">
            <w:pPr>
              <w:pStyle w:val="TableHeading0"/>
              <w:jc w:val="right"/>
            </w:pPr>
          </w:p>
        </w:tc>
        <w:tc>
          <w:tcPr>
            <w:tcW w:w="1275" w:type="dxa"/>
            <w:vMerge/>
            <w:tcBorders>
              <w:bottom w:val="single" w:sz="4" w:space="0" w:color="auto"/>
            </w:tcBorders>
            <w:shd w:val="clear" w:color="auto" w:fill="auto"/>
            <w:noWrap/>
          </w:tcPr>
          <w:p w:rsidR="00A3108C" w:rsidRPr="00C71844" w:rsidRDefault="00A3108C" w:rsidP="0007443E">
            <w:pPr>
              <w:pStyle w:val="TableHeading0"/>
              <w:jc w:val="right"/>
            </w:pPr>
          </w:p>
        </w:tc>
        <w:tc>
          <w:tcPr>
            <w:tcW w:w="1441" w:type="dxa"/>
            <w:vMerge/>
            <w:tcBorders>
              <w:bottom w:val="single" w:sz="4" w:space="0" w:color="auto"/>
            </w:tcBorders>
            <w:shd w:val="clear" w:color="auto" w:fill="auto"/>
          </w:tcPr>
          <w:p w:rsidR="00A3108C" w:rsidRPr="001166E9" w:rsidRDefault="00A3108C" w:rsidP="00050563">
            <w:pPr>
              <w:pStyle w:val="TableHeading0"/>
            </w:pPr>
          </w:p>
        </w:tc>
        <w:tc>
          <w:tcPr>
            <w:tcW w:w="3095" w:type="dxa"/>
            <w:vMerge/>
            <w:tcBorders>
              <w:bottom w:val="single" w:sz="4" w:space="0" w:color="auto"/>
            </w:tcBorders>
            <w:shd w:val="clear" w:color="auto" w:fill="auto"/>
          </w:tcPr>
          <w:p w:rsidR="00A3108C" w:rsidRPr="00BB3C05" w:rsidRDefault="00A3108C" w:rsidP="00050563">
            <w:pPr>
              <w:pStyle w:val="TableHeading0"/>
            </w:pPr>
          </w:p>
        </w:tc>
        <w:tc>
          <w:tcPr>
            <w:tcW w:w="868" w:type="dxa"/>
            <w:tcBorders>
              <w:top w:val="nil"/>
              <w:bottom w:val="single" w:sz="4" w:space="0" w:color="auto"/>
            </w:tcBorders>
          </w:tcPr>
          <w:p w:rsidR="00A3108C" w:rsidRPr="00BB3C05" w:rsidRDefault="00A3108C" w:rsidP="00A3108C">
            <w:pPr>
              <w:pStyle w:val="TableHeading0"/>
              <w:jc w:val="center"/>
            </w:pPr>
            <w:r w:rsidRPr="00A3108C">
              <w:t>Early</w:t>
            </w:r>
          </w:p>
        </w:tc>
        <w:tc>
          <w:tcPr>
            <w:tcW w:w="869" w:type="dxa"/>
            <w:tcBorders>
              <w:top w:val="nil"/>
              <w:bottom w:val="single" w:sz="4" w:space="0" w:color="auto"/>
            </w:tcBorders>
          </w:tcPr>
          <w:p w:rsidR="00A3108C" w:rsidRPr="00BB3C05" w:rsidRDefault="00A3108C" w:rsidP="00A3108C">
            <w:pPr>
              <w:pStyle w:val="TableHeading0"/>
              <w:jc w:val="center"/>
            </w:pPr>
            <w:r w:rsidRPr="00A3108C">
              <w:t>Late</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Cho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136</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14</w:t>
            </w:r>
            <w:r w:rsidR="00A3108C">
              <w:rPr>
                <w:vertAlign w:val="superscript"/>
                <w:lang w:val="en-AU"/>
              </w:rPr>
              <w:t>b</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10.3</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3</w:t>
            </w:r>
          </w:p>
        </w:tc>
        <w:tc>
          <w:tcPr>
            <w:tcW w:w="869" w:type="dxa"/>
          </w:tcPr>
          <w:p w:rsidR="0011604E" w:rsidRPr="000F3C8B" w:rsidRDefault="0011604E" w:rsidP="00A3108C">
            <w:pPr>
              <w:pStyle w:val="TableText0"/>
              <w:jc w:val="right"/>
              <w:rPr>
                <w:lang w:val="en-AU"/>
              </w:rPr>
            </w:pPr>
            <w:r w:rsidRPr="000F3C8B">
              <w:rPr>
                <w:lang w:val="en-AU"/>
              </w:rPr>
              <w:t xml:space="preserve"> 11</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De Gregorio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467</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32</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6.8</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 xml:space="preserve">Pal: mean 15.6 </w:t>
            </w:r>
            <w:r w:rsidR="004C075A" w:rsidRPr="000F3C8B">
              <w:rPr>
                <w:lang w:val="en-AU"/>
              </w:rPr>
              <w:t xml:space="preserve">months </w:t>
            </w:r>
            <w:r w:rsidRPr="000F3C8B">
              <w:rPr>
                <w:lang w:val="en-AU"/>
              </w:rPr>
              <w:t xml:space="preserve">(range 1 </w:t>
            </w:r>
            <w:r w:rsidR="00DD7C48">
              <w:rPr>
                <w:lang w:val="en-AU"/>
              </w:rPr>
              <w:t>-</w:t>
            </w:r>
            <w:r w:rsidRPr="000F3C8B">
              <w:rPr>
                <w:lang w:val="en-AU"/>
              </w:rPr>
              <w:t xml:space="preserve"> 25.3</w:t>
            </w:r>
            <w:r w:rsidR="00DD7C48">
              <w:rPr>
                <w:lang w:val="en-AU"/>
              </w:rPr>
              <w:t>)</w:t>
            </w:r>
            <w:r w:rsidRPr="000F3C8B">
              <w:rPr>
                <w:lang w:val="en-AU"/>
              </w:rPr>
              <w:t xml:space="preserve">; </w:t>
            </w:r>
          </w:p>
          <w:p w:rsidR="0011604E" w:rsidRPr="000F3C8B" w:rsidRDefault="0011604E" w:rsidP="00050563">
            <w:pPr>
              <w:pStyle w:val="TableText0"/>
              <w:rPr>
                <w:lang w:val="en-AU"/>
              </w:rPr>
            </w:pPr>
            <w:r w:rsidRPr="000F3C8B">
              <w:rPr>
                <w:lang w:val="en-AU"/>
              </w:rPr>
              <w:t>BTS: 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1061BB">
            <w:pPr>
              <w:pStyle w:val="TableText0"/>
              <w:rPr>
                <w:lang w:val="en-AU"/>
              </w:rPr>
            </w:pPr>
            <w:r w:rsidRPr="000F3C8B">
              <w:rPr>
                <w:lang w:val="en-AU"/>
              </w:rPr>
              <w:t xml:space="preserve">Keränen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100</w:t>
            </w:r>
          </w:p>
        </w:tc>
        <w:tc>
          <w:tcPr>
            <w:tcW w:w="1308" w:type="dxa"/>
            <w:shd w:val="clear" w:color="auto" w:fill="auto"/>
            <w:noWrap/>
          </w:tcPr>
          <w:p w:rsidR="0011604E" w:rsidRPr="000F3C8B" w:rsidRDefault="0011604E" w:rsidP="0007443E">
            <w:pPr>
              <w:pStyle w:val="TableText0"/>
              <w:jc w:val="right"/>
              <w:rPr>
                <w:vertAlign w:val="superscript"/>
                <w:lang w:val="en-AU"/>
              </w:rPr>
            </w:pPr>
            <w:r w:rsidRPr="000F3C8B">
              <w:rPr>
                <w:lang w:val="en-AU"/>
              </w:rPr>
              <w:t>4</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4.0</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DD7C48">
            <w:pPr>
              <w:pStyle w:val="TableText0"/>
              <w:rPr>
                <w:lang w:val="en-AU"/>
              </w:rPr>
            </w:pPr>
            <w:r w:rsidRPr="000F3C8B">
              <w:rPr>
                <w:lang w:val="en-AU"/>
              </w:rPr>
              <w:t xml:space="preserve">Mean 91 days (range 0 </w:t>
            </w:r>
            <w:r w:rsidR="00DD7C48">
              <w:rPr>
                <w:lang w:val="en-AU"/>
              </w:rPr>
              <w:t>-</w:t>
            </w:r>
            <w:r w:rsidRPr="000F3C8B">
              <w:rPr>
                <w:lang w:val="en-AU"/>
              </w:rPr>
              <w:t xml:space="preserve"> 1035)</w:t>
            </w:r>
          </w:p>
        </w:tc>
        <w:tc>
          <w:tcPr>
            <w:tcW w:w="868" w:type="dxa"/>
          </w:tcPr>
          <w:p w:rsidR="0011604E" w:rsidRPr="000F3C8B" w:rsidRDefault="0011604E" w:rsidP="00A3108C">
            <w:pPr>
              <w:pStyle w:val="TableText0"/>
              <w:jc w:val="right"/>
              <w:rPr>
                <w:lang w:val="en-AU"/>
              </w:rPr>
            </w:pPr>
            <w:r w:rsidRPr="000F3C8B">
              <w:rPr>
                <w:lang w:val="en-AU"/>
              </w:rPr>
              <w:t>0</w:t>
            </w:r>
          </w:p>
        </w:tc>
        <w:tc>
          <w:tcPr>
            <w:tcW w:w="869" w:type="dxa"/>
          </w:tcPr>
          <w:p w:rsidR="0011604E" w:rsidRPr="000F3C8B" w:rsidRDefault="0011604E" w:rsidP="00A3108C">
            <w:pPr>
              <w:pStyle w:val="TableText0"/>
              <w:jc w:val="right"/>
              <w:rPr>
                <w:lang w:val="en-AU"/>
              </w:rPr>
            </w:pPr>
            <w:r w:rsidRPr="000F3C8B">
              <w:rPr>
                <w:lang w:val="en-AU"/>
              </w:rPr>
              <w:t>4</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Lee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71</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9</w:t>
            </w:r>
            <w:r w:rsidR="00A3108C">
              <w:rPr>
                <w:vertAlign w:val="superscript"/>
                <w:lang w:val="en-AU"/>
              </w:rPr>
              <w:t>c</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12.7</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DD7C48">
            <w:pPr>
              <w:pStyle w:val="TableText0"/>
              <w:rPr>
                <w:lang w:val="en-AU"/>
              </w:rPr>
            </w:pPr>
            <w:r w:rsidRPr="000F3C8B">
              <w:rPr>
                <w:lang w:val="en-AU"/>
              </w:rPr>
              <w:t xml:space="preserve">Median 9.63 </w:t>
            </w:r>
            <w:r w:rsidR="004C075A" w:rsidRPr="000F3C8B">
              <w:rPr>
                <w:lang w:val="en-AU"/>
              </w:rPr>
              <w:t xml:space="preserve">months </w:t>
            </w:r>
            <w:r w:rsidRPr="000F3C8B">
              <w:rPr>
                <w:lang w:val="en-AU"/>
              </w:rPr>
              <w:t>(SD</w:t>
            </w:r>
            <w:r w:rsidR="001061BB" w:rsidRPr="000F3C8B">
              <w:rPr>
                <w:lang w:val="en-AU"/>
              </w:rPr>
              <w:t xml:space="preserve"> </w:t>
            </w:r>
            <w:r w:rsidRPr="000F3C8B">
              <w:rPr>
                <w:lang w:val="en-AU"/>
              </w:rPr>
              <w:t xml:space="preserve">± 10.14)(range 0.6 </w:t>
            </w:r>
            <w:r w:rsidR="00DD7C48">
              <w:rPr>
                <w:lang w:val="en-AU"/>
              </w:rPr>
              <w:t>-</w:t>
            </w:r>
            <w:r w:rsidRPr="000F3C8B">
              <w:rPr>
                <w:lang w:val="en-AU"/>
              </w:rPr>
              <w:t xml:space="preserve"> 43.14)</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Lepsenyi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A3108C" w:rsidP="0007443E">
            <w:pPr>
              <w:pStyle w:val="TableText0"/>
              <w:jc w:val="right"/>
              <w:rPr>
                <w:lang w:val="en-AU"/>
              </w:rPr>
            </w:pPr>
            <w:r>
              <w:rPr>
                <w:lang w:val="en-AU"/>
              </w:rPr>
              <w:t>65</w:t>
            </w:r>
            <w:r w:rsidRPr="00A3108C">
              <w:rPr>
                <w:vertAlign w:val="superscript"/>
                <w:lang w:val="en-AU"/>
              </w:rPr>
              <w:t>d</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1.5</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Pal: mean 18 mo</w:t>
            </w:r>
            <w:r w:rsidR="00865497" w:rsidRPr="000F3C8B">
              <w:rPr>
                <w:lang w:val="en-AU"/>
              </w:rPr>
              <w:t>nths</w:t>
            </w:r>
            <w:r w:rsidRPr="000F3C8B">
              <w:rPr>
                <w:lang w:val="en-AU"/>
              </w:rPr>
              <w:t>; BTS: 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Mackay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82</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6</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7.3</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Meisner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382</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7</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1.8</w:t>
            </w:r>
          </w:p>
        </w:tc>
        <w:tc>
          <w:tcPr>
            <w:tcW w:w="1441" w:type="dxa"/>
            <w:shd w:val="clear" w:color="auto" w:fill="auto"/>
          </w:tcPr>
          <w:p w:rsidR="0011604E" w:rsidRPr="000F3C8B" w:rsidRDefault="00FE2AC8" w:rsidP="00A3108C">
            <w:pPr>
              <w:pStyle w:val="TableText0"/>
              <w:jc w:val="center"/>
              <w:rPr>
                <w:lang w:val="en-AU"/>
              </w:rPr>
            </w:pPr>
            <w:r w:rsidRPr="000F3C8B">
              <w:rPr>
                <w:lang w:val="en-AU"/>
              </w:rPr>
              <w:t>Uncovered</w:t>
            </w:r>
          </w:p>
        </w:tc>
        <w:tc>
          <w:tcPr>
            <w:tcW w:w="3095" w:type="dxa"/>
            <w:shd w:val="clear" w:color="auto" w:fill="auto"/>
          </w:tcPr>
          <w:p w:rsidR="0011604E" w:rsidRPr="000F3C8B" w:rsidRDefault="0011604E" w:rsidP="00050563">
            <w:pPr>
              <w:pStyle w:val="TableText0"/>
              <w:rPr>
                <w:lang w:val="en-AU"/>
              </w:rPr>
            </w:pPr>
            <w:r w:rsidRPr="000F3C8B">
              <w:rPr>
                <w:lang w:val="en-AU"/>
              </w:rPr>
              <w:t>Pal: until death; BTS: 12 months</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1061BB">
            <w:pPr>
              <w:pStyle w:val="TableText0"/>
              <w:rPr>
                <w:lang w:val="en-AU"/>
              </w:rPr>
            </w:pPr>
            <w:r w:rsidRPr="000F3C8B">
              <w:rPr>
                <w:lang w:val="en-AU"/>
              </w:rPr>
              <w:t xml:space="preserve">Park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103</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15</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14.6</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Selinger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80</w:t>
            </w:r>
          </w:p>
        </w:tc>
        <w:tc>
          <w:tcPr>
            <w:tcW w:w="1308" w:type="dxa"/>
            <w:shd w:val="clear" w:color="auto" w:fill="auto"/>
            <w:noWrap/>
          </w:tcPr>
          <w:p w:rsidR="0011604E" w:rsidRPr="000F3C8B" w:rsidRDefault="0011604E" w:rsidP="0007443E">
            <w:pPr>
              <w:pStyle w:val="TableText0"/>
              <w:jc w:val="right"/>
              <w:rPr>
                <w:vertAlign w:val="superscript"/>
                <w:lang w:val="en-AU"/>
              </w:rPr>
            </w:pPr>
            <w:r w:rsidRPr="000F3C8B">
              <w:rPr>
                <w:lang w:val="en-AU"/>
              </w:rPr>
              <w:t>10</w:t>
            </w:r>
            <w:r w:rsidR="000D3EF2">
              <w:rPr>
                <w:vertAlign w:val="superscript"/>
                <w:lang w:val="en-AU"/>
              </w:rPr>
              <w:t>e</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12.5</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DD7C48">
            <w:pPr>
              <w:pStyle w:val="TableText0"/>
              <w:rPr>
                <w:lang w:val="en-AU"/>
              </w:rPr>
            </w:pPr>
            <w:r w:rsidRPr="000F3C8B">
              <w:rPr>
                <w:lang w:val="en-AU"/>
              </w:rPr>
              <w:t xml:space="preserve">Median 6 </w:t>
            </w:r>
            <w:r w:rsidR="004C075A" w:rsidRPr="000F3C8B">
              <w:rPr>
                <w:lang w:val="en-AU"/>
              </w:rPr>
              <w:t>months</w:t>
            </w:r>
            <w:r w:rsidR="00F355B1">
              <w:rPr>
                <w:lang w:val="en-AU"/>
              </w:rPr>
              <w:t xml:space="preserve">, </w:t>
            </w:r>
            <w:r w:rsidRPr="000F3C8B">
              <w:rPr>
                <w:lang w:val="en-AU"/>
              </w:rPr>
              <w:t>mean 15</w:t>
            </w:r>
            <w:r w:rsidR="00F355B1">
              <w:rPr>
                <w:lang w:val="en-AU"/>
              </w:rPr>
              <w:t xml:space="preserve"> (</w:t>
            </w:r>
            <w:r w:rsidRPr="000F3C8B">
              <w:rPr>
                <w:lang w:val="en-AU"/>
              </w:rPr>
              <w:t>range 1</w:t>
            </w:r>
            <w:r w:rsidR="00DD7C48">
              <w:rPr>
                <w:lang w:val="en-AU"/>
              </w:rPr>
              <w:t xml:space="preserve"> </w:t>
            </w:r>
            <w:r w:rsidRPr="000F3C8B">
              <w:rPr>
                <w:lang w:val="en-AU"/>
              </w:rPr>
              <w:t>-</w:t>
            </w:r>
            <w:r w:rsidR="00DD7C48">
              <w:rPr>
                <w:lang w:val="en-AU"/>
              </w:rPr>
              <w:t xml:space="preserve"> </w:t>
            </w:r>
            <w:r w:rsidRPr="000F3C8B">
              <w:rPr>
                <w:lang w:val="en-AU"/>
              </w:rPr>
              <w:t>72)</w:t>
            </w:r>
          </w:p>
        </w:tc>
        <w:tc>
          <w:tcPr>
            <w:tcW w:w="868" w:type="dxa"/>
          </w:tcPr>
          <w:p w:rsidR="0011604E" w:rsidRPr="000F3C8B" w:rsidRDefault="0011604E" w:rsidP="00A3108C">
            <w:pPr>
              <w:pStyle w:val="TableText0"/>
              <w:jc w:val="right"/>
              <w:rPr>
                <w:lang w:val="en-AU"/>
              </w:rPr>
            </w:pPr>
            <w:r w:rsidRPr="000F3C8B">
              <w:rPr>
                <w:lang w:val="en-AU"/>
              </w:rPr>
              <w:t>3</w:t>
            </w:r>
          </w:p>
        </w:tc>
        <w:tc>
          <w:tcPr>
            <w:tcW w:w="869" w:type="dxa"/>
          </w:tcPr>
          <w:p w:rsidR="0011604E" w:rsidRPr="000F3C8B" w:rsidRDefault="0011604E" w:rsidP="00A3108C">
            <w:pPr>
              <w:pStyle w:val="TableText0"/>
              <w:jc w:val="right"/>
              <w:rPr>
                <w:lang w:val="en-AU"/>
              </w:rPr>
            </w:pPr>
            <w:r w:rsidRPr="000F3C8B">
              <w:rPr>
                <w:lang w:val="en-AU"/>
              </w:rPr>
              <w:t>7</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Yoon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412</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21</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5.1</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050563">
            <w:pPr>
              <w:pStyle w:val="TableText0"/>
              <w:rPr>
                <w:lang w:val="en-AU"/>
              </w:rPr>
            </w:pPr>
            <w:r w:rsidRPr="000F3C8B">
              <w:rPr>
                <w:lang w:val="en-AU"/>
              </w:rPr>
              <w:t xml:space="preserve">Pal: </w:t>
            </w:r>
            <w:r w:rsidR="00DD7C48">
              <w:rPr>
                <w:lang w:val="en-AU"/>
              </w:rPr>
              <w:t>m</w:t>
            </w:r>
            <w:r w:rsidRPr="000F3C8B">
              <w:rPr>
                <w:lang w:val="en-AU"/>
              </w:rPr>
              <w:t>ean 135 days</w:t>
            </w:r>
            <w:r w:rsidR="001061BB" w:rsidRPr="000F3C8B">
              <w:rPr>
                <w:lang w:val="en-AU"/>
              </w:rPr>
              <w:t xml:space="preserve"> </w:t>
            </w:r>
            <w:r w:rsidRPr="000F3C8B">
              <w:rPr>
                <w:lang w:val="en-AU"/>
              </w:rPr>
              <w:t>(</w:t>
            </w:r>
            <w:r w:rsidR="00F355B1">
              <w:rPr>
                <w:lang w:val="en-AU"/>
              </w:rPr>
              <w:t xml:space="preserve">range </w:t>
            </w:r>
            <w:r w:rsidRPr="000F3C8B">
              <w:rPr>
                <w:lang w:val="en-AU"/>
              </w:rPr>
              <w:t>1</w:t>
            </w:r>
            <w:r w:rsidR="00DD7C48">
              <w:rPr>
                <w:lang w:val="en-AU"/>
              </w:rPr>
              <w:t xml:space="preserve"> </w:t>
            </w:r>
            <w:r w:rsidRPr="000F3C8B">
              <w:rPr>
                <w:lang w:val="en-AU"/>
              </w:rPr>
              <w:t>-</w:t>
            </w:r>
            <w:r w:rsidR="00DD7C48">
              <w:rPr>
                <w:lang w:val="en-AU"/>
              </w:rPr>
              <w:t xml:space="preserve"> </w:t>
            </w:r>
            <w:r w:rsidRPr="000F3C8B">
              <w:rPr>
                <w:lang w:val="en-AU"/>
              </w:rPr>
              <w:t xml:space="preserve">1160); </w:t>
            </w:r>
          </w:p>
          <w:p w:rsidR="0011604E" w:rsidRPr="000F3C8B" w:rsidRDefault="0011604E" w:rsidP="00F355B1">
            <w:pPr>
              <w:pStyle w:val="TableText0"/>
              <w:rPr>
                <w:lang w:val="en-AU"/>
              </w:rPr>
            </w:pPr>
            <w:r w:rsidRPr="000F3C8B">
              <w:rPr>
                <w:lang w:val="en-AU"/>
              </w:rPr>
              <w:t>BTS: 9</w:t>
            </w:r>
            <w:r w:rsidR="00865497" w:rsidRPr="000F3C8B">
              <w:rPr>
                <w:lang w:val="en-AU"/>
              </w:rPr>
              <w:t xml:space="preserve"> </w:t>
            </w:r>
            <w:r w:rsidRPr="000F3C8B">
              <w:rPr>
                <w:lang w:val="en-AU"/>
              </w:rPr>
              <w:t>days (</w:t>
            </w:r>
            <w:r w:rsidR="00F355B1">
              <w:rPr>
                <w:lang w:val="en-AU"/>
              </w:rPr>
              <w:t xml:space="preserve">range </w:t>
            </w:r>
            <w:r w:rsidRPr="000F3C8B">
              <w:rPr>
                <w:lang w:val="en-AU"/>
              </w:rPr>
              <w:t>1</w:t>
            </w:r>
            <w:r w:rsidR="00DD7C48">
              <w:rPr>
                <w:lang w:val="en-AU"/>
              </w:rPr>
              <w:t xml:space="preserve"> </w:t>
            </w:r>
            <w:r w:rsidRPr="000F3C8B">
              <w:rPr>
                <w:lang w:val="en-AU"/>
              </w:rPr>
              <w:t>-</w:t>
            </w:r>
            <w:r w:rsidR="00DD7C48">
              <w:rPr>
                <w:lang w:val="en-AU"/>
              </w:rPr>
              <w:t xml:space="preserve"> </w:t>
            </w:r>
            <w:r w:rsidRPr="000F3C8B">
              <w:rPr>
                <w:lang w:val="en-AU"/>
              </w:rPr>
              <w:t xml:space="preserve">352)  </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Young et al </w:t>
            </w:r>
            <w:r w:rsidR="00297BE5" w:rsidRPr="000F3C8B">
              <w:rPr>
                <w:lang w:val="en-AU"/>
              </w:rPr>
              <w:t>(</w:t>
            </w:r>
            <w:r w:rsidRPr="000F3C8B">
              <w:rPr>
                <w:lang w:val="en-AU"/>
              </w:rPr>
              <w:t>2011</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100</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1.0</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F355B1">
            <w:pPr>
              <w:pStyle w:val="TableText0"/>
              <w:rPr>
                <w:lang w:val="en-AU"/>
              </w:rPr>
            </w:pPr>
            <w:r w:rsidRPr="000F3C8B">
              <w:rPr>
                <w:lang w:val="en-AU"/>
              </w:rPr>
              <w:t xml:space="preserve">Median 34.5 </w:t>
            </w:r>
            <w:r w:rsidR="004C075A" w:rsidRPr="000F3C8B">
              <w:rPr>
                <w:lang w:val="en-AU"/>
              </w:rPr>
              <w:t xml:space="preserve">months </w:t>
            </w:r>
            <w:r w:rsidRPr="000F3C8B">
              <w:rPr>
                <w:lang w:val="en-AU"/>
              </w:rPr>
              <w:t>(</w:t>
            </w:r>
            <w:r w:rsidR="00F355B1">
              <w:rPr>
                <w:lang w:val="en-AU"/>
              </w:rPr>
              <w:t>range</w:t>
            </w:r>
            <w:r w:rsidR="00FE5DAD">
              <w:rPr>
                <w:lang w:val="en-AU"/>
              </w:rPr>
              <w:t xml:space="preserve"> </w:t>
            </w:r>
            <w:r w:rsidRPr="000F3C8B">
              <w:rPr>
                <w:lang w:val="en-AU"/>
              </w:rPr>
              <w:t>1</w:t>
            </w:r>
            <w:r w:rsidR="00DD7C48">
              <w:rPr>
                <w:lang w:val="en-AU"/>
              </w:rPr>
              <w:t xml:space="preserve"> </w:t>
            </w:r>
            <w:r w:rsidRPr="000F3C8B">
              <w:rPr>
                <w:lang w:val="en-AU"/>
              </w:rPr>
              <w:t>-</w:t>
            </w:r>
            <w:r w:rsidR="00DD7C48">
              <w:rPr>
                <w:lang w:val="en-AU"/>
              </w:rPr>
              <w:t xml:space="preserve"> </w:t>
            </w:r>
            <w:r w:rsidRPr="000F3C8B">
              <w:rPr>
                <w:lang w:val="en-AU"/>
              </w:rPr>
              <w:t>64)</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Branger et al </w:t>
            </w:r>
            <w:r w:rsidR="00297BE5" w:rsidRPr="000F3C8B">
              <w:rPr>
                <w:lang w:val="en-AU"/>
              </w:rPr>
              <w:t>(</w:t>
            </w:r>
            <w:r w:rsidRPr="000F3C8B">
              <w:rPr>
                <w:lang w:val="en-AU"/>
              </w:rPr>
              <w:t>2010</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93</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3</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3.2</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 xml:space="preserve">Pal: median 7 </w:t>
            </w:r>
            <w:r w:rsidR="004C075A" w:rsidRPr="000F3C8B">
              <w:rPr>
                <w:lang w:val="en-AU"/>
              </w:rPr>
              <w:t xml:space="preserve">months </w:t>
            </w:r>
            <w:r w:rsidRPr="000F3C8B">
              <w:rPr>
                <w:lang w:val="en-AU"/>
              </w:rPr>
              <w:t>(</w:t>
            </w:r>
            <w:r w:rsidR="00F355B1">
              <w:rPr>
                <w:lang w:val="en-AU"/>
              </w:rPr>
              <w:t xml:space="preserve">range </w:t>
            </w:r>
            <w:r w:rsidRPr="000F3C8B">
              <w:rPr>
                <w:lang w:val="en-AU"/>
              </w:rPr>
              <w:t xml:space="preserve">3 days - 37); </w:t>
            </w:r>
          </w:p>
          <w:p w:rsidR="0011604E" w:rsidRPr="000F3C8B" w:rsidRDefault="0011604E" w:rsidP="00DD7C48">
            <w:pPr>
              <w:pStyle w:val="TableText0"/>
              <w:rPr>
                <w:lang w:val="en-AU"/>
              </w:rPr>
            </w:pPr>
            <w:r w:rsidRPr="000F3C8B">
              <w:rPr>
                <w:lang w:val="en-AU"/>
              </w:rPr>
              <w:t xml:space="preserve">BTS: median 15 </w:t>
            </w:r>
            <w:r w:rsidR="004C075A" w:rsidRPr="000F3C8B">
              <w:rPr>
                <w:lang w:val="en-AU"/>
              </w:rPr>
              <w:t xml:space="preserve">months </w:t>
            </w:r>
            <w:r w:rsidRPr="000F3C8B">
              <w:rPr>
                <w:lang w:val="en-AU"/>
              </w:rPr>
              <w:t>(</w:t>
            </w:r>
            <w:r w:rsidR="00F355B1">
              <w:rPr>
                <w:lang w:val="en-AU"/>
              </w:rPr>
              <w:t xml:space="preserve">range </w:t>
            </w:r>
            <w:r w:rsidRPr="000F3C8B">
              <w:rPr>
                <w:lang w:val="en-AU"/>
              </w:rPr>
              <w:t>12</w:t>
            </w:r>
            <w:r w:rsidR="00DD7C48">
              <w:rPr>
                <w:lang w:val="en-AU"/>
              </w:rPr>
              <w:t xml:space="preserve"> </w:t>
            </w:r>
            <w:r w:rsidRPr="000F3C8B">
              <w:rPr>
                <w:lang w:val="en-AU"/>
              </w:rPr>
              <w:t>-</w:t>
            </w:r>
            <w:r w:rsidR="00DD7C48">
              <w:rPr>
                <w:lang w:val="en-AU"/>
              </w:rPr>
              <w:t xml:space="preserve"> </w:t>
            </w:r>
            <w:r w:rsidRPr="000F3C8B">
              <w:rPr>
                <w:lang w:val="en-AU"/>
              </w:rPr>
              <w:t>42)</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Kim et al </w:t>
            </w:r>
            <w:r w:rsidR="00297BE5" w:rsidRPr="000F3C8B">
              <w:rPr>
                <w:lang w:val="en-AU"/>
              </w:rPr>
              <w:t>(</w:t>
            </w:r>
            <w:r w:rsidRPr="000F3C8B">
              <w:rPr>
                <w:lang w:val="en-AU"/>
              </w:rPr>
              <w:t>2010</w:t>
            </w:r>
            <w:r w:rsidR="00297BE5" w:rsidRPr="000F3C8B">
              <w:rPr>
                <w:lang w:val="en-AU"/>
              </w:rPr>
              <w:t>)</w:t>
            </w:r>
          </w:p>
        </w:tc>
        <w:tc>
          <w:tcPr>
            <w:tcW w:w="669" w:type="dxa"/>
            <w:shd w:val="clear" w:color="auto" w:fill="auto"/>
            <w:noWrap/>
          </w:tcPr>
          <w:p w:rsidR="0011604E" w:rsidRPr="000F3C8B" w:rsidRDefault="00A3108C" w:rsidP="0007443E">
            <w:pPr>
              <w:pStyle w:val="TableText0"/>
              <w:jc w:val="right"/>
              <w:rPr>
                <w:lang w:val="en-AU"/>
              </w:rPr>
            </w:pPr>
            <w:r>
              <w:rPr>
                <w:lang w:val="en-AU"/>
              </w:rPr>
              <w:t>110</w:t>
            </w:r>
            <w:r w:rsidRPr="00A3108C">
              <w:rPr>
                <w:vertAlign w:val="superscript"/>
                <w:lang w:val="en-AU"/>
              </w:rPr>
              <w:t>d</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0.9</w:t>
            </w:r>
          </w:p>
        </w:tc>
        <w:tc>
          <w:tcPr>
            <w:tcW w:w="1441" w:type="dxa"/>
            <w:shd w:val="clear" w:color="auto" w:fill="auto"/>
          </w:tcPr>
          <w:p w:rsidR="0011604E" w:rsidRPr="000F3C8B" w:rsidRDefault="00FE2AC8" w:rsidP="00A3108C">
            <w:pPr>
              <w:pStyle w:val="TableText0"/>
              <w:jc w:val="center"/>
              <w:rPr>
                <w:lang w:val="en-AU"/>
              </w:rPr>
            </w:pPr>
            <w:r w:rsidRPr="000F3C8B">
              <w:rPr>
                <w:lang w:val="en-AU"/>
              </w:rPr>
              <w:t>Uncovered</w:t>
            </w:r>
          </w:p>
        </w:tc>
        <w:tc>
          <w:tcPr>
            <w:tcW w:w="3095" w:type="dxa"/>
            <w:shd w:val="clear" w:color="auto" w:fill="auto"/>
          </w:tcPr>
          <w:p w:rsidR="0011604E" w:rsidRPr="000F3C8B" w:rsidRDefault="0011604E" w:rsidP="00050563">
            <w:pPr>
              <w:pStyle w:val="TableText0"/>
              <w:rPr>
                <w:lang w:val="en-AU"/>
              </w:rPr>
            </w:pPr>
            <w:r w:rsidRPr="000F3C8B">
              <w:rPr>
                <w:lang w:val="en-AU"/>
              </w:rPr>
              <w:t>Pal: mean 100</w:t>
            </w:r>
            <w:r w:rsidR="001061BB" w:rsidRPr="000F3C8B">
              <w:rPr>
                <w:lang w:val="en-AU"/>
              </w:rPr>
              <w:t xml:space="preserve"> </w:t>
            </w:r>
            <w:r w:rsidRPr="000F3C8B">
              <w:rPr>
                <w:lang w:val="en-AU"/>
              </w:rPr>
              <w:t>±</w:t>
            </w:r>
            <w:r w:rsidR="001061BB" w:rsidRPr="000F3C8B">
              <w:rPr>
                <w:lang w:val="en-AU"/>
              </w:rPr>
              <w:t xml:space="preserve"> </w:t>
            </w:r>
            <w:r w:rsidRPr="000F3C8B">
              <w:rPr>
                <w:lang w:val="en-AU"/>
              </w:rPr>
              <w:t>129 days (</w:t>
            </w:r>
            <w:r w:rsidR="00F355B1">
              <w:rPr>
                <w:lang w:val="en-AU"/>
              </w:rPr>
              <w:t xml:space="preserve">range </w:t>
            </w:r>
            <w:r w:rsidRPr="000F3C8B">
              <w:rPr>
                <w:lang w:val="en-AU"/>
              </w:rPr>
              <w:t>2</w:t>
            </w:r>
            <w:r w:rsidR="00DD7C48">
              <w:rPr>
                <w:lang w:val="en-AU"/>
              </w:rPr>
              <w:t xml:space="preserve"> – </w:t>
            </w:r>
            <w:r w:rsidRPr="000F3C8B">
              <w:rPr>
                <w:lang w:val="en-AU"/>
              </w:rPr>
              <w:t>455</w:t>
            </w:r>
            <w:r w:rsidR="00DD7C48">
              <w:rPr>
                <w:lang w:val="en-AU"/>
              </w:rPr>
              <w:t>)</w:t>
            </w:r>
            <w:r w:rsidRPr="000F3C8B">
              <w:rPr>
                <w:lang w:val="en-AU"/>
              </w:rPr>
              <w:t xml:space="preserve">; </w:t>
            </w:r>
          </w:p>
          <w:p w:rsidR="0011604E" w:rsidRPr="000F3C8B" w:rsidRDefault="0011604E" w:rsidP="00050563">
            <w:pPr>
              <w:pStyle w:val="TableText0"/>
              <w:rPr>
                <w:lang w:val="en-AU"/>
              </w:rPr>
            </w:pPr>
            <w:r w:rsidRPr="000F3C8B">
              <w:rPr>
                <w:lang w:val="en-AU"/>
              </w:rPr>
              <w:t>BTS: mean 10.3 days</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1061BB">
            <w:pPr>
              <w:pStyle w:val="TableText0"/>
              <w:rPr>
                <w:lang w:val="en-AU"/>
              </w:rPr>
            </w:pPr>
            <w:r w:rsidRPr="000F3C8B">
              <w:rPr>
                <w:lang w:val="en-AU"/>
              </w:rPr>
              <w:t xml:space="preserve">Li et al </w:t>
            </w:r>
            <w:r w:rsidR="00297BE5" w:rsidRPr="000F3C8B">
              <w:rPr>
                <w:lang w:val="en-AU"/>
              </w:rPr>
              <w:t>(</w:t>
            </w:r>
            <w:r w:rsidRPr="000F3C8B">
              <w:rPr>
                <w:lang w:val="en-AU"/>
              </w:rPr>
              <w:t>2010</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50</w:t>
            </w:r>
          </w:p>
        </w:tc>
        <w:tc>
          <w:tcPr>
            <w:tcW w:w="1308" w:type="dxa"/>
            <w:shd w:val="clear" w:color="auto" w:fill="auto"/>
            <w:noWrap/>
          </w:tcPr>
          <w:p w:rsidR="0011604E" w:rsidRPr="000F3C8B" w:rsidRDefault="0011604E" w:rsidP="0007443E">
            <w:pPr>
              <w:pStyle w:val="TableText0"/>
              <w:jc w:val="right"/>
              <w:rPr>
                <w:vertAlign w:val="superscript"/>
                <w:lang w:val="en-AU"/>
              </w:rPr>
            </w:pPr>
            <w:r w:rsidRPr="000F3C8B">
              <w:rPr>
                <w:lang w:val="en-AU"/>
              </w:rPr>
              <w:t>4</w:t>
            </w:r>
            <w:r w:rsidR="000D3EF2">
              <w:rPr>
                <w:vertAlign w:val="superscript"/>
                <w:lang w:val="en-AU"/>
              </w:rPr>
              <w:t>f</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8.0</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DD7C48">
            <w:pPr>
              <w:pStyle w:val="TableText0"/>
              <w:rPr>
                <w:lang w:val="en-AU"/>
              </w:rPr>
            </w:pPr>
            <w:r w:rsidRPr="000F3C8B">
              <w:rPr>
                <w:lang w:val="en-AU"/>
              </w:rPr>
              <w:t xml:space="preserve">Pal: </w:t>
            </w:r>
            <w:r w:rsidR="00DD7C48">
              <w:rPr>
                <w:lang w:val="en-AU"/>
              </w:rPr>
              <w:t>m</w:t>
            </w:r>
            <w:r w:rsidRPr="000F3C8B">
              <w:rPr>
                <w:lang w:val="en-AU"/>
              </w:rPr>
              <w:t>edian 36</w:t>
            </w:r>
            <w:r w:rsidR="001061BB" w:rsidRPr="000F3C8B">
              <w:rPr>
                <w:lang w:val="en-AU"/>
              </w:rPr>
              <w:t xml:space="preserve"> </w:t>
            </w:r>
            <w:r w:rsidRPr="000F3C8B">
              <w:rPr>
                <w:lang w:val="en-AU"/>
              </w:rPr>
              <w:t>±</w:t>
            </w:r>
            <w:r w:rsidR="001061BB" w:rsidRPr="000F3C8B">
              <w:rPr>
                <w:lang w:val="en-AU"/>
              </w:rPr>
              <w:t xml:space="preserve"> </w:t>
            </w:r>
            <w:r w:rsidRPr="000F3C8B">
              <w:rPr>
                <w:lang w:val="en-AU"/>
              </w:rPr>
              <w:t xml:space="preserve">12 </w:t>
            </w:r>
            <w:r w:rsidR="004C075A" w:rsidRPr="000F3C8B">
              <w:rPr>
                <w:lang w:val="en-AU"/>
              </w:rPr>
              <w:t xml:space="preserve">months </w:t>
            </w:r>
            <w:r w:rsidRPr="000F3C8B">
              <w:rPr>
                <w:lang w:val="en-AU"/>
              </w:rPr>
              <w:t>(</w:t>
            </w:r>
            <w:r w:rsidR="00F355B1">
              <w:rPr>
                <w:lang w:val="en-AU"/>
              </w:rPr>
              <w:t xml:space="preserve">range </w:t>
            </w:r>
            <w:r w:rsidRPr="000F3C8B">
              <w:rPr>
                <w:lang w:val="en-AU"/>
              </w:rPr>
              <w:t>3</w:t>
            </w:r>
            <w:r w:rsidR="00DD7C48">
              <w:rPr>
                <w:lang w:val="en-AU"/>
              </w:rPr>
              <w:t xml:space="preserve"> </w:t>
            </w:r>
            <w:r w:rsidRPr="000F3C8B">
              <w:rPr>
                <w:lang w:val="en-AU"/>
              </w:rPr>
              <w:t>-</w:t>
            </w:r>
            <w:r w:rsidR="00DD7C48">
              <w:rPr>
                <w:lang w:val="en-AU"/>
              </w:rPr>
              <w:t xml:space="preserve"> </w:t>
            </w:r>
            <w:r w:rsidRPr="000F3C8B">
              <w:rPr>
                <w:lang w:val="en-AU"/>
              </w:rPr>
              <w:t>70)</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1061BB">
            <w:pPr>
              <w:pStyle w:val="TableText0"/>
              <w:rPr>
                <w:lang w:val="en-AU"/>
              </w:rPr>
            </w:pPr>
            <w:r w:rsidRPr="000F3C8B">
              <w:rPr>
                <w:lang w:val="en-AU"/>
              </w:rPr>
              <w:t xml:space="preserve">Moon et al </w:t>
            </w:r>
            <w:r w:rsidR="00297BE5" w:rsidRPr="000F3C8B">
              <w:rPr>
                <w:lang w:val="en-AU"/>
              </w:rPr>
              <w:t>(</w:t>
            </w:r>
            <w:r w:rsidRPr="000F3C8B">
              <w:rPr>
                <w:lang w:val="en-AU"/>
              </w:rPr>
              <w:t>2010</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68</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7</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10.3</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050563">
            <w:pPr>
              <w:pStyle w:val="TableText0"/>
              <w:rPr>
                <w:lang w:val="en-AU"/>
              </w:rPr>
            </w:pPr>
            <w:r w:rsidRPr="000F3C8B">
              <w:rPr>
                <w:lang w:val="en-AU"/>
              </w:rPr>
              <w:t>Pal: range 23</w:t>
            </w:r>
            <w:r w:rsidR="00DD7C48">
              <w:rPr>
                <w:lang w:val="en-AU"/>
              </w:rPr>
              <w:t xml:space="preserve"> </w:t>
            </w:r>
            <w:r w:rsidRPr="000F3C8B">
              <w:rPr>
                <w:lang w:val="en-AU"/>
              </w:rPr>
              <w:t>-</w:t>
            </w:r>
            <w:r w:rsidR="00DD7C48">
              <w:rPr>
                <w:lang w:val="en-AU"/>
              </w:rPr>
              <w:t xml:space="preserve"> </w:t>
            </w:r>
            <w:r w:rsidR="00FE5DAD">
              <w:rPr>
                <w:lang w:val="en-AU"/>
              </w:rPr>
              <w:t>847 days</w:t>
            </w:r>
          </w:p>
        </w:tc>
        <w:tc>
          <w:tcPr>
            <w:tcW w:w="868" w:type="dxa"/>
          </w:tcPr>
          <w:p w:rsidR="0011604E" w:rsidRPr="000F3C8B" w:rsidRDefault="0011604E" w:rsidP="00A3108C">
            <w:pPr>
              <w:pStyle w:val="TableText0"/>
              <w:jc w:val="right"/>
              <w:rPr>
                <w:lang w:val="en-AU"/>
              </w:rPr>
            </w:pPr>
            <w:r w:rsidRPr="000F3C8B">
              <w:rPr>
                <w:lang w:val="en-AU"/>
              </w:rPr>
              <w:t>3</w:t>
            </w:r>
          </w:p>
        </w:tc>
        <w:tc>
          <w:tcPr>
            <w:tcW w:w="869" w:type="dxa"/>
          </w:tcPr>
          <w:p w:rsidR="0011604E" w:rsidRPr="000F3C8B" w:rsidRDefault="0011604E" w:rsidP="00A3108C">
            <w:pPr>
              <w:pStyle w:val="TableText0"/>
              <w:jc w:val="right"/>
              <w:rPr>
                <w:lang w:val="en-AU"/>
              </w:rPr>
            </w:pPr>
            <w:r w:rsidRPr="000F3C8B">
              <w:rPr>
                <w:lang w:val="en-AU"/>
              </w:rPr>
              <w:t>4</w:t>
            </w:r>
          </w:p>
        </w:tc>
      </w:tr>
      <w:tr w:rsidR="0011604E" w:rsidRPr="00BB3C05" w:rsidTr="000D3EF2">
        <w:trPr>
          <w:cantSplit/>
          <w:trHeight w:val="289"/>
        </w:trPr>
        <w:tc>
          <w:tcPr>
            <w:tcW w:w="1806" w:type="dxa"/>
            <w:shd w:val="clear" w:color="auto" w:fill="auto"/>
            <w:noWrap/>
          </w:tcPr>
          <w:p w:rsidR="0011604E" w:rsidRPr="000F3C8B" w:rsidRDefault="0011604E" w:rsidP="001061BB">
            <w:pPr>
              <w:pStyle w:val="TableText0"/>
              <w:rPr>
                <w:lang w:val="en-AU"/>
              </w:rPr>
            </w:pPr>
            <w:r w:rsidRPr="000F3C8B">
              <w:rPr>
                <w:lang w:val="en-AU"/>
              </w:rPr>
              <w:t xml:space="preserve">Park et al </w:t>
            </w:r>
            <w:r w:rsidR="00297BE5" w:rsidRPr="000F3C8B">
              <w:rPr>
                <w:lang w:val="en-AU"/>
              </w:rPr>
              <w:t>(</w:t>
            </w:r>
            <w:r w:rsidRPr="000F3C8B">
              <w:rPr>
                <w:lang w:val="en-AU"/>
              </w:rPr>
              <w:t>2010</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107</w:t>
            </w:r>
            <w:r w:rsidR="000D3EF2">
              <w:rPr>
                <w:vertAlign w:val="superscript"/>
                <w:lang w:val="en-AU"/>
              </w:rPr>
              <w:t>g</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12</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11.2</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785AD7" w:rsidP="00AC0BF7">
            <w:pPr>
              <w:pStyle w:val="TableText0"/>
              <w:rPr>
                <w:lang w:val="en-AU"/>
              </w:rPr>
            </w:pPr>
            <w:r w:rsidRPr="000F3C8B">
              <w:rPr>
                <w:lang w:val="en-AU"/>
              </w:rPr>
              <w:t xml:space="preserve">Small </w:t>
            </w:r>
            <w:r w:rsidR="00AC0BF7">
              <w:rPr>
                <w:lang w:val="en-AU"/>
              </w:rPr>
              <w:t>et al</w:t>
            </w:r>
            <w:r w:rsidR="0011604E" w:rsidRPr="000F3C8B">
              <w:rPr>
                <w:lang w:val="en-AU"/>
              </w:rPr>
              <w:t xml:space="preserve"> </w:t>
            </w:r>
            <w:r w:rsidR="00297BE5" w:rsidRPr="000F3C8B">
              <w:rPr>
                <w:lang w:val="en-AU"/>
              </w:rPr>
              <w:t>(</w:t>
            </w:r>
            <w:r w:rsidR="0011604E" w:rsidRPr="000F3C8B">
              <w:rPr>
                <w:lang w:val="en-AU"/>
              </w:rPr>
              <w:t>2010</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233</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18</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7.7</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Pal: mean 129</w:t>
            </w:r>
            <w:r w:rsidR="001061BB" w:rsidRPr="000F3C8B">
              <w:rPr>
                <w:lang w:val="en-AU"/>
              </w:rPr>
              <w:t xml:space="preserve"> </w:t>
            </w:r>
            <w:r w:rsidRPr="000F3C8B">
              <w:rPr>
                <w:lang w:val="en-AU"/>
              </w:rPr>
              <w:t>±</w:t>
            </w:r>
            <w:r w:rsidR="001061BB" w:rsidRPr="000F3C8B">
              <w:rPr>
                <w:lang w:val="en-AU"/>
              </w:rPr>
              <w:t xml:space="preserve"> </w:t>
            </w:r>
            <w:r w:rsidRPr="000F3C8B">
              <w:rPr>
                <w:lang w:val="en-AU"/>
              </w:rPr>
              <w:t>273 days (</w:t>
            </w:r>
            <w:r w:rsidR="00F355B1">
              <w:rPr>
                <w:lang w:val="en-AU"/>
              </w:rPr>
              <w:t xml:space="preserve">range </w:t>
            </w:r>
            <w:r w:rsidRPr="000F3C8B">
              <w:rPr>
                <w:lang w:val="en-AU"/>
              </w:rPr>
              <w:t>1</w:t>
            </w:r>
            <w:r w:rsidR="00DD7C48">
              <w:rPr>
                <w:lang w:val="en-AU"/>
              </w:rPr>
              <w:t xml:space="preserve"> – </w:t>
            </w:r>
            <w:r w:rsidRPr="000F3C8B">
              <w:rPr>
                <w:lang w:val="en-AU"/>
              </w:rPr>
              <w:t>2837</w:t>
            </w:r>
            <w:r w:rsidR="00DD7C48">
              <w:rPr>
                <w:lang w:val="en-AU"/>
              </w:rPr>
              <w:t>)</w:t>
            </w:r>
            <w:r w:rsidRPr="000F3C8B">
              <w:rPr>
                <w:lang w:val="en-AU"/>
              </w:rPr>
              <w:t xml:space="preserve">; </w:t>
            </w:r>
          </w:p>
          <w:p w:rsidR="0011604E" w:rsidRPr="000F3C8B" w:rsidRDefault="0011604E" w:rsidP="00050563">
            <w:pPr>
              <w:pStyle w:val="TableText0"/>
              <w:rPr>
                <w:lang w:val="en-AU"/>
              </w:rPr>
            </w:pPr>
            <w:r w:rsidRPr="000F3C8B">
              <w:rPr>
                <w:lang w:val="en-AU"/>
              </w:rPr>
              <w:t>BTS: 554</w:t>
            </w:r>
            <w:r w:rsidR="001061BB" w:rsidRPr="000F3C8B">
              <w:rPr>
                <w:lang w:val="en-AU"/>
              </w:rPr>
              <w:t xml:space="preserve"> </w:t>
            </w:r>
            <w:r w:rsidRPr="000F3C8B">
              <w:rPr>
                <w:lang w:val="en-AU"/>
              </w:rPr>
              <w:t>±</w:t>
            </w:r>
            <w:r w:rsidR="001061BB" w:rsidRPr="000F3C8B">
              <w:rPr>
                <w:lang w:val="en-AU"/>
              </w:rPr>
              <w:t xml:space="preserve"> </w:t>
            </w:r>
            <w:r w:rsidRPr="000F3C8B">
              <w:rPr>
                <w:lang w:val="en-AU"/>
              </w:rPr>
              <w:t xml:space="preserve">566.46 </w:t>
            </w:r>
            <w:r w:rsidR="00BB7915">
              <w:rPr>
                <w:lang w:val="en-AU"/>
              </w:rPr>
              <w:t xml:space="preserve">days </w:t>
            </w:r>
            <w:r w:rsidRPr="000F3C8B">
              <w:rPr>
                <w:lang w:val="en-AU"/>
              </w:rPr>
              <w:t>(</w:t>
            </w:r>
            <w:r w:rsidR="00F355B1">
              <w:rPr>
                <w:lang w:val="en-AU"/>
              </w:rPr>
              <w:t xml:space="preserve">range </w:t>
            </w:r>
            <w:r w:rsidRPr="000F3C8B">
              <w:rPr>
                <w:lang w:val="en-AU"/>
              </w:rPr>
              <w:t>14</w:t>
            </w:r>
            <w:r w:rsidR="00DD7C48">
              <w:rPr>
                <w:lang w:val="en-AU"/>
              </w:rPr>
              <w:t xml:space="preserve"> </w:t>
            </w:r>
            <w:r w:rsidRPr="000F3C8B">
              <w:rPr>
                <w:lang w:val="en-AU"/>
              </w:rPr>
              <w:t>-</w:t>
            </w:r>
            <w:r w:rsidR="00DD7C48">
              <w:rPr>
                <w:lang w:val="en-AU"/>
              </w:rPr>
              <w:t xml:space="preserve"> </w:t>
            </w:r>
            <w:r w:rsidRPr="000F3C8B">
              <w:rPr>
                <w:lang w:val="en-AU"/>
              </w:rPr>
              <w:t>2488)</w:t>
            </w:r>
          </w:p>
        </w:tc>
        <w:tc>
          <w:tcPr>
            <w:tcW w:w="868" w:type="dxa"/>
          </w:tcPr>
          <w:p w:rsidR="0011604E" w:rsidRPr="000F3C8B" w:rsidRDefault="0011604E" w:rsidP="00A3108C">
            <w:pPr>
              <w:pStyle w:val="TableText0"/>
              <w:jc w:val="right"/>
              <w:rPr>
                <w:lang w:val="en-AU"/>
              </w:rPr>
            </w:pPr>
            <w:r w:rsidRPr="000F3C8B">
              <w:rPr>
                <w:lang w:val="en-AU"/>
              </w:rPr>
              <w:t>2</w:t>
            </w:r>
          </w:p>
        </w:tc>
        <w:tc>
          <w:tcPr>
            <w:tcW w:w="869" w:type="dxa"/>
          </w:tcPr>
          <w:p w:rsidR="0011604E" w:rsidRPr="000F3C8B" w:rsidRDefault="0011604E" w:rsidP="00A3108C">
            <w:pPr>
              <w:pStyle w:val="TableText0"/>
              <w:jc w:val="right"/>
              <w:rPr>
                <w:lang w:val="en-AU"/>
              </w:rPr>
            </w:pPr>
            <w:r w:rsidRPr="000F3C8B">
              <w:rPr>
                <w:lang w:val="en-AU"/>
              </w:rPr>
              <w:t>16</w:t>
            </w:r>
          </w:p>
        </w:tc>
      </w:tr>
      <w:tr w:rsidR="0011604E" w:rsidRPr="00BB3C05" w:rsidTr="000D3EF2">
        <w:trPr>
          <w:cantSplit/>
          <w:trHeight w:val="289"/>
        </w:trPr>
        <w:tc>
          <w:tcPr>
            <w:tcW w:w="1806" w:type="dxa"/>
            <w:shd w:val="clear" w:color="auto" w:fill="auto"/>
            <w:noWrap/>
          </w:tcPr>
          <w:p w:rsidR="0011604E" w:rsidRPr="000F3C8B" w:rsidRDefault="0011604E" w:rsidP="001061BB">
            <w:pPr>
              <w:pStyle w:val="TableText0"/>
              <w:rPr>
                <w:lang w:val="en-AU"/>
              </w:rPr>
            </w:pPr>
            <w:r w:rsidRPr="000F3C8B">
              <w:rPr>
                <w:lang w:val="en-AU"/>
              </w:rPr>
              <w:t xml:space="preserve">Kim et al </w:t>
            </w:r>
            <w:r w:rsidR="00297BE5" w:rsidRPr="000F3C8B">
              <w:rPr>
                <w:lang w:val="en-AU"/>
              </w:rPr>
              <w:t>(</w:t>
            </w:r>
            <w:r w:rsidRPr="000F3C8B">
              <w:rPr>
                <w:lang w:val="en-AU"/>
              </w:rPr>
              <w:t>2009</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116</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7</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6.0</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DD7C48">
            <w:pPr>
              <w:pStyle w:val="TableText0"/>
              <w:rPr>
                <w:lang w:val="en-AU"/>
              </w:rPr>
            </w:pPr>
            <w:r w:rsidRPr="000F3C8B">
              <w:rPr>
                <w:lang w:val="en-AU"/>
              </w:rPr>
              <w:t>Mean 453</w:t>
            </w:r>
            <w:r w:rsidR="001061BB" w:rsidRPr="000F3C8B">
              <w:rPr>
                <w:lang w:val="en-AU"/>
              </w:rPr>
              <w:t xml:space="preserve"> </w:t>
            </w:r>
            <w:r w:rsidRPr="000F3C8B">
              <w:rPr>
                <w:lang w:val="en-AU"/>
              </w:rPr>
              <w:t>±</w:t>
            </w:r>
            <w:r w:rsidR="001061BB" w:rsidRPr="000F3C8B">
              <w:rPr>
                <w:lang w:val="en-AU"/>
              </w:rPr>
              <w:t xml:space="preserve"> </w:t>
            </w:r>
            <w:r w:rsidRPr="000F3C8B">
              <w:rPr>
                <w:lang w:val="en-AU"/>
              </w:rPr>
              <w:t>512 days (</w:t>
            </w:r>
            <w:r w:rsidR="00F355B1">
              <w:rPr>
                <w:lang w:val="en-AU"/>
              </w:rPr>
              <w:t xml:space="preserve">range </w:t>
            </w:r>
            <w:r w:rsidRPr="000F3C8B">
              <w:rPr>
                <w:lang w:val="en-AU"/>
              </w:rPr>
              <w:t>3</w:t>
            </w:r>
            <w:r w:rsidR="00DD7C48">
              <w:rPr>
                <w:lang w:val="en-AU"/>
              </w:rPr>
              <w:t xml:space="preserve"> </w:t>
            </w:r>
            <w:r w:rsidRPr="000F3C8B">
              <w:rPr>
                <w:lang w:val="en-AU"/>
              </w:rPr>
              <w:t>-</w:t>
            </w:r>
            <w:r w:rsidR="00DD7C48">
              <w:rPr>
                <w:lang w:val="en-AU"/>
              </w:rPr>
              <w:t xml:space="preserve"> </w:t>
            </w:r>
            <w:r w:rsidRPr="000F3C8B">
              <w:rPr>
                <w:lang w:val="en-AU"/>
              </w:rPr>
              <w:t>2370)</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5372EC">
            <w:pPr>
              <w:pStyle w:val="TableText0"/>
              <w:rPr>
                <w:lang w:val="en-AU"/>
              </w:rPr>
            </w:pPr>
            <w:r w:rsidRPr="000F3C8B">
              <w:rPr>
                <w:lang w:val="en-AU"/>
              </w:rPr>
              <w:t xml:space="preserve">Suh et al </w:t>
            </w:r>
            <w:r w:rsidR="00297BE5" w:rsidRPr="000F3C8B">
              <w:rPr>
                <w:lang w:val="en-AU"/>
              </w:rPr>
              <w:t>(</w:t>
            </w:r>
            <w:r w:rsidRPr="000F3C8B">
              <w:rPr>
                <w:lang w:val="en-AU"/>
              </w:rPr>
              <w:t>20</w:t>
            </w:r>
            <w:r w:rsidR="005372EC">
              <w:rPr>
                <w:lang w:val="en-AU"/>
              </w:rPr>
              <w:t>10</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55</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6</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10.9</w:t>
            </w:r>
          </w:p>
        </w:tc>
        <w:tc>
          <w:tcPr>
            <w:tcW w:w="1441" w:type="dxa"/>
            <w:shd w:val="clear" w:color="auto" w:fill="auto"/>
          </w:tcPr>
          <w:p w:rsidR="0011604E" w:rsidRPr="000F3C8B" w:rsidRDefault="00FE2AC8" w:rsidP="00A3108C">
            <w:pPr>
              <w:pStyle w:val="TableText0"/>
              <w:jc w:val="center"/>
              <w:rPr>
                <w:lang w:val="en-AU"/>
              </w:rPr>
            </w:pPr>
            <w:r w:rsidRPr="000F3C8B">
              <w:rPr>
                <w:lang w:val="en-AU"/>
              </w:rPr>
              <w:t>Uncovered</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5</w:t>
            </w:r>
          </w:p>
        </w:tc>
        <w:tc>
          <w:tcPr>
            <w:tcW w:w="869" w:type="dxa"/>
          </w:tcPr>
          <w:p w:rsidR="0011604E" w:rsidRPr="000F3C8B" w:rsidRDefault="0011604E" w:rsidP="00A3108C">
            <w:pPr>
              <w:pStyle w:val="TableText0"/>
              <w:jc w:val="right"/>
              <w:rPr>
                <w:lang w:val="en-AU"/>
              </w:rPr>
            </w:pPr>
            <w:r w:rsidRPr="000F3C8B">
              <w:rPr>
                <w:lang w:val="en-AU"/>
              </w:rPr>
              <w:t>1</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lastRenderedPageBreak/>
              <w:t xml:space="preserve">Baraza et al </w:t>
            </w:r>
            <w:r w:rsidR="00297BE5" w:rsidRPr="000F3C8B">
              <w:rPr>
                <w:lang w:val="en-AU"/>
              </w:rPr>
              <w:t>(</w:t>
            </w:r>
            <w:r w:rsidRPr="000F3C8B">
              <w:rPr>
                <w:lang w:val="en-AU"/>
              </w:rPr>
              <w:t>2008</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71</w:t>
            </w:r>
            <w:r w:rsidR="000D3EF2">
              <w:rPr>
                <w:vertAlign w:val="superscript"/>
                <w:lang w:val="en-AU"/>
              </w:rPr>
              <w:t>d</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4</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5.6</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050563">
            <w:pPr>
              <w:pStyle w:val="TableText0"/>
              <w:rPr>
                <w:lang w:val="en-AU"/>
              </w:rPr>
            </w:pPr>
            <w:r w:rsidRPr="000F3C8B">
              <w:rPr>
                <w:lang w:val="en-AU"/>
              </w:rPr>
              <w:t>NR (5 years)</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Demarquay et al </w:t>
            </w:r>
            <w:r w:rsidR="00297BE5" w:rsidRPr="000F3C8B">
              <w:rPr>
                <w:lang w:val="en-AU"/>
              </w:rPr>
              <w:t>(</w:t>
            </w:r>
            <w:r w:rsidRPr="000F3C8B">
              <w:rPr>
                <w:lang w:val="en-AU"/>
              </w:rPr>
              <w:t>2008</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204</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4</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2.0</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 xml:space="preserve">Mean 8 </w:t>
            </w:r>
            <w:r w:rsidR="004C075A" w:rsidRPr="000F3C8B">
              <w:rPr>
                <w:lang w:val="en-AU"/>
              </w:rPr>
              <w:t xml:space="preserve">months </w:t>
            </w:r>
            <w:r w:rsidRPr="000F3C8B">
              <w:rPr>
                <w:lang w:val="en-AU"/>
              </w:rPr>
              <w:t>(</w:t>
            </w:r>
            <w:r w:rsidR="00F355B1">
              <w:rPr>
                <w:lang w:val="en-AU"/>
              </w:rPr>
              <w:t xml:space="preserve">range </w:t>
            </w:r>
            <w:r w:rsidRPr="000F3C8B">
              <w:rPr>
                <w:lang w:val="en-AU"/>
              </w:rPr>
              <w:t xml:space="preserve">1 </w:t>
            </w:r>
            <w:r w:rsidR="004C075A" w:rsidRPr="000F3C8B">
              <w:rPr>
                <w:lang w:val="en-AU"/>
              </w:rPr>
              <w:t>week</w:t>
            </w:r>
            <w:r w:rsidRPr="000F3C8B">
              <w:rPr>
                <w:lang w:val="en-AU"/>
              </w:rPr>
              <w:t xml:space="preserve"> - 6 years)</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hideMark/>
          </w:tcPr>
          <w:p w:rsidR="0011604E" w:rsidRPr="000F3C8B" w:rsidRDefault="0011604E" w:rsidP="00050563">
            <w:pPr>
              <w:pStyle w:val="TableText0"/>
              <w:rPr>
                <w:lang w:val="en-AU"/>
              </w:rPr>
            </w:pPr>
            <w:r w:rsidRPr="000F3C8B">
              <w:rPr>
                <w:lang w:val="en-AU"/>
              </w:rPr>
              <w:t xml:space="preserve">Masci et al </w:t>
            </w:r>
            <w:r w:rsidR="00297BE5" w:rsidRPr="000F3C8B">
              <w:rPr>
                <w:lang w:val="en-AU"/>
              </w:rPr>
              <w:t>(</w:t>
            </w:r>
            <w:r w:rsidRPr="000F3C8B">
              <w:rPr>
                <w:lang w:val="en-AU"/>
              </w:rPr>
              <w:t>2008</w:t>
            </w:r>
            <w:r w:rsidR="00297BE5" w:rsidRPr="000F3C8B">
              <w:rPr>
                <w:lang w:val="en-AU"/>
              </w:rPr>
              <w:t>)</w:t>
            </w:r>
          </w:p>
        </w:tc>
        <w:tc>
          <w:tcPr>
            <w:tcW w:w="669" w:type="dxa"/>
            <w:shd w:val="clear" w:color="auto" w:fill="auto"/>
            <w:noWrap/>
            <w:hideMark/>
          </w:tcPr>
          <w:p w:rsidR="0011604E" w:rsidRPr="000F3C8B" w:rsidRDefault="0011604E" w:rsidP="0007443E">
            <w:pPr>
              <w:pStyle w:val="TableText0"/>
              <w:jc w:val="right"/>
              <w:rPr>
                <w:lang w:val="en-AU"/>
              </w:rPr>
            </w:pPr>
            <w:r w:rsidRPr="000F3C8B">
              <w:rPr>
                <w:lang w:val="en-AU"/>
              </w:rPr>
              <w:t>72</w:t>
            </w:r>
          </w:p>
        </w:tc>
        <w:tc>
          <w:tcPr>
            <w:tcW w:w="1308" w:type="dxa"/>
            <w:shd w:val="clear" w:color="auto" w:fill="auto"/>
            <w:noWrap/>
            <w:hideMark/>
          </w:tcPr>
          <w:p w:rsidR="0011604E" w:rsidRPr="000F3C8B" w:rsidRDefault="0011604E" w:rsidP="0007443E">
            <w:pPr>
              <w:pStyle w:val="TableText0"/>
              <w:jc w:val="right"/>
              <w:rPr>
                <w:lang w:val="en-AU"/>
              </w:rPr>
            </w:pPr>
            <w:r w:rsidRPr="000F3C8B">
              <w:rPr>
                <w:lang w:val="en-AU"/>
              </w:rPr>
              <w:t>1</w:t>
            </w:r>
          </w:p>
        </w:tc>
        <w:tc>
          <w:tcPr>
            <w:tcW w:w="1275" w:type="dxa"/>
            <w:shd w:val="clear" w:color="auto" w:fill="auto"/>
            <w:noWrap/>
            <w:hideMark/>
          </w:tcPr>
          <w:p w:rsidR="0011604E" w:rsidRPr="000F3C8B" w:rsidRDefault="003F1391" w:rsidP="0007443E">
            <w:pPr>
              <w:pStyle w:val="TableText0"/>
              <w:jc w:val="right"/>
              <w:rPr>
                <w:lang w:val="en-AU"/>
              </w:rPr>
            </w:pPr>
            <w:r w:rsidRPr="000F3C8B">
              <w:rPr>
                <w:lang w:val="en-AU"/>
              </w:rPr>
              <w:t>2.3</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NR (30, 90 &amp; 180 days)</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Shrivastava et al </w:t>
            </w:r>
            <w:r w:rsidR="00297BE5" w:rsidRPr="000F3C8B">
              <w:rPr>
                <w:lang w:val="en-AU"/>
              </w:rPr>
              <w:t>(</w:t>
            </w:r>
            <w:r w:rsidRPr="000F3C8B">
              <w:rPr>
                <w:lang w:val="en-AU"/>
              </w:rPr>
              <w:t>2008</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81</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7</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8.6</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BB7915">
            <w:pPr>
              <w:pStyle w:val="TableText0"/>
              <w:rPr>
                <w:lang w:val="en-AU"/>
              </w:rPr>
            </w:pPr>
            <w:r w:rsidRPr="000F3C8B">
              <w:rPr>
                <w:lang w:val="en-AU"/>
              </w:rPr>
              <w:t>Median 63 days (IQR 20</w:t>
            </w:r>
            <w:r w:rsidR="00FE5DAD">
              <w:rPr>
                <w:lang w:val="en-AU"/>
              </w:rPr>
              <w:t xml:space="preserve"> -</w:t>
            </w:r>
            <w:r w:rsidR="00DD7C48">
              <w:rPr>
                <w:lang w:val="en-AU"/>
              </w:rPr>
              <w:t xml:space="preserve"> </w:t>
            </w:r>
            <w:r w:rsidRPr="000F3C8B">
              <w:rPr>
                <w:lang w:val="en-AU"/>
              </w:rPr>
              <w:t>270</w:t>
            </w:r>
            <w:r w:rsidR="00DD7C48">
              <w:rPr>
                <w:lang w:val="en-AU"/>
              </w:rPr>
              <w:t>)</w:t>
            </w:r>
            <w:r w:rsidRPr="000F3C8B">
              <w:rPr>
                <w:lang w:val="en-AU"/>
              </w:rPr>
              <w:t xml:space="preserve"> </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785AD7" w:rsidP="00050563">
            <w:pPr>
              <w:pStyle w:val="TableText0"/>
              <w:rPr>
                <w:lang w:val="en-AU"/>
              </w:rPr>
            </w:pPr>
            <w:r w:rsidRPr="000F3C8B">
              <w:rPr>
                <w:lang w:val="en-AU"/>
              </w:rPr>
              <w:t>Small and Baron</w:t>
            </w:r>
            <w:r w:rsidR="0011604E" w:rsidRPr="000F3C8B">
              <w:rPr>
                <w:lang w:val="en-AU"/>
              </w:rPr>
              <w:t xml:space="preserve"> </w:t>
            </w:r>
            <w:r w:rsidR="00297BE5" w:rsidRPr="000F3C8B">
              <w:rPr>
                <w:lang w:val="en-AU"/>
              </w:rPr>
              <w:t>(</w:t>
            </w:r>
            <w:r w:rsidR="0011604E" w:rsidRPr="000F3C8B">
              <w:rPr>
                <w:lang w:val="en-AU"/>
              </w:rPr>
              <w:t>2008</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85</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10</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11.7</w:t>
            </w:r>
          </w:p>
        </w:tc>
        <w:tc>
          <w:tcPr>
            <w:tcW w:w="1441" w:type="dxa"/>
            <w:shd w:val="clear" w:color="auto" w:fill="auto"/>
          </w:tcPr>
          <w:p w:rsidR="0011604E" w:rsidRPr="000F3C8B" w:rsidRDefault="00FE2AC8" w:rsidP="00A3108C">
            <w:pPr>
              <w:pStyle w:val="TableText0"/>
              <w:jc w:val="center"/>
              <w:rPr>
                <w:lang w:val="en-AU"/>
              </w:rPr>
            </w:pPr>
            <w:r w:rsidRPr="000F3C8B">
              <w:rPr>
                <w:lang w:val="en-AU"/>
              </w:rPr>
              <w:t>Uncovered</w:t>
            </w:r>
          </w:p>
        </w:tc>
        <w:tc>
          <w:tcPr>
            <w:tcW w:w="3095" w:type="dxa"/>
            <w:shd w:val="clear" w:color="auto" w:fill="auto"/>
          </w:tcPr>
          <w:p w:rsidR="0011604E" w:rsidRPr="000F3C8B" w:rsidRDefault="0011604E" w:rsidP="00050563">
            <w:pPr>
              <w:pStyle w:val="TableText0"/>
              <w:rPr>
                <w:lang w:val="en-AU"/>
              </w:rPr>
            </w:pPr>
            <w:r w:rsidRPr="000F3C8B">
              <w:rPr>
                <w:lang w:val="en-AU"/>
              </w:rPr>
              <w:t>Mean 93 days (</w:t>
            </w:r>
            <w:r w:rsidR="00F355B1">
              <w:rPr>
                <w:lang w:val="en-AU"/>
              </w:rPr>
              <w:t xml:space="preserve">range </w:t>
            </w:r>
            <w:r w:rsidRPr="000F3C8B">
              <w:rPr>
                <w:lang w:val="en-AU"/>
              </w:rPr>
              <w:t>7</w:t>
            </w:r>
            <w:r w:rsidR="00DD7C48">
              <w:rPr>
                <w:lang w:val="en-AU"/>
              </w:rPr>
              <w:t xml:space="preserve"> </w:t>
            </w:r>
            <w:r w:rsidRPr="000F3C8B">
              <w:rPr>
                <w:lang w:val="en-AU"/>
              </w:rPr>
              <w:t>-</w:t>
            </w:r>
            <w:r w:rsidR="00DD7C48">
              <w:rPr>
                <w:lang w:val="en-AU"/>
              </w:rPr>
              <w:t xml:space="preserve"> </w:t>
            </w:r>
            <w:r w:rsidRPr="000F3C8B">
              <w:rPr>
                <w:lang w:val="en-AU"/>
              </w:rPr>
              <w:t>691)</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6811">
            <w:pPr>
              <w:pStyle w:val="TableText0"/>
              <w:rPr>
                <w:lang w:val="en-AU"/>
              </w:rPr>
            </w:pPr>
            <w:r w:rsidRPr="000F3C8B">
              <w:rPr>
                <w:lang w:val="en-AU"/>
              </w:rPr>
              <w:t xml:space="preserve">Stenhouse et al </w:t>
            </w:r>
            <w:r w:rsidR="00297BE5" w:rsidRPr="000F3C8B">
              <w:rPr>
                <w:lang w:val="en-AU"/>
              </w:rPr>
              <w:t>(</w:t>
            </w:r>
            <w:r w:rsidRPr="000F3C8B">
              <w:rPr>
                <w:lang w:val="en-AU"/>
              </w:rPr>
              <w:t>200</w:t>
            </w:r>
            <w:r w:rsidR="00056811">
              <w:rPr>
                <w:lang w:val="en-AU"/>
              </w:rPr>
              <w:t>9</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64</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14</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21.9</w:t>
            </w:r>
          </w:p>
        </w:tc>
        <w:tc>
          <w:tcPr>
            <w:tcW w:w="1441" w:type="dxa"/>
            <w:shd w:val="clear" w:color="auto" w:fill="auto"/>
          </w:tcPr>
          <w:p w:rsidR="0011604E" w:rsidRPr="000F3C8B" w:rsidRDefault="00FE2AC8" w:rsidP="00A3108C">
            <w:pPr>
              <w:pStyle w:val="TableText0"/>
              <w:jc w:val="center"/>
              <w:rPr>
                <w:lang w:val="en-AU"/>
              </w:rPr>
            </w:pPr>
            <w:r w:rsidRPr="000F3C8B">
              <w:rPr>
                <w:lang w:val="en-AU"/>
              </w:rPr>
              <w:t>Uncovered</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14</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Alcantara et al </w:t>
            </w:r>
            <w:r w:rsidR="00297BE5" w:rsidRPr="000F3C8B">
              <w:rPr>
                <w:lang w:val="en-AU"/>
              </w:rPr>
              <w:t>(</w:t>
            </w:r>
            <w:r w:rsidRPr="000F3C8B">
              <w:rPr>
                <w:lang w:val="en-AU"/>
              </w:rPr>
              <w:t>2007</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95</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4</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4.2</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Jost et al </w:t>
            </w:r>
            <w:r w:rsidR="00297BE5" w:rsidRPr="000F3C8B">
              <w:rPr>
                <w:lang w:val="en-AU"/>
              </w:rPr>
              <w:t>(</w:t>
            </w:r>
            <w:r w:rsidRPr="000F3C8B">
              <w:rPr>
                <w:lang w:val="en-AU"/>
              </w:rPr>
              <w:t>2007</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67</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6</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9.0</w:t>
            </w:r>
          </w:p>
        </w:tc>
        <w:tc>
          <w:tcPr>
            <w:tcW w:w="1441" w:type="dxa"/>
            <w:shd w:val="clear" w:color="auto" w:fill="auto"/>
          </w:tcPr>
          <w:p w:rsidR="0011604E" w:rsidRPr="000F3C8B" w:rsidRDefault="00FE2AC8" w:rsidP="00A3108C">
            <w:pPr>
              <w:pStyle w:val="TableText0"/>
              <w:jc w:val="center"/>
              <w:rPr>
                <w:lang w:val="en-AU"/>
              </w:rPr>
            </w:pPr>
            <w:r w:rsidRPr="000F3C8B">
              <w:rPr>
                <w:lang w:val="en-AU"/>
              </w:rPr>
              <w:t>Uncovered</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hideMark/>
          </w:tcPr>
          <w:p w:rsidR="0011604E" w:rsidRPr="000F3C8B" w:rsidRDefault="0011604E" w:rsidP="00050563">
            <w:pPr>
              <w:pStyle w:val="TableText0"/>
              <w:rPr>
                <w:lang w:val="en-AU"/>
              </w:rPr>
            </w:pPr>
            <w:r w:rsidRPr="000F3C8B">
              <w:rPr>
                <w:lang w:val="en-AU"/>
              </w:rPr>
              <w:t xml:space="preserve">Lee et al </w:t>
            </w:r>
            <w:r w:rsidR="00297BE5" w:rsidRPr="000F3C8B">
              <w:rPr>
                <w:lang w:val="en-AU"/>
              </w:rPr>
              <w:t>(</w:t>
            </w:r>
            <w:r w:rsidRPr="000F3C8B">
              <w:rPr>
                <w:lang w:val="en-AU"/>
              </w:rPr>
              <w:t>2007</w:t>
            </w:r>
            <w:r w:rsidR="00297BE5" w:rsidRPr="000F3C8B">
              <w:rPr>
                <w:lang w:val="en-AU"/>
              </w:rPr>
              <w:t>)</w:t>
            </w:r>
          </w:p>
        </w:tc>
        <w:tc>
          <w:tcPr>
            <w:tcW w:w="669" w:type="dxa"/>
            <w:shd w:val="clear" w:color="auto" w:fill="auto"/>
            <w:noWrap/>
            <w:hideMark/>
          </w:tcPr>
          <w:p w:rsidR="0011604E" w:rsidRPr="000F3C8B" w:rsidRDefault="0011604E" w:rsidP="0007443E">
            <w:pPr>
              <w:pStyle w:val="TableText0"/>
              <w:jc w:val="right"/>
              <w:rPr>
                <w:lang w:val="en-AU"/>
              </w:rPr>
            </w:pPr>
            <w:r w:rsidRPr="000F3C8B">
              <w:rPr>
                <w:lang w:val="en-AU"/>
              </w:rPr>
              <w:t>80</w:t>
            </w:r>
          </w:p>
        </w:tc>
        <w:tc>
          <w:tcPr>
            <w:tcW w:w="1308" w:type="dxa"/>
            <w:shd w:val="clear" w:color="auto" w:fill="auto"/>
            <w:noWrap/>
            <w:hideMark/>
          </w:tcPr>
          <w:p w:rsidR="0011604E" w:rsidRPr="000F3C8B" w:rsidRDefault="0011604E" w:rsidP="0007443E">
            <w:pPr>
              <w:pStyle w:val="TableText0"/>
              <w:jc w:val="right"/>
              <w:rPr>
                <w:lang w:val="en-AU"/>
              </w:rPr>
            </w:pPr>
            <w:r w:rsidRPr="000F3C8B">
              <w:rPr>
                <w:lang w:val="en-AU"/>
              </w:rPr>
              <w:t>13</w:t>
            </w:r>
          </w:p>
        </w:tc>
        <w:tc>
          <w:tcPr>
            <w:tcW w:w="1275" w:type="dxa"/>
            <w:shd w:val="clear" w:color="auto" w:fill="auto"/>
            <w:noWrap/>
            <w:hideMark/>
          </w:tcPr>
          <w:p w:rsidR="0011604E" w:rsidRPr="000F3C8B" w:rsidRDefault="003F1391" w:rsidP="0007443E">
            <w:pPr>
              <w:pStyle w:val="TableText0"/>
              <w:jc w:val="right"/>
              <w:rPr>
                <w:lang w:val="en-AU"/>
              </w:rPr>
            </w:pPr>
            <w:r w:rsidRPr="000F3C8B">
              <w:rPr>
                <w:lang w:val="en-AU"/>
              </w:rPr>
              <w:t>16.2</w:t>
            </w:r>
          </w:p>
        </w:tc>
        <w:tc>
          <w:tcPr>
            <w:tcW w:w="1441" w:type="dxa"/>
            <w:shd w:val="clear" w:color="auto" w:fill="auto"/>
          </w:tcPr>
          <w:p w:rsidR="0011604E" w:rsidRPr="000F3C8B" w:rsidRDefault="00FE2AC8" w:rsidP="00A3108C">
            <w:pPr>
              <w:pStyle w:val="TableText0"/>
              <w:jc w:val="center"/>
              <w:rPr>
                <w:lang w:val="en-AU"/>
              </w:rPr>
            </w:pPr>
            <w:r w:rsidRPr="000F3C8B">
              <w:rPr>
                <w:lang w:val="en-AU"/>
              </w:rPr>
              <w:t>Mix</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7</w:t>
            </w:r>
          </w:p>
        </w:tc>
        <w:tc>
          <w:tcPr>
            <w:tcW w:w="869" w:type="dxa"/>
          </w:tcPr>
          <w:p w:rsidR="0011604E" w:rsidRPr="000F3C8B" w:rsidRDefault="0011604E" w:rsidP="00A3108C">
            <w:pPr>
              <w:pStyle w:val="TableText0"/>
              <w:jc w:val="right"/>
              <w:rPr>
                <w:lang w:val="en-AU"/>
              </w:rPr>
            </w:pPr>
            <w:r w:rsidRPr="000F3C8B">
              <w:rPr>
                <w:lang w:val="en-AU"/>
              </w:rPr>
              <w:t>6</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Mucci-Hennekinne et al </w:t>
            </w:r>
            <w:r w:rsidR="00297BE5" w:rsidRPr="000F3C8B">
              <w:rPr>
                <w:lang w:val="en-AU"/>
              </w:rPr>
              <w:t>(</w:t>
            </w:r>
            <w:r w:rsidRPr="000F3C8B">
              <w:rPr>
                <w:lang w:val="en-AU"/>
              </w:rPr>
              <w:t>2007</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67</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3</w:t>
            </w:r>
            <w:r w:rsidR="000D3EF2">
              <w:rPr>
                <w:vertAlign w:val="superscript"/>
                <w:lang w:val="en-AU"/>
              </w:rPr>
              <w:t>h</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4.5</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1</w:t>
            </w:r>
          </w:p>
        </w:tc>
        <w:tc>
          <w:tcPr>
            <w:tcW w:w="869" w:type="dxa"/>
          </w:tcPr>
          <w:p w:rsidR="0011604E" w:rsidRPr="000F3C8B" w:rsidRDefault="0011604E" w:rsidP="00A3108C">
            <w:pPr>
              <w:pStyle w:val="TableText0"/>
              <w:jc w:val="right"/>
              <w:rPr>
                <w:lang w:val="en-AU"/>
              </w:rPr>
            </w:pPr>
            <w:r w:rsidRPr="000F3C8B">
              <w:rPr>
                <w:lang w:val="en-AU"/>
              </w:rPr>
              <w:t>2</w:t>
            </w:r>
          </w:p>
        </w:tc>
      </w:tr>
      <w:tr w:rsidR="0011604E" w:rsidRPr="00BB3C05" w:rsidTr="000D3EF2">
        <w:trPr>
          <w:cantSplit/>
          <w:trHeight w:val="289"/>
        </w:trPr>
        <w:tc>
          <w:tcPr>
            <w:tcW w:w="1806" w:type="dxa"/>
            <w:shd w:val="clear" w:color="auto" w:fill="auto"/>
            <w:noWrap/>
            <w:hideMark/>
          </w:tcPr>
          <w:p w:rsidR="0011604E" w:rsidRPr="000F3C8B" w:rsidRDefault="0011604E" w:rsidP="00050563">
            <w:pPr>
              <w:pStyle w:val="TableText0"/>
              <w:rPr>
                <w:lang w:val="en-AU"/>
              </w:rPr>
            </w:pPr>
            <w:r w:rsidRPr="000F3C8B">
              <w:rPr>
                <w:lang w:val="en-AU"/>
              </w:rPr>
              <w:t xml:space="preserve">Athreya et al </w:t>
            </w:r>
            <w:r w:rsidR="00297BE5" w:rsidRPr="000F3C8B">
              <w:rPr>
                <w:lang w:val="en-AU"/>
              </w:rPr>
              <w:t>(</w:t>
            </w:r>
            <w:r w:rsidRPr="000F3C8B">
              <w:rPr>
                <w:lang w:val="en-AU"/>
              </w:rPr>
              <w:t>2006</w:t>
            </w:r>
            <w:r w:rsidR="00297BE5" w:rsidRPr="000F3C8B">
              <w:rPr>
                <w:lang w:val="en-AU"/>
              </w:rPr>
              <w:t>)</w:t>
            </w:r>
          </w:p>
        </w:tc>
        <w:tc>
          <w:tcPr>
            <w:tcW w:w="669" w:type="dxa"/>
            <w:shd w:val="clear" w:color="auto" w:fill="auto"/>
            <w:noWrap/>
            <w:hideMark/>
          </w:tcPr>
          <w:p w:rsidR="0011604E" w:rsidRPr="000F3C8B" w:rsidRDefault="0011604E" w:rsidP="0007443E">
            <w:pPr>
              <w:pStyle w:val="TableText0"/>
              <w:jc w:val="right"/>
              <w:rPr>
                <w:lang w:val="en-AU"/>
              </w:rPr>
            </w:pPr>
            <w:r w:rsidRPr="000F3C8B">
              <w:rPr>
                <w:lang w:val="en-AU"/>
              </w:rPr>
              <w:t>87</w:t>
            </w:r>
          </w:p>
        </w:tc>
        <w:tc>
          <w:tcPr>
            <w:tcW w:w="1308" w:type="dxa"/>
            <w:shd w:val="clear" w:color="auto" w:fill="auto"/>
            <w:noWrap/>
            <w:hideMark/>
          </w:tcPr>
          <w:p w:rsidR="0011604E" w:rsidRPr="000F3C8B" w:rsidRDefault="0011604E" w:rsidP="0007443E">
            <w:pPr>
              <w:pStyle w:val="TableText0"/>
              <w:jc w:val="right"/>
              <w:rPr>
                <w:vertAlign w:val="superscript"/>
                <w:lang w:val="en-AU"/>
              </w:rPr>
            </w:pPr>
            <w:r w:rsidRPr="000F3C8B">
              <w:rPr>
                <w:lang w:val="en-AU"/>
              </w:rPr>
              <w:t>5</w:t>
            </w:r>
            <w:r w:rsidR="000D3EF2">
              <w:rPr>
                <w:vertAlign w:val="superscript"/>
                <w:lang w:val="en-AU"/>
              </w:rPr>
              <w:t>i</w:t>
            </w:r>
          </w:p>
        </w:tc>
        <w:tc>
          <w:tcPr>
            <w:tcW w:w="1275" w:type="dxa"/>
            <w:shd w:val="clear" w:color="auto" w:fill="auto"/>
            <w:noWrap/>
            <w:hideMark/>
          </w:tcPr>
          <w:p w:rsidR="0011604E" w:rsidRPr="000F3C8B" w:rsidRDefault="003F1391" w:rsidP="0007443E">
            <w:pPr>
              <w:pStyle w:val="TableText0"/>
              <w:jc w:val="right"/>
              <w:rPr>
                <w:lang w:val="en-AU"/>
              </w:rPr>
            </w:pPr>
            <w:r w:rsidRPr="000F3C8B">
              <w:rPr>
                <w:lang w:val="en-AU"/>
              </w:rPr>
              <w:t>5.8</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Garcia-Cano </w:t>
            </w:r>
            <w:r w:rsidR="00297BE5" w:rsidRPr="000F3C8B">
              <w:rPr>
                <w:lang w:val="en-AU"/>
              </w:rPr>
              <w:t>(</w:t>
            </w:r>
            <w:r w:rsidRPr="000F3C8B">
              <w:rPr>
                <w:lang w:val="en-AU"/>
              </w:rPr>
              <w:t>2006</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175</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7</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4.0</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2</w:t>
            </w:r>
          </w:p>
        </w:tc>
        <w:tc>
          <w:tcPr>
            <w:tcW w:w="869" w:type="dxa"/>
          </w:tcPr>
          <w:p w:rsidR="0011604E" w:rsidRPr="000F3C8B" w:rsidRDefault="0011604E" w:rsidP="00A3108C">
            <w:pPr>
              <w:pStyle w:val="TableText0"/>
              <w:jc w:val="right"/>
              <w:rPr>
                <w:lang w:val="en-AU"/>
              </w:rPr>
            </w:pPr>
            <w:r w:rsidRPr="000F3C8B">
              <w:rPr>
                <w:lang w:val="en-AU"/>
              </w:rPr>
              <w:t>5</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lang w:val="en-AU"/>
              </w:rPr>
              <w:t xml:space="preserve">Vitale et al </w:t>
            </w:r>
            <w:r w:rsidR="00297BE5" w:rsidRPr="000F3C8B">
              <w:rPr>
                <w:lang w:val="en-AU"/>
              </w:rPr>
              <w:t>(</w:t>
            </w:r>
            <w:r w:rsidRPr="000F3C8B">
              <w:rPr>
                <w:lang w:val="en-AU"/>
              </w:rPr>
              <w:t>2006</w:t>
            </w:r>
            <w:r w:rsidR="00297BE5" w:rsidRPr="000F3C8B">
              <w:rPr>
                <w:lang w:val="en-AU"/>
              </w:rPr>
              <w:t>)</w:t>
            </w:r>
          </w:p>
        </w:tc>
        <w:tc>
          <w:tcPr>
            <w:tcW w:w="669" w:type="dxa"/>
            <w:shd w:val="clear" w:color="auto" w:fill="auto"/>
            <w:noWrap/>
          </w:tcPr>
          <w:p w:rsidR="0011604E" w:rsidRPr="000F3C8B" w:rsidRDefault="0011604E" w:rsidP="0007443E">
            <w:pPr>
              <w:pStyle w:val="TableText0"/>
              <w:jc w:val="right"/>
              <w:rPr>
                <w:lang w:val="en-AU"/>
              </w:rPr>
            </w:pPr>
            <w:r w:rsidRPr="000F3C8B">
              <w:rPr>
                <w:lang w:val="en-AU"/>
              </w:rPr>
              <w:t>54</w:t>
            </w:r>
          </w:p>
        </w:tc>
        <w:tc>
          <w:tcPr>
            <w:tcW w:w="1308" w:type="dxa"/>
            <w:shd w:val="clear" w:color="auto" w:fill="auto"/>
            <w:noWrap/>
          </w:tcPr>
          <w:p w:rsidR="0011604E" w:rsidRPr="000F3C8B" w:rsidRDefault="0011604E" w:rsidP="0007443E">
            <w:pPr>
              <w:pStyle w:val="TableText0"/>
              <w:jc w:val="right"/>
              <w:rPr>
                <w:lang w:val="en-AU"/>
              </w:rPr>
            </w:pPr>
            <w:r w:rsidRPr="000F3C8B">
              <w:rPr>
                <w:lang w:val="en-AU"/>
              </w:rPr>
              <w:t>3</w:t>
            </w:r>
          </w:p>
        </w:tc>
        <w:tc>
          <w:tcPr>
            <w:tcW w:w="1275" w:type="dxa"/>
            <w:shd w:val="clear" w:color="auto" w:fill="auto"/>
            <w:noWrap/>
          </w:tcPr>
          <w:p w:rsidR="0011604E" w:rsidRPr="000F3C8B" w:rsidRDefault="003F1391" w:rsidP="0007443E">
            <w:pPr>
              <w:pStyle w:val="TableText0"/>
              <w:jc w:val="right"/>
              <w:rPr>
                <w:lang w:val="en-AU"/>
              </w:rPr>
            </w:pPr>
            <w:r w:rsidRPr="000F3C8B">
              <w:rPr>
                <w:lang w:val="en-AU"/>
              </w:rPr>
              <w:t>5.6</w:t>
            </w:r>
          </w:p>
        </w:tc>
        <w:tc>
          <w:tcPr>
            <w:tcW w:w="1441" w:type="dxa"/>
            <w:shd w:val="clear" w:color="auto" w:fill="auto"/>
          </w:tcPr>
          <w:p w:rsidR="0011604E" w:rsidRPr="000F3C8B" w:rsidRDefault="00FE2AC8" w:rsidP="00A3108C">
            <w:pPr>
              <w:pStyle w:val="TableText0"/>
              <w:jc w:val="center"/>
              <w:rPr>
                <w:lang w:val="en-AU"/>
              </w:rPr>
            </w:pPr>
            <w:r w:rsidRPr="000F3C8B">
              <w:rPr>
                <w:lang w:val="en-AU"/>
              </w:rPr>
              <w:t>NR</w:t>
            </w:r>
          </w:p>
        </w:tc>
        <w:tc>
          <w:tcPr>
            <w:tcW w:w="3095" w:type="dxa"/>
            <w:shd w:val="clear" w:color="auto" w:fill="auto"/>
          </w:tcPr>
          <w:p w:rsidR="0011604E" w:rsidRPr="000F3C8B" w:rsidRDefault="0011604E" w:rsidP="00050563">
            <w:pPr>
              <w:pStyle w:val="TableText0"/>
              <w:rPr>
                <w:lang w:val="en-AU"/>
              </w:rPr>
            </w:pPr>
            <w:r w:rsidRPr="000F3C8B">
              <w:rPr>
                <w:lang w:val="en-AU"/>
              </w:rPr>
              <w:t>NR</w:t>
            </w:r>
          </w:p>
        </w:tc>
        <w:tc>
          <w:tcPr>
            <w:tcW w:w="868" w:type="dxa"/>
          </w:tcPr>
          <w:p w:rsidR="0011604E" w:rsidRPr="000F3C8B" w:rsidRDefault="0011604E" w:rsidP="00A3108C">
            <w:pPr>
              <w:pStyle w:val="TableText0"/>
              <w:jc w:val="right"/>
              <w:rPr>
                <w:lang w:val="en-AU"/>
              </w:rPr>
            </w:pPr>
            <w:r w:rsidRPr="000F3C8B">
              <w:rPr>
                <w:lang w:val="en-AU"/>
              </w:rPr>
              <w:t>NR</w:t>
            </w:r>
          </w:p>
        </w:tc>
        <w:tc>
          <w:tcPr>
            <w:tcW w:w="869" w:type="dxa"/>
          </w:tcPr>
          <w:p w:rsidR="0011604E" w:rsidRPr="000F3C8B" w:rsidRDefault="0011604E" w:rsidP="00A3108C">
            <w:pPr>
              <w:pStyle w:val="TableText0"/>
              <w:jc w:val="right"/>
              <w:rPr>
                <w:lang w:val="en-AU"/>
              </w:rPr>
            </w:pPr>
            <w:r w:rsidRPr="000F3C8B">
              <w:rPr>
                <w:lang w:val="en-AU"/>
              </w:rPr>
              <w:t>NR</w:t>
            </w:r>
          </w:p>
        </w:tc>
      </w:tr>
      <w:tr w:rsidR="0011604E" w:rsidRPr="00BB3C05" w:rsidTr="000D3EF2">
        <w:trPr>
          <w:cantSplit/>
          <w:trHeight w:val="289"/>
        </w:trPr>
        <w:tc>
          <w:tcPr>
            <w:tcW w:w="1806" w:type="dxa"/>
            <w:shd w:val="clear" w:color="auto" w:fill="auto"/>
            <w:noWrap/>
          </w:tcPr>
          <w:p w:rsidR="0011604E" w:rsidRPr="000F3C8B" w:rsidRDefault="0011604E" w:rsidP="00050563">
            <w:pPr>
              <w:pStyle w:val="TableText0"/>
              <w:rPr>
                <w:lang w:val="en-AU"/>
              </w:rPr>
            </w:pPr>
            <w:r w:rsidRPr="000F3C8B">
              <w:rPr>
                <w:b/>
                <w:lang w:val="en-AU"/>
              </w:rPr>
              <w:t>TOTAL (3</w:t>
            </w:r>
            <w:r w:rsidR="00C87601" w:rsidRPr="000F3C8B">
              <w:rPr>
                <w:b/>
                <w:lang w:val="en-AU"/>
              </w:rPr>
              <w:t>2</w:t>
            </w:r>
            <w:r w:rsidRPr="000F3C8B">
              <w:rPr>
                <w:b/>
                <w:lang w:val="en-AU"/>
              </w:rPr>
              <w:t xml:space="preserve"> studies)</w:t>
            </w:r>
          </w:p>
        </w:tc>
        <w:tc>
          <w:tcPr>
            <w:tcW w:w="669" w:type="dxa"/>
            <w:shd w:val="clear" w:color="auto" w:fill="auto"/>
            <w:noWrap/>
          </w:tcPr>
          <w:p w:rsidR="0011604E" w:rsidRPr="000F3C8B" w:rsidRDefault="0011604E" w:rsidP="0007443E">
            <w:pPr>
              <w:pStyle w:val="TableText0"/>
              <w:jc w:val="right"/>
              <w:rPr>
                <w:lang w:val="en-AU"/>
              </w:rPr>
            </w:pPr>
            <w:r w:rsidRPr="000F3C8B">
              <w:rPr>
                <w:b/>
                <w:lang w:val="en-AU"/>
              </w:rPr>
              <w:t>4</w:t>
            </w:r>
            <w:r w:rsidR="00D940F6" w:rsidRPr="000F3C8B">
              <w:rPr>
                <w:b/>
                <w:lang w:val="en-AU"/>
              </w:rPr>
              <w:t>032</w:t>
            </w:r>
          </w:p>
        </w:tc>
        <w:tc>
          <w:tcPr>
            <w:tcW w:w="1308" w:type="dxa"/>
            <w:shd w:val="clear" w:color="auto" w:fill="auto"/>
            <w:noWrap/>
          </w:tcPr>
          <w:p w:rsidR="0011604E" w:rsidRPr="000F3C8B" w:rsidRDefault="00D940F6" w:rsidP="0007443E">
            <w:pPr>
              <w:pStyle w:val="TableText0"/>
              <w:jc w:val="right"/>
              <w:rPr>
                <w:lang w:val="en-AU"/>
              </w:rPr>
            </w:pPr>
            <w:r w:rsidRPr="000F3C8B">
              <w:rPr>
                <w:b/>
                <w:lang w:val="en-AU"/>
              </w:rPr>
              <w:t>259</w:t>
            </w:r>
          </w:p>
        </w:tc>
        <w:tc>
          <w:tcPr>
            <w:tcW w:w="1275" w:type="dxa"/>
            <w:shd w:val="clear" w:color="auto" w:fill="auto"/>
            <w:noWrap/>
          </w:tcPr>
          <w:p w:rsidR="0011604E" w:rsidRPr="000F3C8B" w:rsidRDefault="0011604E" w:rsidP="0007443E">
            <w:pPr>
              <w:pStyle w:val="TableText0"/>
              <w:jc w:val="right"/>
              <w:rPr>
                <w:lang w:val="en-AU"/>
              </w:rPr>
            </w:pPr>
            <w:r w:rsidRPr="000F3C8B">
              <w:rPr>
                <w:b/>
                <w:lang w:val="en-AU"/>
              </w:rPr>
              <w:t>6.</w:t>
            </w:r>
            <w:r w:rsidR="003F1391" w:rsidRPr="000F3C8B">
              <w:rPr>
                <w:b/>
                <w:lang w:val="en-AU"/>
              </w:rPr>
              <w:t>4</w:t>
            </w:r>
          </w:p>
        </w:tc>
        <w:tc>
          <w:tcPr>
            <w:tcW w:w="1441" w:type="dxa"/>
            <w:shd w:val="clear" w:color="auto" w:fill="auto"/>
          </w:tcPr>
          <w:p w:rsidR="0011604E" w:rsidRPr="000F3C8B" w:rsidRDefault="00FE2AC8" w:rsidP="00A3108C">
            <w:pPr>
              <w:pStyle w:val="TableText0"/>
              <w:jc w:val="center"/>
              <w:rPr>
                <w:lang w:val="en-AU"/>
              </w:rPr>
            </w:pPr>
            <w:r w:rsidRPr="000F3C8B">
              <w:rPr>
                <w:lang w:val="en-AU"/>
              </w:rPr>
              <w:t>-</w:t>
            </w:r>
          </w:p>
        </w:tc>
        <w:tc>
          <w:tcPr>
            <w:tcW w:w="3095" w:type="dxa"/>
            <w:shd w:val="clear" w:color="auto" w:fill="auto"/>
          </w:tcPr>
          <w:p w:rsidR="0011604E" w:rsidRPr="000F3C8B" w:rsidRDefault="0011604E" w:rsidP="00050563">
            <w:pPr>
              <w:pStyle w:val="TableText0"/>
              <w:rPr>
                <w:lang w:val="en-AU"/>
              </w:rPr>
            </w:pPr>
            <w:r w:rsidRPr="000F3C8B">
              <w:rPr>
                <w:lang w:val="en-AU"/>
              </w:rPr>
              <w:t>-</w:t>
            </w:r>
          </w:p>
        </w:tc>
        <w:tc>
          <w:tcPr>
            <w:tcW w:w="868" w:type="dxa"/>
          </w:tcPr>
          <w:p w:rsidR="0011604E" w:rsidRPr="000F3C8B" w:rsidRDefault="0011604E" w:rsidP="00A3108C">
            <w:pPr>
              <w:pStyle w:val="TableText0"/>
              <w:jc w:val="right"/>
              <w:rPr>
                <w:lang w:val="en-AU"/>
              </w:rPr>
            </w:pPr>
            <w:r w:rsidRPr="000F3C8B">
              <w:rPr>
                <w:lang w:val="en-AU"/>
              </w:rPr>
              <w:t>40</w:t>
            </w:r>
          </w:p>
        </w:tc>
        <w:tc>
          <w:tcPr>
            <w:tcW w:w="869" w:type="dxa"/>
          </w:tcPr>
          <w:p w:rsidR="0011604E" w:rsidRPr="000F3C8B" w:rsidRDefault="0011604E" w:rsidP="00A3108C">
            <w:pPr>
              <w:pStyle w:val="TableText0"/>
              <w:jc w:val="right"/>
              <w:rPr>
                <w:lang w:val="en-AU"/>
              </w:rPr>
            </w:pPr>
            <w:r w:rsidRPr="000F3C8B">
              <w:rPr>
                <w:lang w:val="en-AU"/>
              </w:rPr>
              <w:t>56</w:t>
            </w:r>
          </w:p>
        </w:tc>
      </w:tr>
    </w:tbl>
    <w:p w:rsidR="00A3108C" w:rsidRDefault="00A3108C" w:rsidP="00A3108C">
      <w:pPr>
        <w:pStyle w:val="TableNotes"/>
        <w:rPr>
          <w:lang w:val="en-AU"/>
        </w:rPr>
      </w:pPr>
      <w:proofErr w:type="gramStart"/>
      <w:r>
        <w:rPr>
          <w:lang w:val="en-AU"/>
        </w:rPr>
        <w:t xml:space="preserve">a  </w:t>
      </w:r>
      <w:r w:rsidRPr="009E5C53">
        <w:t>Early</w:t>
      </w:r>
      <w:proofErr w:type="gramEnd"/>
      <w:r w:rsidRPr="009E5C53">
        <w:t xml:space="preserve"> migration: Incidences o</w:t>
      </w:r>
      <w:r w:rsidRPr="00E2422F">
        <w:t xml:space="preserve">f migrations occurred within 7 days post-operatively. This includes any </w:t>
      </w:r>
      <w:r w:rsidRPr="00892811">
        <w:t>event</w:t>
      </w:r>
      <w:r w:rsidRPr="008978EE">
        <w:t xml:space="preserve"> of stent migration lead to technical/clinical failure as well; </w:t>
      </w:r>
      <w:r>
        <w:rPr>
          <w:lang w:val="en-AU"/>
        </w:rPr>
        <w:t>L</w:t>
      </w:r>
      <w:r w:rsidRPr="008978EE">
        <w:t>ate</w:t>
      </w:r>
      <w:r w:rsidRPr="00A30BA9">
        <w:t xml:space="preserve"> migration: </w:t>
      </w:r>
      <w:r w:rsidRPr="005646B6">
        <w:t>s</w:t>
      </w:r>
      <w:r w:rsidRPr="00003831">
        <w:t>tent migrations</w:t>
      </w:r>
      <w:r>
        <w:rPr>
          <w:lang w:val="en-AU"/>
        </w:rPr>
        <w:t xml:space="preserve"> </w:t>
      </w:r>
      <w:r w:rsidRPr="00003831">
        <w:t>recorded after 7 days</w:t>
      </w:r>
      <w:r w:rsidRPr="00A87C52">
        <w:t>.</w:t>
      </w:r>
    </w:p>
    <w:p w:rsidR="00A3108C" w:rsidRPr="00965DBA" w:rsidRDefault="00A3108C" w:rsidP="00A3108C">
      <w:pPr>
        <w:pStyle w:val="TableNotes"/>
      </w:pPr>
      <w:proofErr w:type="gramStart"/>
      <w:r>
        <w:rPr>
          <w:lang w:val="en-AU"/>
        </w:rPr>
        <w:t>b</w:t>
      </w:r>
      <w:r w:rsidRPr="00DF686C">
        <w:t xml:space="preserve"> </w:t>
      </w:r>
      <w:r>
        <w:t xml:space="preserve"> </w:t>
      </w:r>
      <w:r w:rsidRPr="00DF686C">
        <w:t>Includes</w:t>
      </w:r>
      <w:proofErr w:type="gramEnd"/>
      <w:r w:rsidRPr="00DF686C">
        <w:t xml:space="preserve"> 3 early stent migrations that lead to clinical fa</w:t>
      </w:r>
      <w:r w:rsidRPr="007D0320">
        <w:t>ilure</w:t>
      </w:r>
      <w:r w:rsidRPr="00965DBA">
        <w:t xml:space="preserve">, and another 11 occurred during the follow-up. </w:t>
      </w:r>
    </w:p>
    <w:p w:rsidR="00A3108C" w:rsidRPr="00F2707B" w:rsidRDefault="00A3108C" w:rsidP="00A3108C">
      <w:pPr>
        <w:pStyle w:val="TableNotes"/>
      </w:pPr>
      <w:proofErr w:type="gramStart"/>
      <w:r>
        <w:rPr>
          <w:lang w:val="en-AU"/>
        </w:rPr>
        <w:t>c</w:t>
      </w:r>
      <w:r>
        <w:t xml:space="preserve"> </w:t>
      </w:r>
      <w:r w:rsidRPr="00BE3EA8">
        <w:t xml:space="preserve"> Includes</w:t>
      </w:r>
      <w:proofErr w:type="gramEnd"/>
      <w:r w:rsidRPr="00BE3EA8">
        <w:t xml:space="preserve"> 2 </w:t>
      </w:r>
      <w:r w:rsidRPr="00A3741F">
        <w:t xml:space="preserve">complications </w:t>
      </w:r>
      <w:r w:rsidRPr="00F2707B">
        <w:t>that occurred within 30 days and 7 after 30 days.</w:t>
      </w:r>
    </w:p>
    <w:p w:rsidR="00A3108C" w:rsidRDefault="000D3EF2" w:rsidP="00A3108C">
      <w:pPr>
        <w:pStyle w:val="TableNotes"/>
        <w:rPr>
          <w:lang w:val="en-AU"/>
        </w:rPr>
      </w:pPr>
      <w:proofErr w:type="gramStart"/>
      <w:r>
        <w:rPr>
          <w:lang w:val="en-AU"/>
        </w:rPr>
        <w:t>d</w:t>
      </w:r>
      <w:proofErr w:type="gramEnd"/>
      <w:r w:rsidR="00A3108C" w:rsidRPr="00B1508A">
        <w:t xml:space="preserve"> N</w:t>
      </w:r>
      <w:r w:rsidR="00A3108C">
        <w:t xml:space="preserve">: </w:t>
      </w:r>
      <w:r w:rsidR="00A3108C" w:rsidRPr="00B1508A">
        <w:t xml:space="preserve">Based on the number of stenting </w:t>
      </w:r>
      <w:r w:rsidR="00A3108C" w:rsidRPr="001949E9">
        <w:t>procedures or attempts performed.</w:t>
      </w:r>
    </w:p>
    <w:p w:rsidR="00A3108C" w:rsidRPr="008F42F9" w:rsidRDefault="000D3EF2" w:rsidP="00A3108C">
      <w:pPr>
        <w:pStyle w:val="TableNotes"/>
      </w:pPr>
      <w:proofErr w:type="gramStart"/>
      <w:r>
        <w:rPr>
          <w:lang w:val="en-AU"/>
        </w:rPr>
        <w:t>e</w:t>
      </w:r>
      <w:proofErr w:type="gramEnd"/>
      <w:r w:rsidR="00A3108C">
        <w:rPr>
          <w:vertAlign w:val="superscript"/>
        </w:rPr>
        <w:t xml:space="preserve"> </w:t>
      </w:r>
      <w:r w:rsidR="00A3108C" w:rsidRPr="008F42F9">
        <w:rPr>
          <w:vertAlign w:val="superscript"/>
        </w:rPr>
        <w:t xml:space="preserve"> </w:t>
      </w:r>
      <w:r w:rsidR="00A3108C">
        <w:rPr>
          <w:vertAlign w:val="superscript"/>
        </w:rPr>
        <w:t xml:space="preserve"> </w:t>
      </w:r>
      <w:r w:rsidR="00A3108C" w:rsidRPr="008F42F9">
        <w:t>Includes 3 events which occurred within 5 days and 7 events that occurred thereafter.</w:t>
      </w:r>
    </w:p>
    <w:p w:rsidR="00A3108C" w:rsidRPr="007D5B7C" w:rsidRDefault="000D3EF2" w:rsidP="00A3108C">
      <w:pPr>
        <w:pStyle w:val="TableNotes"/>
        <w:rPr>
          <w:vertAlign w:val="superscript"/>
        </w:rPr>
      </w:pPr>
      <w:proofErr w:type="gramStart"/>
      <w:r>
        <w:rPr>
          <w:lang w:val="en-AU"/>
        </w:rPr>
        <w:t>f</w:t>
      </w:r>
      <w:proofErr w:type="gramEnd"/>
      <w:r w:rsidR="00A3108C">
        <w:rPr>
          <w:vertAlign w:val="superscript"/>
        </w:rPr>
        <w:t xml:space="preserve"> </w:t>
      </w:r>
      <w:r w:rsidR="00A3108C" w:rsidRPr="00325C69">
        <w:rPr>
          <w:vertAlign w:val="superscript"/>
        </w:rPr>
        <w:t xml:space="preserve"> </w:t>
      </w:r>
      <w:r w:rsidR="00A3108C">
        <w:rPr>
          <w:vertAlign w:val="superscript"/>
        </w:rPr>
        <w:t xml:space="preserve"> </w:t>
      </w:r>
      <w:r w:rsidR="00A3108C" w:rsidRPr="007D5B7C">
        <w:t>Distal partial migration (2) and expulsion from anal canal (2)</w:t>
      </w:r>
      <w:r w:rsidR="00A3108C">
        <w:t>.</w:t>
      </w:r>
    </w:p>
    <w:p w:rsidR="00A3108C" w:rsidRPr="009672A9" w:rsidRDefault="000D3EF2" w:rsidP="00A3108C">
      <w:pPr>
        <w:pStyle w:val="TableNotes"/>
        <w:rPr>
          <w:vertAlign w:val="superscript"/>
        </w:rPr>
      </w:pPr>
      <w:proofErr w:type="gramStart"/>
      <w:r>
        <w:rPr>
          <w:lang w:val="en-AU"/>
        </w:rPr>
        <w:t>g</w:t>
      </w:r>
      <w:r w:rsidR="00A3108C" w:rsidRPr="00EA2600">
        <w:rPr>
          <w:vertAlign w:val="superscript"/>
        </w:rPr>
        <w:t xml:space="preserve"> </w:t>
      </w:r>
      <w:r w:rsidR="00A3108C">
        <w:rPr>
          <w:vertAlign w:val="superscript"/>
        </w:rPr>
        <w:t xml:space="preserve"> </w:t>
      </w:r>
      <w:r w:rsidR="00A3108C" w:rsidRPr="00EA2600">
        <w:t>Only</w:t>
      </w:r>
      <w:proofErr w:type="gramEnd"/>
      <w:r w:rsidR="00A3108C" w:rsidRPr="00EA2600">
        <w:t xml:space="preserve"> 107 (of a </w:t>
      </w:r>
      <w:r w:rsidR="00A3108C" w:rsidRPr="00EC591E">
        <w:t>total 151) patients who received stents with a palliative intention were assessed for long-</w:t>
      </w:r>
      <w:r w:rsidR="00A3108C" w:rsidRPr="00430AA8">
        <w:t>term complications.</w:t>
      </w:r>
      <w:r w:rsidR="00A3108C" w:rsidRPr="00347DAA">
        <w:rPr>
          <w:vertAlign w:val="superscript"/>
        </w:rPr>
        <w:t xml:space="preserve">  </w:t>
      </w:r>
    </w:p>
    <w:p w:rsidR="00A3108C" w:rsidRPr="00CD21F6" w:rsidRDefault="000D3EF2" w:rsidP="00A3108C">
      <w:pPr>
        <w:pStyle w:val="TableNotes"/>
      </w:pPr>
      <w:proofErr w:type="gramStart"/>
      <w:r>
        <w:rPr>
          <w:lang w:val="en-AU"/>
        </w:rPr>
        <w:t>h</w:t>
      </w:r>
      <w:r w:rsidR="00A3108C" w:rsidRPr="00584C29">
        <w:t xml:space="preserve"> </w:t>
      </w:r>
      <w:r w:rsidR="00A3108C">
        <w:t xml:space="preserve"> </w:t>
      </w:r>
      <w:r w:rsidR="00A3108C" w:rsidRPr="00584C29">
        <w:t>Includes</w:t>
      </w:r>
      <w:proofErr w:type="gramEnd"/>
      <w:r w:rsidR="00A3108C" w:rsidRPr="00584C29">
        <w:t xml:space="preserve"> 1 immediate stent migration that required re-stenting. </w:t>
      </w:r>
      <w:r w:rsidR="00A3108C">
        <w:br/>
      </w:r>
      <w:proofErr w:type="gramStart"/>
      <w:r>
        <w:rPr>
          <w:lang w:val="en-AU"/>
        </w:rPr>
        <w:t>i</w:t>
      </w:r>
      <w:r w:rsidR="00A3108C">
        <w:rPr>
          <w:lang w:val="en-AU"/>
        </w:rPr>
        <w:t xml:space="preserve">  </w:t>
      </w:r>
      <w:r w:rsidR="00A3108C" w:rsidRPr="00A550ED">
        <w:t>O</w:t>
      </w:r>
      <w:r w:rsidR="00A3108C" w:rsidRPr="0055406F">
        <w:t>ccurred</w:t>
      </w:r>
      <w:proofErr w:type="gramEnd"/>
      <w:r w:rsidR="00A3108C" w:rsidRPr="0055406F">
        <w:t xml:space="preserve"> after 30 days</w:t>
      </w:r>
      <w:r w:rsidR="00A3108C" w:rsidRPr="001949E9">
        <w:t xml:space="preserve"> </w:t>
      </w:r>
    </w:p>
    <w:p w:rsidR="001E3F43" w:rsidRPr="00A3108C" w:rsidRDefault="00FE5DAD" w:rsidP="00A3108C">
      <w:pPr>
        <w:pStyle w:val="TableNotes"/>
        <w:rPr>
          <w:rFonts w:cs="Calibri"/>
          <w:color w:val="000000"/>
          <w:lang w:val="en-AU" w:eastAsia="en-US"/>
        </w:rPr>
      </w:pPr>
      <w:r>
        <w:rPr>
          <w:rFonts w:cs="Calibri"/>
          <w:color w:val="000000"/>
          <w:lang w:eastAsia="en-US"/>
        </w:rPr>
        <w:t>B</w:t>
      </w:r>
      <w:r w:rsidR="00A3108C" w:rsidRPr="00965DBA">
        <w:rPr>
          <w:rFonts w:cs="Calibri"/>
          <w:color w:val="000000"/>
          <w:lang w:eastAsia="en-US"/>
        </w:rPr>
        <w:t>T</w:t>
      </w:r>
      <w:r>
        <w:rPr>
          <w:rFonts w:cs="Calibri"/>
          <w:color w:val="000000"/>
          <w:lang w:val="en-AU" w:eastAsia="en-US"/>
        </w:rPr>
        <w:t>S</w:t>
      </w:r>
      <w:r w:rsidR="00A3108C" w:rsidRPr="00965DBA">
        <w:rPr>
          <w:rFonts w:cs="Calibri"/>
          <w:color w:val="000000"/>
          <w:lang w:eastAsia="en-US"/>
        </w:rPr>
        <w:t xml:space="preserve">: Insertion of a stent/s as a bridge to surgery; </w:t>
      </w:r>
      <w:r w:rsidR="00A3108C">
        <w:rPr>
          <w:rFonts w:cs="Calibri"/>
          <w:color w:val="000000"/>
          <w:lang w:eastAsia="en-US"/>
        </w:rPr>
        <w:t>IQR: Interquartile range</w:t>
      </w:r>
      <w:r w:rsidR="00A3108C">
        <w:rPr>
          <w:rFonts w:cs="Calibri"/>
          <w:color w:val="000000"/>
          <w:lang w:val="en-AU" w:eastAsia="en-US"/>
        </w:rPr>
        <w:t xml:space="preserve">; </w:t>
      </w:r>
      <w:r w:rsidR="00B03ABA" w:rsidRPr="00865497">
        <w:t>N</w:t>
      </w:r>
      <w:r w:rsidR="00903E7C">
        <w:t>:</w:t>
      </w:r>
      <w:r w:rsidR="00B03ABA" w:rsidRPr="00BB3C05">
        <w:rPr>
          <w:vertAlign w:val="superscript"/>
        </w:rPr>
        <w:t xml:space="preserve"> </w:t>
      </w:r>
      <w:r w:rsidR="00865497">
        <w:rPr>
          <w:vertAlign w:val="superscript"/>
        </w:rPr>
        <w:t xml:space="preserve"> </w:t>
      </w:r>
      <w:r w:rsidR="00865497" w:rsidRPr="00BB3C05">
        <w:t>B</w:t>
      </w:r>
      <w:r w:rsidR="00B03ABA" w:rsidRPr="00BB3C05">
        <w:t>ased on all p</w:t>
      </w:r>
      <w:r w:rsidR="00F048E5" w:rsidRPr="00BB3C05">
        <w:t>atients for whom safety data was</w:t>
      </w:r>
      <w:r w:rsidR="00B03ABA" w:rsidRPr="00BB3C05">
        <w:t xml:space="preserve"> reported, regardless of </w:t>
      </w:r>
      <w:r w:rsidR="00F048E5" w:rsidRPr="00BB3C05">
        <w:t>the number of patients enrolled in the</w:t>
      </w:r>
      <w:r w:rsidR="00B03ABA" w:rsidRPr="00BB3C05">
        <w:t xml:space="preserve"> study, or their technical/clinical success. In some cases</w:t>
      </w:r>
      <w:r w:rsidR="00E617F5">
        <w:rPr>
          <w:lang w:val="en-AU"/>
        </w:rPr>
        <w:t>,</w:t>
      </w:r>
      <w:r w:rsidR="00B03ABA" w:rsidRPr="00BB3C05">
        <w:t xml:space="preserve"> </w:t>
      </w:r>
      <w:r w:rsidR="00F048E5" w:rsidRPr="00BB3C05">
        <w:t xml:space="preserve">the </w:t>
      </w:r>
      <w:r w:rsidR="00B03ABA" w:rsidRPr="00BB3C05">
        <w:t>number of stenting a</w:t>
      </w:r>
      <w:r w:rsidR="00865497">
        <w:t>ttempts or procedures performed</w:t>
      </w:r>
      <w:r w:rsidR="00F048E5" w:rsidRPr="00BB3C05">
        <w:t xml:space="preserve"> </w:t>
      </w:r>
      <w:r w:rsidR="00D5122F">
        <w:rPr>
          <w:lang w:val="en-AU"/>
        </w:rPr>
        <w:t>has been</w:t>
      </w:r>
      <w:r w:rsidR="00D5122F" w:rsidRPr="00BB3C05">
        <w:t xml:space="preserve"> </w:t>
      </w:r>
      <w:r w:rsidR="00B03ABA" w:rsidRPr="00BB3C05">
        <w:t>considered as the denominator instead of</w:t>
      </w:r>
      <w:r w:rsidR="00F048E5" w:rsidRPr="00BB3C05">
        <w:t xml:space="preserve"> the</w:t>
      </w:r>
      <w:r w:rsidR="00B03ABA" w:rsidRPr="00BB3C05">
        <w:t xml:space="preserve"> </w:t>
      </w:r>
      <w:r w:rsidR="00521C18" w:rsidRPr="00BB3C05">
        <w:t xml:space="preserve">number of </w:t>
      </w:r>
      <w:r w:rsidR="00B03ABA" w:rsidRPr="00BB3C05">
        <w:t>patients</w:t>
      </w:r>
      <w:r w:rsidR="00A3108C" w:rsidRPr="00965DBA">
        <w:rPr>
          <w:rFonts w:cs="Calibri"/>
          <w:color w:val="000000"/>
          <w:lang w:eastAsia="en-US"/>
        </w:rPr>
        <w:t>; NR: Not reported</w:t>
      </w:r>
      <w:r w:rsidR="00A3108C">
        <w:rPr>
          <w:rFonts w:cs="Calibri"/>
          <w:color w:val="000000"/>
          <w:lang w:eastAsia="en-US"/>
        </w:rPr>
        <w:t>;</w:t>
      </w:r>
      <w:r w:rsidR="00BC5F52" w:rsidRPr="00965DBA">
        <w:rPr>
          <w:rFonts w:cs="Calibri"/>
          <w:color w:val="000000"/>
          <w:lang w:eastAsia="en-US"/>
        </w:rPr>
        <w:t xml:space="preserve"> Pal: </w:t>
      </w:r>
      <w:r w:rsidR="00903E7C" w:rsidRPr="00965DBA">
        <w:rPr>
          <w:rFonts w:cs="Calibri"/>
          <w:color w:val="000000"/>
          <w:lang w:eastAsia="en-US"/>
        </w:rPr>
        <w:t>P</w:t>
      </w:r>
      <w:r w:rsidR="00BC5F52" w:rsidRPr="00965DBA">
        <w:rPr>
          <w:rFonts w:cs="Calibri"/>
          <w:color w:val="000000"/>
          <w:lang w:eastAsia="en-US"/>
        </w:rPr>
        <w:t>alliative/definitive stent</w:t>
      </w:r>
      <w:r w:rsidR="00A3108C">
        <w:rPr>
          <w:rFonts w:cs="Calibri"/>
          <w:color w:val="000000"/>
          <w:lang w:val="en-AU" w:eastAsia="en-US"/>
        </w:rPr>
        <w:t xml:space="preserve">; </w:t>
      </w:r>
      <w:r w:rsidR="00EB7E50">
        <w:rPr>
          <w:rFonts w:cs="Calibri"/>
          <w:color w:val="000000"/>
          <w:lang w:val="en-AU" w:eastAsia="en-US"/>
        </w:rPr>
        <w:t>SD: Standard deviation</w:t>
      </w:r>
      <w:r w:rsidR="00BC5F52" w:rsidRPr="00965DBA">
        <w:rPr>
          <w:rFonts w:cs="Calibri"/>
          <w:color w:val="000000"/>
          <w:lang w:eastAsia="en-US"/>
        </w:rPr>
        <w:t xml:space="preserve">. </w:t>
      </w:r>
    </w:p>
    <w:p w:rsidR="009D7329" w:rsidRPr="00BB3C05" w:rsidRDefault="009D7329" w:rsidP="00C2693F">
      <w:pPr>
        <w:pStyle w:val="Heading4"/>
        <w:sectPr w:rsidR="009D7329" w:rsidRPr="00BB3C05" w:rsidSect="009D7329">
          <w:footerReference w:type="even" r:id="rId36"/>
          <w:footerReference w:type="default" r:id="rId37"/>
          <w:pgSz w:w="16838" w:h="11906" w:orient="landscape"/>
          <w:pgMar w:top="1985" w:right="1440" w:bottom="1440" w:left="1440" w:header="720" w:footer="720" w:gutter="0"/>
          <w:paperSrc w:first="2" w:other="2"/>
          <w:cols w:space="720"/>
          <w:docGrid w:linePitch="326"/>
        </w:sectPr>
      </w:pPr>
    </w:p>
    <w:p w:rsidR="00183A8F" w:rsidRPr="00BB3C05" w:rsidRDefault="00183A8F" w:rsidP="00041D5E">
      <w:pPr>
        <w:pStyle w:val="Heading4"/>
      </w:pPr>
      <w:r w:rsidRPr="00BB3C05">
        <w:lastRenderedPageBreak/>
        <w:t xml:space="preserve">Tumour </w:t>
      </w:r>
      <w:r w:rsidR="003E3B83" w:rsidRPr="00BB3C05">
        <w:t>growth</w:t>
      </w:r>
      <w:r w:rsidR="003E3B83">
        <w:t>-</w:t>
      </w:r>
      <w:r w:rsidRPr="00BB3C05">
        <w:t>related events</w:t>
      </w:r>
    </w:p>
    <w:p w:rsidR="00F17D20" w:rsidRPr="00F57498" w:rsidRDefault="003E3B83" w:rsidP="00422B5B">
      <w:r>
        <w:t xml:space="preserve">In total, </w:t>
      </w:r>
      <w:r w:rsidR="00624C53" w:rsidRPr="009E5C53">
        <w:t>1</w:t>
      </w:r>
      <w:r w:rsidR="00D45A00" w:rsidRPr="00E2422F">
        <w:t>1</w:t>
      </w:r>
      <w:r w:rsidR="00624C53" w:rsidRPr="00892811">
        <w:t xml:space="preserve"> studies recorded tumour ingrowth or overgrowth, </w:t>
      </w:r>
      <w:r>
        <w:t>with</w:t>
      </w:r>
      <w:r w:rsidRPr="00892811">
        <w:t xml:space="preserve"> </w:t>
      </w:r>
      <w:r w:rsidR="005A3D99" w:rsidRPr="008978EE">
        <w:t xml:space="preserve">a </w:t>
      </w:r>
      <w:r w:rsidR="00624C53" w:rsidRPr="008978EE">
        <w:t>total of 1</w:t>
      </w:r>
      <w:r w:rsidR="00FB7039" w:rsidRPr="00A30BA9">
        <w:t>1</w:t>
      </w:r>
      <w:r w:rsidR="00D45A00" w:rsidRPr="005646B6">
        <w:t>4</w:t>
      </w:r>
      <w:r w:rsidR="00624C53" w:rsidRPr="00003831">
        <w:t xml:space="preserve"> incidences </w:t>
      </w:r>
      <w:r>
        <w:t>reported</w:t>
      </w:r>
      <w:r w:rsidR="00624C53" w:rsidRPr="00003831">
        <w:t xml:space="preserve"> (n=1</w:t>
      </w:r>
      <w:r w:rsidR="00D45A00" w:rsidRPr="00A87C52">
        <w:t>169</w:t>
      </w:r>
      <w:r>
        <w:t>; occurrence rate 9.8%</w:t>
      </w:r>
      <w:r w:rsidR="00624C53" w:rsidRPr="00DF686C">
        <w:t>).</w:t>
      </w:r>
      <w:r>
        <w:t xml:space="preserve"> </w:t>
      </w:r>
      <w:r w:rsidR="00B17A83" w:rsidRPr="00F13A5A">
        <w:t>Most of these st</w:t>
      </w:r>
      <w:r w:rsidR="00B17A83" w:rsidRPr="00BE3EA8">
        <w:t xml:space="preserve">udies recorded tumour </w:t>
      </w:r>
      <w:r w:rsidRPr="00BE3EA8">
        <w:t>growth</w:t>
      </w:r>
      <w:r>
        <w:t>-</w:t>
      </w:r>
      <w:r w:rsidR="00B17A83" w:rsidRPr="00BE3EA8">
        <w:t xml:space="preserve">related events when the patients </w:t>
      </w:r>
      <w:r w:rsidRPr="00BE3EA8">
        <w:t>ha</w:t>
      </w:r>
      <w:r>
        <w:t>d</w:t>
      </w:r>
      <w:r w:rsidRPr="00BE3EA8">
        <w:t xml:space="preserve"> </w:t>
      </w:r>
      <w:r w:rsidR="00B17A83" w:rsidRPr="00BE3EA8">
        <w:t>been followed</w:t>
      </w:r>
      <w:r>
        <w:t xml:space="preserve"> for</w:t>
      </w:r>
      <w:r w:rsidR="00B17A83" w:rsidRPr="00BE3EA8">
        <w:t xml:space="preserve"> more</w:t>
      </w:r>
      <w:r>
        <w:t xml:space="preserve"> </w:t>
      </w:r>
      <w:r w:rsidR="00B17A83" w:rsidRPr="00BE3EA8">
        <w:t xml:space="preserve">than </w:t>
      </w:r>
      <w:r w:rsidR="005A3D99" w:rsidRPr="00BE3EA8">
        <w:t>seven</w:t>
      </w:r>
      <w:r w:rsidR="00B17A83" w:rsidRPr="00A3741F">
        <w:t xml:space="preserve"> days. </w:t>
      </w:r>
      <w:r w:rsidR="006E4241" w:rsidRPr="00F2707B">
        <w:t xml:space="preserve"> Shrivastava et al (2008) noted median time to tumour ingrowth as 242 days (IQR 234-628 days). </w:t>
      </w:r>
      <w:r w:rsidR="0060465F" w:rsidRPr="008F42F9">
        <w:t>In some instance</w:t>
      </w:r>
      <w:r w:rsidR="005A3D99" w:rsidRPr="008F42F9">
        <w:t>s</w:t>
      </w:r>
      <w:r>
        <w:t>,</w:t>
      </w:r>
      <w:r w:rsidR="0060465F" w:rsidRPr="008F42F9">
        <w:t xml:space="preserve"> tumour growths led to re-obstruction or occlusion (Suh et al 20</w:t>
      </w:r>
      <w:r w:rsidR="005372EC">
        <w:t>10</w:t>
      </w:r>
      <w:r w:rsidR="0060465F" w:rsidRPr="008F42F9">
        <w:t xml:space="preserve">). </w:t>
      </w:r>
    </w:p>
    <w:p w:rsidR="0058297F" w:rsidRPr="00892811" w:rsidRDefault="003E3B83" w:rsidP="00422B5B">
      <w:r>
        <w:t xml:space="preserve">A total of 81 tumour growth-related events were reported across eight studies </w:t>
      </w:r>
      <w:r w:rsidR="006D0C13" w:rsidRPr="007D5B7C">
        <w:t>(n=</w:t>
      </w:r>
      <w:r w:rsidR="00FB7039" w:rsidRPr="007D5B7C">
        <w:t>925</w:t>
      </w:r>
      <w:r>
        <w:t>; occurrence rate 8.</w:t>
      </w:r>
      <w:r w:rsidR="00903E7C">
        <w:t>8</w:t>
      </w:r>
      <w:r>
        <w:t>%</w:t>
      </w:r>
      <w:r w:rsidR="006D0C13" w:rsidRPr="007D5B7C">
        <w:t>)</w:t>
      </w:r>
      <w:r w:rsidR="0058297F" w:rsidRPr="007D5B7C">
        <w:t xml:space="preserve"> </w:t>
      </w:r>
      <w:proofErr w:type="gramStart"/>
      <w:r w:rsidR="00422B5B" w:rsidRPr="00347DAA">
        <w:t>(</w:t>
      </w:r>
      <w:r w:rsidR="006F654A">
        <w:t xml:space="preserve">See </w:t>
      </w:r>
      <w:r w:rsidR="00E71FC8">
        <w:fldChar w:fldCharType="begin"/>
      </w:r>
      <w:r w:rsidR="00E71FC8">
        <w:instrText xml:space="preserve"> REF _Ref324947151 \h </w:instrText>
      </w:r>
      <w:r w:rsidR="00F57498">
        <w:instrText xml:space="preserve"> \* MERGEFORMAT </w:instrText>
      </w:r>
      <w:r w:rsidR="00E71FC8">
        <w:fldChar w:fldCharType="separate"/>
      </w:r>
      <w:r w:rsidR="0071544A">
        <w:t>Table 35</w:t>
      </w:r>
      <w:r w:rsidR="00E71FC8">
        <w:fldChar w:fldCharType="end"/>
      </w:r>
      <w:r w:rsidR="006830BB" w:rsidRPr="009E5C53">
        <w:t>)</w:t>
      </w:r>
      <w:r w:rsidR="006D0C13" w:rsidRPr="00E2422F">
        <w:t>.</w:t>
      </w:r>
      <w:proofErr w:type="gramEnd"/>
      <w:r w:rsidR="00FB7039" w:rsidRPr="00892811">
        <w:t xml:space="preserve"> </w:t>
      </w:r>
      <w:r>
        <w:t>S</w:t>
      </w:r>
      <w:r w:rsidR="00D45A00" w:rsidRPr="008978EE">
        <w:t xml:space="preserve">even </w:t>
      </w:r>
      <w:r w:rsidR="00D319F6" w:rsidRPr="00A30BA9">
        <w:t>studies</w:t>
      </w:r>
      <w:r>
        <w:t>,</w:t>
      </w:r>
      <w:r w:rsidR="00D319F6" w:rsidRPr="00A30BA9">
        <w:t xml:space="preserve"> with </w:t>
      </w:r>
      <w:r w:rsidR="005A3D99" w:rsidRPr="005646B6">
        <w:t xml:space="preserve">a </w:t>
      </w:r>
      <w:r w:rsidR="00D319F6" w:rsidRPr="00003831">
        <w:t xml:space="preserve">total of </w:t>
      </w:r>
      <w:r w:rsidR="00D45A00" w:rsidRPr="00A87C52">
        <w:t xml:space="preserve">469 </w:t>
      </w:r>
      <w:r w:rsidR="00D319F6" w:rsidRPr="00DF686C">
        <w:t>patients</w:t>
      </w:r>
      <w:r>
        <w:t>,</w:t>
      </w:r>
      <w:r w:rsidR="00D319F6" w:rsidRPr="00DF686C">
        <w:t xml:space="preserve"> reported tumour overgrowth</w:t>
      </w:r>
      <w:r w:rsidR="00B17A83" w:rsidRPr="00DF686C">
        <w:t xml:space="preserve"> with a mean occurrence of </w:t>
      </w:r>
      <w:r w:rsidR="003F1391" w:rsidRPr="007D0320">
        <w:t>7</w:t>
      </w:r>
      <w:r w:rsidR="00B463D8">
        <w:t xml:space="preserve"> per cent</w:t>
      </w:r>
      <w:r w:rsidR="00B17A83" w:rsidRPr="00965DBA">
        <w:t xml:space="preserve"> </w:t>
      </w:r>
      <w:r w:rsidR="006830BB" w:rsidRPr="00965DBA">
        <w:t>(</w:t>
      </w:r>
      <w:r w:rsidR="006F654A">
        <w:t>See</w:t>
      </w:r>
      <w:r w:rsidR="00F57498">
        <w:t xml:space="preserve"> </w:t>
      </w:r>
      <w:r w:rsidR="00F57498">
        <w:fldChar w:fldCharType="begin"/>
      </w:r>
      <w:r w:rsidR="00F57498">
        <w:instrText xml:space="preserve"> REF _Ref327455538 \h </w:instrText>
      </w:r>
      <w:r w:rsidR="00F57498">
        <w:fldChar w:fldCharType="separate"/>
      </w:r>
      <w:r w:rsidR="0071544A" w:rsidRPr="00E71FC8">
        <w:t xml:space="preserve">Table </w:t>
      </w:r>
      <w:r w:rsidR="0071544A">
        <w:rPr>
          <w:noProof/>
        </w:rPr>
        <w:t>36</w:t>
      </w:r>
      <w:r w:rsidR="00F57498">
        <w:fldChar w:fldCharType="end"/>
      </w:r>
      <w:r w:rsidR="006830BB" w:rsidRPr="009E5C53">
        <w:t>)</w:t>
      </w:r>
      <w:r w:rsidR="00F57498">
        <w:t>.</w:t>
      </w:r>
    </w:p>
    <w:p w:rsidR="00D845FD" w:rsidRPr="00965DBA" w:rsidRDefault="00D845FD" w:rsidP="00422B5B">
      <w:r w:rsidRPr="008978EE">
        <w:t>Tumo</w:t>
      </w:r>
      <w:r w:rsidR="00B85C39" w:rsidRPr="008978EE">
        <w:t xml:space="preserve">ur </w:t>
      </w:r>
      <w:r w:rsidR="003E3B83" w:rsidRPr="008978EE">
        <w:t>growth</w:t>
      </w:r>
      <w:r w:rsidR="003E3B83">
        <w:t>-</w:t>
      </w:r>
      <w:r w:rsidR="00B85C39" w:rsidRPr="008978EE">
        <w:t>related events appear</w:t>
      </w:r>
      <w:r w:rsidR="003E3B83">
        <w:t>ed more</w:t>
      </w:r>
      <w:r w:rsidRPr="00A30BA9">
        <w:t xml:space="preserve"> common among patients who received </w:t>
      </w:r>
      <w:r w:rsidR="00B85C39" w:rsidRPr="005646B6">
        <w:t>uncovered</w:t>
      </w:r>
      <w:r w:rsidRPr="00003831">
        <w:t xml:space="preserve"> stents. Suh et al </w:t>
      </w:r>
      <w:r w:rsidR="003E3B83">
        <w:t>(</w:t>
      </w:r>
      <w:r w:rsidRPr="00003831">
        <w:t>2010</w:t>
      </w:r>
      <w:r w:rsidR="003E3B83">
        <w:t>)</w:t>
      </w:r>
      <w:r w:rsidRPr="00003831">
        <w:t xml:space="preserve"> used uncovered stents only</w:t>
      </w:r>
      <w:r w:rsidR="003E3B83">
        <w:t xml:space="preserve"> and</w:t>
      </w:r>
      <w:r w:rsidR="00486D9A">
        <w:t xml:space="preserve"> </w:t>
      </w:r>
      <w:r w:rsidRPr="00003831">
        <w:t xml:space="preserve">reported </w:t>
      </w:r>
      <w:r w:rsidR="003E3B83">
        <w:t xml:space="preserve">a </w:t>
      </w:r>
      <w:r w:rsidRPr="00003831">
        <w:t>14.5</w:t>
      </w:r>
      <w:r w:rsidR="00B463D8">
        <w:t xml:space="preserve"> per cent</w:t>
      </w:r>
      <w:r w:rsidRPr="00003831">
        <w:t xml:space="preserve"> rate of tumour </w:t>
      </w:r>
      <w:r w:rsidR="003E3B83" w:rsidRPr="00003831">
        <w:t>growth</w:t>
      </w:r>
      <w:r w:rsidR="003E3B83">
        <w:t>-</w:t>
      </w:r>
      <w:r w:rsidRPr="00003831">
        <w:t>re</w:t>
      </w:r>
      <w:r w:rsidRPr="00A87C52">
        <w:t>lated events</w:t>
      </w:r>
      <w:r w:rsidR="003E3B83">
        <w:t>,</w:t>
      </w:r>
      <w:r w:rsidRPr="00A87C52">
        <w:t xml:space="preserve"> while the six studies</w:t>
      </w:r>
      <w:r w:rsidR="003E3B83">
        <w:t xml:space="preserve"> that</w:t>
      </w:r>
      <w:r w:rsidRPr="00A87C52">
        <w:t xml:space="preserve"> used both uncovered and covered stents </w:t>
      </w:r>
      <w:r w:rsidR="00B85C39" w:rsidRPr="00DF686C">
        <w:t xml:space="preserve">reported 92 </w:t>
      </w:r>
      <w:r w:rsidR="00EC5FC0">
        <w:t>occurrences of</w:t>
      </w:r>
      <w:r w:rsidR="00B85C39" w:rsidRPr="00DF686C">
        <w:t xml:space="preserve"> tumour growths (12.1%, n=760). This </w:t>
      </w:r>
      <w:r w:rsidR="00EC5FC0">
        <w:t>supports</w:t>
      </w:r>
      <w:r w:rsidR="00B85C39" w:rsidRPr="00965DBA">
        <w:t xml:space="preserve"> earl</w:t>
      </w:r>
      <w:r w:rsidR="00EC5FC0">
        <w:t>ier</w:t>
      </w:r>
      <w:r w:rsidR="00B85C39" w:rsidRPr="00965DBA">
        <w:t xml:space="preserve"> findings (Watt et al 2007). </w:t>
      </w:r>
    </w:p>
    <w:p w:rsidR="0058297F" w:rsidRPr="0072092E" w:rsidRDefault="00E71FC8" w:rsidP="00E71FC8">
      <w:pPr>
        <w:pStyle w:val="Caption"/>
      </w:pPr>
      <w:bookmarkStart w:id="175" w:name="_Ref324947151"/>
      <w:bookmarkStart w:id="176" w:name="_Toc327522079"/>
      <w:r>
        <w:t xml:space="preserve">Table </w:t>
      </w:r>
      <w:fldSimple w:instr=" SEQ Table \* ARABIC ">
        <w:r w:rsidR="0071544A">
          <w:rPr>
            <w:noProof/>
          </w:rPr>
          <w:t>35</w:t>
        </w:r>
      </w:fldSimple>
      <w:bookmarkEnd w:id="175"/>
      <w:r w:rsidR="00422B5B" w:rsidRPr="00361416">
        <w:tab/>
      </w:r>
      <w:r w:rsidR="00D14AC6" w:rsidRPr="00361416">
        <w:t>S</w:t>
      </w:r>
      <w:r w:rsidR="00D319F6" w:rsidRPr="00361416">
        <w:t>ummary of tumour ingrowths reported by includ</w:t>
      </w:r>
      <w:r w:rsidR="00D319F6" w:rsidRPr="0086082D">
        <w:t>ed primary studies</w:t>
      </w:r>
      <w:bookmarkEnd w:id="176"/>
    </w:p>
    <w:tbl>
      <w:tblPr>
        <w:tblW w:w="6995" w:type="dxa"/>
        <w:tblInd w:w="720" w:type="dxa"/>
        <w:tblBorders>
          <w:top w:val="single" w:sz="12" w:space="0" w:color="auto"/>
          <w:bottom w:val="single" w:sz="12" w:space="0" w:color="auto"/>
        </w:tblBorders>
        <w:tblLayout w:type="fixed"/>
        <w:tblLook w:val="04A0" w:firstRow="1" w:lastRow="0" w:firstColumn="1" w:lastColumn="0" w:noHBand="0" w:noVBand="1"/>
      </w:tblPr>
      <w:tblGrid>
        <w:gridCol w:w="2292"/>
        <w:gridCol w:w="498"/>
        <w:gridCol w:w="1105"/>
        <w:gridCol w:w="1550"/>
        <w:gridCol w:w="1550"/>
      </w:tblGrid>
      <w:tr w:rsidR="00265FA2" w:rsidRPr="00BB3C05" w:rsidTr="00FE5DAD">
        <w:trPr>
          <w:trHeight w:val="288"/>
        </w:trPr>
        <w:tc>
          <w:tcPr>
            <w:tcW w:w="2292" w:type="dxa"/>
            <w:tcBorders>
              <w:top w:val="single" w:sz="12" w:space="0" w:color="auto"/>
              <w:bottom w:val="single" w:sz="4" w:space="0" w:color="auto"/>
            </w:tcBorders>
            <w:shd w:val="clear" w:color="auto" w:fill="auto"/>
            <w:noWrap/>
            <w:hideMark/>
          </w:tcPr>
          <w:p w:rsidR="00265FA2" w:rsidRPr="00E71FC8" w:rsidRDefault="00265FA2" w:rsidP="00E71FC8">
            <w:pPr>
              <w:pStyle w:val="TableHeading"/>
            </w:pPr>
            <w:r w:rsidRPr="00E71FC8">
              <w:t>Author</w:t>
            </w:r>
          </w:p>
        </w:tc>
        <w:tc>
          <w:tcPr>
            <w:tcW w:w="498" w:type="dxa"/>
            <w:tcBorders>
              <w:top w:val="single" w:sz="12" w:space="0" w:color="auto"/>
              <w:bottom w:val="single" w:sz="4" w:space="0" w:color="auto"/>
            </w:tcBorders>
            <w:shd w:val="clear" w:color="auto" w:fill="auto"/>
            <w:noWrap/>
            <w:hideMark/>
          </w:tcPr>
          <w:p w:rsidR="00265FA2" w:rsidRPr="00E71FC8" w:rsidRDefault="00265FA2" w:rsidP="0007443E">
            <w:pPr>
              <w:pStyle w:val="TableHeading"/>
              <w:jc w:val="center"/>
            </w:pPr>
            <w:r w:rsidRPr="00E71FC8">
              <w:t>N</w:t>
            </w:r>
          </w:p>
        </w:tc>
        <w:tc>
          <w:tcPr>
            <w:tcW w:w="1105" w:type="dxa"/>
            <w:tcBorders>
              <w:top w:val="single" w:sz="12" w:space="0" w:color="auto"/>
              <w:bottom w:val="single" w:sz="4" w:space="0" w:color="auto"/>
            </w:tcBorders>
            <w:shd w:val="clear" w:color="auto" w:fill="auto"/>
            <w:noWrap/>
          </w:tcPr>
          <w:p w:rsidR="00265FA2" w:rsidRPr="00E71FC8" w:rsidRDefault="00265FA2" w:rsidP="0007443E">
            <w:pPr>
              <w:pStyle w:val="TableHeading"/>
              <w:jc w:val="center"/>
            </w:pPr>
            <w:r w:rsidRPr="00E71FC8">
              <w:t xml:space="preserve">Events of tumour ingrowth </w:t>
            </w:r>
            <w:r w:rsidR="00FE5DAD">
              <w:t>(</w:t>
            </w:r>
            <w:r w:rsidRPr="00E71FC8">
              <w:t>n</w:t>
            </w:r>
            <w:r w:rsidR="00FE5DAD">
              <w:t>)</w:t>
            </w:r>
          </w:p>
        </w:tc>
        <w:tc>
          <w:tcPr>
            <w:tcW w:w="1550" w:type="dxa"/>
            <w:tcBorders>
              <w:top w:val="single" w:sz="12" w:space="0" w:color="auto"/>
              <w:bottom w:val="single" w:sz="4" w:space="0" w:color="auto"/>
            </w:tcBorders>
            <w:shd w:val="clear" w:color="auto" w:fill="auto"/>
          </w:tcPr>
          <w:p w:rsidR="00265FA2" w:rsidRPr="00E71FC8" w:rsidRDefault="00265FA2" w:rsidP="0007443E">
            <w:pPr>
              <w:pStyle w:val="TableHeading"/>
              <w:jc w:val="center"/>
            </w:pPr>
            <w:r w:rsidRPr="00E71FC8">
              <w:t>Occurrence (%)</w:t>
            </w:r>
          </w:p>
        </w:tc>
        <w:tc>
          <w:tcPr>
            <w:tcW w:w="1550" w:type="dxa"/>
            <w:tcBorders>
              <w:top w:val="single" w:sz="12" w:space="0" w:color="auto"/>
              <w:bottom w:val="single" w:sz="4" w:space="0" w:color="auto"/>
            </w:tcBorders>
          </w:tcPr>
          <w:p w:rsidR="00265FA2" w:rsidRPr="00E71FC8" w:rsidRDefault="00265FA2" w:rsidP="000A463C">
            <w:pPr>
              <w:pStyle w:val="TableHeading"/>
              <w:jc w:val="center"/>
            </w:pPr>
            <w:r w:rsidRPr="00E71FC8">
              <w:t>Type of stent (uncovered vs covered)</w:t>
            </w:r>
          </w:p>
        </w:tc>
      </w:tr>
      <w:tr w:rsidR="00265FA2" w:rsidRPr="00BB3C05" w:rsidTr="00FE5DAD">
        <w:trPr>
          <w:trHeight w:val="288"/>
        </w:trPr>
        <w:tc>
          <w:tcPr>
            <w:tcW w:w="2292" w:type="dxa"/>
            <w:tcBorders>
              <w:top w:val="single" w:sz="4" w:space="0" w:color="auto"/>
            </w:tcBorders>
            <w:shd w:val="clear" w:color="auto" w:fill="auto"/>
            <w:noWrap/>
            <w:hideMark/>
          </w:tcPr>
          <w:p w:rsidR="00265FA2" w:rsidRPr="000F3C8B" w:rsidRDefault="00265FA2" w:rsidP="00E71FC8">
            <w:pPr>
              <w:pStyle w:val="TableText0"/>
              <w:rPr>
                <w:lang w:val="en-AU"/>
              </w:rPr>
            </w:pPr>
            <w:r w:rsidRPr="000F3C8B">
              <w:rPr>
                <w:lang w:val="en-AU"/>
              </w:rPr>
              <w:t xml:space="preserve">Lee et al </w:t>
            </w:r>
            <w:r w:rsidR="002C0BFF" w:rsidRPr="000F3C8B">
              <w:rPr>
                <w:lang w:val="en-AU"/>
              </w:rPr>
              <w:t>(</w:t>
            </w:r>
            <w:r w:rsidRPr="000F3C8B">
              <w:rPr>
                <w:lang w:val="en-AU"/>
              </w:rPr>
              <w:t>2011</w:t>
            </w:r>
            <w:r w:rsidR="002C0BFF" w:rsidRPr="000F3C8B">
              <w:rPr>
                <w:lang w:val="en-AU"/>
              </w:rPr>
              <w:t>)</w:t>
            </w:r>
          </w:p>
        </w:tc>
        <w:tc>
          <w:tcPr>
            <w:tcW w:w="498" w:type="dxa"/>
            <w:tcBorders>
              <w:top w:val="single" w:sz="4" w:space="0" w:color="auto"/>
            </w:tcBorders>
            <w:shd w:val="clear" w:color="auto" w:fill="auto"/>
            <w:noWrap/>
            <w:hideMark/>
          </w:tcPr>
          <w:p w:rsidR="00265FA2" w:rsidRPr="000F3C8B" w:rsidRDefault="00265FA2" w:rsidP="0007443E">
            <w:pPr>
              <w:pStyle w:val="TableText0"/>
              <w:jc w:val="right"/>
              <w:rPr>
                <w:lang w:val="en-AU"/>
              </w:rPr>
            </w:pPr>
            <w:r w:rsidRPr="000F3C8B">
              <w:rPr>
                <w:lang w:val="en-AU"/>
              </w:rPr>
              <w:t>71</w:t>
            </w:r>
          </w:p>
        </w:tc>
        <w:tc>
          <w:tcPr>
            <w:tcW w:w="1105" w:type="dxa"/>
            <w:tcBorders>
              <w:top w:val="single" w:sz="4" w:space="0" w:color="auto"/>
            </w:tcBorders>
            <w:shd w:val="clear" w:color="auto" w:fill="auto"/>
            <w:noWrap/>
          </w:tcPr>
          <w:p w:rsidR="00265FA2" w:rsidRPr="000F3C8B" w:rsidRDefault="00265FA2" w:rsidP="0007443E">
            <w:pPr>
              <w:pStyle w:val="TableText0"/>
              <w:jc w:val="right"/>
              <w:rPr>
                <w:vertAlign w:val="superscript"/>
                <w:lang w:val="en-AU"/>
              </w:rPr>
            </w:pPr>
            <w:r w:rsidRPr="000F3C8B">
              <w:rPr>
                <w:lang w:val="en-AU"/>
              </w:rPr>
              <w:t>3</w:t>
            </w:r>
            <w:r w:rsidRPr="000F3C8B">
              <w:rPr>
                <w:vertAlign w:val="superscript"/>
                <w:lang w:val="en-AU"/>
              </w:rPr>
              <w:t>a</w:t>
            </w:r>
          </w:p>
        </w:tc>
        <w:tc>
          <w:tcPr>
            <w:tcW w:w="1550" w:type="dxa"/>
            <w:tcBorders>
              <w:top w:val="single" w:sz="4" w:space="0" w:color="auto"/>
            </w:tcBorders>
            <w:shd w:val="clear" w:color="auto" w:fill="auto"/>
          </w:tcPr>
          <w:p w:rsidR="00265FA2" w:rsidRPr="000F3C8B" w:rsidRDefault="003F1391" w:rsidP="0007443E">
            <w:pPr>
              <w:pStyle w:val="TableText0"/>
              <w:jc w:val="right"/>
              <w:rPr>
                <w:lang w:val="en-AU"/>
              </w:rPr>
            </w:pPr>
            <w:r w:rsidRPr="000F3C8B">
              <w:rPr>
                <w:lang w:val="en-AU"/>
              </w:rPr>
              <w:t>4.2</w:t>
            </w:r>
          </w:p>
        </w:tc>
        <w:tc>
          <w:tcPr>
            <w:tcW w:w="1550" w:type="dxa"/>
            <w:tcBorders>
              <w:top w:val="single" w:sz="4" w:space="0" w:color="auto"/>
            </w:tcBorders>
          </w:tcPr>
          <w:p w:rsidR="00265FA2" w:rsidRPr="000F3C8B" w:rsidRDefault="00265FA2" w:rsidP="000D3EF2">
            <w:pPr>
              <w:pStyle w:val="TableText0"/>
              <w:jc w:val="center"/>
              <w:rPr>
                <w:lang w:val="en-AU"/>
              </w:rPr>
            </w:pPr>
            <w:r w:rsidRPr="000F3C8B">
              <w:rPr>
                <w:lang w:val="en-AU"/>
              </w:rPr>
              <w:t>Mix</w:t>
            </w:r>
          </w:p>
        </w:tc>
      </w:tr>
      <w:tr w:rsidR="00265FA2" w:rsidRPr="00BB3C05" w:rsidTr="00FE5DAD">
        <w:trPr>
          <w:trHeight w:val="288"/>
        </w:trPr>
        <w:tc>
          <w:tcPr>
            <w:tcW w:w="2292" w:type="dxa"/>
            <w:shd w:val="clear" w:color="auto" w:fill="auto"/>
            <w:noWrap/>
          </w:tcPr>
          <w:p w:rsidR="00265FA2" w:rsidRPr="000F3C8B" w:rsidRDefault="00265FA2" w:rsidP="00E71FC8">
            <w:pPr>
              <w:pStyle w:val="TableText0"/>
              <w:rPr>
                <w:lang w:val="en-AU"/>
              </w:rPr>
            </w:pPr>
            <w:r w:rsidRPr="000F3C8B">
              <w:rPr>
                <w:lang w:val="en-AU"/>
              </w:rPr>
              <w:t xml:space="preserve">Yoon et al </w:t>
            </w:r>
            <w:r w:rsidR="002C0BFF" w:rsidRPr="000F3C8B">
              <w:rPr>
                <w:lang w:val="en-AU"/>
              </w:rPr>
              <w:t>(</w:t>
            </w:r>
            <w:r w:rsidRPr="000F3C8B">
              <w:rPr>
                <w:lang w:val="en-AU"/>
              </w:rPr>
              <w:t>2011</w:t>
            </w:r>
            <w:r w:rsidR="002C0BFF" w:rsidRPr="000F3C8B">
              <w:rPr>
                <w:lang w:val="en-AU"/>
              </w:rPr>
              <w:t>)</w:t>
            </w:r>
          </w:p>
        </w:tc>
        <w:tc>
          <w:tcPr>
            <w:tcW w:w="498" w:type="dxa"/>
            <w:shd w:val="clear" w:color="auto" w:fill="auto"/>
            <w:noWrap/>
          </w:tcPr>
          <w:p w:rsidR="00265FA2" w:rsidRPr="000F3C8B" w:rsidRDefault="00265FA2" w:rsidP="0007443E">
            <w:pPr>
              <w:pStyle w:val="TableText0"/>
              <w:jc w:val="right"/>
              <w:rPr>
                <w:lang w:val="en-AU"/>
              </w:rPr>
            </w:pPr>
            <w:r w:rsidRPr="000F3C8B">
              <w:rPr>
                <w:lang w:val="en-AU"/>
              </w:rPr>
              <w:t>412</w:t>
            </w:r>
          </w:p>
        </w:tc>
        <w:tc>
          <w:tcPr>
            <w:tcW w:w="1105" w:type="dxa"/>
            <w:shd w:val="clear" w:color="auto" w:fill="auto"/>
            <w:noWrap/>
          </w:tcPr>
          <w:p w:rsidR="00265FA2" w:rsidRPr="000F3C8B" w:rsidRDefault="00265FA2" w:rsidP="0007443E">
            <w:pPr>
              <w:pStyle w:val="TableText0"/>
              <w:jc w:val="right"/>
              <w:rPr>
                <w:lang w:val="en-AU"/>
              </w:rPr>
            </w:pPr>
            <w:r w:rsidRPr="000F3C8B">
              <w:rPr>
                <w:lang w:val="en-AU"/>
              </w:rPr>
              <w:t>46</w:t>
            </w:r>
          </w:p>
        </w:tc>
        <w:tc>
          <w:tcPr>
            <w:tcW w:w="1550" w:type="dxa"/>
            <w:shd w:val="clear" w:color="auto" w:fill="auto"/>
          </w:tcPr>
          <w:p w:rsidR="00265FA2" w:rsidRPr="000F3C8B" w:rsidRDefault="003F1391" w:rsidP="0007443E">
            <w:pPr>
              <w:pStyle w:val="TableText0"/>
              <w:jc w:val="right"/>
              <w:rPr>
                <w:lang w:val="en-AU"/>
              </w:rPr>
            </w:pPr>
            <w:r w:rsidRPr="000F3C8B">
              <w:rPr>
                <w:lang w:val="en-AU"/>
              </w:rPr>
              <w:t>11.2</w:t>
            </w:r>
          </w:p>
        </w:tc>
        <w:tc>
          <w:tcPr>
            <w:tcW w:w="1550" w:type="dxa"/>
          </w:tcPr>
          <w:p w:rsidR="00265FA2" w:rsidRPr="000F3C8B" w:rsidRDefault="00265FA2" w:rsidP="000D3EF2">
            <w:pPr>
              <w:pStyle w:val="TableText0"/>
              <w:jc w:val="center"/>
              <w:rPr>
                <w:lang w:val="en-AU"/>
              </w:rPr>
            </w:pPr>
            <w:r w:rsidRPr="000F3C8B">
              <w:rPr>
                <w:lang w:val="en-AU"/>
              </w:rPr>
              <w:t>Mix</w:t>
            </w:r>
          </w:p>
        </w:tc>
      </w:tr>
      <w:tr w:rsidR="00265FA2" w:rsidRPr="00BB3C05" w:rsidTr="00FE5DAD">
        <w:trPr>
          <w:trHeight w:val="288"/>
        </w:trPr>
        <w:tc>
          <w:tcPr>
            <w:tcW w:w="2292" w:type="dxa"/>
            <w:shd w:val="clear" w:color="auto" w:fill="auto"/>
            <w:noWrap/>
          </w:tcPr>
          <w:p w:rsidR="00265FA2" w:rsidRPr="000F3C8B" w:rsidRDefault="00265FA2" w:rsidP="00E71FC8">
            <w:pPr>
              <w:pStyle w:val="TableText0"/>
              <w:rPr>
                <w:lang w:val="en-AU"/>
              </w:rPr>
            </w:pPr>
            <w:r w:rsidRPr="000F3C8B">
              <w:rPr>
                <w:lang w:val="en-AU"/>
              </w:rPr>
              <w:t xml:space="preserve">Young et al </w:t>
            </w:r>
            <w:r w:rsidR="002C0BFF" w:rsidRPr="000F3C8B">
              <w:rPr>
                <w:lang w:val="en-AU"/>
              </w:rPr>
              <w:t>(</w:t>
            </w:r>
            <w:r w:rsidRPr="000F3C8B">
              <w:rPr>
                <w:lang w:val="en-AU"/>
              </w:rPr>
              <w:t>2011</w:t>
            </w:r>
            <w:r w:rsidR="002C0BFF" w:rsidRPr="000F3C8B">
              <w:rPr>
                <w:lang w:val="en-AU"/>
              </w:rPr>
              <w:t>)</w:t>
            </w:r>
          </w:p>
        </w:tc>
        <w:tc>
          <w:tcPr>
            <w:tcW w:w="498" w:type="dxa"/>
            <w:shd w:val="clear" w:color="auto" w:fill="auto"/>
            <w:noWrap/>
          </w:tcPr>
          <w:p w:rsidR="00265FA2" w:rsidRPr="000F3C8B" w:rsidRDefault="00265FA2" w:rsidP="0007443E">
            <w:pPr>
              <w:pStyle w:val="TableText0"/>
              <w:jc w:val="right"/>
              <w:rPr>
                <w:lang w:val="en-AU"/>
              </w:rPr>
            </w:pPr>
            <w:r w:rsidRPr="000F3C8B">
              <w:rPr>
                <w:lang w:val="en-AU"/>
              </w:rPr>
              <w:t>100</w:t>
            </w:r>
          </w:p>
        </w:tc>
        <w:tc>
          <w:tcPr>
            <w:tcW w:w="1105" w:type="dxa"/>
            <w:shd w:val="clear" w:color="auto" w:fill="auto"/>
            <w:noWrap/>
          </w:tcPr>
          <w:p w:rsidR="00265FA2" w:rsidRPr="000F3C8B" w:rsidRDefault="00265FA2" w:rsidP="0007443E">
            <w:pPr>
              <w:pStyle w:val="TableText0"/>
              <w:jc w:val="right"/>
              <w:rPr>
                <w:lang w:val="en-AU"/>
              </w:rPr>
            </w:pPr>
            <w:r w:rsidRPr="000F3C8B">
              <w:rPr>
                <w:lang w:val="en-AU"/>
              </w:rPr>
              <w:t>5</w:t>
            </w:r>
          </w:p>
        </w:tc>
        <w:tc>
          <w:tcPr>
            <w:tcW w:w="1550" w:type="dxa"/>
            <w:shd w:val="clear" w:color="auto" w:fill="auto"/>
          </w:tcPr>
          <w:p w:rsidR="00265FA2" w:rsidRPr="000F3C8B" w:rsidRDefault="003F1391" w:rsidP="0007443E">
            <w:pPr>
              <w:pStyle w:val="TableText0"/>
              <w:jc w:val="right"/>
              <w:rPr>
                <w:lang w:val="en-AU"/>
              </w:rPr>
            </w:pPr>
            <w:r w:rsidRPr="000F3C8B">
              <w:rPr>
                <w:lang w:val="en-AU"/>
              </w:rPr>
              <w:t>5.0</w:t>
            </w:r>
          </w:p>
        </w:tc>
        <w:tc>
          <w:tcPr>
            <w:tcW w:w="1550" w:type="dxa"/>
          </w:tcPr>
          <w:p w:rsidR="00265FA2" w:rsidRPr="000F3C8B" w:rsidRDefault="00265FA2" w:rsidP="000D3EF2">
            <w:pPr>
              <w:pStyle w:val="TableText0"/>
              <w:jc w:val="center"/>
              <w:rPr>
                <w:lang w:val="en-AU"/>
              </w:rPr>
            </w:pPr>
            <w:r w:rsidRPr="000F3C8B">
              <w:rPr>
                <w:lang w:val="en-AU"/>
              </w:rPr>
              <w:t>NR</w:t>
            </w:r>
          </w:p>
        </w:tc>
      </w:tr>
      <w:tr w:rsidR="00265FA2" w:rsidRPr="00BB3C05" w:rsidTr="00FE5DAD">
        <w:trPr>
          <w:trHeight w:val="288"/>
        </w:trPr>
        <w:tc>
          <w:tcPr>
            <w:tcW w:w="2292" w:type="dxa"/>
            <w:shd w:val="clear" w:color="auto" w:fill="auto"/>
            <w:noWrap/>
          </w:tcPr>
          <w:p w:rsidR="00265FA2" w:rsidRPr="000F3C8B" w:rsidRDefault="00265FA2" w:rsidP="00E71FC8">
            <w:pPr>
              <w:pStyle w:val="TableText0"/>
              <w:rPr>
                <w:lang w:val="en-AU"/>
              </w:rPr>
            </w:pPr>
            <w:r w:rsidRPr="000F3C8B">
              <w:rPr>
                <w:lang w:val="en-AU"/>
              </w:rPr>
              <w:t xml:space="preserve">Moon et al </w:t>
            </w:r>
            <w:r w:rsidR="002C0BFF" w:rsidRPr="000F3C8B">
              <w:rPr>
                <w:lang w:val="en-AU"/>
              </w:rPr>
              <w:t>(</w:t>
            </w:r>
            <w:r w:rsidRPr="000F3C8B">
              <w:rPr>
                <w:lang w:val="en-AU"/>
              </w:rPr>
              <w:t>2010</w:t>
            </w:r>
            <w:r w:rsidR="002C0BFF" w:rsidRPr="000F3C8B">
              <w:rPr>
                <w:lang w:val="en-AU"/>
              </w:rPr>
              <w:t>)</w:t>
            </w:r>
          </w:p>
        </w:tc>
        <w:tc>
          <w:tcPr>
            <w:tcW w:w="498" w:type="dxa"/>
            <w:shd w:val="clear" w:color="auto" w:fill="auto"/>
            <w:noWrap/>
          </w:tcPr>
          <w:p w:rsidR="00265FA2" w:rsidRPr="000F3C8B" w:rsidRDefault="00265FA2" w:rsidP="0007443E">
            <w:pPr>
              <w:pStyle w:val="TableText0"/>
              <w:jc w:val="right"/>
              <w:rPr>
                <w:lang w:val="en-AU"/>
              </w:rPr>
            </w:pPr>
            <w:r w:rsidRPr="000F3C8B">
              <w:rPr>
                <w:lang w:val="en-AU"/>
              </w:rPr>
              <w:t>68</w:t>
            </w:r>
          </w:p>
        </w:tc>
        <w:tc>
          <w:tcPr>
            <w:tcW w:w="1105" w:type="dxa"/>
            <w:shd w:val="clear" w:color="auto" w:fill="auto"/>
            <w:noWrap/>
          </w:tcPr>
          <w:p w:rsidR="00265FA2" w:rsidRPr="000F3C8B" w:rsidRDefault="00265FA2" w:rsidP="0007443E">
            <w:pPr>
              <w:pStyle w:val="TableText0"/>
              <w:jc w:val="right"/>
              <w:rPr>
                <w:lang w:val="en-AU"/>
              </w:rPr>
            </w:pPr>
            <w:r w:rsidRPr="000F3C8B">
              <w:rPr>
                <w:lang w:val="en-AU"/>
              </w:rPr>
              <w:t>4</w:t>
            </w:r>
            <w:r w:rsidRPr="000F3C8B">
              <w:rPr>
                <w:vertAlign w:val="superscript"/>
                <w:lang w:val="en-AU"/>
              </w:rPr>
              <w:t>b</w:t>
            </w:r>
          </w:p>
        </w:tc>
        <w:tc>
          <w:tcPr>
            <w:tcW w:w="1550" w:type="dxa"/>
            <w:shd w:val="clear" w:color="auto" w:fill="auto"/>
          </w:tcPr>
          <w:p w:rsidR="00265FA2" w:rsidRPr="000F3C8B" w:rsidRDefault="003F1391" w:rsidP="0007443E">
            <w:pPr>
              <w:pStyle w:val="TableText0"/>
              <w:jc w:val="right"/>
              <w:rPr>
                <w:lang w:val="en-AU"/>
              </w:rPr>
            </w:pPr>
            <w:r w:rsidRPr="000F3C8B">
              <w:rPr>
                <w:lang w:val="en-AU"/>
              </w:rPr>
              <w:t>5.9</w:t>
            </w:r>
          </w:p>
        </w:tc>
        <w:tc>
          <w:tcPr>
            <w:tcW w:w="1550" w:type="dxa"/>
          </w:tcPr>
          <w:p w:rsidR="00265FA2" w:rsidRPr="000F3C8B" w:rsidRDefault="00265FA2" w:rsidP="000D3EF2">
            <w:pPr>
              <w:pStyle w:val="TableText0"/>
              <w:jc w:val="center"/>
              <w:rPr>
                <w:lang w:val="en-AU"/>
              </w:rPr>
            </w:pPr>
            <w:r w:rsidRPr="000F3C8B">
              <w:rPr>
                <w:lang w:val="en-AU"/>
              </w:rPr>
              <w:t>Mix</w:t>
            </w:r>
          </w:p>
        </w:tc>
      </w:tr>
      <w:tr w:rsidR="00265FA2" w:rsidRPr="00BB3C05" w:rsidTr="00FE5DAD">
        <w:trPr>
          <w:trHeight w:val="288"/>
        </w:trPr>
        <w:tc>
          <w:tcPr>
            <w:tcW w:w="2292" w:type="dxa"/>
            <w:shd w:val="clear" w:color="auto" w:fill="auto"/>
            <w:noWrap/>
          </w:tcPr>
          <w:p w:rsidR="00265FA2" w:rsidRPr="000F3C8B" w:rsidRDefault="00265FA2" w:rsidP="00E71FC8">
            <w:pPr>
              <w:pStyle w:val="TableText0"/>
              <w:rPr>
                <w:lang w:val="en-AU"/>
              </w:rPr>
            </w:pPr>
            <w:r w:rsidRPr="000F3C8B">
              <w:rPr>
                <w:lang w:val="en-AU"/>
              </w:rPr>
              <w:t xml:space="preserve">Park et al </w:t>
            </w:r>
            <w:r w:rsidR="002C0BFF" w:rsidRPr="000F3C8B">
              <w:rPr>
                <w:lang w:val="en-AU"/>
              </w:rPr>
              <w:t>(</w:t>
            </w:r>
            <w:r w:rsidRPr="000F3C8B">
              <w:rPr>
                <w:lang w:val="en-AU"/>
              </w:rPr>
              <w:t>2010</w:t>
            </w:r>
            <w:r w:rsidR="002C0BFF" w:rsidRPr="000F3C8B">
              <w:rPr>
                <w:lang w:val="en-AU"/>
              </w:rPr>
              <w:t>)</w:t>
            </w:r>
          </w:p>
        </w:tc>
        <w:tc>
          <w:tcPr>
            <w:tcW w:w="498" w:type="dxa"/>
            <w:shd w:val="clear" w:color="auto" w:fill="auto"/>
            <w:noWrap/>
          </w:tcPr>
          <w:p w:rsidR="00265FA2" w:rsidRPr="000F3C8B" w:rsidRDefault="00265FA2" w:rsidP="0007443E">
            <w:pPr>
              <w:pStyle w:val="TableText0"/>
              <w:jc w:val="right"/>
              <w:rPr>
                <w:lang w:val="en-AU"/>
              </w:rPr>
            </w:pPr>
            <w:r w:rsidRPr="000F3C8B">
              <w:rPr>
                <w:lang w:val="en-AU"/>
              </w:rPr>
              <w:t>107</w:t>
            </w:r>
          </w:p>
        </w:tc>
        <w:tc>
          <w:tcPr>
            <w:tcW w:w="1105" w:type="dxa"/>
            <w:shd w:val="clear" w:color="auto" w:fill="auto"/>
            <w:noWrap/>
          </w:tcPr>
          <w:p w:rsidR="00265FA2" w:rsidRPr="000F3C8B" w:rsidRDefault="00265FA2" w:rsidP="0007443E">
            <w:pPr>
              <w:pStyle w:val="TableText0"/>
              <w:jc w:val="right"/>
              <w:rPr>
                <w:lang w:val="en-AU"/>
              </w:rPr>
            </w:pPr>
            <w:r w:rsidRPr="000F3C8B">
              <w:rPr>
                <w:lang w:val="en-AU"/>
              </w:rPr>
              <w:t>10</w:t>
            </w:r>
          </w:p>
        </w:tc>
        <w:tc>
          <w:tcPr>
            <w:tcW w:w="1550" w:type="dxa"/>
            <w:shd w:val="clear" w:color="auto" w:fill="auto"/>
          </w:tcPr>
          <w:p w:rsidR="00265FA2" w:rsidRPr="000F3C8B" w:rsidRDefault="003F1391" w:rsidP="0007443E">
            <w:pPr>
              <w:pStyle w:val="TableText0"/>
              <w:jc w:val="right"/>
              <w:rPr>
                <w:lang w:val="en-AU"/>
              </w:rPr>
            </w:pPr>
            <w:r w:rsidRPr="000F3C8B">
              <w:rPr>
                <w:lang w:val="en-AU"/>
              </w:rPr>
              <w:t>9.4</w:t>
            </w:r>
          </w:p>
        </w:tc>
        <w:tc>
          <w:tcPr>
            <w:tcW w:w="1550" w:type="dxa"/>
          </w:tcPr>
          <w:p w:rsidR="00265FA2" w:rsidRPr="000F3C8B" w:rsidRDefault="00265FA2" w:rsidP="000D3EF2">
            <w:pPr>
              <w:pStyle w:val="TableText0"/>
              <w:jc w:val="center"/>
              <w:rPr>
                <w:lang w:val="en-AU"/>
              </w:rPr>
            </w:pPr>
            <w:r w:rsidRPr="000F3C8B">
              <w:rPr>
                <w:lang w:val="en-AU"/>
              </w:rPr>
              <w:t>Mix</w:t>
            </w:r>
          </w:p>
        </w:tc>
      </w:tr>
      <w:tr w:rsidR="00265FA2" w:rsidRPr="00BB3C05" w:rsidTr="00FE5DAD">
        <w:trPr>
          <w:trHeight w:val="288"/>
        </w:trPr>
        <w:tc>
          <w:tcPr>
            <w:tcW w:w="2292" w:type="dxa"/>
            <w:shd w:val="clear" w:color="auto" w:fill="auto"/>
            <w:noWrap/>
            <w:hideMark/>
          </w:tcPr>
          <w:p w:rsidR="00265FA2" w:rsidRPr="000F3C8B" w:rsidRDefault="00265FA2" w:rsidP="005372EC">
            <w:pPr>
              <w:pStyle w:val="TableText0"/>
              <w:rPr>
                <w:lang w:val="en-AU"/>
              </w:rPr>
            </w:pPr>
            <w:r w:rsidRPr="000F3C8B">
              <w:rPr>
                <w:lang w:val="en-AU"/>
              </w:rPr>
              <w:t xml:space="preserve">Suh et al </w:t>
            </w:r>
            <w:r w:rsidR="002C0BFF" w:rsidRPr="000F3C8B">
              <w:rPr>
                <w:lang w:val="en-AU"/>
              </w:rPr>
              <w:t>(</w:t>
            </w:r>
            <w:r w:rsidRPr="000F3C8B">
              <w:rPr>
                <w:lang w:val="en-AU"/>
              </w:rPr>
              <w:t>20</w:t>
            </w:r>
            <w:r w:rsidR="005372EC">
              <w:rPr>
                <w:lang w:val="en-AU"/>
              </w:rPr>
              <w:t>10</w:t>
            </w:r>
            <w:r w:rsidR="002C0BFF" w:rsidRPr="000F3C8B">
              <w:rPr>
                <w:lang w:val="en-AU"/>
              </w:rPr>
              <w:t>)</w:t>
            </w:r>
          </w:p>
        </w:tc>
        <w:tc>
          <w:tcPr>
            <w:tcW w:w="498" w:type="dxa"/>
            <w:shd w:val="clear" w:color="auto" w:fill="auto"/>
            <w:noWrap/>
            <w:hideMark/>
          </w:tcPr>
          <w:p w:rsidR="00265FA2" w:rsidRPr="000F3C8B" w:rsidRDefault="00265FA2" w:rsidP="0007443E">
            <w:pPr>
              <w:pStyle w:val="TableText0"/>
              <w:jc w:val="right"/>
              <w:rPr>
                <w:lang w:val="en-AU"/>
              </w:rPr>
            </w:pPr>
            <w:r w:rsidRPr="000F3C8B">
              <w:rPr>
                <w:lang w:val="en-AU"/>
              </w:rPr>
              <w:t>55</w:t>
            </w:r>
          </w:p>
        </w:tc>
        <w:tc>
          <w:tcPr>
            <w:tcW w:w="1105" w:type="dxa"/>
            <w:shd w:val="clear" w:color="auto" w:fill="auto"/>
            <w:noWrap/>
          </w:tcPr>
          <w:p w:rsidR="00265FA2" w:rsidRPr="000F3C8B" w:rsidRDefault="00265FA2" w:rsidP="0007443E">
            <w:pPr>
              <w:pStyle w:val="TableText0"/>
              <w:jc w:val="right"/>
              <w:rPr>
                <w:lang w:val="en-AU"/>
              </w:rPr>
            </w:pPr>
            <w:r w:rsidRPr="000F3C8B">
              <w:rPr>
                <w:lang w:val="en-AU"/>
              </w:rPr>
              <w:t>7</w:t>
            </w:r>
          </w:p>
        </w:tc>
        <w:tc>
          <w:tcPr>
            <w:tcW w:w="1550" w:type="dxa"/>
            <w:shd w:val="clear" w:color="auto" w:fill="auto"/>
          </w:tcPr>
          <w:p w:rsidR="00265FA2" w:rsidRPr="000F3C8B" w:rsidRDefault="003F1391" w:rsidP="0007443E">
            <w:pPr>
              <w:pStyle w:val="TableText0"/>
              <w:jc w:val="right"/>
              <w:rPr>
                <w:lang w:val="en-AU"/>
              </w:rPr>
            </w:pPr>
            <w:r w:rsidRPr="000F3C8B">
              <w:rPr>
                <w:lang w:val="en-AU"/>
              </w:rPr>
              <w:t>12.7</w:t>
            </w:r>
          </w:p>
        </w:tc>
        <w:tc>
          <w:tcPr>
            <w:tcW w:w="1550" w:type="dxa"/>
          </w:tcPr>
          <w:p w:rsidR="00265FA2" w:rsidRPr="000F3C8B" w:rsidRDefault="00265FA2" w:rsidP="000D3EF2">
            <w:pPr>
              <w:pStyle w:val="TableText0"/>
              <w:jc w:val="center"/>
              <w:rPr>
                <w:lang w:val="en-AU"/>
              </w:rPr>
            </w:pPr>
            <w:r w:rsidRPr="000F3C8B">
              <w:rPr>
                <w:lang w:val="en-AU"/>
              </w:rPr>
              <w:t>Uncovered</w:t>
            </w:r>
          </w:p>
        </w:tc>
      </w:tr>
      <w:tr w:rsidR="00265FA2" w:rsidRPr="00BB3C05" w:rsidTr="00FE5DAD">
        <w:trPr>
          <w:trHeight w:val="288"/>
        </w:trPr>
        <w:tc>
          <w:tcPr>
            <w:tcW w:w="2292" w:type="dxa"/>
            <w:shd w:val="clear" w:color="auto" w:fill="auto"/>
            <w:noWrap/>
          </w:tcPr>
          <w:p w:rsidR="00265FA2" w:rsidRPr="000F3C8B" w:rsidRDefault="00265FA2" w:rsidP="00E71FC8">
            <w:pPr>
              <w:pStyle w:val="TableText0"/>
              <w:rPr>
                <w:lang w:val="en-AU"/>
              </w:rPr>
            </w:pPr>
            <w:r w:rsidRPr="000F3C8B">
              <w:rPr>
                <w:lang w:val="en-AU"/>
              </w:rPr>
              <w:t xml:space="preserve">Shrivastava et al </w:t>
            </w:r>
            <w:r w:rsidR="002C0BFF" w:rsidRPr="000F3C8B">
              <w:rPr>
                <w:lang w:val="en-AU"/>
              </w:rPr>
              <w:t>(</w:t>
            </w:r>
            <w:r w:rsidRPr="000F3C8B">
              <w:rPr>
                <w:lang w:val="en-AU"/>
              </w:rPr>
              <w:t>2008</w:t>
            </w:r>
            <w:r w:rsidR="002C0BFF" w:rsidRPr="000F3C8B">
              <w:rPr>
                <w:lang w:val="en-AU"/>
              </w:rPr>
              <w:t>)</w:t>
            </w:r>
          </w:p>
        </w:tc>
        <w:tc>
          <w:tcPr>
            <w:tcW w:w="498" w:type="dxa"/>
            <w:shd w:val="clear" w:color="auto" w:fill="auto"/>
            <w:noWrap/>
          </w:tcPr>
          <w:p w:rsidR="00265FA2" w:rsidRPr="000F3C8B" w:rsidRDefault="00265FA2" w:rsidP="0007443E">
            <w:pPr>
              <w:pStyle w:val="TableText0"/>
              <w:jc w:val="right"/>
              <w:rPr>
                <w:lang w:val="en-AU"/>
              </w:rPr>
            </w:pPr>
            <w:r w:rsidRPr="000F3C8B">
              <w:rPr>
                <w:lang w:val="en-AU"/>
              </w:rPr>
              <w:t>81</w:t>
            </w:r>
          </w:p>
        </w:tc>
        <w:tc>
          <w:tcPr>
            <w:tcW w:w="1105" w:type="dxa"/>
            <w:shd w:val="clear" w:color="auto" w:fill="auto"/>
            <w:noWrap/>
          </w:tcPr>
          <w:p w:rsidR="00265FA2" w:rsidRPr="000F3C8B" w:rsidRDefault="00265FA2" w:rsidP="0007443E">
            <w:pPr>
              <w:pStyle w:val="TableText0"/>
              <w:jc w:val="right"/>
              <w:rPr>
                <w:vertAlign w:val="superscript"/>
                <w:lang w:val="en-AU"/>
              </w:rPr>
            </w:pPr>
            <w:r w:rsidRPr="000F3C8B">
              <w:rPr>
                <w:lang w:val="en-AU"/>
              </w:rPr>
              <w:t>3</w:t>
            </w:r>
            <w:r w:rsidRPr="000F3C8B">
              <w:rPr>
                <w:vertAlign w:val="superscript"/>
                <w:lang w:val="en-AU"/>
              </w:rPr>
              <w:t>c</w:t>
            </w:r>
          </w:p>
        </w:tc>
        <w:tc>
          <w:tcPr>
            <w:tcW w:w="1550" w:type="dxa"/>
            <w:shd w:val="clear" w:color="auto" w:fill="auto"/>
          </w:tcPr>
          <w:p w:rsidR="00265FA2" w:rsidRPr="000F3C8B" w:rsidRDefault="003F1391" w:rsidP="0007443E">
            <w:pPr>
              <w:pStyle w:val="TableText0"/>
              <w:jc w:val="right"/>
              <w:rPr>
                <w:lang w:val="en-AU"/>
              </w:rPr>
            </w:pPr>
            <w:r w:rsidRPr="000F3C8B">
              <w:rPr>
                <w:lang w:val="en-AU"/>
              </w:rPr>
              <w:t>3.7</w:t>
            </w:r>
          </w:p>
        </w:tc>
        <w:tc>
          <w:tcPr>
            <w:tcW w:w="1550" w:type="dxa"/>
          </w:tcPr>
          <w:p w:rsidR="00265FA2" w:rsidRPr="000F3C8B" w:rsidRDefault="00265FA2" w:rsidP="000D3EF2">
            <w:pPr>
              <w:pStyle w:val="TableText0"/>
              <w:jc w:val="center"/>
              <w:rPr>
                <w:lang w:val="en-AU"/>
              </w:rPr>
            </w:pPr>
            <w:r w:rsidRPr="000F3C8B">
              <w:rPr>
                <w:lang w:val="en-AU"/>
              </w:rPr>
              <w:t>NR</w:t>
            </w:r>
          </w:p>
        </w:tc>
      </w:tr>
      <w:tr w:rsidR="00265FA2" w:rsidRPr="00BB3C05" w:rsidTr="00FE5DAD">
        <w:trPr>
          <w:trHeight w:val="288"/>
        </w:trPr>
        <w:tc>
          <w:tcPr>
            <w:tcW w:w="2292" w:type="dxa"/>
            <w:shd w:val="clear" w:color="auto" w:fill="auto"/>
            <w:noWrap/>
          </w:tcPr>
          <w:p w:rsidR="00265FA2" w:rsidRPr="000F3C8B" w:rsidRDefault="00265FA2" w:rsidP="00E71FC8">
            <w:pPr>
              <w:pStyle w:val="TableText0"/>
              <w:rPr>
                <w:lang w:val="en-AU"/>
              </w:rPr>
            </w:pPr>
            <w:r w:rsidRPr="000F3C8B">
              <w:rPr>
                <w:lang w:val="en-AU"/>
              </w:rPr>
              <w:t xml:space="preserve">Lee et al </w:t>
            </w:r>
            <w:r w:rsidR="002C0BFF" w:rsidRPr="000F3C8B">
              <w:rPr>
                <w:lang w:val="en-AU"/>
              </w:rPr>
              <w:t>(</w:t>
            </w:r>
            <w:r w:rsidRPr="000F3C8B">
              <w:rPr>
                <w:lang w:val="en-AU"/>
              </w:rPr>
              <w:t>2007</w:t>
            </w:r>
            <w:r w:rsidR="002C0BFF" w:rsidRPr="000F3C8B">
              <w:rPr>
                <w:lang w:val="en-AU"/>
              </w:rPr>
              <w:t>)</w:t>
            </w:r>
          </w:p>
        </w:tc>
        <w:tc>
          <w:tcPr>
            <w:tcW w:w="498" w:type="dxa"/>
            <w:shd w:val="clear" w:color="auto" w:fill="auto"/>
            <w:noWrap/>
          </w:tcPr>
          <w:p w:rsidR="00265FA2" w:rsidRPr="000F3C8B" w:rsidRDefault="00265FA2" w:rsidP="0007443E">
            <w:pPr>
              <w:pStyle w:val="TableText0"/>
              <w:jc w:val="right"/>
              <w:rPr>
                <w:vertAlign w:val="superscript"/>
                <w:lang w:val="en-AU"/>
              </w:rPr>
            </w:pPr>
            <w:r w:rsidRPr="000F3C8B">
              <w:rPr>
                <w:lang w:val="en-AU"/>
              </w:rPr>
              <w:t>31</w:t>
            </w:r>
          </w:p>
        </w:tc>
        <w:tc>
          <w:tcPr>
            <w:tcW w:w="1105" w:type="dxa"/>
            <w:shd w:val="clear" w:color="auto" w:fill="auto"/>
            <w:noWrap/>
          </w:tcPr>
          <w:p w:rsidR="00265FA2" w:rsidRPr="000F3C8B" w:rsidRDefault="00265FA2" w:rsidP="0007443E">
            <w:pPr>
              <w:pStyle w:val="TableText0"/>
              <w:jc w:val="right"/>
              <w:rPr>
                <w:lang w:val="en-AU"/>
              </w:rPr>
            </w:pPr>
            <w:r w:rsidRPr="000F3C8B">
              <w:rPr>
                <w:lang w:val="en-AU"/>
              </w:rPr>
              <w:t>3</w:t>
            </w:r>
          </w:p>
        </w:tc>
        <w:tc>
          <w:tcPr>
            <w:tcW w:w="1550" w:type="dxa"/>
            <w:shd w:val="clear" w:color="auto" w:fill="auto"/>
          </w:tcPr>
          <w:p w:rsidR="00265FA2" w:rsidRPr="000F3C8B" w:rsidRDefault="003F1391" w:rsidP="0007443E">
            <w:pPr>
              <w:pStyle w:val="TableText0"/>
              <w:jc w:val="right"/>
              <w:rPr>
                <w:lang w:val="en-AU"/>
              </w:rPr>
            </w:pPr>
            <w:r w:rsidRPr="000F3C8B">
              <w:rPr>
                <w:lang w:val="en-AU"/>
              </w:rPr>
              <w:t>9.7</w:t>
            </w:r>
          </w:p>
        </w:tc>
        <w:tc>
          <w:tcPr>
            <w:tcW w:w="1550" w:type="dxa"/>
          </w:tcPr>
          <w:p w:rsidR="00265FA2" w:rsidRPr="000F3C8B" w:rsidRDefault="00265FA2" w:rsidP="000D3EF2">
            <w:pPr>
              <w:pStyle w:val="TableText0"/>
              <w:jc w:val="center"/>
              <w:rPr>
                <w:lang w:val="en-AU"/>
              </w:rPr>
            </w:pPr>
            <w:r w:rsidRPr="000F3C8B">
              <w:rPr>
                <w:lang w:val="en-AU"/>
              </w:rPr>
              <w:t>Mix</w:t>
            </w:r>
          </w:p>
        </w:tc>
      </w:tr>
      <w:tr w:rsidR="00265FA2" w:rsidRPr="00965DBA" w:rsidTr="00FE5DAD">
        <w:trPr>
          <w:trHeight w:val="317"/>
        </w:trPr>
        <w:tc>
          <w:tcPr>
            <w:tcW w:w="2292" w:type="dxa"/>
            <w:tcBorders>
              <w:bottom w:val="single" w:sz="12" w:space="0" w:color="auto"/>
            </w:tcBorders>
            <w:shd w:val="clear" w:color="auto" w:fill="auto"/>
            <w:noWrap/>
          </w:tcPr>
          <w:p w:rsidR="00265FA2" w:rsidRPr="000F3C8B" w:rsidRDefault="00265FA2" w:rsidP="00E71FC8">
            <w:pPr>
              <w:pStyle w:val="TableText0"/>
              <w:rPr>
                <w:b/>
                <w:lang w:val="en-AU"/>
              </w:rPr>
            </w:pPr>
            <w:r w:rsidRPr="000F3C8B">
              <w:rPr>
                <w:b/>
                <w:lang w:val="en-AU"/>
              </w:rPr>
              <w:t>TOTAL (8 studies)</w:t>
            </w:r>
          </w:p>
        </w:tc>
        <w:tc>
          <w:tcPr>
            <w:tcW w:w="498" w:type="dxa"/>
            <w:tcBorders>
              <w:bottom w:val="single" w:sz="12" w:space="0" w:color="auto"/>
            </w:tcBorders>
            <w:shd w:val="clear" w:color="auto" w:fill="auto"/>
            <w:noWrap/>
          </w:tcPr>
          <w:p w:rsidR="00265FA2" w:rsidRPr="000F3C8B" w:rsidRDefault="00265FA2" w:rsidP="0007443E">
            <w:pPr>
              <w:pStyle w:val="TableText0"/>
              <w:jc w:val="right"/>
              <w:rPr>
                <w:b/>
                <w:lang w:val="en-AU"/>
              </w:rPr>
            </w:pPr>
            <w:r w:rsidRPr="000F3C8B">
              <w:rPr>
                <w:b/>
                <w:lang w:val="en-AU"/>
              </w:rPr>
              <w:t>925</w:t>
            </w:r>
          </w:p>
        </w:tc>
        <w:tc>
          <w:tcPr>
            <w:tcW w:w="1105" w:type="dxa"/>
            <w:tcBorders>
              <w:bottom w:val="single" w:sz="12" w:space="0" w:color="auto"/>
            </w:tcBorders>
            <w:shd w:val="clear" w:color="auto" w:fill="auto"/>
            <w:noWrap/>
          </w:tcPr>
          <w:p w:rsidR="00265FA2" w:rsidRPr="000F3C8B" w:rsidRDefault="00265FA2" w:rsidP="0007443E">
            <w:pPr>
              <w:pStyle w:val="TableText0"/>
              <w:jc w:val="right"/>
              <w:rPr>
                <w:b/>
                <w:lang w:val="en-AU"/>
              </w:rPr>
            </w:pPr>
            <w:r w:rsidRPr="000F3C8B">
              <w:rPr>
                <w:b/>
                <w:lang w:val="en-AU"/>
              </w:rPr>
              <w:t>81</w:t>
            </w:r>
          </w:p>
        </w:tc>
        <w:tc>
          <w:tcPr>
            <w:tcW w:w="1550" w:type="dxa"/>
            <w:tcBorders>
              <w:bottom w:val="single" w:sz="12" w:space="0" w:color="auto"/>
            </w:tcBorders>
            <w:shd w:val="clear" w:color="auto" w:fill="auto"/>
          </w:tcPr>
          <w:p w:rsidR="00265FA2" w:rsidRPr="000F3C8B" w:rsidRDefault="003F1391" w:rsidP="0007443E">
            <w:pPr>
              <w:pStyle w:val="TableText0"/>
              <w:jc w:val="right"/>
              <w:rPr>
                <w:b/>
                <w:lang w:val="en-AU"/>
              </w:rPr>
            </w:pPr>
            <w:r w:rsidRPr="000F3C8B">
              <w:rPr>
                <w:b/>
                <w:lang w:val="en-AU"/>
              </w:rPr>
              <w:t>8.8</w:t>
            </w:r>
          </w:p>
        </w:tc>
        <w:tc>
          <w:tcPr>
            <w:tcW w:w="1550" w:type="dxa"/>
            <w:tcBorders>
              <w:bottom w:val="single" w:sz="12" w:space="0" w:color="auto"/>
            </w:tcBorders>
          </w:tcPr>
          <w:p w:rsidR="00265FA2" w:rsidRPr="000F3C8B" w:rsidRDefault="00265FA2" w:rsidP="00FE5DAD">
            <w:pPr>
              <w:pStyle w:val="TableText0"/>
              <w:jc w:val="center"/>
              <w:rPr>
                <w:b/>
                <w:lang w:val="en-AU"/>
              </w:rPr>
            </w:pPr>
            <w:r w:rsidRPr="000F3C8B">
              <w:rPr>
                <w:b/>
                <w:lang w:val="en-AU"/>
              </w:rPr>
              <w:t>-</w:t>
            </w:r>
          </w:p>
        </w:tc>
      </w:tr>
    </w:tbl>
    <w:p w:rsidR="000D3EF2" w:rsidRDefault="000D3EF2" w:rsidP="000D3EF2">
      <w:pPr>
        <w:pStyle w:val="TableNotes"/>
        <w:rPr>
          <w:rFonts w:cs="Calibri"/>
          <w:color w:val="000000"/>
          <w:lang w:val="en-AU" w:eastAsia="en-US"/>
        </w:rPr>
      </w:pPr>
      <w:bookmarkStart w:id="177" w:name="_Ref324947410"/>
      <w:r w:rsidRPr="000D3EF2">
        <w:rPr>
          <w:rFonts w:cs="Calibri"/>
          <w:color w:val="000000"/>
          <w:lang w:eastAsia="en-US"/>
        </w:rPr>
        <w:t>a   No tumour ingrowths occurred within 30 days following the procedure, nevertheless 3 incidences occurred thereafter lead to stent obstruction.</w:t>
      </w:r>
      <w:r w:rsidRPr="000D3EF2">
        <w:rPr>
          <w:rFonts w:cs="Calibri"/>
          <w:color w:val="000000"/>
          <w:lang w:eastAsia="en-US"/>
        </w:rPr>
        <w:br/>
        <w:t>b  All occurred after 7 days. One patient experienced both ingrowth and overgrowth.</w:t>
      </w:r>
      <w:r w:rsidRPr="000D3EF2">
        <w:rPr>
          <w:rFonts w:cs="Calibri"/>
          <w:color w:val="000000"/>
          <w:lang w:eastAsia="en-US"/>
        </w:rPr>
        <w:br/>
        <w:t>c  All 3 cases were recorded  after 30 days follow-up. Median time to ingrowth was 242 days (Interquartile range 234-628 days).</w:t>
      </w:r>
    </w:p>
    <w:p w:rsidR="00F57498" w:rsidRDefault="000D3EF2" w:rsidP="00F57498">
      <w:pPr>
        <w:pStyle w:val="TableNotes"/>
        <w:rPr>
          <w:rFonts w:cs="Calibri"/>
          <w:color w:val="000000"/>
          <w:lang w:val="en-AU" w:eastAsia="en-US"/>
        </w:rPr>
      </w:pPr>
      <w:r w:rsidRPr="000D3EF2">
        <w:rPr>
          <w:rFonts w:cs="Calibri"/>
          <w:color w:val="000000"/>
          <w:lang w:eastAsia="en-US"/>
        </w:rPr>
        <w:t>N: Based on all patients for whom safety data are reported, regardless of the number of patients enrolled in a study, or their technical/clinical success.</w:t>
      </w:r>
    </w:p>
    <w:p w:rsidR="00D319F6" w:rsidRPr="00E71FC8" w:rsidRDefault="00E71FC8" w:rsidP="00F57498">
      <w:pPr>
        <w:pStyle w:val="Caption"/>
      </w:pPr>
      <w:bookmarkStart w:id="178" w:name="_Ref327455538"/>
      <w:bookmarkStart w:id="179" w:name="_Toc327522080"/>
      <w:r w:rsidRPr="00E71FC8">
        <w:lastRenderedPageBreak/>
        <w:t xml:space="preserve">Table </w:t>
      </w:r>
      <w:fldSimple w:instr=" SEQ Table \* ARABIC ">
        <w:r w:rsidR="0071544A">
          <w:rPr>
            <w:noProof/>
          </w:rPr>
          <w:t>36</w:t>
        </w:r>
      </w:fldSimple>
      <w:bookmarkEnd w:id="177"/>
      <w:bookmarkEnd w:id="178"/>
      <w:r w:rsidR="00422B5B" w:rsidRPr="00E71FC8">
        <w:tab/>
      </w:r>
      <w:r w:rsidR="00D14AC6" w:rsidRPr="00E71FC8">
        <w:t>S</w:t>
      </w:r>
      <w:r w:rsidR="00D319F6" w:rsidRPr="00E71FC8">
        <w:t>ummary of tumour overgrowths reported by included primary studies</w:t>
      </w:r>
      <w:bookmarkEnd w:id="179"/>
    </w:p>
    <w:tbl>
      <w:tblPr>
        <w:tblW w:w="7115" w:type="dxa"/>
        <w:tblInd w:w="720" w:type="dxa"/>
        <w:tblBorders>
          <w:top w:val="single" w:sz="12" w:space="0" w:color="auto"/>
        </w:tblBorders>
        <w:tblLook w:val="04A0" w:firstRow="1" w:lastRow="0" w:firstColumn="1" w:lastColumn="0" w:noHBand="0" w:noVBand="1"/>
      </w:tblPr>
      <w:tblGrid>
        <w:gridCol w:w="1981"/>
        <w:gridCol w:w="931"/>
        <w:gridCol w:w="1075"/>
        <w:gridCol w:w="1119"/>
        <w:gridCol w:w="2009"/>
      </w:tblGrid>
      <w:tr w:rsidR="00265FA2" w:rsidRPr="00965DBA" w:rsidTr="000D3EF2">
        <w:trPr>
          <w:trHeight w:val="293"/>
        </w:trPr>
        <w:tc>
          <w:tcPr>
            <w:tcW w:w="1981" w:type="dxa"/>
            <w:shd w:val="clear" w:color="auto" w:fill="auto"/>
            <w:noWrap/>
            <w:hideMark/>
          </w:tcPr>
          <w:p w:rsidR="00265FA2" w:rsidRPr="00965DBA" w:rsidRDefault="00265FA2" w:rsidP="00E71FC8">
            <w:pPr>
              <w:pStyle w:val="TableHeading"/>
            </w:pPr>
            <w:r w:rsidRPr="00965DBA">
              <w:t>Author</w:t>
            </w:r>
          </w:p>
        </w:tc>
        <w:tc>
          <w:tcPr>
            <w:tcW w:w="931" w:type="dxa"/>
            <w:shd w:val="clear" w:color="auto" w:fill="auto"/>
            <w:noWrap/>
            <w:hideMark/>
          </w:tcPr>
          <w:p w:rsidR="00265FA2" w:rsidRPr="00965DBA" w:rsidRDefault="00265FA2" w:rsidP="000A463C">
            <w:pPr>
              <w:pStyle w:val="TableHeading"/>
              <w:jc w:val="center"/>
            </w:pPr>
            <w:r w:rsidRPr="00965DBA">
              <w:t>N</w:t>
            </w:r>
          </w:p>
        </w:tc>
        <w:tc>
          <w:tcPr>
            <w:tcW w:w="1075" w:type="dxa"/>
            <w:shd w:val="clear" w:color="auto" w:fill="auto"/>
            <w:noWrap/>
          </w:tcPr>
          <w:p w:rsidR="00265FA2" w:rsidRPr="00965DBA" w:rsidRDefault="00265FA2" w:rsidP="000A463C">
            <w:pPr>
              <w:pStyle w:val="TableHeading"/>
              <w:jc w:val="center"/>
            </w:pPr>
            <w:r w:rsidRPr="00965DBA">
              <w:t xml:space="preserve">Events of tumour overgrowth </w:t>
            </w:r>
            <w:r w:rsidR="00242BAC">
              <w:t>(</w:t>
            </w:r>
            <w:r w:rsidRPr="00965DBA">
              <w:t>n</w:t>
            </w:r>
            <w:r w:rsidR="00242BAC">
              <w:t>)</w:t>
            </w:r>
          </w:p>
        </w:tc>
        <w:tc>
          <w:tcPr>
            <w:tcW w:w="1119" w:type="dxa"/>
            <w:shd w:val="clear" w:color="auto" w:fill="auto"/>
          </w:tcPr>
          <w:p w:rsidR="00265FA2" w:rsidRPr="00965DBA" w:rsidRDefault="00265FA2" w:rsidP="0007443E">
            <w:pPr>
              <w:pStyle w:val="TableHeading"/>
              <w:jc w:val="center"/>
            </w:pPr>
            <w:r w:rsidRPr="00965DBA">
              <w:t>Occurrence (%)</w:t>
            </w:r>
          </w:p>
        </w:tc>
        <w:tc>
          <w:tcPr>
            <w:tcW w:w="2009" w:type="dxa"/>
          </w:tcPr>
          <w:p w:rsidR="00265FA2" w:rsidRPr="00965DBA" w:rsidRDefault="00265FA2" w:rsidP="000A463C">
            <w:pPr>
              <w:pStyle w:val="TableHeading"/>
              <w:jc w:val="center"/>
            </w:pPr>
            <w:r w:rsidRPr="00965DBA">
              <w:t xml:space="preserve">Type of stent </w:t>
            </w:r>
            <w:r w:rsidR="0018224C">
              <w:br/>
            </w:r>
            <w:r w:rsidRPr="00965DBA">
              <w:t>(uncovered vs covered)</w:t>
            </w:r>
          </w:p>
        </w:tc>
      </w:tr>
      <w:tr w:rsidR="00265FA2" w:rsidRPr="00965DBA" w:rsidTr="000D3EF2">
        <w:trPr>
          <w:trHeight w:val="293"/>
        </w:trPr>
        <w:tc>
          <w:tcPr>
            <w:tcW w:w="1981" w:type="dxa"/>
            <w:shd w:val="clear" w:color="auto" w:fill="auto"/>
            <w:noWrap/>
            <w:hideMark/>
          </w:tcPr>
          <w:p w:rsidR="00265FA2" w:rsidRPr="00965DBA" w:rsidRDefault="00265FA2" w:rsidP="00E71FC8">
            <w:pPr>
              <w:pStyle w:val="TableText"/>
            </w:pPr>
            <w:r w:rsidRPr="00965DBA">
              <w:t xml:space="preserve">Lee et al </w:t>
            </w:r>
            <w:r w:rsidR="0018224C">
              <w:t>(</w:t>
            </w:r>
            <w:r w:rsidRPr="00965DBA">
              <w:t>2011</w:t>
            </w:r>
            <w:r w:rsidR="0018224C">
              <w:t>)</w:t>
            </w:r>
          </w:p>
        </w:tc>
        <w:tc>
          <w:tcPr>
            <w:tcW w:w="931" w:type="dxa"/>
            <w:shd w:val="clear" w:color="auto" w:fill="auto"/>
            <w:noWrap/>
            <w:hideMark/>
          </w:tcPr>
          <w:p w:rsidR="00265FA2" w:rsidRPr="00965DBA" w:rsidRDefault="00265FA2" w:rsidP="00ED6295">
            <w:pPr>
              <w:pStyle w:val="TableText"/>
              <w:jc w:val="center"/>
            </w:pPr>
            <w:r w:rsidRPr="00965DBA">
              <w:t>71</w:t>
            </w:r>
          </w:p>
        </w:tc>
        <w:tc>
          <w:tcPr>
            <w:tcW w:w="1075" w:type="dxa"/>
            <w:shd w:val="clear" w:color="auto" w:fill="auto"/>
            <w:noWrap/>
          </w:tcPr>
          <w:p w:rsidR="00265FA2" w:rsidRPr="00965DBA" w:rsidRDefault="00265FA2" w:rsidP="00ED6295">
            <w:pPr>
              <w:pStyle w:val="TableText"/>
              <w:jc w:val="right"/>
            </w:pPr>
            <w:r w:rsidRPr="00965DBA">
              <w:t>16</w:t>
            </w:r>
            <w:r w:rsidRPr="00965DBA">
              <w:rPr>
                <w:vertAlign w:val="superscript"/>
              </w:rPr>
              <w:t>a</w:t>
            </w:r>
          </w:p>
        </w:tc>
        <w:tc>
          <w:tcPr>
            <w:tcW w:w="1119" w:type="dxa"/>
            <w:shd w:val="clear" w:color="auto" w:fill="auto"/>
          </w:tcPr>
          <w:p w:rsidR="00265FA2" w:rsidRPr="00965DBA" w:rsidRDefault="003F1391" w:rsidP="00ED6295">
            <w:pPr>
              <w:pStyle w:val="TableText"/>
              <w:jc w:val="right"/>
            </w:pPr>
            <w:r w:rsidRPr="00965DBA">
              <w:t>22.5</w:t>
            </w:r>
          </w:p>
        </w:tc>
        <w:tc>
          <w:tcPr>
            <w:tcW w:w="2009" w:type="dxa"/>
          </w:tcPr>
          <w:p w:rsidR="00265FA2" w:rsidRPr="00965DBA" w:rsidRDefault="00265FA2" w:rsidP="000D3EF2">
            <w:pPr>
              <w:pStyle w:val="TableText"/>
              <w:jc w:val="center"/>
            </w:pPr>
            <w:r w:rsidRPr="00965DBA">
              <w:t>Mix</w:t>
            </w:r>
          </w:p>
        </w:tc>
      </w:tr>
      <w:tr w:rsidR="00265FA2" w:rsidRPr="00965DBA" w:rsidTr="000D3EF2">
        <w:trPr>
          <w:trHeight w:val="293"/>
        </w:trPr>
        <w:tc>
          <w:tcPr>
            <w:tcW w:w="1981" w:type="dxa"/>
            <w:shd w:val="clear" w:color="auto" w:fill="auto"/>
            <w:noWrap/>
          </w:tcPr>
          <w:p w:rsidR="00265FA2" w:rsidRPr="00965DBA" w:rsidRDefault="00265FA2" w:rsidP="00E71FC8">
            <w:pPr>
              <w:pStyle w:val="TableText"/>
            </w:pPr>
            <w:r w:rsidRPr="00965DBA">
              <w:t xml:space="preserve">Selinger et al </w:t>
            </w:r>
            <w:r w:rsidR="0018224C">
              <w:t>(</w:t>
            </w:r>
            <w:r w:rsidRPr="00965DBA">
              <w:t>2011</w:t>
            </w:r>
            <w:r w:rsidR="0018224C">
              <w:t>)</w:t>
            </w:r>
          </w:p>
        </w:tc>
        <w:tc>
          <w:tcPr>
            <w:tcW w:w="931" w:type="dxa"/>
            <w:shd w:val="clear" w:color="auto" w:fill="auto"/>
            <w:noWrap/>
          </w:tcPr>
          <w:p w:rsidR="00265FA2" w:rsidRPr="00965DBA" w:rsidRDefault="00265FA2" w:rsidP="00ED6295">
            <w:pPr>
              <w:pStyle w:val="TableText"/>
              <w:jc w:val="center"/>
            </w:pPr>
            <w:r w:rsidRPr="00965DBA">
              <w:t>57</w:t>
            </w:r>
          </w:p>
        </w:tc>
        <w:tc>
          <w:tcPr>
            <w:tcW w:w="1075" w:type="dxa"/>
            <w:shd w:val="clear" w:color="auto" w:fill="auto"/>
            <w:noWrap/>
          </w:tcPr>
          <w:p w:rsidR="00265FA2" w:rsidRPr="00965DBA" w:rsidRDefault="00265FA2" w:rsidP="00ED6295">
            <w:pPr>
              <w:pStyle w:val="TableText"/>
              <w:jc w:val="right"/>
            </w:pPr>
            <w:r w:rsidRPr="00965DBA">
              <w:t>3</w:t>
            </w:r>
            <w:r w:rsidRPr="00965DBA">
              <w:rPr>
                <w:vertAlign w:val="superscript"/>
              </w:rPr>
              <w:t>b</w:t>
            </w:r>
          </w:p>
        </w:tc>
        <w:tc>
          <w:tcPr>
            <w:tcW w:w="1119" w:type="dxa"/>
            <w:shd w:val="clear" w:color="auto" w:fill="auto"/>
          </w:tcPr>
          <w:p w:rsidR="00265FA2" w:rsidRPr="00965DBA" w:rsidRDefault="003F1391" w:rsidP="00ED6295">
            <w:pPr>
              <w:pStyle w:val="TableText"/>
              <w:jc w:val="right"/>
            </w:pPr>
            <w:r w:rsidRPr="00965DBA">
              <w:t>5.3</w:t>
            </w:r>
          </w:p>
        </w:tc>
        <w:tc>
          <w:tcPr>
            <w:tcW w:w="2009" w:type="dxa"/>
          </w:tcPr>
          <w:p w:rsidR="00265FA2" w:rsidRPr="00965DBA" w:rsidRDefault="00265FA2" w:rsidP="000D3EF2">
            <w:pPr>
              <w:pStyle w:val="TableText"/>
              <w:jc w:val="center"/>
            </w:pPr>
            <w:r w:rsidRPr="00965DBA">
              <w:t>NR</w:t>
            </w:r>
          </w:p>
        </w:tc>
      </w:tr>
      <w:tr w:rsidR="00265FA2" w:rsidRPr="00965DBA" w:rsidTr="000D3EF2">
        <w:trPr>
          <w:trHeight w:val="293"/>
        </w:trPr>
        <w:tc>
          <w:tcPr>
            <w:tcW w:w="1981" w:type="dxa"/>
            <w:shd w:val="clear" w:color="auto" w:fill="auto"/>
            <w:noWrap/>
          </w:tcPr>
          <w:p w:rsidR="00265FA2" w:rsidRPr="00965DBA" w:rsidRDefault="00265FA2" w:rsidP="00EC5FC0">
            <w:pPr>
              <w:pStyle w:val="TableText"/>
            </w:pPr>
            <w:r w:rsidRPr="00965DBA">
              <w:t xml:space="preserve">Moon et al </w:t>
            </w:r>
            <w:r w:rsidR="0018224C">
              <w:t>(</w:t>
            </w:r>
            <w:r w:rsidRPr="00965DBA">
              <w:t>2010</w:t>
            </w:r>
            <w:r w:rsidR="0018224C">
              <w:t>)</w:t>
            </w:r>
          </w:p>
        </w:tc>
        <w:tc>
          <w:tcPr>
            <w:tcW w:w="931" w:type="dxa"/>
            <w:shd w:val="clear" w:color="auto" w:fill="auto"/>
            <w:noWrap/>
          </w:tcPr>
          <w:p w:rsidR="00265FA2" w:rsidRPr="00965DBA" w:rsidRDefault="00265FA2" w:rsidP="00ED6295">
            <w:pPr>
              <w:pStyle w:val="TableText"/>
              <w:jc w:val="center"/>
            </w:pPr>
            <w:r w:rsidRPr="00965DBA">
              <w:t>68</w:t>
            </w:r>
          </w:p>
        </w:tc>
        <w:tc>
          <w:tcPr>
            <w:tcW w:w="1075" w:type="dxa"/>
            <w:shd w:val="clear" w:color="auto" w:fill="auto"/>
            <w:noWrap/>
          </w:tcPr>
          <w:p w:rsidR="00265FA2" w:rsidRPr="00965DBA" w:rsidRDefault="00265FA2" w:rsidP="00ED6295">
            <w:pPr>
              <w:pStyle w:val="TableText"/>
              <w:jc w:val="right"/>
            </w:pPr>
            <w:r w:rsidRPr="00965DBA">
              <w:t>3</w:t>
            </w:r>
            <w:r w:rsidRPr="00965DBA">
              <w:rPr>
                <w:vertAlign w:val="superscript"/>
              </w:rPr>
              <w:t>c</w:t>
            </w:r>
          </w:p>
        </w:tc>
        <w:tc>
          <w:tcPr>
            <w:tcW w:w="1119" w:type="dxa"/>
            <w:shd w:val="clear" w:color="auto" w:fill="auto"/>
          </w:tcPr>
          <w:p w:rsidR="00265FA2" w:rsidRPr="00965DBA" w:rsidRDefault="003F1391" w:rsidP="00ED6295">
            <w:pPr>
              <w:pStyle w:val="TableText"/>
              <w:jc w:val="right"/>
            </w:pPr>
            <w:r w:rsidRPr="00965DBA">
              <w:t>4.4</w:t>
            </w:r>
          </w:p>
        </w:tc>
        <w:tc>
          <w:tcPr>
            <w:tcW w:w="2009" w:type="dxa"/>
          </w:tcPr>
          <w:p w:rsidR="00265FA2" w:rsidRPr="00965DBA" w:rsidRDefault="00265FA2" w:rsidP="000D3EF2">
            <w:pPr>
              <w:pStyle w:val="TableText"/>
              <w:jc w:val="center"/>
            </w:pPr>
            <w:r w:rsidRPr="00965DBA">
              <w:t>Mix</w:t>
            </w:r>
          </w:p>
        </w:tc>
      </w:tr>
      <w:tr w:rsidR="00265FA2" w:rsidRPr="00965DBA" w:rsidTr="000D3EF2">
        <w:trPr>
          <w:trHeight w:val="293"/>
        </w:trPr>
        <w:tc>
          <w:tcPr>
            <w:tcW w:w="1981" w:type="dxa"/>
            <w:shd w:val="clear" w:color="auto" w:fill="auto"/>
            <w:noWrap/>
          </w:tcPr>
          <w:p w:rsidR="00265FA2" w:rsidRPr="00965DBA" w:rsidRDefault="00265FA2" w:rsidP="00EC5FC0">
            <w:pPr>
              <w:pStyle w:val="TableText"/>
            </w:pPr>
            <w:r w:rsidRPr="00965DBA">
              <w:t xml:space="preserve">Kim et al </w:t>
            </w:r>
            <w:r w:rsidR="0018224C">
              <w:t>(</w:t>
            </w:r>
            <w:r w:rsidRPr="00965DBA">
              <w:t>2009</w:t>
            </w:r>
            <w:r w:rsidR="0018224C">
              <w:t>)</w:t>
            </w:r>
          </w:p>
        </w:tc>
        <w:tc>
          <w:tcPr>
            <w:tcW w:w="931" w:type="dxa"/>
            <w:shd w:val="clear" w:color="auto" w:fill="auto"/>
            <w:noWrap/>
          </w:tcPr>
          <w:p w:rsidR="00265FA2" w:rsidRPr="00965DBA" w:rsidRDefault="00265FA2" w:rsidP="00ED6295">
            <w:pPr>
              <w:pStyle w:val="TableText"/>
              <w:jc w:val="center"/>
            </w:pPr>
            <w:r w:rsidRPr="00965DBA">
              <w:t>116</w:t>
            </w:r>
          </w:p>
        </w:tc>
        <w:tc>
          <w:tcPr>
            <w:tcW w:w="1075" w:type="dxa"/>
            <w:shd w:val="clear" w:color="auto" w:fill="auto"/>
            <w:noWrap/>
          </w:tcPr>
          <w:p w:rsidR="00265FA2" w:rsidRPr="00965DBA" w:rsidRDefault="00265FA2" w:rsidP="00ED6295">
            <w:pPr>
              <w:pStyle w:val="TableText"/>
              <w:jc w:val="right"/>
            </w:pPr>
            <w:r w:rsidRPr="00965DBA">
              <w:t>3</w:t>
            </w:r>
          </w:p>
        </w:tc>
        <w:tc>
          <w:tcPr>
            <w:tcW w:w="1119" w:type="dxa"/>
            <w:shd w:val="clear" w:color="auto" w:fill="auto"/>
          </w:tcPr>
          <w:p w:rsidR="00265FA2" w:rsidRPr="00965DBA" w:rsidRDefault="003F1391" w:rsidP="00ED6295">
            <w:pPr>
              <w:pStyle w:val="TableText"/>
              <w:jc w:val="right"/>
            </w:pPr>
            <w:r w:rsidRPr="00965DBA">
              <w:t>2.6</w:t>
            </w:r>
          </w:p>
        </w:tc>
        <w:tc>
          <w:tcPr>
            <w:tcW w:w="2009" w:type="dxa"/>
          </w:tcPr>
          <w:p w:rsidR="00265FA2" w:rsidRPr="00965DBA" w:rsidRDefault="00265FA2" w:rsidP="000D3EF2">
            <w:pPr>
              <w:pStyle w:val="TableText"/>
              <w:jc w:val="center"/>
            </w:pPr>
            <w:r w:rsidRPr="00965DBA">
              <w:t>NR</w:t>
            </w:r>
          </w:p>
        </w:tc>
      </w:tr>
      <w:tr w:rsidR="00265FA2" w:rsidRPr="00965DBA" w:rsidTr="000D3EF2">
        <w:trPr>
          <w:trHeight w:val="293"/>
        </w:trPr>
        <w:tc>
          <w:tcPr>
            <w:tcW w:w="1981" w:type="dxa"/>
            <w:shd w:val="clear" w:color="auto" w:fill="auto"/>
            <w:noWrap/>
            <w:hideMark/>
          </w:tcPr>
          <w:p w:rsidR="00265FA2" w:rsidRPr="00965DBA" w:rsidRDefault="00265FA2" w:rsidP="005372EC">
            <w:pPr>
              <w:pStyle w:val="TableText"/>
            </w:pPr>
            <w:r w:rsidRPr="00965DBA">
              <w:t xml:space="preserve">Suh et al </w:t>
            </w:r>
            <w:r w:rsidR="0018224C">
              <w:t>(</w:t>
            </w:r>
            <w:r w:rsidRPr="00965DBA">
              <w:t>20</w:t>
            </w:r>
            <w:r w:rsidR="005372EC">
              <w:t>10</w:t>
            </w:r>
            <w:r w:rsidR="0018224C">
              <w:t>)</w:t>
            </w:r>
          </w:p>
        </w:tc>
        <w:tc>
          <w:tcPr>
            <w:tcW w:w="931" w:type="dxa"/>
            <w:shd w:val="clear" w:color="auto" w:fill="auto"/>
            <w:noWrap/>
            <w:hideMark/>
          </w:tcPr>
          <w:p w:rsidR="00265FA2" w:rsidRPr="00965DBA" w:rsidRDefault="00265FA2" w:rsidP="00ED6295">
            <w:pPr>
              <w:pStyle w:val="TableText"/>
              <w:jc w:val="center"/>
            </w:pPr>
            <w:r w:rsidRPr="00965DBA">
              <w:t>55</w:t>
            </w:r>
          </w:p>
        </w:tc>
        <w:tc>
          <w:tcPr>
            <w:tcW w:w="1075" w:type="dxa"/>
            <w:shd w:val="clear" w:color="auto" w:fill="auto"/>
            <w:noWrap/>
          </w:tcPr>
          <w:p w:rsidR="00265FA2" w:rsidRPr="00965DBA" w:rsidRDefault="00265FA2" w:rsidP="00ED6295">
            <w:pPr>
              <w:pStyle w:val="TableText"/>
              <w:jc w:val="right"/>
              <w:rPr>
                <w:vertAlign w:val="superscript"/>
              </w:rPr>
            </w:pPr>
            <w:r w:rsidRPr="00965DBA">
              <w:t>1</w:t>
            </w:r>
          </w:p>
        </w:tc>
        <w:tc>
          <w:tcPr>
            <w:tcW w:w="1119" w:type="dxa"/>
            <w:shd w:val="clear" w:color="auto" w:fill="auto"/>
          </w:tcPr>
          <w:p w:rsidR="00265FA2" w:rsidRPr="00965DBA" w:rsidRDefault="003F1391" w:rsidP="00ED6295">
            <w:pPr>
              <w:pStyle w:val="TableText"/>
              <w:jc w:val="right"/>
            </w:pPr>
            <w:r w:rsidRPr="00965DBA">
              <w:t>1.8</w:t>
            </w:r>
          </w:p>
        </w:tc>
        <w:tc>
          <w:tcPr>
            <w:tcW w:w="2009" w:type="dxa"/>
          </w:tcPr>
          <w:p w:rsidR="00265FA2" w:rsidRPr="00965DBA" w:rsidRDefault="00265FA2" w:rsidP="000D3EF2">
            <w:pPr>
              <w:pStyle w:val="TableText"/>
              <w:jc w:val="center"/>
            </w:pPr>
            <w:r w:rsidRPr="00965DBA">
              <w:t>Uncovered</w:t>
            </w:r>
          </w:p>
        </w:tc>
      </w:tr>
      <w:tr w:rsidR="00265FA2" w:rsidRPr="00965DBA" w:rsidTr="000D3EF2">
        <w:trPr>
          <w:trHeight w:val="293"/>
        </w:trPr>
        <w:tc>
          <w:tcPr>
            <w:tcW w:w="1981" w:type="dxa"/>
            <w:shd w:val="clear" w:color="auto" w:fill="auto"/>
            <w:noWrap/>
            <w:hideMark/>
          </w:tcPr>
          <w:p w:rsidR="00265FA2" w:rsidRPr="00965DBA" w:rsidRDefault="00265FA2" w:rsidP="00E71FC8">
            <w:pPr>
              <w:pStyle w:val="TableText"/>
            </w:pPr>
            <w:r w:rsidRPr="00965DBA">
              <w:t xml:space="preserve">Baraza et al </w:t>
            </w:r>
            <w:r w:rsidR="0018224C">
              <w:t>(</w:t>
            </w:r>
            <w:r w:rsidRPr="00965DBA">
              <w:t>2008</w:t>
            </w:r>
            <w:r w:rsidR="0018224C">
              <w:t>)</w:t>
            </w:r>
          </w:p>
        </w:tc>
        <w:tc>
          <w:tcPr>
            <w:tcW w:w="931" w:type="dxa"/>
            <w:shd w:val="clear" w:color="auto" w:fill="auto"/>
            <w:noWrap/>
            <w:hideMark/>
          </w:tcPr>
          <w:p w:rsidR="00265FA2" w:rsidRPr="00965DBA" w:rsidRDefault="00265FA2" w:rsidP="00ED6295">
            <w:pPr>
              <w:pStyle w:val="TableText"/>
              <w:jc w:val="center"/>
            </w:pPr>
            <w:r w:rsidRPr="00965DBA">
              <w:t>71</w:t>
            </w:r>
            <w:r w:rsidR="000D3EF2" w:rsidRPr="000D3EF2">
              <w:rPr>
                <w:vertAlign w:val="superscript"/>
              </w:rPr>
              <w:t>d</w:t>
            </w:r>
          </w:p>
        </w:tc>
        <w:tc>
          <w:tcPr>
            <w:tcW w:w="1075" w:type="dxa"/>
            <w:shd w:val="clear" w:color="auto" w:fill="auto"/>
            <w:noWrap/>
          </w:tcPr>
          <w:p w:rsidR="00265FA2" w:rsidRPr="00965DBA" w:rsidRDefault="00265FA2" w:rsidP="00ED6295">
            <w:pPr>
              <w:pStyle w:val="TableText"/>
              <w:jc w:val="right"/>
            </w:pPr>
            <w:r w:rsidRPr="00965DBA">
              <w:t>6</w:t>
            </w:r>
          </w:p>
        </w:tc>
        <w:tc>
          <w:tcPr>
            <w:tcW w:w="1119" w:type="dxa"/>
            <w:shd w:val="clear" w:color="auto" w:fill="auto"/>
          </w:tcPr>
          <w:p w:rsidR="00265FA2" w:rsidRPr="00965DBA" w:rsidRDefault="003F1391" w:rsidP="00ED6295">
            <w:pPr>
              <w:pStyle w:val="TableText"/>
              <w:jc w:val="right"/>
            </w:pPr>
            <w:r w:rsidRPr="00965DBA">
              <w:t>8.4</w:t>
            </w:r>
          </w:p>
        </w:tc>
        <w:tc>
          <w:tcPr>
            <w:tcW w:w="2009" w:type="dxa"/>
          </w:tcPr>
          <w:p w:rsidR="00265FA2" w:rsidRPr="00965DBA" w:rsidRDefault="00265FA2" w:rsidP="000D3EF2">
            <w:pPr>
              <w:pStyle w:val="TableText"/>
              <w:jc w:val="center"/>
            </w:pPr>
            <w:r w:rsidRPr="00965DBA">
              <w:t>Mix</w:t>
            </w:r>
          </w:p>
        </w:tc>
      </w:tr>
      <w:tr w:rsidR="00265FA2" w:rsidRPr="00965DBA" w:rsidTr="000D3EF2">
        <w:trPr>
          <w:trHeight w:val="293"/>
        </w:trPr>
        <w:tc>
          <w:tcPr>
            <w:tcW w:w="1981" w:type="dxa"/>
            <w:shd w:val="clear" w:color="auto" w:fill="auto"/>
            <w:noWrap/>
          </w:tcPr>
          <w:p w:rsidR="00265FA2" w:rsidRPr="00965DBA" w:rsidRDefault="00265FA2" w:rsidP="00E71FC8">
            <w:pPr>
              <w:pStyle w:val="TableText"/>
            </w:pPr>
            <w:r w:rsidRPr="00965DBA">
              <w:t xml:space="preserve">Lee et al </w:t>
            </w:r>
            <w:r w:rsidR="0018224C">
              <w:t>(</w:t>
            </w:r>
            <w:r w:rsidRPr="00965DBA">
              <w:t>2007</w:t>
            </w:r>
            <w:r w:rsidR="0018224C">
              <w:t>)</w:t>
            </w:r>
          </w:p>
        </w:tc>
        <w:tc>
          <w:tcPr>
            <w:tcW w:w="931" w:type="dxa"/>
            <w:shd w:val="clear" w:color="auto" w:fill="auto"/>
            <w:noWrap/>
          </w:tcPr>
          <w:p w:rsidR="00265FA2" w:rsidRPr="00965DBA" w:rsidRDefault="00265FA2" w:rsidP="00ED6295">
            <w:pPr>
              <w:pStyle w:val="TableText"/>
              <w:jc w:val="center"/>
              <w:rPr>
                <w:vertAlign w:val="superscript"/>
              </w:rPr>
            </w:pPr>
            <w:r w:rsidRPr="00965DBA">
              <w:t>31</w:t>
            </w:r>
          </w:p>
        </w:tc>
        <w:tc>
          <w:tcPr>
            <w:tcW w:w="1075" w:type="dxa"/>
            <w:shd w:val="clear" w:color="auto" w:fill="auto"/>
            <w:noWrap/>
          </w:tcPr>
          <w:p w:rsidR="00265FA2" w:rsidRPr="00965DBA" w:rsidRDefault="00265FA2" w:rsidP="00ED6295">
            <w:pPr>
              <w:pStyle w:val="TableText"/>
              <w:jc w:val="right"/>
            </w:pPr>
            <w:r w:rsidRPr="00965DBA">
              <w:t>1</w:t>
            </w:r>
          </w:p>
        </w:tc>
        <w:tc>
          <w:tcPr>
            <w:tcW w:w="1119" w:type="dxa"/>
            <w:shd w:val="clear" w:color="auto" w:fill="auto"/>
          </w:tcPr>
          <w:p w:rsidR="00265FA2" w:rsidRPr="00965DBA" w:rsidRDefault="003F1391" w:rsidP="00ED6295">
            <w:pPr>
              <w:pStyle w:val="TableText"/>
              <w:jc w:val="right"/>
            </w:pPr>
            <w:r w:rsidRPr="00965DBA">
              <w:t>3.2</w:t>
            </w:r>
          </w:p>
        </w:tc>
        <w:tc>
          <w:tcPr>
            <w:tcW w:w="2009" w:type="dxa"/>
          </w:tcPr>
          <w:p w:rsidR="00265FA2" w:rsidRPr="00965DBA" w:rsidRDefault="00265FA2" w:rsidP="000D3EF2">
            <w:pPr>
              <w:pStyle w:val="TableText"/>
              <w:jc w:val="center"/>
            </w:pPr>
            <w:r w:rsidRPr="00965DBA">
              <w:t>Mix</w:t>
            </w:r>
          </w:p>
        </w:tc>
      </w:tr>
      <w:tr w:rsidR="00265FA2" w:rsidRPr="00965DBA" w:rsidTr="000D3EF2">
        <w:trPr>
          <w:trHeight w:val="323"/>
        </w:trPr>
        <w:tc>
          <w:tcPr>
            <w:tcW w:w="1981" w:type="dxa"/>
            <w:tcBorders>
              <w:bottom w:val="single" w:sz="12" w:space="0" w:color="auto"/>
            </w:tcBorders>
            <w:shd w:val="clear" w:color="auto" w:fill="auto"/>
            <w:noWrap/>
          </w:tcPr>
          <w:p w:rsidR="00265FA2" w:rsidRPr="00965DBA" w:rsidRDefault="00265FA2" w:rsidP="00E71FC8">
            <w:pPr>
              <w:pStyle w:val="TableText"/>
              <w:rPr>
                <w:b/>
              </w:rPr>
            </w:pPr>
            <w:r w:rsidRPr="00965DBA">
              <w:rPr>
                <w:b/>
              </w:rPr>
              <w:t>TOTAL (</w:t>
            </w:r>
            <w:r w:rsidR="00C87601" w:rsidRPr="00965DBA">
              <w:rPr>
                <w:b/>
              </w:rPr>
              <w:t>7</w:t>
            </w:r>
            <w:r w:rsidRPr="00965DBA">
              <w:rPr>
                <w:b/>
              </w:rPr>
              <w:t xml:space="preserve"> studies)</w:t>
            </w:r>
          </w:p>
        </w:tc>
        <w:tc>
          <w:tcPr>
            <w:tcW w:w="931" w:type="dxa"/>
            <w:tcBorders>
              <w:bottom w:val="single" w:sz="12" w:space="0" w:color="auto"/>
            </w:tcBorders>
            <w:shd w:val="clear" w:color="auto" w:fill="auto"/>
            <w:noWrap/>
          </w:tcPr>
          <w:p w:rsidR="00265FA2" w:rsidRPr="00965DBA" w:rsidRDefault="00C87601" w:rsidP="00ED6295">
            <w:pPr>
              <w:pStyle w:val="TableText"/>
              <w:jc w:val="center"/>
              <w:rPr>
                <w:b/>
              </w:rPr>
            </w:pPr>
            <w:r w:rsidRPr="00965DBA">
              <w:rPr>
                <w:b/>
              </w:rPr>
              <w:t>469</w:t>
            </w:r>
          </w:p>
        </w:tc>
        <w:tc>
          <w:tcPr>
            <w:tcW w:w="1075" w:type="dxa"/>
            <w:tcBorders>
              <w:bottom w:val="single" w:sz="12" w:space="0" w:color="auto"/>
            </w:tcBorders>
            <w:shd w:val="clear" w:color="auto" w:fill="auto"/>
            <w:noWrap/>
          </w:tcPr>
          <w:p w:rsidR="00265FA2" w:rsidRPr="00965DBA" w:rsidRDefault="00265FA2" w:rsidP="00ED6295">
            <w:pPr>
              <w:pStyle w:val="TableText"/>
              <w:jc w:val="right"/>
              <w:rPr>
                <w:b/>
              </w:rPr>
            </w:pPr>
            <w:r w:rsidRPr="00965DBA">
              <w:rPr>
                <w:b/>
              </w:rPr>
              <w:t>3</w:t>
            </w:r>
            <w:r w:rsidR="00C87601" w:rsidRPr="00965DBA">
              <w:rPr>
                <w:b/>
              </w:rPr>
              <w:t>3</w:t>
            </w:r>
          </w:p>
        </w:tc>
        <w:tc>
          <w:tcPr>
            <w:tcW w:w="1119" w:type="dxa"/>
            <w:tcBorders>
              <w:bottom w:val="single" w:sz="12" w:space="0" w:color="auto"/>
            </w:tcBorders>
            <w:shd w:val="clear" w:color="auto" w:fill="auto"/>
          </w:tcPr>
          <w:p w:rsidR="00265FA2" w:rsidRPr="00965DBA" w:rsidRDefault="003F1391" w:rsidP="00ED6295">
            <w:pPr>
              <w:pStyle w:val="TableText"/>
              <w:jc w:val="right"/>
              <w:rPr>
                <w:b/>
              </w:rPr>
            </w:pPr>
            <w:r w:rsidRPr="00965DBA">
              <w:rPr>
                <w:b/>
              </w:rPr>
              <w:t>7.0</w:t>
            </w:r>
          </w:p>
        </w:tc>
        <w:tc>
          <w:tcPr>
            <w:tcW w:w="2009" w:type="dxa"/>
            <w:tcBorders>
              <w:bottom w:val="single" w:sz="12" w:space="0" w:color="auto"/>
            </w:tcBorders>
          </w:tcPr>
          <w:p w:rsidR="00265FA2" w:rsidRPr="00965DBA" w:rsidRDefault="00265FA2" w:rsidP="000D3EF2">
            <w:pPr>
              <w:pStyle w:val="TableText"/>
              <w:jc w:val="center"/>
              <w:rPr>
                <w:b/>
              </w:rPr>
            </w:pPr>
            <w:r w:rsidRPr="00965DBA">
              <w:rPr>
                <w:b/>
              </w:rPr>
              <w:t>-</w:t>
            </w:r>
          </w:p>
        </w:tc>
      </w:tr>
    </w:tbl>
    <w:p w:rsidR="000D3EF2" w:rsidRDefault="000D3EF2" w:rsidP="000D3EF2">
      <w:pPr>
        <w:pStyle w:val="TableNotes"/>
        <w:rPr>
          <w:rFonts w:cs="Calibri"/>
          <w:color w:val="000000"/>
          <w:lang w:val="en-AU" w:eastAsia="en-US"/>
        </w:rPr>
      </w:pPr>
      <w:r w:rsidRPr="000D3EF2">
        <w:rPr>
          <w:rFonts w:cs="Calibri"/>
          <w:color w:val="000000"/>
          <w:lang w:eastAsia="en-US"/>
        </w:rPr>
        <w:t xml:space="preserve">a  One incident of tumour outgrowths was recorded 30 days following the procedure, and another 15 thereafter. Later tumour outgrowths lead to stent obstruction. </w:t>
      </w:r>
      <w:r w:rsidRPr="000D3EF2">
        <w:rPr>
          <w:rFonts w:cs="Calibri"/>
          <w:color w:val="000000"/>
          <w:lang w:eastAsia="en-US"/>
        </w:rPr>
        <w:br/>
        <w:t>b  No overgrowths were detected within 5 days post-operatively; however 3 incidences were reported among 57 patients followed for late (&gt;5 days) complications.</w:t>
      </w:r>
      <w:r w:rsidRPr="000D3EF2">
        <w:rPr>
          <w:rFonts w:cs="Calibri"/>
          <w:color w:val="000000"/>
          <w:lang w:eastAsia="en-US"/>
        </w:rPr>
        <w:br/>
        <w:t>c  All incidences occurred after 7 days. One patient experienced both ingrowth and overgrowth.</w:t>
      </w:r>
      <w:r w:rsidRPr="000D3EF2">
        <w:rPr>
          <w:rFonts w:cs="Calibri"/>
          <w:color w:val="000000"/>
          <w:lang w:eastAsia="en-US"/>
        </w:rPr>
        <w:br/>
      </w:r>
      <w:proofErr w:type="gramStart"/>
      <w:r>
        <w:rPr>
          <w:rFonts w:cs="Calibri"/>
          <w:color w:val="000000"/>
          <w:lang w:val="en-AU" w:eastAsia="en-US"/>
        </w:rPr>
        <w:t xml:space="preserve">d </w:t>
      </w:r>
      <w:r w:rsidRPr="000D3EF2">
        <w:rPr>
          <w:rFonts w:cs="Calibri"/>
          <w:color w:val="000000"/>
          <w:lang w:eastAsia="en-US"/>
        </w:rPr>
        <w:t xml:space="preserve"> N</w:t>
      </w:r>
      <w:proofErr w:type="gramEnd"/>
      <w:r>
        <w:rPr>
          <w:rFonts w:cs="Calibri"/>
          <w:color w:val="000000"/>
          <w:lang w:val="en-AU" w:eastAsia="en-US"/>
        </w:rPr>
        <w:t xml:space="preserve"> b</w:t>
      </w:r>
      <w:r w:rsidRPr="000D3EF2">
        <w:rPr>
          <w:rFonts w:cs="Calibri"/>
          <w:color w:val="000000"/>
          <w:lang w:eastAsia="en-US"/>
        </w:rPr>
        <w:t>ased on the number of stenting procedures or attempts performed.</w:t>
      </w:r>
    </w:p>
    <w:p w:rsidR="000D3EF2" w:rsidRPr="000D3EF2" w:rsidRDefault="000D3EF2" w:rsidP="000D3EF2">
      <w:pPr>
        <w:pStyle w:val="TableNotes"/>
        <w:rPr>
          <w:rFonts w:cs="Calibri"/>
          <w:color w:val="000000"/>
          <w:lang w:val="en-AU" w:eastAsia="en-US"/>
        </w:rPr>
      </w:pPr>
      <w:r w:rsidRPr="000D3EF2">
        <w:rPr>
          <w:rFonts w:cs="Calibri"/>
          <w:color w:val="000000"/>
          <w:lang w:eastAsia="en-US"/>
        </w:rPr>
        <w:t>N: Based on all patients for whom safety data are reported, regardless of the number of patients enrolled in a study, or their technical/clinical success. In some cases, the number of stenting attempts or procedures performed has been considered as the denominator instead of the number of patients.</w:t>
      </w:r>
    </w:p>
    <w:p w:rsidR="00B03ABA" w:rsidRPr="00965DBA" w:rsidRDefault="00EC5FC0" w:rsidP="00041D5E">
      <w:pPr>
        <w:pStyle w:val="Heading4"/>
      </w:pPr>
      <w:r w:rsidRPr="00965DBA">
        <w:t>Sensation</w:t>
      </w:r>
      <w:r>
        <w:t>-</w:t>
      </w:r>
      <w:r w:rsidR="00DC6E10" w:rsidRPr="00965DBA">
        <w:t>related events</w:t>
      </w:r>
    </w:p>
    <w:p w:rsidR="00222104" w:rsidRPr="00E2422F" w:rsidRDefault="00CD727A" w:rsidP="00422B5B">
      <w:r w:rsidRPr="009E5C53">
        <w:t xml:space="preserve">Two main </w:t>
      </w:r>
      <w:r w:rsidR="00EC5FC0" w:rsidRPr="00E2422F">
        <w:t>sensation</w:t>
      </w:r>
      <w:r w:rsidR="00EC5FC0">
        <w:t>-</w:t>
      </w:r>
      <w:r w:rsidR="00D74C12" w:rsidRPr="00E2422F">
        <w:t xml:space="preserve">related </w:t>
      </w:r>
      <w:r w:rsidRPr="00892811">
        <w:t>adverse events</w:t>
      </w:r>
      <w:r w:rsidR="00D74C12" w:rsidRPr="008978EE">
        <w:t xml:space="preserve">, pain (and/or </w:t>
      </w:r>
      <w:r w:rsidRPr="008978EE">
        <w:t>discomfort</w:t>
      </w:r>
      <w:r w:rsidR="00D74C12" w:rsidRPr="00A30BA9">
        <w:t>)</w:t>
      </w:r>
      <w:r w:rsidRPr="005646B6">
        <w:t xml:space="preserve"> and </w:t>
      </w:r>
      <w:r w:rsidR="00D74C12" w:rsidRPr="00003831">
        <w:t>tenesmus</w:t>
      </w:r>
      <w:r w:rsidR="000D3EF2">
        <w:t>,</w:t>
      </w:r>
      <w:r w:rsidRPr="00A87C52">
        <w:t xml:space="preserve"> </w:t>
      </w:r>
      <w:r w:rsidR="000D3EF2">
        <w:t>were</w:t>
      </w:r>
      <w:r w:rsidRPr="00A87C52">
        <w:t xml:space="preserve"> assessed</w:t>
      </w:r>
      <w:r w:rsidRPr="00DF686C">
        <w:t xml:space="preserve">. </w:t>
      </w:r>
      <w:r w:rsidR="000E0BB6" w:rsidRPr="00DF686C">
        <w:t xml:space="preserve">Tenesmus </w:t>
      </w:r>
      <w:r w:rsidR="000E0BB6" w:rsidRPr="007D0320">
        <w:t xml:space="preserve">is </w:t>
      </w:r>
      <w:r w:rsidR="0058794A" w:rsidRPr="00965DBA">
        <w:t>a sensation of incomplete bowel emptiness leading to</w:t>
      </w:r>
      <w:r w:rsidR="000E0BB6" w:rsidRPr="00965DBA">
        <w:t xml:space="preserve"> ineffective painful straining to empty the bowels without producing a significant quantity of </w:t>
      </w:r>
      <w:r w:rsidR="0058794A" w:rsidRPr="00965DBA">
        <w:t>stool</w:t>
      </w:r>
      <w:r w:rsidRPr="009E5C53">
        <w:t xml:space="preserve">. </w:t>
      </w:r>
    </w:p>
    <w:p w:rsidR="00D74C12" w:rsidRPr="007D5B7C" w:rsidRDefault="00D74C12" w:rsidP="00422B5B">
      <w:r w:rsidRPr="00892811">
        <w:t xml:space="preserve">Abdominal, rectal or anal pain </w:t>
      </w:r>
      <w:r w:rsidR="00673061" w:rsidRPr="008978EE">
        <w:t xml:space="preserve">were </w:t>
      </w:r>
      <w:r w:rsidRPr="008978EE">
        <w:t xml:space="preserve">encountered </w:t>
      </w:r>
      <w:r w:rsidR="006F1F19" w:rsidRPr="00A30BA9">
        <w:t>among 7</w:t>
      </w:r>
      <w:r w:rsidR="00A82A6F" w:rsidRPr="005646B6">
        <w:t>0</w:t>
      </w:r>
      <w:r w:rsidRPr="00003831">
        <w:t xml:space="preserve"> patients </w:t>
      </w:r>
      <w:r w:rsidR="00673061" w:rsidRPr="00A87C52">
        <w:t xml:space="preserve">in </w:t>
      </w:r>
      <w:r w:rsidRPr="00DF686C">
        <w:t xml:space="preserve">the </w:t>
      </w:r>
      <w:r w:rsidR="006F1F19" w:rsidRPr="00DF686C">
        <w:t>1</w:t>
      </w:r>
      <w:r w:rsidR="00A82A6F" w:rsidRPr="00DF686C">
        <w:t>1</w:t>
      </w:r>
      <w:r w:rsidRPr="007D0320">
        <w:t xml:space="preserve"> studies </w:t>
      </w:r>
      <w:r w:rsidR="00EC5FC0">
        <w:t>that</w:t>
      </w:r>
      <w:r w:rsidR="00EC5FC0" w:rsidRPr="007D0320">
        <w:t xml:space="preserve"> </w:t>
      </w:r>
      <w:r w:rsidRPr="007D0320">
        <w:t>reported</w:t>
      </w:r>
      <w:r w:rsidRPr="00F13A5A">
        <w:t xml:space="preserve"> such </w:t>
      </w:r>
      <w:r w:rsidR="00BB5F6E" w:rsidRPr="00BE3EA8">
        <w:t>incidences (</w:t>
      </w:r>
      <w:r w:rsidR="006F1F19" w:rsidRPr="00BE3EA8">
        <w:t>n=1</w:t>
      </w:r>
      <w:r w:rsidR="00A82A6F" w:rsidRPr="00A3741F">
        <w:t>711</w:t>
      </w:r>
      <w:r w:rsidR="00EC5FC0">
        <w:t>; incidence rate 4.1%</w:t>
      </w:r>
      <w:r w:rsidRPr="00F2707B">
        <w:t>)</w:t>
      </w:r>
      <w:r w:rsidR="00E71FC8">
        <w:t xml:space="preserve"> </w:t>
      </w:r>
      <w:proofErr w:type="gramStart"/>
      <w:r w:rsidR="00E71FC8">
        <w:t>(</w:t>
      </w:r>
      <w:r w:rsidR="006F654A">
        <w:t xml:space="preserve">See </w:t>
      </w:r>
      <w:r w:rsidR="00E71FC8">
        <w:fldChar w:fldCharType="begin"/>
      </w:r>
      <w:r w:rsidR="00E71FC8">
        <w:instrText xml:space="preserve"> REF _Ref324947562 \h </w:instrText>
      </w:r>
      <w:r w:rsidR="00E71FC8">
        <w:fldChar w:fldCharType="separate"/>
      </w:r>
      <w:r w:rsidR="0071544A">
        <w:t xml:space="preserve">Table </w:t>
      </w:r>
      <w:r w:rsidR="0071544A">
        <w:rPr>
          <w:noProof/>
        </w:rPr>
        <w:t>37</w:t>
      </w:r>
      <w:r w:rsidR="00E71FC8">
        <w:fldChar w:fldCharType="end"/>
      </w:r>
      <w:r w:rsidR="00E71FC8">
        <w:t>)</w:t>
      </w:r>
      <w:r w:rsidRPr="00F2707B">
        <w:t>.</w:t>
      </w:r>
      <w:proofErr w:type="gramEnd"/>
      <w:r w:rsidRPr="00F2707B">
        <w:t xml:space="preserve"> </w:t>
      </w:r>
      <w:r w:rsidR="00EC5FC0">
        <w:t xml:space="preserve"> </w:t>
      </w:r>
      <w:r w:rsidR="00785AD7">
        <w:t>Small and Baron</w:t>
      </w:r>
      <w:r w:rsidR="00EC5FC0">
        <w:t xml:space="preserve"> (2008)</w:t>
      </w:r>
      <w:r w:rsidR="006F1F19" w:rsidRPr="00F2707B">
        <w:t xml:space="preserve"> reported </w:t>
      </w:r>
      <w:r w:rsidR="005A3D99" w:rsidRPr="008F42F9">
        <w:t>four</w:t>
      </w:r>
      <w:r w:rsidR="006F1F19" w:rsidRPr="008F42F9">
        <w:t xml:space="preserve"> cases of sever</w:t>
      </w:r>
      <w:r w:rsidR="00673061" w:rsidRPr="008F42F9">
        <w:t>e</w:t>
      </w:r>
      <w:r w:rsidR="006F1F19" w:rsidRPr="008F42F9">
        <w:t xml:space="preserve"> pain or tenesmus </w:t>
      </w:r>
      <w:r w:rsidR="005A3D99" w:rsidRPr="008F42F9">
        <w:t xml:space="preserve">which </w:t>
      </w:r>
      <w:r w:rsidR="00EC5FC0">
        <w:t xml:space="preserve">have </w:t>
      </w:r>
      <w:r w:rsidR="006F1F19" w:rsidRPr="00325C69">
        <w:t xml:space="preserve">also </w:t>
      </w:r>
      <w:r w:rsidR="006F1F19" w:rsidRPr="007D5B7C">
        <w:t xml:space="preserve">been incorporated </w:t>
      </w:r>
      <w:r w:rsidR="00EC5FC0">
        <w:t>in</w:t>
      </w:r>
      <w:r w:rsidR="006F1F19" w:rsidRPr="007D5B7C">
        <w:t xml:space="preserve">to these results. </w:t>
      </w:r>
    </w:p>
    <w:p w:rsidR="00422B5B" w:rsidRPr="00DA0155" w:rsidRDefault="00EC5FC0" w:rsidP="00094568">
      <w:r>
        <w:t>Typically, the</w:t>
      </w:r>
      <w:r w:rsidR="00673061" w:rsidRPr="00EA2600">
        <w:t xml:space="preserve"> </w:t>
      </w:r>
      <w:r w:rsidR="00D74C12" w:rsidRPr="00EA2600">
        <w:t>pain experienced appeared to range from moderate to severe, and in some i</w:t>
      </w:r>
      <w:r w:rsidR="00D74C12" w:rsidRPr="00EC591E">
        <w:t>nstance</w:t>
      </w:r>
      <w:r w:rsidR="00673061" w:rsidRPr="00EC591E">
        <w:t>s</w:t>
      </w:r>
      <w:r w:rsidR="00D74C12" w:rsidRPr="00430AA8">
        <w:t xml:space="preserve"> required analgesia </w:t>
      </w:r>
      <w:r w:rsidR="00D74C12" w:rsidRPr="009672A9">
        <w:t xml:space="preserve">(Li et al 2010). </w:t>
      </w:r>
      <w:r w:rsidR="00A82A6F" w:rsidRPr="009672A9">
        <w:t>P</w:t>
      </w:r>
      <w:r w:rsidR="00D74C12" w:rsidRPr="00584C29">
        <w:t xml:space="preserve">ain associated with the procedure resolved within 30 days (Shrivastava et al 2008). </w:t>
      </w:r>
    </w:p>
    <w:p w:rsidR="00CD727A" w:rsidRPr="0072092E" w:rsidRDefault="00E71FC8" w:rsidP="00E71FC8">
      <w:pPr>
        <w:pStyle w:val="Caption"/>
      </w:pPr>
      <w:bookmarkStart w:id="180" w:name="_Ref324947562"/>
      <w:bookmarkStart w:id="181" w:name="_Toc327522081"/>
      <w:r>
        <w:lastRenderedPageBreak/>
        <w:t xml:space="preserve">Table </w:t>
      </w:r>
      <w:fldSimple w:instr=" SEQ Table \* ARABIC ">
        <w:r w:rsidR="0071544A">
          <w:rPr>
            <w:noProof/>
          </w:rPr>
          <w:t>37</w:t>
        </w:r>
      </w:fldSimple>
      <w:bookmarkEnd w:id="180"/>
      <w:r w:rsidR="00422B5B" w:rsidRPr="00361416">
        <w:tab/>
      </w:r>
      <w:r w:rsidR="00D14AC6" w:rsidRPr="00361416">
        <w:t>S</w:t>
      </w:r>
      <w:r w:rsidR="00D74C12" w:rsidRPr="0086082D">
        <w:t>ummary of pain (and/or discomfort) reported by included primary studies</w:t>
      </w:r>
      <w:bookmarkEnd w:id="181"/>
    </w:p>
    <w:tbl>
      <w:tblPr>
        <w:tblW w:w="7423" w:type="dxa"/>
        <w:tblInd w:w="720" w:type="dxa"/>
        <w:tblBorders>
          <w:top w:val="single" w:sz="12" w:space="0" w:color="auto"/>
        </w:tblBorders>
        <w:tblLook w:val="04A0" w:firstRow="1" w:lastRow="0" w:firstColumn="1" w:lastColumn="0" w:noHBand="0" w:noVBand="1"/>
      </w:tblPr>
      <w:tblGrid>
        <w:gridCol w:w="1850"/>
        <w:gridCol w:w="1043"/>
        <w:gridCol w:w="470"/>
        <w:gridCol w:w="1486"/>
        <w:gridCol w:w="2574"/>
      </w:tblGrid>
      <w:tr w:rsidR="00831526" w:rsidRPr="00965DBA" w:rsidTr="000D3EF2">
        <w:trPr>
          <w:trHeight w:val="288"/>
        </w:trPr>
        <w:tc>
          <w:tcPr>
            <w:tcW w:w="1850" w:type="dxa"/>
            <w:shd w:val="clear" w:color="auto" w:fill="auto"/>
            <w:noWrap/>
            <w:hideMark/>
          </w:tcPr>
          <w:p w:rsidR="00831526" w:rsidRPr="00965DBA" w:rsidRDefault="00831526" w:rsidP="00E71FC8">
            <w:pPr>
              <w:pStyle w:val="TableHeading"/>
            </w:pPr>
            <w:r w:rsidRPr="00965DBA">
              <w:t>Author</w:t>
            </w:r>
          </w:p>
        </w:tc>
        <w:tc>
          <w:tcPr>
            <w:tcW w:w="1043" w:type="dxa"/>
            <w:shd w:val="clear" w:color="auto" w:fill="auto"/>
            <w:noWrap/>
            <w:hideMark/>
          </w:tcPr>
          <w:p w:rsidR="00831526" w:rsidRPr="00965DBA" w:rsidRDefault="00831526" w:rsidP="0007443E">
            <w:pPr>
              <w:pStyle w:val="TableHeading"/>
              <w:jc w:val="right"/>
            </w:pPr>
            <w:r w:rsidRPr="00965DBA">
              <w:t xml:space="preserve">N </w:t>
            </w:r>
          </w:p>
        </w:tc>
        <w:tc>
          <w:tcPr>
            <w:tcW w:w="470" w:type="dxa"/>
            <w:shd w:val="clear" w:color="auto" w:fill="auto"/>
            <w:noWrap/>
            <w:hideMark/>
          </w:tcPr>
          <w:p w:rsidR="00831526" w:rsidRPr="00965DBA" w:rsidRDefault="00831526" w:rsidP="0007443E">
            <w:pPr>
              <w:pStyle w:val="TableHeading"/>
              <w:jc w:val="right"/>
            </w:pPr>
            <w:r w:rsidRPr="00965DBA">
              <w:t>n</w:t>
            </w:r>
          </w:p>
        </w:tc>
        <w:tc>
          <w:tcPr>
            <w:tcW w:w="1486" w:type="dxa"/>
            <w:shd w:val="clear" w:color="auto" w:fill="auto"/>
          </w:tcPr>
          <w:p w:rsidR="00831526" w:rsidRPr="00965DBA" w:rsidRDefault="00831526" w:rsidP="0007443E">
            <w:pPr>
              <w:pStyle w:val="TableHeading"/>
              <w:jc w:val="right"/>
            </w:pPr>
            <w:r w:rsidRPr="00965DBA">
              <w:t>Occurrence (%)</w:t>
            </w:r>
          </w:p>
        </w:tc>
        <w:tc>
          <w:tcPr>
            <w:tcW w:w="2574" w:type="dxa"/>
          </w:tcPr>
          <w:p w:rsidR="00831526" w:rsidRPr="00965DBA" w:rsidRDefault="000D63F9" w:rsidP="00E71FC8">
            <w:pPr>
              <w:pStyle w:val="TableHeading"/>
            </w:pPr>
            <w:r w:rsidRPr="00965DBA">
              <w:t>Details</w:t>
            </w:r>
          </w:p>
        </w:tc>
      </w:tr>
      <w:tr w:rsidR="0011795F" w:rsidRPr="00965DBA" w:rsidTr="000D3EF2">
        <w:trPr>
          <w:trHeight w:val="288"/>
        </w:trPr>
        <w:tc>
          <w:tcPr>
            <w:tcW w:w="1850" w:type="dxa"/>
            <w:shd w:val="clear" w:color="auto" w:fill="auto"/>
            <w:noWrap/>
          </w:tcPr>
          <w:p w:rsidR="0011795F" w:rsidRPr="000F3C8B" w:rsidRDefault="0011795F" w:rsidP="00E71FC8">
            <w:pPr>
              <w:pStyle w:val="TableText0"/>
              <w:rPr>
                <w:lang w:val="en-AU"/>
              </w:rPr>
            </w:pPr>
            <w:r w:rsidRPr="000F3C8B">
              <w:rPr>
                <w:lang w:val="en-AU"/>
              </w:rPr>
              <w:t xml:space="preserve">Keränen et al </w:t>
            </w:r>
            <w:r w:rsidR="00CF1356" w:rsidRPr="000F3C8B">
              <w:rPr>
                <w:lang w:val="en-AU"/>
              </w:rPr>
              <w:t>(</w:t>
            </w:r>
            <w:r w:rsidRPr="000F3C8B">
              <w:rPr>
                <w:lang w:val="en-AU"/>
              </w:rPr>
              <w:t>2011</w:t>
            </w:r>
            <w:r w:rsidR="00CF1356" w:rsidRPr="000F3C8B">
              <w:rPr>
                <w:lang w:val="en-AU"/>
              </w:rPr>
              <w:t>)</w:t>
            </w:r>
          </w:p>
        </w:tc>
        <w:tc>
          <w:tcPr>
            <w:tcW w:w="1043" w:type="dxa"/>
            <w:shd w:val="clear" w:color="auto" w:fill="auto"/>
            <w:noWrap/>
          </w:tcPr>
          <w:p w:rsidR="0011795F" w:rsidRPr="000F3C8B" w:rsidRDefault="0011795F" w:rsidP="0007443E">
            <w:pPr>
              <w:pStyle w:val="TableText0"/>
              <w:jc w:val="right"/>
              <w:rPr>
                <w:lang w:val="en-AU"/>
              </w:rPr>
            </w:pPr>
            <w:r w:rsidRPr="000F3C8B">
              <w:rPr>
                <w:lang w:val="en-AU"/>
              </w:rPr>
              <w:t>100</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1</w:t>
            </w:r>
          </w:p>
        </w:tc>
        <w:tc>
          <w:tcPr>
            <w:tcW w:w="1486" w:type="dxa"/>
            <w:shd w:val="clear" w:color="auto" w:fill="auto"/>
          </w:tcPr>
          <w:p w:rsidR="0011795F" w:rsidRPr="000F3C8B" w:rsidRDefault="003F1391" w:rsidP="0007443E">
            <w:pPr>
              <w:pStyle w:val="TableText0"/>
              <w:jc w:val="right"/>
              <w:rPr>
                <w:lang w:val="en-AU"/>
              </w:rPr>
            </w:pPr>
            <w:r w:rsidRPr="000F3C8B">
              <w:rPr>
                <w:lang w:val="en-AU"/>
              </w:rPr>
              <w:t>1.0</w:t>
            </w:r>
          </w:p>
        </w:tc>
        <w:tc>
          <w:tcPr>
            <w:tcW w:w="2574" w:type="dxa"/>
          </w:tcPr>
          <w:p w:rsidR="0011795F" w:rsidRPr="000F3C8B" w:rsidRDefault="00D463C8" w:rsidP="00E71FC8">
            <w:pPr>
              <w:pStyle w:val="TableText0"/>
              <w:rPr>
                <w:lang w:val="en-AU"/>
              </w:rPr>
            </w:pPr>
            <w:r w:rsidRPr="000F3C8B">
              <w:rPr>
                <w:lang w:val="en-AU"/>
              </w:rPr>
              <w:t>One late (&gt;7 days) p</w:t>
            </w:r>
            <w:r w:rsidR="0011795F" w:rsidRPr="000F3C8B">
              <w:rPr>
                <w:lang w:val="en-AU"/>
              </w:rPr>
              <w:t>ain (general)</w:t>
            </w:r>
          </w:p>
        </w:tc>
      </w:tr>
      <w:tr w:rsidR="006C6A0C" w:rsidRPr="00965DBA" w:rsidTr="000D3EF2">
        <w:trPr>
          <w:trHeight w:val="288"/>
        </w:trPr>
        <w:tc>
          <w:tcPr>
            <w:tcW w:w="1850" w:type="dxa"/>
            <w:shd w:val="clear" w:color="auto" w:fill="auto"/>
            <w:noWrap/>
          </w:tcPr>
          <w:p w:rsidR="006C6A0C" w:rsidRPr="000F3C8B" w:rsidRDefault="006C6A0C" w:rsidP="00E71FC8">
            <w:pPr>
              <w:pStyle w:val="TableText0"/>
              <w:rPr>
                <w:lang w:val="en-AU"/>
              </w:rPr>
            </w:pPr>
            <w:r w:rsidRPr="000F3C8B">
              <w:rPr>
                <w:lang w:val="en-AU"/>
              </w:rPr>
              <w:t xml:space="preserve">Meisner et al </w:t>
            </w:r>
            <w:r w:rsidR="00CF1356" w:rsidRPr="000F3C8B">
              <w:rPr>
                <w:lang w:val="en-AU"/>
              </w:rPr>
              <w:t>(</w:t>
            </w:r>
            <w:r w:rsidRPr="000F3C8B">
              <w:rPr>
                <w:lang w:val="en-AU"/>
              </w:rPr>
              <w:t>2011</w:t>
            </w:r>
            <w:r w:rsidR="00CF1356" w:rsidRPr="000F3C8B">
              <w:rPr>
                <w:lang w:val="en-AU"/>
              </w:rPr>
              <w:t>)</w:t>
            </w:r>
          </w:p>
        </w:tc>
        <w:tc>
          <w:tcPr>
            <w:tcW w:w="1043" w:type="dxa"/>
            <w:shd w:val="clear" w:color="auto" w:fill="auto"/>
            <w:noWrap/>
          </w:tcPr>
          <w:p w:rsidR="006C6A0C" w:rsidRPr="000F3C8B" w:rsidRDefault="006C6A0C" w:rsidP="0007443E">
            <w:pPr>
              <w:pStyle w:val="TableText0"/>
              <w:jc w:val="right"/>
              <w:rPr>
                <w:lang w:val="en-AU"/>
              </w:rPr>
            </w:pPr>
            <w:r w:rsidRPr="000F3C8B">
              <w:rPr>
                <w:lang w:val="en-AU"/>
              </w:rPr>
              <w:t>382</w:t>
            </w:r>
          </w:p>
        </w:tc>
        <w:tc>
          <w:tcPr>
            <w:tcW w:w="470" w:type="dxa"/>
            <w:shd w:val="clear" w:color="auto" w:fill="auto"/>
            <w:noWrap/>
          </w:tcPr>
          <w:p w:rsidR="006C6A0C" w:rsidRPr="000F3C8B" w:rsidRDefault="006C6A0C" w:rsidP="0007443E">
            <w:pPr>
              <w:pStyle w:val="TableText0"/>
              <w:jc w:val="right"/>
              <w:rPr>
                <w:lang w:val="en-AU"/>
              </w:rPr>
            </w:pPr>
            <w:r w:rsidRPr="000F3C8B">
              <w:rPr>
                <w:lang w:val="en-AU"/>
              </w:rPr>
              <w:t>7</w:t>
            </w:r>
          </w:p>
        </w:tc>
        <w:tc>
          <w:tcPr>
            <w:tcW w:w="1486" w:type="dxa"/>
            <w:shd w:val="clear" w:color="auto" w:fill="auto"/>
          </w:tcPr>
          <w:p w:rsidR="006C6A0C" w:rsidRPr="000F3C8B" w:rsidRDefault="003F1391" w:rsidP="0007443E">
            <w:pPr>
              <w:pStyle w:val="TableText0"/>
              <w:jc w:val="right"/>
              <w:rPr>
                <w:lang w:val="en-AU"/>
              </w:rPr>
            </w:pPr>
            <w:r w:rsidRPr="000F3C8B">
              <w:rPr>
                <w:lang w:val="en-AU"/>
              </w:rPr>
              <w:t>1.8</w:t>
            </w:r>
          </w:p>
        </w:tc>
        <w:tc>
          <w:tcPr>
            <w:tcW w:w="2574" w:type="dxa"/>
          </w:tcPr>
          <w:p w:rsidR="006C6A0C" w:rsidRPr="000F3C8B" w:rsidRDefault="006C6A0C" w:rsidP="00E71FC8">
            <w:pPr>
              <w:pStyle w:val="TableText0"/>
              <w:rPr>
                <w:lang w:val="en-AU"/>
              </w:rPr>
            </w:pPr>
          </w:p>
        </w:tc>
      </w:tr>
      <w:tr w:rsidR="0011795F" w:rsidRPr="00965DBA" w:rsidTr="000D3EF2">
        <w:trPr>
          <w:trHeight w:val="288"/>
        </w:trPr>
        <w:tc>
          <w:tcPr>
            <w:tcW w:w="1850" w:type="dxa"/>
            <w:shd w:val="clear" w:color="auto" w:fill="auto"/>
            <w:noWrap/>
          </w:tcPr>
          <w:p w:rsidR="0011795F" w:rsidRPr="000F3C8B" w:rsidRDefault="0011795F" w:rsidP="00E71FC8">
            <w:pPr>
              <w:pStyle w:val="TableText0"/>
              <w:rPr>
                <w:lang w:val="en-AU"/>
              </w:rPr>
            </w:pPr>
            <w:r w:rsidRPr="000F3C8B">
              <w:rPr>
                <w:lang w:val="en-AU"/>
              </w:rPr>
              <w:t xml:space="preserve">Yoon et al </w:t>
            </w:r>
            <w:r w:rsidR="00CF1356" w:rsidRPr="000F3C8B">
              <w:rPr>
                <w:lang w:val="en-AU"/>
              </w:rPr>
              <w:t>(</w:t>
            </w:r>
            <w:r w:rsidRPr="000F3C8B">
              <w:rPr>
                <w:lang w:val="en-AU"/>
              </w:rPr>
              <w:t>2011</w:t>
            </w:r>
            <w:r w:rsidR="00CF1356" w:rsidRPr="000F3C8B">
              <w:rPr>
                <w:lang w:val="en-AU"/>
              </w:rPr>
              <w:t>)</w:t>
            </w:r>
          </w:p>
        </w:tc>
        <w:tc>
          <w:tcPr>
            <w:tcW w:w="1043" w:type="dxa"/>
            <w:shd w:val="clear" w:color="auto" w:fill="auto"/>
            <w:noWrap/>
          </w:tcPr>
          <w:p w:rsidR="0011795F" w:rsidRPr="000F3C8B" w:rsidRDefault="0011795F" w:rsidP="0007443E">
            <w:pPr>
              <w:pStyle w:val="TableText0"/>
              <w:jc w:val="right"/>
              <w:rPr>
                <w:lang w:val="en-AU"/>
              </w:rPr>
            </w:pPr>
            <w:r w:rsidRPr="000F3C8B">
              <w:rPr>
                <w:lang w:val="en-AU"/>
              </w:rPr>
              <w:t>412</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2</w:t>
            </w:r>
          </w:p>
        </w:tc>
        <w:tc>
          <w:tcPr>
            <w:tcW w:w="1486" w:type="dxa"/>
            <w:shd w:val="clear" w:color="auto" w:fill="auto"/>
          </w:tcPr>
          <w:p w:rsidR="0011795F" w:rsidRPr="000F3C8B" w:rsidRDefault="003F1391" w:rsidP="0007443E">
            <w:pPr>
              <w:pStyle w:val="TableText0"/>
              <w:jc w:val="right"/>
              <w:rPr>
                <w:lang w:val="en-AU"/>
              </w:rPr>
            </w:pPr>
            <w:r w:rsidRPr="000F3C8B">
              <w:rPr>
                <w:lang w:val="en-AU"/>
              </w:rPr>
              <w:t>0.5</w:t>
            </w:r>
          </w:p>
        </w:tc>
        <w:tc>
          <w:tcPr>
            <w:tcW w:w="2574" w:type="dxa"/>
          </w:tcPr>
          <w:p w:rsidR="0011795F" w:rsidRPr="000F3C8B" w:rsidRDefault="0011795F" w:rsidP="00E71FC8">
            <w:pPr>
              <w:pStyle w:val="TableText0"/>
              <w:rPr>
                <w:lang w:val="en-AU"/>
              </w:rPr>
            </w:pPr>
            <w:r w:rsidRPr="000F3C8B">
              <w:rPr>
                <w:lang w:val="en-AU"/>
              </w:rPr>
              <w:t>Stent insertion</w:t>
            </w:r>
            <w:r w:rsidR="00CF1356" w:rsidRPr="000F3C8B">
              <w:rPr>
                <w:lang w:val="en-AU"/>
              </w:rPr>
              <w:t>-</w:t>
            </w:r>
            <w:r w:rsidRPr="000F3C8B">
              <w:rPr>
                <w:lang w:val="en-AU"/>
              </w:rPr>
              <w:t>related serious pain</w:t>
            </w:r>
          </w:p>
        </w:tc>
      </w:tr>
      <w:tr w:rsidR="0011795F" w:rsidRPr="00965DBA" w:rsidTr="000D3EF2">
        <w:trPr>
          <w:trHeight w:val="288"/>
        </w:trPr>
        <w:tc>
          <w:tcPr>
            <w:tcW w:w="1850" w:type="dxa"/>
            <w:shd w:val="clear" w:color="auto" w:fill="auto"/>
            <w:noWrap/>
          </w:tcPr>
          <w:p w:rsidR="0011795F" w:rsidRPr="000F3C8B" w:rsidRDefault="0011795F" w:rsidP="00E71FC8">
            <w:pPr>
              <w:pStyle w:val="TableText0"/>
              <w:rPr>
                <w:lang w:val="en-AU"/>
              </w:rPr>
            </w:pPr>
            <w:r w:rsidRPr="000F3C8B">
              <w:rPr>
                <w:lang w:val="en-AU"/>
              </w:rPr>
              <w:t xml:space="preserve">Young et al </w:t>
            </w:r>
            <w:r w:rsidR="00CF1356" w:rsidRPr="000F3C8B">
              <w:rPr>
                <w:lang w:val="en-AU"/>
              </w:rPr>
              <w:t>(</w:t>
            </w:r>
            <w:r w:rsidRPr="000F3C8B">
              <w:rPr>
                <w:lang w:val="en-AU"/>
              </w:rPr>
              <w:t>2011</w:t>
            </w:r>
            <w:r w:rsidR="00CF1356" w:rsidRPr="000F3C8B">
              <w:rPr>
                <w:lang w:val="en-AU"/>
              </w:rPr>
              <w:t>)</w:t>
            </w:r>
          </w:p>
        </w:tc>
        <w:tc>
          <w:tcPr>
            <w:tcW w:w="1043" w:type="dxa"/>
            <w:shd w:val="clear" w:color="auto" w:fill="auto"/>
            <w:noWrap/>
          </w:tcPr>
          <w:p w:rsidR="0011795F" w:rsidRPr="000F3C8B" w:rsidRDefault="0011795F" w:rsidP="0007443E">
            <w:pPr>
              <w:pStyle w:val="TableText0"/>
              <w:jc w:val="right"/>
              <w:rPr>
                <w:lang w:val="en-AU"/>
              </w:rPr>
            </w:pPr>
            <w:r w:rsidRPr="000F3C8B">
              <w:rPr>
                <w:lang w:val="en-AU"/>
              </w:rPr>
              <w:t>100</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5</w:t>
            </w:r>
          </w:p>
        </w:tc>
        <w:tc>
          <w:tcPr>
            <w:tcW w:w="1486" w:type="dxa"/>
            <w:shd w:val="clear" w:color="auto" w:fill="auto"/>
          </w:tcPr>
          <w:p w:rsidR="0011795F" w:rsidRPr="000F3C8B" w:rsidRDefault="003F1391" w:rsidP="0007443E">
            <w:pPr>
              <w:pStyle w:val="TableText0"/>
              <w:jc w:val="right"/>
              <w:rPr>
                <w:lang w:val="en-AU"/>
              </w:rPr>
            </w:pPr>
            <w:r w:rsidRPr="000F3C8B">
              <w:rPr>
                <w:lang w:val="en-AU"/>
              </w:rPr>
              <w:t>5.0</w:t>
            </w:r>
          </w:p>
        </w:tc>
        <w:tc>
          <w:tcPr>
            <w:tcW w:w="2574" w:type="dxa"/>
          </w:tcPr>
          <w:p w:rsidR="0011795F" w:rsidRPr="000F3C8B" w:rsidRDefault="0011795F" w:rsidP="00E71FC8">
            <w:pPr>
              <w:pStyle w:val="TableText0"/>
              <w:rPr>
                <w:lang w:val="en-AU"/>
              </w:rPr>
            </w:pPr>
            <w:r w:rsidRPr="000F3C8B">
              <w:rPr>
                <w:lang w:val="en-AU"/>
              </w:rPr>
              <w:t>Anal pain</w:t>
            </w:r>
          </w:p>
        </w:tc>
      </w:tr>
      <w:tr w:rsidR="0011795F" w:rsidRPr="00965DBA" w:rsidTr="000D3EF2">
        <w:trPr>
          <w:trHeight w:val="288"/>
        </w:trPr>
        <w:tc>
          <w:tcPr>
            <w:tcW w:w="1850" w:type="dxa"/>
            <w:shd w:val="clear" w:color="auto" w:fill="auto"/>
            <w:noWrap/>
          </w:tcPr>
          <w:p w:rsidR="0011795F" w:rsidRPr="000F3C8B" w:rsidRDefault="0011795F" w:rsidP="00E71FC8">
            <w:pPr>
              <w:pStyle w:val="TableText0"/>
              <w:rPr>
                <w:lang w:val="en-AU"/>
              </w:rPr>
            </w:pPr>
            <w:r w:rsidRPr="000F3C8B">
              <w:rPr>
                <w:lang w:val="en-AU"/>
              </w:rPr>
              <w:t xml:space="preserve">Kim et al </w:t>
            </w:r>
            <w:r w:rsidR="00CF1356" w:rsidRPr="000F3C8B">
              <w:rPr>
                <w:lang w:val="en-AU"/>
              </w:rPr>
              <w:t>(</w:t>
            </w:r>
            <w:r w:rsidRPr="000F3C8B">
              <w:rPr>
                <w:lang w:val="en-AU"/>
              </w:rPr>
              <w:t>2010</w:t>
            </w:r>
            <w:r w:rsidR="00CF1356" w:rsidRPr="000F3C8B">
              <w:rPr>
                <w:lang w:val="en-AU"/>
              </w:rPr>
              <w:t>)</w:t>
            </w:r>
          </w:p>
        </w:tc>
        <w:tc>
          <w:tcPr>
            <w:tcW w:w="1043" w:type="dxa"/>
            <w:shd w:val="clear" w:color="auto" w:fill="auto"/>
            <w:noWrap/>
          </w:tcPr>
          <w:p w:rsidR="0011795F" w:rsidRPr="000F3C8B" w:rsidRDefault="0011795F" w:rsidP="000D3EF2">
            <w:pPr>
              <w:pStyle w:val="TableText0"/>
              <w:jc w:val="right"/>
              <w:rPr>
                <w:lang w:val="en-AU"/>
              </w:rPr>
            </w:pPr>
            <w:r w:rsidRPr="000F3C8B">
              <w:rPr>
                <w:lang w:val="en-AU"/>
              </w:rPr>
              <w:t>110</w:t>
            </w:r>
            <w:r w:rsidR="000D3EF2" w:rsidRPr="000D3EF2">
              <w:rPr>
                <w:vertAlign w:val="superscript"/>
                <w:lang w:val="en-AU"/>
              </w:rPr>
              <w:t>a</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33</w:t>
            </w:r>
          </w:p>
        </w:tc>
        <w:tc>
          <w:tcPr>
            <w:tcW w:w="1486" w:type="dxa"/>
            <w:shd w:val="clear" w:color="auto" w:fill="auto"/>
          </w:tcPr>
          <w:p w:rsidR="0011795F" w:rsidRPr="000F3C8B" w:rsidRDefault="003F1391" w:rsidP="0007443E">
            <w:pPr>
              <w:pStyle w:val="TableText0"/>
              <w:jc w:val="right"/>
              <w:rPr>
                <w:lang w:val="en-AU"/>
              </w:rPr>
            </w:pPr>
            <w:r w:rsidRPr="000F3C8B">
              <w:rPr>
                <w:lang w:val="en-AU"/>
              </w:rPr>
              <w:t>30.0</w:t>
            </w:r>
          </w:p>
        </w:tc>
        <w:tc>
          <w:tcPr>
            <w:tcW w:w="2574" w:type="dxa"/>
          </w:tcPr>
          <w:p w:rsidR="0011795F" w:rsidRPr="000F3C8B" w:rsidRDefault="0011795F" w:rsidP="00E71FC8">
            <w:pPr>
              <w:pStyle w:val="TableText0"/>
              <w:rPr>
                <w:lang w:val="en-AU"/>
              </w:rPr>
            </w:pPr>
            <w:r w:rsidRPr="000F3C8B">
              <w:rPr>
                <w:lang w:val="en-AU"/>
              </w:rPr>
              <w:t>Abdominal or anal pain</w:t>
            </w:r>
          </w:p>
        </w:tc>
      </w:tr>
      <w:tr w:rsidR="0011795F" w:rsidRPr="00965DBA" w:rsidTr="000D3EF2">
        <w:trPr>
          <w:trHeight w:val="288"/>
        </w:trPr>
        <w:tc>
          <w:tcPr>
            <w:tcW w:w="1850" w:type="dxa"/>
            <w:shd w:val="clear" w:color="auto" w:fill="auto"/>
            <w:noWrap/>
            <w:hideMark/>
          </w:tcPr>
          <w:p w:rsidR="0011795F" w:rsidRPr="000F3C8B" w:rsidRDefault="0011795F" w:rsidP="00E71FC8">
            <w:pPr>
              <w:pStyle w:val="TableText0"/>
              <w:rPr>
                <w:lang w:val="en-AU"/>
              </w:rPr>
            </w:pPr>
            <w:r w:rsidRPr="000F3C8B">
              <w:rPr>
                <w:lang w:val="en-AU"/>
              </w:rPr>
              <w:t xml:space="preserve">Li et al </w:t>
            </w:r>
            <w:r w:rsidR="00CF1356" w:rsidRPr="000F3C8B">
              <w:rPr>
                <w:lang w:val="en-AU"/>
              </w:rPr>
              <w:t>(</w:t>
            </w:r>
            <w:r w:rsidRPr="000F3C8B">
              <w:rPr>
                <w:lang w:val="en-AU"/>
              </w:rPr>
              <w:t>2010</w:t>
            </w:r>
            <w:r w:rsidR="00CF1356" w:rsidRPr="000F3C8B">
              <w:rPr>
                <w:lang w:val="en-AU"/>
              </w:rPr>
              <w:t>)</w:t>
            </w:r>
          </w:p>
        </w:tc>
        <w:tc>
          <w:tcPr>
            <w:tcW w:w="1043" w:type="dxa"/>
            <w:shd w:val="clear" w:color="auto" w:fill="auto"/>
            <w:noWrap/>
            <w:hideMark/>
          </w:tcPr>
          <w:p w:rsidR="0011795F" w:rsidRPr="000F3C8B" w:rsidRDefault="0011795F" w:rsidP="0007443E">
            <w:pPr>
              <w:pStyle w:val="TableText0"/>
              <w:jc w:val="right"/>
              <w:rPr>
                <w:lang w:val="en-AU"/>
              </w:rPr>
            </w:pPr>
            <w:r w:rsidRPr="000F3C8B">
              <w:rPr>
                <w:lang w:val="en-AU"/>
              </w:rPr>
              <w:t>50</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2</w:t>
            </w:r>
          </w:p>
        </w:tc>
        <w:tc>
          <w:tcPr>
            <w:tcW w:w="1486" w:type="dxa"/>
            <w:shd w:val="clear" w:color="auto" w:fill="auto"/>
          </w:tcPr>
          <w:p w:rsidR="0011795F" w:rsidRPr="000F3C8B" w:rsidRDefault="003F1391" w:rsidP="0007443E">
            <w:pPr>
              <w:pStyle w:val="TableText0"/>
              <w:jc w:val="right"/>
              <w:rPr>
                <w:lang w:val="en-AU"/>
              </w:rPr>
            </w:pPr>
            <w:r w:rsidRPr="000F3C8B">
              <w:rPr>
                <w:lang w:val="en-AU"/>
              </w:rPr>
              <w:t>4.0</w:t>
            </w:r>
          </w:p>
        </w:tc>
        <w:tc>
          <w:tcPr>
            <w:tcW w:w="2574" w:type="dxa"/>
          </w:tcPr>
          <w:p w:rsidR="0011795F" w:rsidRPr="000F3C8B" w:rsidRDefault="00352D4A" w:rsidP="00E71FC8">
            <w:pPr>
              <w:pStyle w:val="TableText0"/>
              <w:rPr>
                <w:lang w:val="en-AU"/>
              </w:rPr>
            </w:pPr>
            <w:r w:rsidRPr="000F3C8B">
              <w:rPr>
                <w:lang w:val="en-AU"/>
              </w:rPr>
              <w:t>Moderate anal pain requiring analgesia</w:t>
            </w:r>
          </w:p>
        </w:tc>
      </w:tr>
      <w:tr w:rsidR="0011795F" w:rsidRPr="00965DBA" w:rsidTr="000D3EF2">
        <w:trPr>
          <w:trHeight w:val="288"/>
        </w:trPr>
        <w:tc>
          <w:tcPr>
            <w:tcW w:w="1850" w:type="dxa"/>
            <w:shd w:val="clear" w:color="auto" w:fill="auto"/>
            <w:noWrap/>
            <w:hideMark/>
          </w:tcPr>
          <w:p w:rsidR="0011795F" w:rsidRPr="000F3C8B" w:rsidRDefault="0011795F" w:rsidP="00E71FC8">
            <w:pPr>
              <w:pStyle w:val="TableText0"/>
              <w:rPr>
                <w:lang w:val="en-AU"/>
              </w:rPr>
            </w:pPr>
            <w:r w:rsidRPr="000F3C8B">
              <w:rPr>
                <w:lang w:val="en-AU"/>
              </w:rPr>
              <w:t xml:space="preserve">Kim et al </w:t>
            </w:r>
            <w:r w:rsidR="00CF1356" w:rsidRPr="000F3C8B">
              <w:rPr>
                <w:lang w:val="en-AU"/>
              </w:rPr>
              <w:t>(</w:t>
            </w:r>
            <w:r w:rsidRPr="000F3C8B">
              <w:rPr>
                <w:lang w:val="en-AU"/>
              </w:rPr>
              <w:t>2009</w:t>
            </w:r>
            <w:r w:rsidR="00CF1356" w:rsidRPr="000F3C8B">
              <w:rPr>
                <w:lang w:val="en-AU"/>
              </w:rPr>
              <w:t>)</w:t>
            </w:r>
          </w:p>
        </w:tc>
        <w:tc>
          <w:tcPr>
            <w:tcW w:w="1043" w:type="dxa"/>
            <w:shd w:val="clear" w:color="auto" w:fill="auto"/>
            <w:noWrap/>
            <w:hideMark/>
          </w:tcPr>
          <w:p w:rsidR="0011795F" w:rsidRPr="000F3C8B" w:rsidRDefault="0011795F" w:rsidP="0007443E">
            <w:pPr>
              <w:pStyle w:val="TableText0"/>
              <w:jc w:val="right"/>
              <w:rPr>
                <w:lang w:val="en-AU"/>
              </w:rPr>
            </w:pPr>
            <w:r w:rsidRPr="000F3C8B">
              <w:rPr>
                <w:lang w:val="en-AU"/>
              </w:rPr>
              <w:t>116</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4</w:t>
            </w:r>
          </w:p>
        </w:tc>
        <w:tc>
          <w:tcPr>
            <w:tcW w:w="1486" w:type="dxa"/>
            <w:shd w:val="clear" w:color="auto" w:fill="auto"/>
          </w:tcPr>
          <w:p w:rsidR="0011795F" w:rsidRPr="000F3C8B" w:rsidRDefault="003F1391" w:rsidP="0007443E">
            <w:pPr>
              <w:pStyle w:val="TableText0"/>
              <w:jc w:val="right"/>
              <w:rPr>
                <w:lang w:val="en-AU"/>
              </w:rPr>
            </w:pPr>
            <w:r w:rsidRPr="000F3C8B">
              <w:rPr>
                <w:lang w:val="en-AU"/>
              </w:rPr>
              <w:t>3.4</w:t>
            </w:r>
          </w:p>
        </w:tc>
        <w:tc>
          <w:tcPr>
            <w:tcW w:w="2574" w:type="dxa"/>
          </w:tcPr>
          <w:p w:rsidR="0011795F" w:rsidRPr="000F3C8B" w:rsidRDefault="0011795F" w:rsidP="00E71FC8">
            <w:pPr>
              <w:pStyle w:val="TableText0"/>
              <w:rPr>
                <w:lang w:val="en-AU"/>
              </w:rPr>
            </w:pPr>
            <w:r w:rsidRPr="000F3C8B">
              <w:rPr>
                <w:lang w:val="en-AU"/>
              </w:rPr>
              <w:t>Rectal pain</w:t>
            </w:r>
          </w:p>
        </w:tc>
      </w:tr>
      <w:tr w:rsidR="0011795F" w:rsidRPr="00965DBA" w:rsidTr="000D3EF2">
        <w:trPr>
          <w:trHeight w:val="300"/>
        </w:trPr>
        <w:tc>
          <w:tcPr>
            <w:tcW w:w="1850" w:type="dxa"/>
            <w:shd w:val="clear" w:color="auto" w:fill="auto"/>
            <w:noWrap/>
          </w:tcPr>
          <w:p w:rsidR="0011795F" w:rsidRPr="000F3C8B" w:rsidRDefault="0011795F" w:rsidP="00E71FC8">
            <w:pPr>
              <w:pStyle w:val="TableText0"/>
              <w:rPr>
                <w:lang w:val="en-AU"/>
              </w:rPr>
            </w:pPr>
            <w:r w:rsidRPr="000F3C8B">
              <w:rPr>
                <w:lang w:val="en-AU"/>
              </w:rPr>
              <w:t xml:space="preserve">Demarquay et al </w:t>
            </w:r>
            <w:r w:rsidR="00CF1356" w:rsidRPr="000F3C8B">
              <w:rPr>
                <w:lang w:val="en-AU"/>
              </w:rPr>
              <w:t>(</w:t>
            </w:r>
            <w:r w:rsidRPr="000F3C8B">
              <w:rPr>
                <w:lang w:val="en-AU"/>
              </w:rPr>
              <w:t>2008</w:t>
            </w:r>
            <w:r w:rsidR="00CF1356" w:rsidRPr="000F3C8B">
              <w:rPr>
                <w:lang w:val="en-AU"/>
              </w:rPr>
              <w:t>)</w:t>
            </w:r>
          </w:p>
        </w:tc>
        <w:tc>
          <w:tcPr>
            <w:tcW w:w="1043" w:type="dxa"/>
            <w:shd w:val="clear" w:color="auto" w:fill="auto"/>
            <w:noWrap/>
          </w:tcPr>
          <w:p w:rsidR="0011795F" w:rsidRPr="000F3C8B" w:rsidRDefault="0011795F" w:rsidP="0007443E">
            <w:pPr>
              <w:pStyle w:val="TableText0"/>
              <w:jc w:val="right"/>
              <w:rPr>
                <w:lang w:val="en-AU"/>
              </w:rPr>
            </w:pPr>
            <w:r w:rsidRPr="000F3C8B">
              <w:rPr>
                <w:lang w:val="en-AU"/>
              </w:rPr>
              <w:t>204</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1</w:t>
            </w:r>
          </w:p>
        </w:tc>
        <w:tc>
          <w:tcPr>
            <w:tcW w:w="1486" w:type="dxa"/>
            <w:shd w:val="clear" w:color="auto" w:fill="auto"/>
          </w:tcPr>
          <w:p w:rsidR="0011795F" w:rsidRPr="000F3C8B" w:rsidRDefault="008A6B53" w:rsidP="0007443E">
            <w:pPr>
              <w:pStyle w:val="TableText0"/>
              <w:jc w:val="right"/>
              <w:rPr>
                <w:lang w:val="en-AU"/>
              </w:rPr>
            </w:pPr>
            <w:r w:rsidRPr="000F3C8B">
              <w:rPr>
                <w:lang w:val="en-AU"/>
              </w:rPr>
              <w:t>0</w:t>
            </w:r>
            <w:r w:rsidR="003F1391" w:rsidRPr="000F3C8B">
              <w:rPr>
                <w:lang w:val="en-AU"/>
              </w:rPr>
              <w:t>.5</w:t>
            </w:r>
          </w:p>
        </w:tc>
        <w:tc>
          <w:tcPr>
            <w:tcW w:w="2574" w:type="dxa"/>
          </w:tcPr>
          <w:p w:rsidR="0011795F" w:rsidRPr="000F3C8B" w:rsidRDefault="003A118C" w:rsidP="00E71FC8">
            <w:pPr>
              <w:pStyle w:val="TableText0"/>
              <w:rPr>
                <w:lang w:val="en-AU"/>
              </w:rPr>
            </w:pPr>
            <w:r w:rsidRPr="000F3C8B">
              <w:rPr>
                <w:lang w:val="en-AU"/>
              </w:rPr>
              <w:t>Severe abdominal pain</w:t>
            </w:r>
          </w:p>
        </w:tc>
      </w:tr>
      <w:tr w:rsidR="0011795F" w:rsidRPr="00965DBA" w:rsidTr="000D3EF2">
        <w:trPr>
          <w:trHeight w:val="300"/>
        </w:trPr>
        <w:tc>
          <w:tcPr>
            <w:tcW w:w="1850" w:type="dxa"/>
            <w:shd w:val="clear" w:color="auto" w:fill="auto"/>
            <w:noWrap/>
          </w:tcPr>
          <w:p w:rsidR="0011795F" w:rsidRPr="000F3C8B" w:rsidRDefault="0011795F" w:rsidP="00E71FC8">
            <w:pPr>
              <w:pStyle w:val="TableText0"/>
              <w:rPr>
                <w:lang w:val="en-AU"/>
              </w:rPr>
            </w:pPr>
            <w:r w:rsidRPr="000F3C8B">
              <w:rPr>
                <w:lang w:val="en-AU"/>
              </w:rPr>
              <w:t xml:space="preserve">Shrivastava et al </w:t>
            </w:r>
            <w:r w:rsidR="00CF1356" w:rsidRPr="000F3C8B">
              <w:rPr>
                <w:lang w:val="en-AU"/>
              </w:rPr>
              <w:t>(</w:t>
            </w:r>
            <w:r w:rsidRPr="000F3C8B">
              <w:rPr>
                <w:lang w:val="en-AU"/>
              </w:rPr>
              <w:t>2008</w:t>
            </w:r>
            <w:r w:rsidR="00CF1356" w:rsidRPr="000F3C8B">
              <w:rPr>
                <w:lang w:val="en-AU"/>
              </w:rPr>
              <w:t>)</w:t>
            </w:r>
          </w:p>
        </w:tc>
        <w:tc>
          <w:tcPr>
            <w:tcW w:w="1043" w:type="dxa"/>
            <w:shd w:val="clear" w:color="auto" w:fill="auto"/>
            <w:noWrap/>
          </w:tcPr>
          <w:p w:rsidR="0011795F" w:rsidRPr="000F3C8B" w:rsidRDefault="0011795F" w:rsidP="0007443E">
            <w:pPr>
              <w:pStyle w:val="TableText0"/>
              <w:jc w:val="right"/>
              <w:rPr>
                <w:lang w:val="en-AU"/>
              </w:rPr>
            </w:pPr>
            <w:r w:rsidRPr="000F3C8B">
              <w:rPr>
                <w:lang w:val="en-AU"/>
              </w:rPr>
              <w:t>81</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7</w:t>
            </w:r>
          </w:p>
        </w:tc>
        <w:tc>
          <w:tcPr>
            <w:tcW w:w="1486" w:type="dxa"/>
            <w:shd w:val="clear" w:color="auto" w:fill="auto"/>
          </w:tcPr>
          <w:p w:rsidR="0011795F" w:rsidRPr="000F3C8B" w:rsidRDefault="003F1391" w:rsidP="0007443E">
            <w:pPr>
              <w:pStyle w:val="TableText0"/>
              <w:jc w:val="right"/>
              <w:rPr>
                <w:lang w:val="en-AU"/>
              </w:rPr>
            </w:pPr>
            <w:r w:rsidRPr="000F3C8B">
              <w:rPr>
                <w:lang w:val="en-AU"/>
              </w:rPr>
              <w:t>8.6</w:t>
            </w:r>
          </w:p>
        </w:tc>
        <w:tc>
          <w:tcPr>
            <w:tcW w:w="2574" w:type="dxa"/>
          </w:tcPr>
          <w:p w:rsidR="0011795F" w:rsidRPr="000F3C8B" w:rsidRDefault="00EC5FC0" w:rsidP="00E71FC8">
            <w:pPr>
              <w:pStyle w:val="TableText0"/>
              <w:rPr>
                <w:lang w:val="en-AU"/>
              </w:rPr>
            </w:pPr>
            <w:r w:rsidRPr="000F3C8B">
              <w:rPr>
                <w:lang w:val="en-AU"/>
              </w:rPr>
              <w:t>Post</w:t>
            </w:r>
            <w:r w:rsidR="0011795F" w:rsidRPr="000F3C8B">
              <w:rPr>
                <w:lang w:val="en-AU"/>
              </w:rPr>
              <w:t>-procedural increased pain</w:t>
            </w:r>
            <w:r w:rsidR="00111342" w:rsidRPr="000F3C8B">
              <w:rPr>
                <w:lang w:val="en-AU"/>
              </w:rPr>
              <w:t xml:space="preserve"> (all occurred within 30 days)</w:t>
            </w:r>
          </w:p>
        </w:tc>
      </w:tr>
      <w:tr w:rsidR="00BB5F6E" w:rsidRPr="00965DBA" w:rsidTr="000D3EF2">
        <w:trPr>
          <w:trHeight w:val="300"/>
        </w:trPr>
        <w:tc>
          <w:tcPr>
            <w:tcW w:w="1850" w:type="dxa"/>
            <w:shd w:val="clear" w:color="auto" w:fill="auto"/>
            <w:noWrap/>
          </w:tcPr>
          <w:p w:rsidR="00BB5F6E" w:rsidRPr="000F3C8B" w:rsidRDefault="00785AD7" w:rsidP="00E71FC8">
            <w:pPr>
              <w:pStyle w:val="TableText0"/>
              <w:rPr>
                <w:lang w:val="en-AU"/>
              </w:rPr>
            </w:pPr>
            <w:r w:rsidRPr="000F3C8B">
              <w:rPr>
                <w:lang w:val="en-AU"/>
              </w:rPr>
              <w:t>Small and Baron</w:t>
            </w:r>
            <w:r w:rsidR="006F1F19" w:rsidRPr="000F3C8B">
              <w:rPr>
                <w:lang w:val="en-AU"/>
              </w:rPr>
              <w:t xml:space="preserve"> </w:t>
            </w:r>
            <w:r w:rsidR="00CF1356" w:rsidRPr="000F3C8B">
              <w:rPr>
                <w:lang w:val="en-AU"/>
              </w:rPr>
              <w:t>(</w:t>
            </w:r>
            <w:r w:rsidR="006F1F19" w:rsidRPr="000F3C8B">
              <w:rPr>
                <w:lang w:val="en-AU"/>
              </w:rPr>
              <w:t>2008</w:t>
            </w:r>
            <w:r w:rsidR="00CF1356" w:rsidRPr="000F3C8B">
              <w:rPr>
                <w:lang w:val="en-AU"/>
              </w:rPr>
              <w:t>)</w:t>
            </w:r>
          </w:p>
        </w:tc>
        <w:tc>
          <w:tcPr>
            <w:tcW w:w="1043" w:type="dxa"/>
            <w:shd w:val="clear" w:color="auto" w:fill="auto"/>
            <w:noWrap/>
          </w:tcPr>
          <w:p w:rsidR="00BB5F6E" w:rsidRPr="000F3C8B" w:rsidRDefault="006F1F19" w:rsidP="0007443E">
            <w:pPr>
              <w:pStyle w:val="TableText0"/>
              <w:jc w:val="right"/>
              <w:rPr>
                <w:lang w:val="en-AU"/>
              </w:rPr>
            </w:pPr>
            <w:r w:rsidRPr="000F3C8B">
              <w:rPr>
                <w:lang w:val="en-AU"/>
              </w:rPr>
              <w:t>85</w:t>
            </w:r>
          </w:p>
        </w:tc>
        <w:tc>
          <w:tcPr>
            <w:tcW w:w="470" w:type="dxa"/>
            <w:shd w:val="clear" w:color="auto" w:fill="auto"/>
            <w:noWrap/>
          </w:tcPr>
          <w:p w:rsidR="00BB5F6E" w:rsidRPr="000F3C8B" w:rsidRDefault="006F1F19" w:rsidP="0007443E">
            <w:pPr>
              <w:pStyle w:val="TableText0"/>
              <w:jc w:val="right"/>
              <w:rPr>
                <w:lang w:val="en-AU"/>
              </w:rPr>
            </w:pPr>
            <w:r w:rsidRPr="000F3C8B">
              <w:rPr>
                <w:lang w:val="en-AU"/>
              </w:rPr>
              <w:t>4</w:t>
            </w:r>
          </w:p>
        </w:tc>
        <w:tc>
          <w:tcPr>
            <w:tcW w:w="1486" w:type="dxa"/>
            <w:shd w:val="clear" w:color="auto" w:fill="auto"/>
          </w:tcPr>
          <w:p w:rsidR="00BB5F6E" w:rsidRPr="000F3C8B" w:rsidRDefault="003F1391" w:rsidP="0007443E">
            <w:pPr>
              <w:pStyle w:val="TableText0"/>
              <w:jc w:val="right"/>
              <w:rPr>
                <w:lang w:val="en-AU"/>
              </w:rPr>
            </w:pPr>
            <w:r w:rsidRPr="000F3C8B">
              <w:rPr>
                <w:lang w:val="en-AU"/>
              </w:rPr>
              <w:t>4.7</w:t>
            </w:r>
          </w:p>
        </w:tc>
        <w:tc>
          <w:tcPr>
            <w:tcW w:w="2574" w:type="dxa"/>
          </w:tcPr>
          <w:p w:rsidR="00BB5F6E" w:rsidRPr="000F3C8B" w:rsidRDefault="00EC5FC0" w:rsidP="00E71FC8">
            <w:pPr>
              <w:pStyle w:val="TableText0"/>
              <w:rPr>
                <w:lang w:val="en-AU"/>
              </w:rPr>
            </w:pPr>
            <w:r w:rsidRPr="000F3C8B">
              <w:rPr>
                <w:lang w:val="en-AU"/>
              </w:rPr>
              <w:t xml:space="preserve">Tenesmus </w:t>
            </w:r>
            <w:r w:rsidR="006F1F19" w:rsidRPr="000F3C8B">
              <w:rPr>
                <w:lang w:val="en-AU"/>
              </w:rPr>
              <w:t>or sever</w:t>
            </w:r>
            <w:r w:rsidR="00CF1356" w:rsidRPr="000F3C8B">
              <w:rPr>
                <w:lang w:val="en-AU"/>
              </w:rPr>
              <w:t>e</w:t>
            </w:r>
            <w:r w:rsidR="006F1F19" w:rsidRPr="000F3C8B">
              <w:rPr>
                <w:lang w:val="en-AU"/>
              </w:rPr>
              <w:t xml:space="preserve"> pain</w:t>
            </w:r>
          </w:p>
        </w:tc>
      </w:tr>
      <w:tr w:rsidR="0011795F" w:rsidRPr="00965DBA" w:rsidTr="000D3EF2">
        <w:trPr>
          <w:trHeight w:val="300"/>
        </w:trPr>
        <w:tc>
          <w:tcPr>
            <w:tcW w:w="1850" w:type="dxa"/>
            <w:shd w:val="clear" w:color="auto" w:fill="auto"/>
            <w:noWrap/>
          </w:tcPr>
          <w:p w:rsidR="0011795F" w:rsidRPr="000F3C8B" w:rsidRDefault="0011795F" w:rsidP="00E71FC8">
            <w:pPr>
              <w:pStyle w:val="TableText0"/>
              <w:rPr>
                <w:lang w:val="en-AU"/>
              </w:rPr>
            </w:pPr>
            <w:r w:rsidRPr="000F3C8B">
              <w:rPr>
                <w:lang w:val="en-AU"/>
              </w:rPr>
              <w:t xml:space="preserve">Mainar et al </w:t>
            </w:r>
            <w:r w:rsidR="00CF1356" w:rsidRPr="000F3C8B">
              <w:rPr>
                <w:lang w:val="en-AU"/>
              </w:rPr>
              <w:t>(</w:t>
            </w:r>
            <w:r w:rsidRPr="000F3C8B">
              <w:rPr>
                <w:lang w:val="en-AU"/>
              </w:rPr>
              <w:t>1999</w:t>
            </w:r>
            <w:r w:rsidR="00CF1356" w:rsidRPr="000F3C8B">
              <w:rPr>
                <w:lang w:val="en-AU"/>
              </w:rPr>
              <w:t>)</w:t>
            </w:r>
          </w:p>
        </w:tc>
        <w:tc>
          <w:tcPr>
            <w:tcW w:w="1043" w:type="dxa"/>
            <w:shd w:val="clear" w:color="auto" w:fill="auto"/>
            <w:noWrap/>
          </w:tcPr>
          <w:p w:rsidR="0011795F" w:rsidRPr="000F3C8B" w:rsidRDefault="0011795F" w:rsidP="0007443E">
            <w:pPr>
              <w:pStyle w:val="TableText0"/>
              <w:jc w:val="right"/>
              <w:rPr>
                <w:lang w:val="en-AU"/>
              </w:rPr>
            </w:pPr>
            <w:r w:rsidRPr="000F3C8B">
              <w:rPr>
                <w:lang w:val="en-AU"/>
              </w:rPr>
              <w:t>71</w:t>
            </w:r>
          </w:p>
        </w:tc>
        <w:tc>
          <w:tcPr>
            <w:tcW w:w="470" w:type="dxa"/>
            <w:shd w:val="clear" w:color="auto" w:fill="auto"/>
            <w:noWrap/>
          </w:tcPr>
          <w:p w:rsidR="0011795F" w:rsidRPr="000F3C8B" w:rsidRDefault="0011795F" w:rsidP="0007443E">
            <w:pPr>
              <w:pStyle w:val="TableText0"/>
              <w:jc w:val="right"/>
              <w:rPr>
                <w:lang w:val="en-AU"/>
              </w:rPr>
            </w:pPr>
            <w:r w:rsidRPr="000F3C8B">
              <w:rPr>
                <w:lang w:val="en-AU"/>
              </w:rPr>
              <w:t>4</w:t>
            </w:r>
          </w:p>
        </w:tc>
        <w:tc>
          <w:tcPr>
            <w:tcW w:w="1486" w:type="dxa"/>
            <w:shd w:val="clear" w:color="auto" w:fill="auto"/>
          </w:tcPr>
          <w:p w:rsidR="0011795F" w:rsidRPr="000F3C8B" w:rsidRDefault="008A6B53" w:rsidP="0007443E">
            <w:pPr>
              <w:pStyle w:val="TableText0"/>
              <w:jc w:val="right"/>
              <w:rPr>
                <w:lang w:val="en-AU"/>
              </w:rPr>
            </w:pPr>
            <w:r w:rsidRPr="000F3C8B">
              <w:rPr>
                <w:lang w:val="en-AU"/>
              </w:rPr>
              <w:t>5.6</w:t>
            </w:r>
          </w:p>
        </w:tc>
        <w:tc>
          <w:tcPr>
            <w:tcW w:w="2574" w:type="dxa"/>
          </w:tcPr>
          <w:p w:rsidR="0011795F" w:rsidRPr="000F3C8B" w:rsidRDefault="00C83BE8" w:rsidP="00E71FC8">
            <w:pPr>
              <w:pStyle w:val="TableText0"/>
              <w:rPr>
                <w:lang w:val="en-AU"/>
              </w:rPr>
            </w:pPr>
            <w:r w:rsidRPr="000F3C8B">
              <w:rPr>
                <w:lang w:val="en-AU"/>
              </w:rPr>
              <w:t>Rectal pain</w:t>
            </w:r>
          </w:p>
        </w:tc>
      </w:tr>
      <w:tr w:rsidR="0011795F" w:rsidRPr="00965DBA" w:rsidTr="000D3EF2">
        <w:trPr>
          <w:trHeight w:val="317"/>
        </w:trPr>
        <w:tc>
          <w:tcPr>
            <w:tcW w:w="1850" w:type="dxa"/>
            <w:tcBorders>
              <w:bottom w:val="single" w:sz="12" w:space="0" w:color="auto"/>
            </w:tcBorders>
            <w:shd w:val="clear" w:color="auto" w:fill="auto"/>
            <w:noWrap/>
          </w:tcPr>
          <w:p w:rsidR="0011795F" w:rsidRPr="000F3C8B" w:rsidRDefault="0011795F" w:rsidP="00E71FC8">
            <w:pPr>
              <w:pStyle w:val="TableText0"/>
              <w:rPr>
                <w:b/>
                <w:lang w:val="en-AU"/>
              </w:rPr>
            </w:pPr>
            <w:r w:rsidRPr="000F3C8B">
              <w:rPr>
                <w:b/>
                <w:lang w:val="en-AU"/>
              </w:rPr>
              <w:t>T</w:t>
            </w:r>
            <w:r w:rsidR="00AA75A4" w:rsidRPr="000F3C8B">
              <w:rPr>
                <w:b/>
                <w:lang w:val="en-AU"/>
              </w:rPr>
              <w:t>OTAL</w:t>
            </w:r>
            <w:r w:rsidR="00242BAC">
              <w:rPr>
                <w:b/>
                <w:lang w:val="en-AU"/>
              </w:rPr>
              <w:t xml:space="preserve"> </w:t>
            </w:r>
            <w:r w:rsidRPr="000F3C8B">
              <w:rPr>
                <w:b/>
                <w:lang w:val="en-AU"/>
              </w:rPr>
              <w:t>(</w:t>
            </w:r>
            <w:r w:rsidR="006F1F19" w:rsidRPr="000F3C8B">
              <w:rPr>
                <w:b/>
                <w:lang w:val="en-AU"/>
              </w:rPr>
              <w:t>1</w:t>
            </w:r>
            <w:r w:rsidR="00F4058B" w:rsidRPr="000F3C8B">
              <w:rPr>
                <w:b/>
                <w:lang w:val="en-AU"/>
              </w:rPr>
              <w:t>1</w:t>
            </w:r>
            <w:r w:rsidRPr="000F3C8B">
              <w:rPr>
                <w:b/>
                <w:lang w:val="en-AU"/>
              </w:rPr>
              <w:t xml:space="preserve"> studies)</w:t>
            </w:r>
          </w:p>
        </w:tc>
        <w:tc>
          <w:tcPr>
            <w:tcW w:w="1043" w:type="dxa"/>
            <w:tcBorders>
              <w:bottom w:val="single" w:sz="12" w:space="0" w:color="auto"/>
            </w:tcBorders>
            <w:shd w:val="clear" w:color="auto" w:fill="auto"/>
            <w:noWrap/>
          </w:tcPr>
          <w:p w:rsidR="0011795F" w:rsidRPr="000F3C8B" w:rsidRDefault="008A6B53" w:rsidP="0007443E">
            <w:pPr>
              <w:pStyle w:val="TableText0"/>
              <w:jc w:val="right"/>
              <w:rPr>
                <w:b/>
                <w:lang w:val="en-AU"/>
              </w:rPr>
            </w:pPr>
            <w:r w:rsidRPr="000F3C8B">
              <w:rPr>
                <w:b/>
                <w:lang w:val="en-AU"/>
              </w:rPr>
              <w:t>1</w:t>
            </w:r>
            <w:r w:rsidR="00C87601" w:rsidRPr="000F3C8B">
              <w:rPr>
                <w:b/>
                <w:lang w:val="en-AU"/>
              </w:rPr>
              <w:t>711</w:t>
            </w:r>
          </w:p>
        </w:tc>
        <w:tc>
          <w:tcPr>
            <w:tcW w:w="470" w:type="dxa"/>
            <w:tcBorders>
              <w:bottom w:val="single" w:sz="12" w:space="0" w:color="auto"/>
            </w:tcBorders>
            <w:shd w:val="clear" w:color="auto" w:fill="auto"/>
            <w:noWrap/>
          </w:tcPr>
          <w:p w:rsidR="0011795F" w:rsidRPr="000F3C8B" w:rsidRDefault="008A6B53" w:rsidP="0007443E">
            <w:pPr>
              <w:pStyle w:val="TableText0"/>
              <w:jc w:val="right"/>
              <w:rPr>
                <w:b/>
                <w:lang w:val="en-AU"/>
              </w:rPr>
            </w:pPr>
            <w:r w:rsidRPr="000F3C8B">
              <w:rPr>
                <w:b/>
                <w:lang w:val="en-AU"/>
              </w:rPr>
              <w:t>7</w:t>
            </w:r>
            <w:r w:rsidR="00C87601" w:rsidRPr="000F3C8B">
              <w:rPr>
                <w:b/>
                <w:lang w:val="en-AU"/>
              </w:rPr>
              <w:t>0</w:t>
            </w:r>
          </w:p>
        </w:tc>
        <w:tc>
          <w:tcPr>
            <w:tcW w:w="1486" w:type="dxa"/>
            <w:tcBorders>
              <w:bottom w:val="single" w:sz="12" w:space="0" w:color="auto"/>
            </w:tcBorders>
            <w:shd w:val="clear" w:color="auto" w:fill="auto"/>
          </w:tcPr>
          <w:p w:rsidR="0011795F" w:rsidRPr="000F3C8B" w:rsidRDefault="003F1391" w:rsidP="0007443E">
            <w:pPr>
              <w:pStyle w:val="TableText0"/>
              <w:jc w:val="right"/>
              <w:rPr>
                <w:b/>
                <w:lang w:val="en-AU"/>
              </w:rPr>
            </w:pPr>
            <w:r w:rsidRPr="000F3C8B">
              <w:rPr>
                <w:b/>
                <w:lang w:val="en-AU"/>
              </w:rPr>
              <w:t>4.1</w:t>
            </w:r>
          </w:p>
        </w:tc>
        <w:tc>
          <w:tcPr>
            <w:tcW w:w="2574" w:type="dxa"/>
            <w:tcBorders>
              <w:bottom w:val="single" w:sz="12" w:space="0" w:color="auto"/>
            </w:tcBorders>
          </w:tcPr>
          <w:p w:rsidR="0011795F" w:rsidRPr="000F3C8B" w:rsidRDefault="0011795F" w:rsidP="00E71FC8">
            <w:pPr>
              <w:pStyle w:val="TableText0"/>
              <w:rPr>
                <w:b/>
                <w:lang w:val="en-AU"/>
              </w:rPr>
            </w:pPr>
          </w:p>
        </w:tc>
      </w:tr>
    </w:tbl>
    <w:p w:rsidR="000D3EF2" w:rsidRDefault="000D3EF2" w:rsidP="000D3EF2">
      <w:pPr>
        <w:pStyle w:val="TableNotes"/>
        <w:rPr>
          <w:rFonts w:cs="Calibri"/>
          <w:color w:val="000000"/>
          <w:lang w:val="en-AU" w:eastAsia="en-US"/>
        </w:rPr>
      </w:pPr>
      <w:proofErr w:type="gramStart"/>
      <w:r>
        <w:rPr>
          <w:rFonts w:cs="Calibri"/>
          <w:color w:val="000000"/>
          <w:lang w:val="en-AU" w:eastAsia="en-US"/>
        </w:rPr>
        <w:t>a</w:t>
      </w:r>
      <w:r w:rsidRPr="000D3EF2">
        <w:rPr>
          <w:rFonts w:cs="Calibri"/>
          <w:color w:val="000000"/>
          <w:lang w:eastAsia="en-US"/>
        </w:rPr>
        <w:t xml:space="preserve"> </w:t>
      </w:r>
      <w:r>
        <w:rPr>
          <w:rFonts w:cs="Calibri"/>
          <w:color w:val="000000"/>
          <w:lang w:val="en-AU" w:eastAsia="en-US"/>
        </w:rPr>
        <w:t xml:space="preserve"> </w:t>
      </w:r>
      <w:r w:rsidRPr="000D3EF2">
        <w:rPr>
          <w:rFonts w:cs="Calibri"/>
          <w:color w:val="000000"/>
          <w:lang w:eastAsia="en-US"/>
        </w:rPr>
        <w:t>N</w:t>
      </w:r>
      <w:proofErr w:type="gramEnd"/>
      <w:r>
        <w:rPr>
          <w:rFonts w:cs="Calibri"/>
          <w:color w:val="000000"/>
          <w:lang w:eastAsia="en-US"/>
        </w:rPr>
        <w:t xml:space="preserve"> </w:t>
      </w:r>
      <w:r>
        <w:rPr>
          <w:rFonts w:cs="Calibri"/>
          <w:color w:val="000000"/>
          <w:lang w:val="en-AU" w:eastAsia="en-US"/>
        </w:rPr>
        <w:t>b</w:t>
      </w:r>
      <w:r w:rsidRPr="000D3EF2">
        <w:rPr>
          <w:rFonts w:cs="Calibri"/>
          <w:color w:val="000000"/>
          <w:lang w:eastAsia="en-US"/>
        </w:rPr>
        <w:t>ased on number of stenting procedures or attempts performed.</w:t>
      </w:r>
    </w:p>
    <w:p w:rsidR="000D3EF2" w:rsidRPr="000D3EF2" w:rsidRDefault="000D3EF2" w:rsidP="000D3EF2">
      <w:pPr>
        <w:pStyle w:val="TableNotes"/>
        <w:rPr>
          <w:rFonts w:cs="Calibri"/>
          <w:color w:val="000000"/>
          <w:lang w:val="en-AU" w:eastAsia="en-US"/>
        </w:rPr>
      </w:pPr>
      <w:r w:rsidRPr="000D3EF2">
        <w:rPr>
          <w:rFonts w:cs="Calibri"/>
          <w:color w:val="000000"/>
          <w:lang w:eastAsia="en-US"/>
        </w:rPr>
        <w:t>N: Based on all patients for whom safety data are reported, regardless of number of patients enrolled in a study, or their technical/clinical success. In some cases, the number of stenting attempts or procedures performed has been considered as the denominator instead number of patients.</w:t>
      </w:r>
    </w:p>
    <w:p w:rsidR="00526D25" w:rsidRPr="00E2422F" w:rsidRDefault="00BB5F6E" w:rsidP="0009782F">
      <w:r w:rsidRPr="00BE3EA8">
        <w:t xml:space="preserve">Tenesmus was reported in </w:t>
      </w:r>
      <w:r w:rsidR="005A3D99" w:rsidRPr="00BE3EA8">
        <w:t>six</w:t>
      </w:r>
      <w:r w:rsidRPr="00A3741F">
        <w:t xml:space="preserve"> studies, with </w:t>
      </w:r>
      <w:r w:rsidR="006F1F19" w:rsidRPr="00F2707B">
        <w:t>3</w:t>
      </w:r>
      <w:r w:rsidR="00BB42D9" w:rsidRPr="00F2707B">
        <w:t>5</w:t>
      </w:r>
      <w:r w:rsidRPr="00F2707B">
        <w:t xml:space="preserve"> events among the </w:t>
      </w:r>
      <w:r w:rsidR="006F1F19" w:rsidRPr="00F2707B">
        <w:t>1</w:t>
      </w:r>
      <w:r w:rsidR="00BB42D9" w:rsidRPr="00F2707B">
        <w:t>15</w:t>
      </w:r>
      <w:r w:rsidR="006F1F19" w:rsidRPr="00154934">
        <w:t>1</w:t>
      </w:r>
      <w:r w:rsidRPr="00154934">
        <w:t xml:space="preserve"> </w:t>
      </w:r>
      <w:r w:rsidR="0059117F" w:rsidRPr="00154934">
        <w:t>patients</w:t>
      </w:r>
      <w:r w:rsidR="00EC5FC0">
        <w:t xml:space="preserve"> (incidence rate of 3%;</w:t>
      </w:r>
      <w:r w:rsidR="00CF1356">
        <w:t xml:space="preserve"> </w:t>
      </w:r>
      <w:r w:rsidR="0059117F" w:rsidRPr="008F42F9">
        <w:t xml:space="preserve">range </w:t>
      </w:r>
      <w:r w:rsidR="00BB42D9" w:rsidRPr="00325C69">
        <w:t>1.0</w:t>
      </w:r>
      <w:r w:rsidR="0059117F" w:rsidRPr="007D5B7C">
        <w:t xml:space="preserve"> – 15.4%). </w:t>
      </w:r>
      <w:r w:rsidR="00BB42D9" w:rsidRPr="007D5B7C">
        <w:t>Five</w:t>
      </w:r>
      <w:r w:rsidR="00526D25" w:rsidRPr="007D5B7C">
        <w:t xml:space="preserve"> studies had occur</w:t>
      </w:r>
      <w:r w:rsidR="00673061" w:rsidRPr="007D5B7C">
        <w:t>ren</w:t>
      </w:r>
      <w:r w:rsidR="00526D25" w:rsidRPr="007D5B7C">
        <w:t>ce rate</w:t>
      </w:r>
      <w:r w:rsidR="00673061" w:rsidRPr="00960A9E">
        <w:t>s</w:t>
      </w:r>
      <w:r w:rsidR="00526D25" w:rsidRPr="00EA2600">
        <w:t xml:space="preserve"> ≤ 2.8</w:t>
      </w:r>
      <w:r w:rsidR="00B463D8">
        <w:t xml:space="preserve"> per cent</w:t>
      </w:r>
      <w:r w:rsidR="00526D25" w:rsidRPr="00EA2600">
        <w:t>, while Kim et al (2010) recorded</w:t>
      </w:r>
      <w:r w:rsidR="00673061" w:rsidRPr="00EA2600">
        <w:t xml:space="preserve"> an</w:t>
      </w:r>
      <w:r w:rsidR="00526D25" w:rsidRPr="00EA2600">
        <w:t xml:space="preserve"> exceptional</w:t>
      </w:r>
      <w:r w:rsidR="00673061" w:rsidRPr="00EC591E">
        <w:t>ly</w:t>
      </w:r>
      <w:r w:rsidR="00526D25" w:rsidRPr="00EC591E">
        <w:t xml:space="preserve"> high </w:t>
      </w:r>
      <w:r w:rsidR="00673061" w:rsidRPr="00430AA8">
        <w:t>occurrence</w:t>
      </w:r>
      <w:r w:rsidR="00526D25" w:rsidRPr="00347DAA">
        <w:t xml:space="preserve"> of 15.4</w:t>
      </w:r>
      <w:r w:rsidR="00B463D8">
        <w:t xml:space="preserve"> per cent</w:t>
      </w:r>
      <w:r w:rsidR="00CF1356">
        <w:t xml:space="preserve"> (See </w:t>
      </w:r>
      <w:r w:rsidR="00CF1356">
        <w:fldChar w:fldCharType="begin"/>
      </w:r>
      <w:r w:rsidR="00CF1356">
        <w:instrText xml:space="preserve"> REF _Ref326150587 \h </w:instrText>
      </w:r>
      <w:r w:rsidR="00CF1356">
        <w:fldChar w:fldCharType="separate"/>
      </w:r>
      <w:r w:rsidR="0071544A">
        <w:t xml:space="preserve">Table </w:t>
      </w:r>
      <w:r w:rsidR="0071544A">
        <w:rPr>
          <w:noProof/>
        </w:rPr>
        <w:t>38</w:t>
      </w:r>
      <w:r w:rsidR="00CF1356">
        <w:fldChar w:fldCharType="end"/>
      </w:r>
      <w:r w:rsidR="00526D25" w:rsidRPr="00E2422F">
        <w:t>.</w:t>
      </w:r>
    </w:p>
    <w:p w:rsidR="00222104" w:rsidRPr="007D0320" w:rsidRDefault="006F1F19" w:rsidP="0009782F">
      <w:pPr>
        <w:rPr>
          <w:b/>
        </w:rPr>
      </w:pPr>
      <w:r w:rsidRPr="00892811">
        <w:t>Even</w:t>
      </w:r>
      <w:r w:rsidR="007576C6" w:rsidRPr="008978EE">
        <w:t>-</w:t>
      </w:r>
      <w:r w:rsidRPr="008978EE">
        <w:t xml:space="preserve">though </w:t>
      </w:r>
      <w:r w:rsidR="003A2FE6" w:rsidRPr="00A30BA9">
        <w:t>Mackay et al (2011)</w:t>
      </w:r>
      <w:r w:rsidRPr="005646B6">
        <w:t xml:space="preserve"> reported 31 </w:t>
      </w:r>
      <w:r w:rsidR="00EC5FC0" w:rsidRPr="005646B6">
        <w:t>long</w:t>
      </w:r>
      <w:r w:rsidR="00EC5FC0">
        <w:t>-</w:t>
      </w:r>
      <w:r w:rsidRPr="005646B6">
        <w:t xml:space="preserve">term complications which also included incidences of tenesmus, </w:t>
      </w:r>
      <w:r w:rsidR="00EC5FC0" w:rsidRPr="005646B6">
        <w:t>the</w:t>
      </w:r>
      <w:r w:rsidR="00EC5FC0">
        <w:t>se could not</w:t>
      </w:r>
      <w:r w:rsidR="00EC5FC0" w:rsidRPr="005646B6">
        <w:t xml:space="preserve"> </w:t>
      </w:r>
      <w:r w:rsidRPr="005646B6">
        <w:t>be incorpor</w:t>
      </w:r>
      <w:r w:rsidRPr="00003831">
        <w:t xml:space="preserve">ated into our calculation as </w:t>
      </w:r>
      <w:r w:rsidR="00B17A83" w:rsidRPr="00A87C52">
        <w:t xml:space="preserve">the </w:t>
      </w:r>
      <w:r w:rsidRPr="00DF686C">
        <w:t xml:space="preserve">authors </w:t>
      </w:r>
      <w:r w:rsidR="00EC5FC0" w:rsidRPr="00DF686C">
        <w:t>d</w:t>
      </w:r>
      <w:r w:rsidR="00EC5FC0">
        <w:t>id</w:t>
      </w:r>
      <w:r w:rsidR="00EC5FC0" w:rsidRPr="00DF686C">
        <w:t xml:space="preserve"> </w:t>
      </w:r>
      <w:r w:rsidRPr="00DF686C">
        <w:t>not quantify them</w:t>
      </w:r>
      <w:r w:rsidR="001354DE" w:rsidRPr="00DF686C">
        <w:t xml:space="preserve"> separately from the aggregate data</w:t>
      </w:r>
      <w:r w:rsidRPr="00DF686C">
        <w:t xml:space="preserve"> (Mackay et al 2011). </w:t>
      </w:r>
      <w:r w:rsidR="0059117F" w:rsidRPr="007D0320">
        <w:t xml:space="preserve">Another study </w:t>
      </w:r>
      <w:r w:rsidR="001354DE" w:rsidRPr="00965DBA">
        <w:t xml:space="preserve">combined </w:t>
      </w:r>
      <w:r w:rsidR="005A3D99" w:rsidRPr="00965DBA">
        <w:t>four</w:t>
      </w:r>
      <w:r w:rsidR="0059117F" w:rsidRPr="00965DBA">
        <w:t xml:space="preserve"> events of tenesmus and sever</w:t>
      </w:r>
      <w:r w:rsidR="00673061" w:rsidRPr="00965DBA">
        <w:t>e</w:t>
      </w:r>
      <w:r w:rsidR="0059117F" w:rsidRPr="00965DBA">
        <w:t xml:space="preserve"> pain </w:t>
      </w:r>
      <w:r w:rsidR="0062519C">
        <w:t xml:space="preserve">(See </w:t>
      </w:r>
      <w:r w:rsidR="0062519C">
        <w:fldChar w:fldCharType="begin"/>
      </w:r>
      <w:r w:rsidR="0062519C">
        <w:instrText xml:space="preserve"> REF _Ref324943435 \h </w:instrText>
      </w:r>
      <w:r w:rsidR="0062519C">
        <w:fldChar w:fldCharType="separate"/>
      </w:r>
      <w:r w:rsidR="0071544A">
        <w:t xml:space="preserve">Table </w:t>
      </w:r>
      <w:r w:rsidR="0071544A">
        <w:rPr>
          <w:noProof/>
        </w:rPr>
        <w:t>22</w:t>
      </w:r>
      <w:r w:rsidR="0062519C">
        <w:fldChar w:fldCharType="end"/>
      </w:r>
      <w:r w:rsidR="0062519C">
        <w:t>)</w:t>
      </w:r>
      <w:r w:rsidR="0059117F" w:rsidRPr="009E5C53">
        <w:t xml:space="preserve">. </w:t>
      </w:r>
      <w:r w:rsidRPr="00E2422F">
        <w:t>In some instance</w:t>
      </w:r>
      <w:r w:rsidR="00673061" w:rsidRPr="00892811">
        <w:t>s</w:t>
      </w:r>
      <w:r w:rsidR="00EC5FC0">
        <w:t>,</w:t>
      </w:r>
      <w:r w:rsidRPr="008978EE">
        <w:t xml:space="preserve"> </w:t>
      </w:r>
      <w:r w:rsidR="0059117F" w:rsidRPr="008978EE">
        <w:t>tene</w:t>
      </w:r>
      <w:r w:rsidR="0059117F" w:rsidRPr="00A30BA9">
        <w:t>smus</w:t>
      </w:r>
      <w:r w:rsidRPr="005646B6">
        <w:t xml:space="preserve"> was a</w:t>
      </w:r>
      <w:r w:rsidR="0059117F" w:rsidRPr="00003831">
        <w:t>n</w:t>
      </w:r>
      <w:r w:rsidRPr="00A87C52">
        <w:t xml:space="preserve"> intra-procedural</w:t>
      </w:r>
      <w:r w:rsidR="0059117F" w:rsidRPr="00DF686C">
        <w:t xml:space="preserve"> or early event (D</w:t>
      </w:r>
      <w:r w:rsidRPr="00DF686C">
        <w:t xml:space="preserve">e Gregorio et al 2011). </w:t>
      </w:r>
      <w:r w:rsidR="00BB5F6E" w:rsidRPr="00DF686C">
        <w:t xml:space="preserve"> </w:t>
      </w:r>
    </w:p>
    <w:p w:rsidR="00222104" w:rsidRPr="0072092E" w:rsidRDefault="00E71FC8" w:rsidP="00E71FC8">
      <w:pPr>
        <w:pStyle w:val="Caption"/>
      </w:pPr>
      <w:bookmarkStart w:id="182" w:name="_Ref326150587"/>
      <w:bookmarkStart w:id="183" w:name="_Toc327522082"/>
      <w:r>
        <w:t xml:space="preserve">Table </w:t>
      </w:r>
      <w:fldSimple w:instr=" SEQ Table \* ARABIC ">
        <w:r w:rsidR="0071544A">
          <w:rPr>
            <w:noProof/>
          </w:rPr>
          <w:t>38</w:t>
        </w:r>
      </w:fldSimple>
      <w:bookmarkEnd w:id="182"/>
      <w:r w:rsidR="0009782F" w:rsidRPr="00361416">
        <w:tab/>
      </w:r>
      <w:r w:rsidR="00D14AC6" w:rsidRPr="0086082D">
        <w:t>S</w:t>
      </w:r>
      <w:r w:rsidR="00BB5F6E" w:rsidRPr="0072092E">
        <w:t>ummary of events of tenesmus reported by included primary studies</w:t>
      </w:r>
      <w:bookmarkEnd w:id="183"/>
    </w:p>
    <w:tbl>
      <w:tblPr>
        <w:tblW w:w="6386" w:type="dxa"/>
        <w:tblInd w:w="720" w:type="dxa"/>
        <w:tblBorders>
          <w:top w:val="single" w:sz="4" w:space="0" w:color="auto"/>
          <w:bottom w:val="single" w:sz="4" w:space="0" w:color="auto"/>
          <w:insideH w:val="single" w:sz="4" w:space="0" w:color="auto"/>
        </w:tblBorders>
        <w:tblLook w:val="04A0" w:firstRow="1" w:lastRow="0" w:firstColumn="1" w:lastColumn="0" w:noHBand="0" w:noVBand="1"/>
      </w:tblPr>
      <w:tblGrid>
        <w:gridCol w:w="2253"/>
        <w:gridCol w:w="1134"/>
        <w:gridCol w:w="1309"/>
        <w:gridCol w:w="1690"/>
      </w:tblGrid>
      <w:tr w:rsidR="00993D30" w:rsidRPr="00965DBA" w:rsidTr="000D3EF2">
        <w:trPr>
          <w:trHeight w:val="288"/>
        </w:trPr>
        <w:tc>
          <w:tcPr>
            <w:tcW w:w="2253" w:type="dxa"/>
            <w:tcBorders>
              <w:top w:val="single" w:sz="12" w:space="0" w:color="auto"/>
              <w:bottom w:val="single" w:sz="4" w:space="0" w:color="auto"/>
            </w:tcBorders>
            <w:shd w:val="clear" w:color="auto" w:fill="auto"/>
            <w:noWrap/>
            <w:hideMark/>
          </w:tcPr>
          <w:p w:rsidR="00993D30" w:rsidRPr="00965DBA" w:rsidRDefault="00993D30" w:rsidP="00E71FC8">
            <w:pPr>
              <w:pStyle w:val="TableHeading"/>
            </w:pPr>
            <w:r w:rsidRPr="00965DBA">
              <w:t>Author</w:t>
            </w:r>
          </w:p>
        </w:tc>
        <w:tc>
          <w:tcPr>
            <w:tcW w:w="1134" w:type="dxa"/>
            <w:tcBorders>
              <w:top w:val="single" w:sz="12" w:space="0" w:color="auto"/>
              <w:bottom w:val="single" w:sz="4" w:space="0" w:color="auto"/>
            </w:tcBorders>
            <w:shd w:val="clear" w:color="auto" w:fill="auto"/>
            <w:noWrap/>
            <w:hideMark/>
          </w:tcPr>
          <w:p w:rsidR="00993D30" w:rsidRPr="00965DBA" w:rsidRDefault="00993D30" w:rsidP="00196B22">
            <w:pPr>
              <w:pStyle w:val="TableHeading"/>
              <w:jc w:val="right"/>
            </w:pPr>
            <w:r w:rsidRPr="00965DBA">
              <w:t xml:space="preserve">N </w:t>
            </w:r>
          </w:p>
        </w:tc>
        <w:tc>
          <w:tcPr>
            <w:tcW w:w="1309" w:type="dxa"/>
            <w:tcBorders>
              <w:top w:val="single" w:sz="12" w:space="0" w:color="auto"/>
              <w:bottom w:val="single" w:sz="4" w:space="0" w:color="auto"/>
            </w:tcBorders>
            <w:shd w:val="clear" w:color="auto" w:fill="auto"/>
            <w:noWrap/>
            <w:hideMark/>
          </w:tcPr>
          <w:p w:rsidR="00993D30" w:rsidRPr="00965DBA" w:rsidRDefault="00B17A83" w:rsidP="00196B22">
            <w:pPr>
              <w:pStyle w:val="TableHeading"/>
              <w:jc w:val="right"/>
            </w:pPr>
            <w:r w:rsidRPr="00965DBA">
              <w:t xml:space="preserve">Events of tenesmus </w:t>
            </w:r>
            <w:r w:rsidR="00242BAC">
              <w:t>(</w:t>
            </w:r>
            <w:r w:rsidR="00993D30" w:rsidRPr="00965DBA">
              <w:t>n</w:t>
            </w:r>
            <w:r w:rsidR="00242BAC">
              <w:t>)</w:t>
            </w:r>
          </w:p>
        </w:tc>
        <w:tc>
          <w:tcPr>
            <w:tcW w:w="1690" w:type="dxa"/>
            <w:tcBorders>
              <w:top w:val="single" w:sz="12" w:space="0" w:color="auto"/>
              <w:bottom w:val="single" w:sz="4" w:space="0" w:color="auto"/>
            </w:tcBorders>
            <w:shd w:val="clear" w:color="auto" w:fill="auto"/>
          </w:tcPr>
          <w:p w:rsidR="00993D30" w:rsidRPr="00965DBA" w:rsidRDefault="00993D30" w:rsidP="00196B22">
            <w:pPr>
              <w:pStyle w:val="TableHeading"/>
              <w:jc w:val="right"/>
            </w:pPr>
            <w:r w:rsidRPr="00965DBA">
              <w:t>Occurrence (%)</w:t>
            </w:r>
          </w:p>
        </w:tc>
      </w:tr>
      <w:tr w:rsidR="00993D30" w:rsidRPr="00965DBA" w:rsidTr="000D3EF2">
        <w:trPr>
          <w:trHeight w:val="288"/>
        </w:trPr>
        <w:tc>
          <w:tcPr>
            <w:tcW w:w="2253" w:type="dxa"/>
            <w:tcBorders>
              <w:top w:val="single" w:sz="4" w:space="0" w:color="auto"/>
              <w:bottom w:val="nil"/>
            </w:tcBorders>
            <w:shd w:val="clear" w:color="auto" w:fill="auto"/>
            <w:noWrap/>
          </w:tcPr>
          <w:p w:rsidR="00993D30" w:rsidRPr="000F3C8B" w:rsidRDefault="00993D30" w:rsidP="00E71FC8">
            <w:pPr>
              <w:pStyle w:val="TableText0"/>
              <w:rPr>
                <w:lang w:val="en-AU"/>
              </w:rPr>
            </w:pPr>
            <w:r w:rsidRPr="000F3C8B">
              <w:rPr>
                <w:lang w:val="en-AU"/>
              </w:rPr>
              <w:t xml:space="preserve">De Gregorio et al </w:t>
            </w:r>
            <w:r w:rsidR="0062519C" w:rsidRPr="000F3C8B">
              <w:rPr>
                <w:lang w:val="en-AU"/>
              </w:rPr>
              <w:t>(</w:t>
            </w:r>
            <w:r w:rsidRPr="000F3C8B">
              <w:rPr>
                <w:lang w:val="en-AU"/>
              </w:rPr>
              <w:t>2011</w:t>
            </w:r>
            <w:r w:rsidR="0062519C" w:rsidRPr="000F3C8B">
              <w:rPr>
                <w:lang w:val="en-AU"/>
              </w:rPr>
              <w:t>)</w:t>
            </w:r>
          </w:p>
        </w:tc>
        <w:tc>
          <w:tcPr>
            <w:tcW w:w="1134" w:type="dxa"/>
            <w:tcBorders>
              <w:top w:val="single" w:sz="4" w:space="0" w:color="auto"/>
              <w:bottom w:val="nil"/>
            </w:tcBorders>
            <w:shd w:val="clear" w:color="auto" w:fill="auto"/>
            <w:noWrap/>
          </w:tcPr>
          <w:p w:rsidR="00993D30" w:rsidRPr="000F3C8B" w:rsidRDefault="00993D30" w:rsidP="00196B22">
            <w:pPr>
              <w:pStyle w:val="TableText0"/>
              <w:jc w:val="right"/>
              <w:rPr>
                <w:lang w:val="en-AU"/>
              </w:rPr>
            </w:pPr>
            <w:r w:rsidRPr="000F3C8B">
              <w:rPr>
                <w:lang w:val="en-AU"/>
              </w:rPr>
              <w:t>467</w:t>
            </w:r>
          </w:p>
        </w:tc>
        <w:tc>
          <w:tcPr>
            <w:tcW w:w="1309" w:type="dxa"/>
            <w:tcBorders>
              <w:top w:val="single" w:sz="4" w:space="0" w:color="auto"/>
              <w:bottom w:val="nil"/>
            </w:tcBorders>
            <w:shd w:val="clear" w:color="auto" w:fill="auto"/>
            <w:noWrap/>
          </w:tcPr>
          <w:p w:rsidR="00993D30" w:rsidRPr="000F3C8B" w:rsidRDefault="00993D30" w:rsidP="00196B22">
            <w:pPr>
              <w:pStyle w:val="TableText0"/>
              <w:jc w:val="right"/>
              <w:rPr>
                <w:lang w:val="en-AU"/>
              </w:rPr>
            </w:pPr>
            <w:r w:rsidRPr="000F3C8B">
              <w:rPr>
                <w:lang w:val="en-AU"/>
              </w:rPr>
              <w:t>6</w:t>
            </w:r>
            <w:r w:rsidRPr="000F3C8B">
              <w:rPr>
                <w:vertAlign w:val="superscript"/>
                <w:lang w:val="en-AU"/>
              </w:rPr>
              <w:t>a</w:t>
            </w:r>
          </w:p>
        </w:tc>
        <w:tc>
          <w:tcPr>
            <w:tcW w:w="1690" w:type="dxa"/>
            <w:tcBorders>
              <w:top w:val="single" w:sz="4" w:space="0" w:color="auto"/>
              <w:bottom w:val="nil"/>
            </w:tcBorders>
            <w:shd w:val="clear" w:color="auto" w:fill="auto"/>
          </w:tcPr>
          <w:p w:rsidR="00993D30" w:rsidRPr="000F3C8B" w:rsidRDefault="003F1391" w:rsidP="00196B22">
            <w:pPr>
              <w:pStyle w:val="TableText0"/>
              <w:jc w:val="right"/>
              <w:rPr>
                <w:lang w:val="en-AU"/>
              </w:rPr>
            </w:pPr>
            <w:r w:rsidRPr="000F3C8B">
              <w:rPr>
                <w:lang w:val="en-AU"/>
              </w:rPr>
              <w:t>1.3</w:t>
            </w:r>
          </w:p>
        </w:tc>
      </w:tr>
      <w:tr w:rsidR="00993D30" w:rsidRPr="00965DBA" w:rsidTr="000D3EF2">
        <w:trPr>
          <w:trHeight w:val="288"/>
        </w:trPr>
        <w:tc>
          <w:tcPr>
            <w:tcW w:w="2253" w:type="dxa"/>
            <w:tcBorders>
              <w:top w:val="nil"/>
              <w:bottom w:val="nil"/>
            </w:tcBorders>
            <w:shd w:val="clear" w:color="auto" w:fill="auto"/>
            <w:noWrap/>
          </w:tcPr>
          <w:p w:rsidR="00993D30" w:rsidRPr="000F3C8B" w:rsidRDefault="00993D30" w:rsidP="00E71FC8">
            <w:pPr>
              <w:pStyle w:val="TableText0"/>
              <w:rPr>
                <w:lang w:val="en-AU"/>
              </w:rPr>
            </w:pPr>
            <w:r w:rsidRPr="000F3C8B">
              <w:rPr>
                <w:lang w:val="en-AU"/>
              </w:rPr>
              <w:t xml:space="preserve">Kim et al </w:t>
            </w:r>
            <w:r w:rsidR="0062519C" w:rsidRPr="000F3C8B">
              <w:rPr>
                <w:lang w:val="en-AU"/>
              </w:rPr>
              <w:t>(</w:t>
            </w:r>
            <w:r w:rsidRPr="000F3C8B">
              <w:rPr>
                <w:lang w:val="en-AU"/>
              </w:rPr>
              <w:t>2010</w:t>
            </w:r>
            <w:r w:rsidR="0062519C" w:rsidRPr="000F3C8B">
              <w:rPr>
                <w:lang w:val="en-AU"/>
              </w:rPr>
              <w:t>)</w:t>
            </w:r>
          </w:p>
        </w:tc>
        <w:tc>
          <w:tcPr>
            <w:tcW w:w="1134" w:type="dxa"/>
            <w:tcBorders>
              <w:top w:val="nil"/>
              <w:bottom w:val="nil"/>
            </w:tcBorders>
            <w:shd w:val="clear" w:color="auto" w:fill="auto"/>
            <w:noWrap/>
          </w:tcPr>
          <w:p w:rsidR="00993D30" w:rsidRPr="000F3C8B" w:rsidRDefault="000D3EF2" w:rsidP="00196B22">
            <w:pPr>
              <w:pStyle w:val="TableText0"/>
              <w:jc w:val="right"/>
              <w:rPr>
                <w:lang w:val="en-AU"/>
              </w:rPr>
            </w:pPr>
            <w:r>
              <w:rPr>
                <w:lang w:val="en-AU"/>
              </w:rPr>
              <w:t>110</w:t>
            </w:r>
            <w:r w:rsidRPr="000D3EF2">
              <w:rPr>
                <w:vertAlign w:val="superscript"/>
                <w:lang w:val="en-AU"/>
              </w:rPr>
              <w:t>b</w:t>
            </w:r>
          </w:p>
        </w:tc>
        <w:tc>
          <w:tcPr>
            <w:tcW w:w="1309" w:type="dxa"/>
            <w:tcBorders>
              <w:top w:val="nil"/>
              <w:bottom w:val="nil"/>
            </w:tcBorders>
            <w:shd w:val="clear" w:color="auto" w:fill="auto"/>
            <w:noWrap/>
          </w:tcPr>
          <w:p w:rsidR="00993D30" w:rsidRPr="000F3C8B" w:rsidRDefault="00993D30" w:rsidP="00196B22">
            <w:pPr>
              <w:pStyle w:val="TableText0"/>
              <w:jc w:val="right"/>
              <w:rPr>
                <w:lang w:val="en-AU"/>
              </w:rPr>
            </w:pPr>
            <w:r w:rsidRPr="000F3C8B">
              <w:rPr>
                <w:lang w:val="en-AU"/>
              </w:rPr>
              <w:t>17</w:t>
            </w:r>
          </w:p>
        </w:tc>
        <w:tc>
          <w:tcPr>
            <w:tcW w:w="1690" w:type="dxa"/>
            <w:tcBorders>
              <w:top w:val="nil"/>
              <w:bottom w:val="nil"/>
            </w:tcBorders>
            <w:shd w:val="clear" w:color="auto" w:fill="auto"/>
          </w:tcPr>
          <w:p w:rsidR="00993D30" w:rsidRPr="000F3C8B" w:rsidRDefault="003F1391" w:rsidP="00196B22">
            <w:pPr>
              <w:pStyle w:val="TableText0"/>
              <w:jc w:val="right"/>
              <w:rPr>
                <w:lang w:val="en-AU"/>
              </w:rPr>
            </w:pPr>
            <w:r w:rsidRPr="000F3C8B">
              <w:rPr>
                <w:lang w:val="en-AU"/>
              </w:rPr>
              <w:t>15.4</w:t>
            </w:r>
          </w:p>
        </w:tc>
      </w:tr>
      <w:tr w:rsidR="00993D30" w:rsidRPr="00965DBA" w:rsidTr="000D3EF2">
        <w:trPr>
          <w:trHeight w:val="288"/>
        </w:trPr>
        <w:tc>
          <w:tcPr>
            <w:tcW w:w="2253" w:type="dxa"/>
            <w:tcBorders>
              <w:top w:val="nil"/>
              <w:bottom w:val="nil"/>
            </w:tcBorders>
            <w:shd w:val="clear" w:color="auto" w:fill="auto"/>
            <w:noWrap/>
          </w:tcPr>
          <w:p w:rsidR="00993D30" w:rsidRPr="000F3C8B" w:rsidRDefault="00993D30" w:rsidP="00E71FC8">
            <w:pPr>
              <w:pStyle w:val="TableText0"/>
              <w:rPr>
                <w:lang w:val="en-AU"/>
              </w:rPr>
            </w:pPr>
            <w:r w:rsidRPr="000F3C8B">
              <w:rPr>
                <w:lang w:val="en-AU"/>
              </w:rPr>
              <w:t xml:space="preserve">Small et al </w:t>
            </w:r>
            <w:r w:rsidR="0062519C" w:rsidRPr="000F3C8B">
              <w:rPr>
                <w:lang w:val="en-AU"/>
              </w:rPr>
              <w:t>(</w:t>
            </w:r>
            <w:r w:rsidRPr="000F3C8B">
              <w:rPr>
                <w:lang w:val="en-AU"/>
              </w:rPr>
              <w:t>2010</w:t>
            </w:r>
            <w:r w:rsidR="0062519C" w:rsidRPr="000F3C8B">
              <w:rPr>
                <w:lang w:val="en-AU"/>
              </w:rPr>
              <w:t>)</w:t>
            </w:r>
          </w:p>
        </w:tc>
        <w:tc>
          <w:tcPr>
            <w:tcW w:w="1134" w:type="dxa"/>
            <w:tcBorders>
              <w:top w:val="nil"/>
              <w:bottom w:val="nil"/>
            </w:tcBorders>
            <w:shd w:val="clear" w:color="auto" w:fill="auto"/>
            <w:noWrap/>
          </w:tcPr>
          <w:p w:rsidR="00993D30" w:rsidRPr="000F3C8B" w:rsidRDefault="00993D30" w:rsidP="00196B22">
            <w:pPr>
              <w:pStyle w:val="TableText0"/>
              <w:jc w:val="right"/>
              <w:rPr>
                <w:lang w:val="en-AU"/>
              </w:rPr>
            </w:pPr>
            <w:r w:rsidRPr="000F3C8B">
              <w:rPr>
                <w:lang w:val="en-AU"/>
              </w:rPr>
              <w:t>233</w:t>
            </w:r>
          </w:p>
        </w:tc>
        <w:tc>
          <w:tcPr>
            <w:tcW w:w="1309" w:type="dxa"/>
            <w:tcBorders>
              <w:top w:val="nil"/>
              <w:bottom w:val="nil"/>
            </w:tcBorders>
            <w:shd w:val="clear" w:color="auto" w:fill="auto"/>
            <w:noWrap/>
          </w:tcPr>
          <w:p w:rsidR="00993D30" w:rsidRPr="000F3C8B" w:rsidRDefault="00993D30" w:rsidP="00196B22">
            <w:pPr>
              <w:pStyle w:val="TableText0"/>
              <w:jc w:val="right"/>
              <w:rPr>
                <w:lang w:val="en-AU"/>
              </w:rPr>
            </w:pPr>
            <w:r w:rsidRPr="000F3C8B">
              <w:rPr>
                <w:lang w:val="en-AU"/>
              </w:rPr>
              <w:t>5</w:t>
            </w:r>
          </w:p>
        </w:tc>
        <w:tc>
          <w:tcPr>
            <w:tcW w:w="1690" w:type="dxa"/>
            <w:tcBorders>
              <w:top w:val="nil"/>
              <w:bottom w:val="nil"/>
            </w:tcBorders>
            <w:shd w:val="clear" w:color="auto" w:fill="auto"/>
          </w:tcPr>
          <w:p w:rsidR="00993D30" w:rsidRPr="000F3C8B" w:rsidRDefault="003F1391" w:rsidP="00196B22">
            <w:pPr>
              <w:pStyle w:val="TableText0"/>
              <w:jc w:val="right"/>
              <w:rPr>
                <w:lang w:val="en-AU"/>
              </w:rPr>
            </w:pPr>
            <w:r w:rsidRPr="000F3C8B">
              <w:rPr>
                <w:lang w:val="en-AU"/>
              </w:rPr>
              <w:t>2.2</w:t>
            </w:r>
          </w:p>
        </w:tc>
      </w:tr>
      <w:tr w:rsidR="00993D30" w:rsidRPr="00965DBA" w:rsidTr="000D3EF2">
        <w:trPr>
          <w:trHeight w:val="288"/>
        </w:trPr>
        <w:tc>
          <w:tcPr>
            <w:tcW w:w="2253" w:type="dxa"/>
            <w:tcBorders>
              <w:top w:val="nil"/>
              <w:bottom w:val="nil"/>
            </w:tcBorders>
            <w:shd w:val="clear" w:color="auto" w:fill="auto"/>
            <w:noWrap/>
            <w:hideMark/>
          </w:tcPr>
          <w:p w:rsidR="00993D30" w:rsidRPr="000F3C8B" w:rsidRDefault="00993D30" w:rsidP="00E71FC8">
            <w:pPr>
              <w:pStyle w:val="TableText0"/>
              <w:rPr>
                <w:lang w:val="en-AU"/>
              </w:rPr>
            </w:pPr>
            <w:r w:rsidRPr="000F3C8B">
              <w:rPr>
                <w:lang w:val="en-AU"/>
              </w:rPr>
              <w:t xml:space="preserve">Baraza et al </w:t>
            </w:r>
            <w:r w:rsidR="0062519C" w:rsidRPr="000F3C8B">
              <w:rPr>
                <w:lang w:val="en-AU"/>
              </w:rPr>
              <w:t>(</w:t>
            </w:r>
            <w:r w:rsidRPr="000F3C8B">
              <w:rPr>
                <w:lang w:val="en-AU"/>
              </w:rPr>
              <w:t>2008</w:t>
            </w:r>
            <w:r w:rsidR="0062519C" w:rsidRPr="000F3C8B">
              <w:rPr>
                <w:lang w:val="en-AU"/>
              </w:rPr>
              <w:t>)</w:t>
            </w:r>
          </w:p>
        </w:tc>
        <w:tc>
          <w:tcPr>
            <w:tcW w:w="1134" w:type="dxa"/>
            <w:tcBorders>
              <w:top w:val="nil"/>
              <w:bottom w:val="nil"/>
            </w:tcBorders>
            <w:shd w:val="clear" w:color="auto" w:fill="auto"/>
            <w:noWrap/>
            <w:hideMark/>
          </w:tcPr>
          <w:p w:rsidR="00993D30" w:rsidRPr="000F3C8B" w:rsidRDefault="000D3EF2" w:rsidP="00196B22">
            <w:pPr>
              <w:pStyle w:val="TableText0"/>
              <w:jc w:val="right"/>
              <w:rPr>
                <w:lang w:val="en-AU"/>
              </w:rPr>
            </w:pPr>
            <w:r>
              <w:rPr>
                <w:lang w:val="en-AU"/>
              </w:rPr>
              <w:t>71</w:t>
            </w:r>
            <w:r w:rsidRPr="000D3EF2">
              <w:rPr>
                <w:vertAlign w:val="superscript"/>
                <w:lang w:val="en-AU"/>
              </w:rPr>
              <w:t>b</w:t>
            </w:r>
          </w:p>
        </w:tc>
        <w:tc>
          <w:tcPr>
            <w:tcW w:w="1309" w:type="dxa"/>
            <w:tcBorders>
              <w:top w:val="nil"/>
              <w:bottom w:val="nil"/>
            </w:tcBorders>
            <w:shd w:val="clear" w:color="auto" w:fill="auto"/>
            <w:noWrap/>
          </w:tcPr>
          <w:p w:rsidR="00993D30" w:rsidRPr="000F3C8B" w:rsidRDefault="00993D30" w:rsidP="00196B22">
            <w:pPr>
              <w:pStyle w:val="TableText0"/>
              <w:jc w:val="right"/>
              <w:rPr>
                <w:lang w:val="en-AU"/>
              </w:rPr>
            </w:pPr>
            <w:r w:rsidRPr="000F3C8B">
              <w:rPr>
                <w:lang w:val="en-AU"/>
              </w:rPr>
              <w:t>2</w:t>
            </w:r>
          </w:p>
        </w:tc>
        <w:tc>
          <w:tcPr>
            <w:tcW w:w="1690" w:type="dxa"/>
            <w:tcBorders>
              <w:top w:val="nil"/>
              <w:bottom w:val="nil"/>
            </w:tcBorders>
            <w:shd w:val="clear" w:color="auto" w:fill="auto"/>
          </w:tcPr>
          <w:p w:rsidR="00993D30" w:rsidRPr="000F3C8B" w:rsidRDefault="003F1391" w:rsidP="00196B22">
            <w:pPr>
              <w:pStyle w:val="TableText0"/>
              <w:jc w:val="right"/>
              <w:rPr>
                <w:lang w:val="en-AU"/>
              </w:rPr>
            </w:pPr>
            <w:r w:rsidRPr="000F3C8B">
              <w:rPr>
                <w:lang w:val="en-AU"/>
              </w:rPr>
              <w:t>2.8</w:t>
            </w:r>
          </w:p>
        </w:tc>
      </w:tr>
      <w:tr w:rsidR="00993D30" w:rsidRPr="00965DBA" w:rsidTr="000D3EF2">
        <w:trPr>
          <w:trHeight w:val="300"/>
        </w:trPr>
        <w:tc>
          <w:tcPr>
            <w:tcW w:w="2253" w:type="dxa"/>
            <w:tcBorders>
              <w:top w:val="nil"/>
              <w:bottom w:val="nil"/>
            </w:tcBorders>
            <w:shd w:val="clear" w:color="auto" w:fill="auto"/>
            <w:noWrap/>
            <w:hideMark/>
          </w:tcPr>
          <w:p w:rsidR="00993D30" w:rsidRPr="000F3C8B" w:rsidRDefault="00993D30" w:rsidP="00E71FC8">
            <w:pPr>
              <w:pStyle w:val="TableText0"/>
              <w:rPr>
                <w:lang w:val="en-AU"/>
              </w:rPr>
            </w:pPr>
            <w:r w:rsidRPr="000F3C8B">
              <w:rPr>
                <w:lang w:val="en-AU"/>
              </w:rPr>
              <w:t xml:space="preserve">Alcantara et al </w:t>
            </w:r>
            <w:r w:rsidR="0062519C" w:rsidRPr="000F3C8B">
              <w:rPr>
                <w:lang w:val="en-AU"/>
              </w:rPr>
              <w:t>(</w:t>
            </w:r>
            <w:r w:rsidRPr="000F3C8B">
              <w:rPr>
                <w:lang w:val="en-AU"/>
              </w:rPr>
              <w:t>2007</w:t>
            </w:r>
            <w:r w:rsidR="0062519C" w:rsidRPr="000F3C8B">
              <w:rPr>
                <w:lang w:val="en-AU"/>
              </w:rPr>
              <w:t>)</w:t>
            </w:r>
          </w:p>
        </w:tc>
        <w:tc>
          <w:tcPr>
            <w:tcW w:w="1134" w:type="dxa"/>
            <w:tcBorders>
              <w:top w:val="nil"/>
              <w:bottom w:val="nil"/>
            </w:tcBorders>
            <w:shd w:val="clear" w:color="auto" w:fill="auto"/>
            <w:noWrap/>
            <w:hideMark/>
          </w:tcPr>
          <w:p w:rsidR="00993D30" w:rsidRPr="000F3C8B" w:rsidRDefault="00993D30" w:rsidP="00196B22">
            <w:pPr>
              <w:pStyle w:val="TableText0"/>
              <w:jc w:val="right"/>
              <w:rPr>
                <w:lang w:val="en-AU"/>
              </w:rPr>
            </w:pPr>
            <w:r w:rsidRPr="000F3C8B">
              <w:rPr>
                <w:lang w:val="en-AU"/>
              </w:rPr>
              <w:t>95</w:t>
            </w:r>
          </w:p>
        </w:tc>
        <w:tc>
          <w:tcPr>
            <w:tcW w:w="1309" w:type="dxa"/>
            <w:tcBorders>
              <w:top w:val="nil"/>
              <w:bottom w:val="nil"/>
            </w:tcBorders>
            <w:shd w:val="clear" w:color="auto" w:fill="auto"/>
            <w:noWrap/>
          </w:tcPr>
          <w:p w:rsidR="00993D30" w:rsidRPr="000F3C8B" w:rsidRDefault="00993D30" w:rsidP="00196B22">
            <w:pPr>
              <w:pStyle w:val="TableText0"/>
              <w:jc w:val="right"/>
              <w:rPr>
                <w:lang w:val="en-AU"/>
              </w:rPr>
            </w:pPr>
            <w:r w:rsidRPr="000F3C8B">
              <w:rPr>
                <w:lang w:val="en-AU"/>
              </w:rPr>
              <w:t>1</w:t>
            </w:r>
          </w:p>
        </w:tc>
        <w:tc>
          <w:tcPr>
            <w:tcW w:w="1690" w:type="dxa"/>
            <w:tcBorders>
              <w:top w:val="nil"/>
              <w:bottom w:val="nil"/>
            </w:tcBorders>
            <w:shd w:val="clear" w:color="auto" w:fill="auto"/>
          </w:tcPr>
          <w:p w:rsidR="00993D30" w:rsidRPr="000F3C8B" w:rsidRDefault="003F1391" w:rsidP="00196B22">
            <w:pPr>
              <w:pStyle w:val="TableText0"/>
              <w:jc w:val="right"/>
              <w:rPr>
                <w:lang w:val="en-AU"/>
              </w:rPr>
            </w:pPr>
            <w:r w:rsidRPr="000F3C8B">
              <w:rPr>
                <w:lang w:val="en-AU"/>
              </w:rPr>
              <w:t>1.0</w:t>
            </w:r>
          </w:p>
        </w:tc>
      </w:tr>
      <w:tr w:rsidR="00993D30" w:rsidRPr="00965DBA" w:rsidTr="000D3EF2">
        <w:trPr>
          <w:trHeight w:val="288"/>
        </w:trPr>
        <w:tc>
          <w:tcPr>
            <w:tcW w:w="2253" w:type="dxa"/>
            <w:tcBorders>
              <w:top w:val="nil"/>
              <w:bottom w:val="nil"/>
            </w:tcBorders>
            <w:shd w:val="clear" w:color="auto" w:fill="auto"/>
            <w:noWrap/>
          </w:tcPr>
          <w:p w:rsidR="00993D30" w:rsidRPr="000F3C8B" w:rsidRDefault="00993D30" w:rsidP="00E71FC8">
            <w:pPr>
              <w:pStyle w:val="TableText0"/>
              <w:rPr>
                <w:lang w:val="en-AU"/>
              </w:rPr>
            </w:pPr>
            <w:r w:rsidRPr="000F3C8B">
              <w:rPr>
                <w:lang w:val="en-AU"/>
              </w:rPr>
              <w:t xml:space="preserve">Garcia-Cano et al </w:t>
            </w:r>
            <w:r w:rsidR="0062519C" w:rsidRPr="000F3C8B">
              <w:rPr>
                <w:lang w:val="en-AU"/>
              </w:rPr>
              <w:t>(</w:t>
            </w:r>
            <w:r w:rsidRPr="000F3C8B">
              <w:rPr>
                <w:lang w:val="en-AU"/>
              </w:rPr>
              <w:t>2006</w:t>
            </w:r>
            <w:r w:rsidR="0062519C" w:rsidRPr="000F3C8B">
              <w:rPr>
                <w:lang w:val="en-AU"/>
              </w:rPr>
              <w:t>)</w:t>
            </w:r>
          </w:p>
        </w:tc>
        <w:tc>
          <w:tcPr>
            <w:tcW w:w="1134" w:type="dxa"/>
            <w:tcBorders>
              <w:top w:val="nil"/>
              <w:bottom w:val="nil"/>
            </w:tcBorders>
            <w:shd w:val="clear" w:color="auto" w:fill="auto"/>
            <w:noWrap/>
          </w:tcPr>
          <w:p w:rsidR="00993D30" w:rsidRPr="000F3C8B" w:rsidRDefault="00993D30" w:rsidP="00196B22">
            <w:pPr>
              <w:pStyle w:val="TableText0"/>
              <w:jc w:val="right"/>
              <w:rPr>
                <w:lang w:val="en-AU"/>
              </w:rPr>
            </w:pPr>
            <w:r w:rsidRPr="000F3C8B">
              <w:rPr>
                <w:lang w:val="en-AU"/>
              </w:rPr>
              <w:t>175</w:t>
            </w:r>
          </w:p>
        </w:tc>
        <w:tc>
          <w:tcPr>
            <w:tcW w:w="1309" w:type="dxa"/>
            <w:tcBorders>
              <w:top w:val="nil"/>
              <w:bottom w:val="nil"/>
            </w:tcBorders>
            <w:shd w:val="clear" w:color="auto" w:fill="auto"/>
            <w:noWrap/>
          </w:tcPr>
          <w:p w:rsidR="00993D30" w:rsidRPr="000F3C8B" w:rsidRDefault="00993D30" w:rsidP="00196B22">
            <w:pPr>
              <w:pStyle w:val="TableText0"/>
              <w:jc w:val="right"/>
              <w:rPr>
                <w:lang w:val="en-AU"/>
              </w:rPr>
            </w:pPr>
            <w:r w:rsidRPr="000F3C8B">
              <w:rPr>
                <w:lang w:val="en-AU"/>
              </w:rPr>
              <w:t>4</w:t>
            </w:r>
          </w:p>
        </w:tc>
        <w:tc>
          <w:tcPr>
            <w:tcW w:w="1690" w:type="dxa"/>
            <w:tcBorders>
              <w:top w:val="nil"/>
              <w:bottom w:val="nil"/>
            </w:tcBorders>
            <w:shd w:val="clear" w:color="auto" w:fill="auto"/>
          </w:tcPr>
          <w:p w:rsidR="00993D30" w:rsidRPr="000F3C8B" w:rsidRDefault="003F1391" w:rsidP="00196B22">
            <w:pPr>
              <w:pStyle w:val="TableText0"/>
              <w:jc w:val="right"/>
              <w:rPr>
                <w:lang w:val="en-AU"/>
              </w:rPr>
            </w:pPr>
            <w:r w:rsidRPr="000F3C8B">
              <w:rPr>
                <w:lang w:val="en-AU"/>
              </w:rPr>
              <w:t>2.3</w:t>
            </w:r>
          </w:p>
        </w:tc>
      </w:tr>
      <w:tr w:rsidR="00993D30" w:rsidRPr="00965DBA" w:rsidTr="000D3EF2">
        <w:trPr>
          <w:trHeight w:val="317"/>
        </w:trPr>
        <w:tc>
          <w:tcPr>
            <w:tcW w:w="2253" w:type="dxa"/>
            <w:tcBorders>
              <w:top w:val="nil"/>
              <w:bottom w:val="single" w:sz="12" w:space="0" w:color="auto"/>
            </w:tcBorders>
            <w:shd w:val="clear" w:color="auto" w:fill="auto"/>
            <w:noWrap/>
          </w:tcPr>
          <w:p w:rsidR="00993D30" w:rsidRPr="000F3C8B" w:rsidRDefault="00993D30" w:rsidP="00E71FC8">
            <w:pPr>
              <w:pStyle w:val="TableText0"/>
              <w:rPr>
                <w:b/>
                <w:lang w:val="en-AU"/>
              </w:rPr>
            </w:pPr>
            <w:r w:rsidRPr="000F3C8B">
              <w:rPr>
                <w:b/>
                <w:lang w:val="en-AU"/>
              </w:rPr>
              <w:t>T</w:t>
            </w:r>
            <w:r w:rsidR="00AA75A4" w:rsidRPr="000F3C8B">
              <w:rPr>
                <w:b/>
                <w:lang w:val="en-AU"/>
              </w:rPr>
              <w:t>OTAL</w:t>
            </w:r>
            <w:r w:rsidR="00242BAC">
              <w:rPr>
                <w:b/>
                <w:lang w:val="en-AU"/>
              </w:rPr>
              <w:t xml:space="preserve"> </w:t>
            </w:r>
            <w:r w:rsidRPr="000F3C8B">
              <w:rPr>
                <w:b/>
                <w:lang w:val="en-AU"/>
              </w:rPr>
              <w:t>(</w:t>
            </w:r>
            <w:r w:rsidR="00BB42D9" w:rsidRPr="000F3C8B">
              <w:rPr>
                <w:b/>
                <w:lang w:val="en-AU"/>
              </w:rPr>
              <w:t>6</w:t>
            </w:r>
            <w:r w:rsidRPr="000F3C8B">
              <w:rPr>
                <w:b/>
                <w:lang w:val="en-AU"/>
              </w:rPr>
              <w:t xml:space="preserve"> studies)</w:t>
            </w:r>
          </w:p>
        </w:tc>
        <w:tc>
          <w:tcPr>
            <w:tcW w:w="1134" w:type="dxa"/>
            <w:tcBorders>
              <w:top w:val="nil"/>
              <w:bottom w:val="single" w:sz="12" w:space="0" w:color="auto"/>
            </w:tcBorders>
            <w:shd w:val="clear" w:color="auto" w:fill="auto"/>
            <w:noWrap/>
          </w:tcPr>
          <w:p w:rsidR="00993D30" w:rsidRPr="000F3C8B" w:rsidRDefault="00993D30" w:rsidP="00196B22">
            <w:pPr>
              <w:pStyle w:val="TableText0"/>
              <w:jc w:val="right"/>
              <w:rPr>
                <w:b/>
                <w:lang w:val="en-AU"/>
              </w:rPr>
            </w:pPr>
            <w:r w:rsidRPr="000F3C8B">
              <w:rPr>
                <w:b/>
                <w:lang w:val="en-AU"/>
              </w:rPr>
              <w:t>1</w:t>
            </w:r>
            <w:r w:rsidR="00BB42D9" w:rsidRPr="000F3C8B">
              <w:rPr>
                <w:b/>
                <w:lang w:val="en-AU"/>
              </w:rPr>
              <w:t>15</w:t>
            </w:r>
            <w:r w:rsidRPr="000F3C8B">
              <w:rPr>
                <w:b/>
                <w:lang w:val="en-AU"/>
              </w:rPr>
              <w:t>1</w:t>
            </w:r>
          </w:p>
        </w:tc>
        <w:tc>
          <w:tcPr>
            <w:tcW w:w="1309" w:type="dxa"/>
            <w:tcBorders>
              <w:top w:val="nil"/>
              <w:bottom w:val="single" w:sz="12" w:space="0" w:color="auto"/>
            </w:tcBorders>
            <w:shd w:val="clear" w:color="auto" w:fill="auto"/>
            <w:noWrap/>
          </w:tcPr>
          <w:p w:rsidR="00993D30" w:rsidRPr="000F3C8B" w:rsidRDefault="00993D30" w:rsidP="00196B22">
            <w:pPr>
              <w:pStyle w:val="TableText0"/>
              <w:jc w:val="right"/>
              <w:rPr>
                <w:b/>
                <w:lang w:val="en-AU"/>
              </w:rPr>
            </w:pPr>
            <w:r w:rsidRPr="000F3C8B">
              <w:rPr>
                <w:b/>
                <w:lang w:val="en-AU"/>
              </w:rPr>
              <w:t>3</w:t>
            </w:r>
            <w:r w:rsidR="00BB42D9" w:rsidRPr="000F3C8B">
              <w:rPr>
                <w:b/>
                <w:lang w:val="en-AU"/>
              </w:rPr>
              <w:t>5</w:t>
            </w:r>
          </w:p>
        </w:tc>
        <w:tc>
          <w:tcPr>
            <w:tcW w:w="1690" w:type="dxa"/>
            <w:tcBorders>
              <w:top w:val="nil"/>
              <w:bottom w:val="single" w:sz="12" w:space="0" w:color="auto"/>
            </w:tcBorders>
            <w:shd w:val="clear" w:color="auto" w:fill="auto"/>
          </w:tcPr>
          <w:p w:rsidR="00993D30" w:rsidRPr="000F3C8B" w:rsidRDefault="00BB42D9" w:rsidP="00196B22">
            <w:pPr>
              <w:pStyle w:val="TableText0"/>
              <w:jc w:val="right"/>
              <w:rPr>
                <w:b/>
                <w:lang w:val="en-AU"/>
              </w:rPr>
            </w:pPr>
            <w:r w:rsidRPr="000F3C8B">
              <w:rPr>
                <w:b/>
                <w:lang w:val="en-AU"/>
              </w:rPr>
              <w:t>3</w:t>
            </w:r>
            <w:r w:rsidR="00993D30" w:rsidRPr="000F3C8B">
              <w:rPr>
                <w:b/>
                <w:lang w:val="en-AU"/>
              </w:rPr>
              <w:t>.</w:t>
            </w:r>
            <w:r w:rsidR="003F1391" w:rsidRPr="000F3C8B">
              <w:rPr>
                <w:b/>
                <w:lang w:val="en-AU"/>
              </w:rPr>
              <w:t>0</w:t>
            </w:r>
          </w:p>
        </w:tc>
      </w:tr>
    </w:tbl>
    <w:p w:rsidR="000D3EF2" w:rsidRDefault="000D3EF2" w:rsidP="000D3EF2">
      <w:pPr>
        <w:pStyle w:val="TableNotes"/>
        <w:rPr>
          <w:rFonts w:cs="Calibri"/>
          <w:color w:val="000000"/>
          <w:lang w:val="en-AU" w:eastAsia="en-US"/>
        </w:rPr>
      </w:pPr>
      <w:r w:rsidRPr="000D3EF2">
        <w:rPr>
          <w:rFonts w:cs="Calibri"/>
          <w:color w:val="000000"/>
          <w:lang w:eastAsia="en-US"/>
        </w:rPr>
        <w:t>a  Intra-procedural events.</w:t>
      </w:r>
    </w:p>
    <w:p w:rsidR="00DC6E10" w:rsidRPr="000D3EF2" w:rsidRDefault="000D3EF2" w:rsidP="000D3EF2">
      <w:pPr>
        <w:pStyle w:val="TableNotes"/>
        <w:rPr>
          <w:rFonts w:cs="Calibri"/>
          <w:color w:val="000000"/>
          <w:lang w:eastAsia="en-US"/>
        </w:rPr>
      </w:pPr>
      <w:proofErr w:type="gramStart"/>
      <w:r>
        <w:rPr>
          <w:rFonts w:cs="Calibri"/>
          <w:color w:val="000000"/>
          <w:lang w:val="en-AU" w:eastAsia="en-US"/>
        </w:rPr>
        <w:t>b</w:t>
      </w:r>
      <w:r w:rsidRPr="000D3EF2">
        <w:rPr>
          <w:rFonts w:cs="Calibri"/>
          <w:color w:val="000000"/>
          <w:lang w:eastAsia="en-US"/>
        </w:rPr>
        <w:t xml:space="preserve"> </w:t>
      </w:r>
      <w:r>
        <w:rPr>
          <w:rFonts w:cs="Calibri"/>
          <w:color w:val="000000"/>
          <w:lang w:val="en-AU" w:eastAsia="en-US"/>
        </w:rPr>
        <w:t xml:space="preserve"> </w:t>
      </w:r>
      <w:r w:rsidRPr="000D3EF2">
        <w:rPr>
          <w:rFonts w:cs="Calibri"/>
          <w:color w:val="000000"/>
          <w:lang w:eastAsia="en-US"/>
        </w:rPr>
        <w:t>N</w:t>
      </w:r>
      <w:proofErr w:type="gramEnd"/>
      <w:r>
        <w:rPr>
          <w:rFonts w:cs="Calibri"/>
          <w:color w:val="000000"/>
          <w:lang w:val="en-AU" w:eastAsia="en-US"/>
        </w:rPr>
        <w:t xml:space="preserve"> b</w:t>
      </w:r>
      <w:r w:rsidRPr="000D3EF2">
        <w:rPr>
          <w:rFonts w:cs="Calibri"/>
          <w:color w:val="000000"/>
          <w:lang w:eastAsia="en-US"/>
        </w:rPr>
        <w:t>ased on number of stenting procedures or attempts performed.</w:t>
      </w:r>
      <w:r w:rsidRPr="000D3EF2">
        <w:rPr>
          <w:rFonts w:cs="Calibri"/>
          <w:color w:val="000000"/>
          <w:lang w:eastAsia="en-US"/>
        </w:rPr>
        <w:br/>
        <w:t>N: Based on all patients for whom safety data are reported, regardless of number of patients enrolled in a study, or their technical/clinical success. In some cases, the number of stenting attempts or procedures performed has been considered as the denominator instead of the number of patients.</w:t>
      </w:r>
      <w:r w:rsidRPr="000D3EF2">
        <w:rPr>
          <w:rFonts w:cs="Calibri"/>
          <w:color w:val="000000"/>
          <w:lang w:eastAsia="en-US"/>
        </w:rPr>
        <w:br/>
      </w:r>
    </w:p>
    <w:p w:rsidR="00DC6E10" w:rsidRPr="00965DBA" w:rsidRDefault="001A025D" w:rsidP="00041D5E">
      <w:pPr>
        <w:pStyle w:val="Heading4"/>
      </w:pPr>
      <w:r w:rsidRPr="00965DBA">
        <w:lastRenderedPageBreak/>
        <w:t>Bleeding events</w:t>
      </w:r>
    </w:p>
    <w:p w:rsidR="00AA3A81" w:rsidRPr="00B1508A" w:rsidRDefault="00456880" w:rsidP="00041D5E">
      <w:r w:rsidRPr="009E5C53">
        <w:t>Overall</w:t>
      </w:r>
      <w:r w:rsidR="00585179" w:rsidRPr="00E2422F">
        <w:t>,</w:t>
      </w:r>
      <w:r w:rsidRPr="00892811">
        <w:t xml:space="preserve"> </w:t>
      </w:r>
      <w:r w:rsidR="00A82A6F" w:rsidRPr="008978EE">
        <w:t>19</w:t>
      </w:r>
      <w:r w:rsidRPr="008978EE">
        <w:t xml:space="preserve"> studies reported </w:t>
      </w:r>
      <w:r w:rsidR="00A82A6F" w:rsidRPr="00A30BA9">
        <w:t>72</w:t>
      </w:r>
      <w:r w:rsidR="00AA3A81" w:rsidRPr="005646B6">
        <w:t xml:space="preserve"> </w:t>
      </w:r>
      <w:r w:rsidRPr="00003831">
        <w:t xml:space="preserve">bleeding events among </w:t>
      </w:r>
      <w:r w:rsidR="00A82A6F" w:rsidRPr="00A87C52">
        <w:t xml:space="preserve">2813 </w:t>
      </w:r>
      <w:r w:rsidRPr="00DF686C">
        <w:t xml:space="preserve">patients </w:t>
      </w:r>
      <w:r w:rsidR="00EC5FC0">
        <w:t>(</w:t>
      </w:r>
      <w:r w:rsidR="00AA3A81" w:rsidRPr="007D0320">
        <w:t>occurrence</w:t>
      </w:r>
      <w:r w:rsidRPr="00965DBA">
        <w:t xml:space="preserve"> rate of 2.</w:t>
      </w:r>
      <w:r w:rsidR="00A82A6F" w:rsidRPr="00F13A5A">
        <w:t>6</w:t>
      </w:r>
      <w:r w:rsidR="00EC5FC0">
        <w:t>%;</w:t>
      </w:r>
      <w:r w:rsidR="0064704D" w:rsidRPr="00BE3EA8">
        <w:t xml:space="preserve"> range 0-1</w:t>
      </w:r>
      <w:r w:rsidR="00A82A6F" w:rsidRPr="00A3741F">
        <w:t>6</w:t>
      </w:r>
      <w:r w:rsidR="0064704D" w:rsidRPr="00F2707B">
        <w:t>.</w:t>
      </w:r>
      <w:r w:rsidR="00A82A6F" w:rsidRPr="00F2707B">
        <w:t>1</w:t>
      </w:r>
      <w:r w:rsidR="0064704D" w:rsidRPr="00F2707B">
        <w:t>%)</w:t>
      </w:r>
      <w:r w:rsidR="00FA34AF">
        <w:t xml:space="preserve"> </w:t>
      </w:r>
      <w:proofErr w:type="gramStart"/>
      <w:r w:rsidR="00FA34AF">
        <w:t>(</w:t>
      </w:r>
      <w:r w:rsidR="006F654A">
        <w:t xml:space="preserve">See </w:t>
      </w:r>
      <w:r w:rsidR="00FA34AF">
        <w:fldChar w:fldCharType="begin"/>
      </w:r>
      <w:r w:rsidR="00FA34AF">
        <w:instrText xml:space="preserve"> REF _Ref324948006 \h </w:instrText>
      </w:r>
      <w:r w:rsidR="00FA34AF">
        <w:fldChar w:fldCharType="separate"/>
      </w:r>
      <w:r w:rsidR="0071544A">
        <w:t xml:space="preserve">Table </w:t>
      </w:r>
      <w:r w:rsidR="0071544A">
        <w:rPr>
          <w:noProof/>
        </w:rPr>
        <w:t>39</w:t>
      </w:r>
      <w:r w:rsidR="00FA34AF">
        <w:fldChar w:fldCharType="end"/>
      </w:r>
      <w:r w:rsidR="00FA34AF">
        <w:t>)</w:t>
      </w:r>
      <w:r w:rsidR="0064704D" w:rsidRPr="00F2707B">
        <w:t>.</w:t>
      </w:r>
      <w:proofErr w:type="gramEnd"/>
      <w:r w:rsidR="0064704D" w:rsidRPr="00F2707B">
        <w:t xml:space="preserve"> </w:t>
      </w:r>
      <w:r w:rsidR="00AA3A81" w:rsidRPr="00F2707B">
        <w:t>This includes a</w:t>
      </w:r>
      <w:r w:rsidR="00673061" w:rsidRPr="00F2707B">
        <w:t>n incidence of h</w:t>
      </w:r>
      <w:r w:rsidR="00EC5FC0">
        <w:t>a</w:t>
      </w:r>
      <w:r w:rsidR="00AA3A81" w:rsidRPr="00154934">
        <w:t xml:space="preserve">ematoma </w:t>
      </w:r>
      <w:r w:rsidR="00673061" w:rsidRPr="00154934">
        <w:t xml:space="preserve">which </w:t>
      </w:r>
      <w:r w:rsidR="00AA3A81" w:rsidRPr="008F42F9">
        <w:t xml:space="preserve">occurred </w:t>
      </w:r>
      <w:r w:rsidR="00585179" w:rsidRPr="008F42F9">
        <w:t>seven</w:t>
      </w:r>
      <w:r w:rsidR="00AA3A81" w:rsidRPr="008F42F9">
        <w:t xml:space="preserve"> days after the </w:t>
      </w:r>
      <w:r w:rsidR="00673061" w:rsidRPr="008F42F9">
        <w:t>intervention</w:t>
      </w:r>
      <w:r w:rsidR="00C24B9B" w:rsidRPr="008F42F9">
        <w:t>. It i</w:t>
      </w:r>
      <w:r w:rsidR="00AA3A81" w:rsidRPr="00325C69">
        <w:t xml:space="preserve">s noted </w:t>
      </w:r>
      <w:r w:rsidR="00673061" w:rsidRPr="007D5B7C">
        <w:t xml:space="preserve">that out </w:t>
      </w:r>
      <w:r w:rsidR="00AA3A81" w:rsidRPr="007D5B7C">
        <w:t xml:space="preserve">of the </w:t>
      </w:r>
      <w:r w:rsidR="00A82A6F" w:rsidRPr="007D5B7C">
        <w:t xml:space="preserve">72 </w:t>
      </w:r>
      <w:r w:rsidR="00AA3A81" w:rsidRPr="007D5B7C">
        <w:t>total bleeding events</w:t>
      </w:r>
      <w:r w:rsidR="00585179" w:rsidRPr="007D5B7C">
        <w:t>,</w:t>
      </w:r>
      <w:r w:rsidR="0064704D" w:rsidRPr="007D5B7C">
        <w:t xml:space="preserve"> </w:t>
      </w:r>
      <w:r w:rsidR="00A82A6F" w:rsidRPr="007D5B7C">
        <w:t xml:space="preserve">56 </w:t>
      </w:r>
      <w:r w:rsidR="0064704D" w:rsidRPr="00960A9E">
        <w:t>events</w:t>
      </w:r>
      <w:r w:rsidR="00673061" w:rsidRPr="00EA2600">
        <w:t xml:space="preserve"> </w:t>
      </w:r>
      <w:r w:rsidR="00AA3A81" w:rsidRPr="00EA2600">
        <w:t>(</w:t>
      </w:r>
      <w:r w:rsidR="00A82A6F" w:rsidRPr="00EA2600">
        <w:t>78</w:t>
      </w:r>
      <w:r w:rsidR="00AA3A81" w:rsidRPr="00EC591E">
        <w:t>%)</w:t>
      </w:r>
      <w:r w:rsidR="0064704D" w:rsidRPr="00EC591E">
        <w:t xml:space="preserve"> were mild to moderate which resolved spontaneously</w:t>
      </w:r>
      <w:r w:rsidR="007C1053" w:rsidRPr="00430AA8">
        <w:t xml:space="preserve"> or with conservative management</w:t>
      </w:r>
      <w:r w:rsidR="0064704D" w:rsidRPr="00347DAA">
        <w:t xml:space="preserve">. </w:t>
      </w:r>
      <w:r w:rsidR="00F14557" w:rsidRPr="009672A9">
        <w:t>Mi</w:t>
      </w:r>
      <w:r w:rsidR="007576C6" w:rsidRPr="009672A9">
        <w:t>ld bleeding events (64) include</w:t>
      </w:r>
      <w:r w:rsidR="00EC5FC0">
        <w:t>d</w:t>
      </w:r>
      <w:r w:rsidR="00F14557" w:rsidRPr="00584C29">
        <w:t xml:space="preserve"> 14 events of </w:t>
      </w:r>
      <w:r w:rsidR="00673061" w:rsidRPr="00584C29">
        <w:t>h</w:t>
      </w:r>
      <w:r w:rsidR="00EC5FC0">
        <w:t>a</w:t>
      </w:r>
      <w:r w:rsidR="00F14557" w:rsidRPr="00DA0155">
        <w:t xml:space="preserve">ematochezia </w:t>
      </w:r>
      <w:r w:rsidR="004E6820">
        <w:t>(</w:t>
      </w:r>
      <w:r w:rsidR="00F14557" w:rsidRPr="00DA0155">
        <w:t>1</w:t>
      </w:r>
      <w:r w:rsidR="00A82A6F" w:rsidRPr="00CF31D5">
        <w:t>9</w:t>
      </w:r>
      <w:r w:rsidR="00F14557" w:rsidRPr="00A550ED">
        <w:t>.</w:t>
      </w:r>
      <w:r w:rsidR="00A82A6F" w:rsidRPr="0055406F">
        <w:t>4</w:t>
      </w:r>
      <w:r w:rsidR="00B463D8">
        <w:t xml:space="preserve"> per cent</w:t>
      </w:r>
      <w:r w:rsidR="00F14557" w:rsidRPr="004C658D">
        <w:t xml:space="preserve"> of all bleeding ev</w:t>
      </w:r>
      <w:r w:rsidR="00F14557" w:rsidRPr="00B1508A">
        <w:t>ents</w:t>
      </w:r>
      <w:r w:rsidR="004E6820">
        <w:t>)</w:t>
      </w:r>
      <w:r w:rsidR="00F14557" w:rsidRPr="00B1508A">
        <w:t xml:space="preserve">. </w:t>
      </w:r>
      <w:r w:rsidR="004E6820">
        <w:t>The o</w:t>
      </w:r>
      <w:r w:rsidR="00F14557" w:rsidRPr="00B1508A">
        <w:t xml:space="preserve">ccurrence rate of </w:t>
      </w:r>
      <w:r w:rsidR="004E6820">
        <w:t>ha</w:t>
      </w:r>
      <w:r w:rsidR="004E6820" w:rsidRPr="00B1508A">
        <w:t xml:space="preserve">ematochezia </w:t>
      </w:r>
      <w:r w:rsidR="00F14557" w:rsidRPr="00B1508A">
        <w:t>was 3.6</w:t>
      </w:r>
      <w:r w:rsidR="00B463D8">
        <w:t xml:space="preserve"> per cent</w:t>
      </w:r>
      <w:r w:rsidR="00F14557" w:rsidRPr="00B1508A">
        <w:t xml:space="preserve"> (n=386). </w:t>
      </w:r>
    </w:p>
    <w:p w:rsidR="007F0849" w:rsidRPr="00A32225" w:rsidRDefault="00C24B9B" w:rsidP="00041D5E">
      <w:r w:rsidRPr="00B1508A">
        <w:t>It i</w:t>
      </w:r>
      <w:r w:rsidR="00002A36" w:rsidRPr="001949E9">
        <w:t>s noted that</w:t>
      </w:r>
      <w:r w:rsidR="00F14557" w:rsidRPr="001949E9">
        <w:t xml:space="preserve"> </w:t>
      </w:r>
      <w:r w:rsidR="00002A36" w:rsidRPr="00286445">
        <w:t xml:space="preserve">some studies </w:t>
      </w:r>
      <w:r w:rsidR="00AD68A3" w:rsidRPr="00AD68A3">
        <w:t xml:space="preserve">only </w:t>
      </w:r>
      <w:r w:rsidR="00002A36" w:rsidRPr="00286445">
        <w:t>reported on incidences</w:t>
      </w:r>
      <w:r w:rsidR="00673061" w:rsidRPr="00CD21F6">
        <w:t xml:space="preserve"> which needed blood tran</w:t>
      </w:r>
      <w:r w:rsidR="00002A36" w:rsidRPr="00361416">
        <w:t>sf</w:t>
      </w:r>
      <w:r w:rsidR="00673061" w:rsidRPr="00361416">
        <w:t xml:space="preserve">usion (Young et al 2011). As </w:t>
      </w:r>
      <w:r w:rsidR="00002A36" w:rsidRPr="0086082D">
        <w:t xml:space="preserve">such, </w:t>
      </w:r>
      <w:r w:rsidR="00673061" w:rsidRPr="0072092E">
        <w:t>the total incidence</w:t>
      </w:r>
      <w:r w:rsidR="00002A36" w:rsidRPr="0072092E">
        <w:t xml:space="preserve"> of</w:t>
      </w:r>
      <w:r w:rsidR="004E6820">
        <w:t xml:space="preserve"> </w:t>
      </w:r>
      <w:r w:rsidR="00D06AF9">
        <w:t>post-operative</w:t>
      </w:r>
      <w:r w:rsidR="00002A36" w:rsidRPr="0072092E">
        <w:t xml:space="preserve"> bleeding </w:t>
      </w:r>
      <w:r w:rsidR="00F14557" w:rsidRPr="0099516A">
        <w:t xml:space="preserve">may </w:t>
      </w:r>
      <w:r w:rsidR="00F14557" w:rsidRPr="00A84480">
        <w:t>be</w:t>
      </w:r>
      <w:r w:rsidR="00002A36" w:rsidRPr="00186148">
        <w:t xml:space="preserve"> </w:t>
      </w:r>
      <w:r w:rsidR="004E6820">
        <w:t xml:space="preserve">greater </w:t>
      </w:r>
      <w:r w:rsidR="00002A36" w:rsidRPr="00186148">
        <w:t xml:space="preserve">than what </w:t>
      </w:r>
      <w:r w:rsidR="004E6820">
        <w:t>has been</w:t>
      </w:r>
      <w:r w:rsidR="00002A36" w:rsidRPr="00186148">
        <w:t xml:space="preserve"> calculated here. </w:t>
      </w:r>
    </w:p>
    <w:p w:rsidR="00B03ABA" w:rsidRPr="00BB3C05" w:rsidRDefault="00FA34AF" w:rsidP="00FA34AF">
      <w:pPr>
        <w:pStyle w:val="Caption"/>
      </w:pPr>
      <w:bookmarkStart w:id="184" w:name="_Ref324948006"/>
      <w:bookmarkStart w:id="185" w:name="_Toc327522083"/>
      <w:r>
        <w:t xml:space="preserve">Table </w:t>
      </w:r>
      <w:fldSimple w:instr=" SEQ Table \* ARABIC ">
        <w:r w:rsidR="0071544A">
          <w:rPr>
            <w:noProof/>
          </w:rPr>
          <w:t>39</w:t>
        </w:r>
      </w:fldSimple>
      <w:bookmarkEnd w:id="184"/>
      <w:r w:rsidR="007F0849" w:rsidRPr="00367FF6">
        <w:tab/>
      </w:r>
      <w:r w:rsidR="00D14AC6" w:rsidRPr="00C71844">
        <w:t>S</w:t>
      </w:r>
      <w:r w:rsidR="00AA3A81" w:rsidRPr="00C71844">
        <w:t xml:space="preserve">ummary of </w:t>
      </w:r>
      <w:r w:rsidR="007C1053" w:rsidRPr="001166E9">
        <w:t xml:space="preserve">bleeding </w:t>
      </w:r>
      <w:r w:rsidR="00AA3A81" w:rsidRPr="001166E9">
        <w:t>events reported by included primary studies</w:t>
      </w:r>
      <w:bookmarkEnd w:id="185"/>
    </w:p>
    <w:tbl>
      <w:tblPr>
        <w:tblW w:w="6089" w:type="dxa"/>
        <w:tblInd w:w="720" w:type="dxa"/>
        <w:tblLook w:val="04A0" w:firstRow="1" w:lastRow="0" w:firstColumn="1" w:lastColumn="0" w:noHBand="0" w:noVBand="1"/>
      </w:tblPr>
      <w:tblGrid>
        <w:gridCol w:w="2698"/>
        <w:gridCol w:w="872"/>
        <w:gridCol w:w="1086"/>
        <w:gridCol w:w="1433"/>
      </w:tblGrid>
      <w:tr w:rsidR="00002A36" w:rsidRPr="00965DBA" w:rsidTr="00B91306">
        <w:trPr>
          <w:trHeight w:val="264"/>
        </w:trPr>
        <w:tc>
          <w:tcPr>
            <w:tcW w:w="2698" w:type="dxa"/>
            <w:tcBorders>
              <w:top w:val="single" w:sz="12" w:space="0" w:color="auto"/>
              <w:bottom w:val="single" w:sz="4" w:space="0" w:color="auto"/>
            </w:tcBorders>
            <w:shd w:val="clear" w:color="auto" w:fill="auto"/>
            <w:noWrap/>
            <w:hideMark/>
          </w:tcPr>
          <w:p w:rsidR="00002A36" w:rsidRPr="00965DBA" w:rsidRDefault="00002A36" w:rsidP="000D3EF2">
            <w:pPr>
              <w:pStyle w:val="TableHeading0"/>
            </w:pPr>
            <w:r w:rsidRPr="00965DBA">
              <w:t>Author</w:t>
            </w:r>
          </w:p>
        </w:tc>
        <w:tc>
          <w:tcPr>
            <w:tcW w:w="872" w:type="dxa"/>
            <w:tcBorders>
              <w:top w:val="single" w:sz="12" w:space="0" w:color="auto"/>
              <w:bottom w:val="single" w:sz="4" w:space="0" w:color="auto"/>
            </w:tcBorders>
            <w:shd w:val="clear" w:color="auto" w:fill="auto"/>
            <w:noWrap/>
            <w:hideMark/>
          </w:tcPr>
          <w:p w:rsidR="00002A36" w:rsidRPr="00965DBA" w:rsidRDefault="00002A36" w:rsidP="000D3EF2">
            <w:pPr>
              <w:pStyle w:val="TableHeading0"/>
              <w:jc w:val="right"/>
            </w:pPr>
            <w:r w:rsidRPr="00965DBA">
              <w:t>N</w:t>
            </w:r>
          </w:p>
        </w:tc>
        <w:tc>
          <w:tcPr>
            <w:tcW w:w="1086" w:type="dxa"/>
            <w:tcBorders>
              <w:top w:val="single" w:sz="12" w:space="0" w:color="auto"/>
              <w:bottom w:val="single" w:sz="4" w:space="0" w:color="auto"/>
            </w:tcBorders>
            <w:shd w:val="clear" w:color="auto" w:fill="auto"/>
            <w:noWrap/>
            <w:hideMark/>
          </w:tcPr>
          <w:p w:rsidR="00002A36" w:rsidRPr="00965DBA" w:rsidRDefault="00C72B95" w:rsidP="000D3EF2">
            <w:pPr>
              <w:pStyle w:val="TableHeading0"/>
              <w:jc w:val="right"/>
            </w:pPr>
            <w:r w:rsidRPr="00965DBA">
              <w:t xml:space="preserve">Bleeding events </w:t>
            </w:r>
            <w:r w:rsidR="00242BAC">
              <w:t>(</w:t>
            </w:r>
            <w:r w:rsidR="00002A36" w:rsidRPr="00965DBA">
              <w:t>n</w:t>
            </w:r>
            <w:r w:rsidR="00242BAC">
              <w:t>)</w:t>
            </w:r>
          </w:p>
        </w:tc>
        <w:tc>
          <w:tcPr>
            <w:tcW w:w="1433" w:type="dxa"/>
            <w:tcBorders>
              <w:top w:val="single" w:sz="12" w:space="0" w:color="auto"/>
              <w:bottom w:val="single" w:sz="4" w:space="0" w:color="auto"/>
            </w:tcBorders>
            <w:shd w:val="clear" w:color="auto" w:fill="auto"/>
            <w:noWrap/>
            <w:hideMark/>
          </w:tcPr>
          <w:p w:rsidR="00002A36" w:rsidRPr="00965DBA" w:rsidRDefault="00002A36" w:rsidP="000D3EF2">
            <w:pPr>
              <w:pStyle w:val="TableHeading0"/>
              <w:jc w:val="right"/>
            </w:pPr>
            <w:r w:rsidRPr="00965DBA">
              <w:t>Occurrence (%)</w:t>
            </w:r>
          </w:p>
        </w:tc>
      </w:tr>
      <w:tr w:rsidR="00F14557" w:rsidRPr="00965DBA" w:rsidTr="00B91306">
        <w:trPr>
          <w:trHeight w:val="264"/>
        </w:trPr>
        <w:tc>
          <w:tcPr>
            <w:tcW w:w="2698" w:type="dxa"/>
            <w:tcBorders>
              <w:top w:val="single" w:sz="4" w:space="0" w:color="auto"/>
            </w:tcBorders>
            <w:shd w:val="clear" w:color="auto" w:fill="auto"/>
            <w:noWrap/>
          </w:tcPr>
          <w:p w:rsidR="00F14557" w:rsidRPr="000F3C8B" w:rsidRDefault="00F14557" w:rsidP="000D3EF2">
            <w:pPr>
              <w:pStyle w:val="TableText0"/>
              <w:rPr>
                <w:lang w:val="en-AU"/>
              </w:rPr>
            </w:pPr>
            <w:r w:rsidRPr="000F3C8B">
              <w:rPr>
                <w:lang w:val="en-AU"/>
              </w:rPr>
              <w:t xml:space="preserve">De Gregorio et al </w:t>
            </w:r>
            <w:r w:rsidR="00AD68A3" w:rsidRPr="000F3C8B">
              <w:rPr>
                <w:lang w:val="en-AU"/>
              </w:rPr>
              <w:t>(</w:t>
            </w:r>
            <w:r w:rsidRPr="000F3C8B">
              <w:rPr>
                <w:lang w:val="en-AU"/>
              </w:rPr>
              <w:t>2011</w:t>
            </w:r>
            <w:r w:rsidR="00AD68A3" w:rsidRPr="000F3C8B">
              <w:rPr>
                <w:lang w:val="en-AU"/>
              </w:rPr>
              <w:t>)</w:t>
            </w:r>
          </w:p>
        </w:tc>
        <w:tc>
          <w:tcPr>
            <w:tcW w:w="872" w:type="dxa"/>
            <w:tcBorders>
              <w:top w:val="single" w:sz="4" w:space="0" w:color="auto"/>
            </w:tcBorders>
            <w:shd w:val="clear" w:color="auto" w:fill="auto"/>
            <w:noWrap/>
          </w:tcPr>
          <w:p w:rsidR="00F14557" w:rsidRPr="000F3C8B" w:rsidRDefault="00F14557" w:rsidP="000D3EF2">
            <w:pPr>
              <w:pStyle w:val="TableText0"/>
              <w:jc w:val="right"/>
              <w:rPr>
                <w:lang w:val="en-AU"/>
              </w:rPr>
            </w:pPr>
            <w:r w:rsidRPr="000F3C8B">
              <w:rPr>
                <w:lang w:val="en-AU"/>
              </w:rPr>
              <w:t>467</w:t>
            </w:r>
          </w:p>
        </w:tc>
        <w:tc>
          <w:tcPr>
            <w:tcW w:w="1086" w:type="dxa"/>
            <w:tcBorders>
              <w:top w:val="single" w:sz="4" w:space="0" w:color="auto"/>
            </w:tcBorders>
            <w:shd w:val="clear" w:color="auto" w:fill="auto"/>
            <w:noWrap/>
          </w:tcPr>
          <w:p w:rsidR="00F14557" w:rsidRPr="000F3C8B" w:rsidRDefault="000D3EF2" w:rsidP="000D3EF2">
            <w:pPr>
              <w:pStyle w:val="TableText0"/>
              <w:jc w:val="right"/>
              <w:rPr>
                <w:lang w:val="en-AU"/>
              </w:rPr>
            </w:pPr>
            <w:r>
              <w:rPr>
                <w:lang w:val="en-AU"/>
              </w:rPr>
              <w:t>16</w:t>
            </w:r>
            <w:r w:rsidRPr="00B91306">
              <w:rPr>
                <w:vertAlign w:val="superscript"/>
                <w:lang w:val="en-AU"/>
              </w:rPr>
              <w:t>a</w:t>
            </w:r>
          </w:p>
        </w:tc>
        <w:tc>
          <w:tcPr>
            <w:tcW w:w="1433" w:type="dxa"/>
            <w:tcBorders>
              <w:top w:val="single" w:sz="4" w:space="0" w:color="auto"/>
            </w:tcBorders>
            <w:shd w:val="clear" w:color="auto" w:fill="auto"/>
            <w:noWrap/>
          </w:tcPr>
          <w:p w:rsidR="00F14557" w:rsidRPr="000F3C8B" w:rsidRDefault="00F14557" w:rsidP="000D3EF2">
            <w:pPr>
              <w:pStyle w:val="TableText0"/>
              <w:jc w:val="right"/>
              <w:rPr>
                <w:lang w:val="en-AU"/>
              </w:rPr>
            </w:pPr>
            <w:r w:rsidRPr="000F3C8B">
              <w:rPr>
                <w:lang w:val="en-AU"/>
              </w:rPr>
              <w:t>3.4</w:t>
            </w:r>
          </w:p>
        </w:tc>
      </w:tr>
      <w:tr w:rsidR="00F14557" w:rsidRPr="00965DBA" w:rsidTr="00B91306">
        <w:trPr>
          <w:trHeight w:val="264"/>
        </w:trPr>
        <w:tc>
          <w:tcPr>
            <w:tcW w:w="2698" w:type="dxa"/>
            <w:shd w:val="clear" w:color="auto" w:fill="auto"/>
            <w:noWrap/>
          </w:tcPr>
          <w:p w:rsidR="00F14557" w:rsidRPr="000F3C8B" w:rsidRDefault="00F14557" w:rsidP="000D3EF2">
            <w:pPr>
              <w:pStyle w:val="TableText0"/>
              <w:rPr>
                <w:lang w:val="en-AU"/>
              </w:rPr>
            </w:pPr>
            <w:r w:rsidRPr="000F3C8B">
              <w:rPr>
                <w:lang w:val="en-AU"/>
              </w:rPr>
              <w:t xml:space="preserve">Karanen et al </w:t>
            </w:r>
            <w:r w:rsidR="00AD68A3" w:rsidRPr="000F3C8B">
              <w:rPr>
                <w:lang w:val="en-AU"/>
              </w:rPr>
              <w:t>(</w:t>
            </w:r>
            <w:r w:rsidRPr="000F3C8B">
              <w:rPr>
                <w:lang w:val="en-AU"/>
              </w:rPr>
              <w:t>2011</w:t>
            </w:r>
            <w:r w:rsidR="00AD68A3" w:rsidRPr="000F3C8B">
              <w:rPr>
                <w:lang w:val="en-AU"/>
              </w:rPr>
              <w:t>)</w:t>
            </w:r>
          </w:p>
        </w:tc>
        <w:tc>
          <w:tcPr>
            <w:tcW w:w="872" w:type="dxa"/>
            <w:shd w:val="clear" w:color="auto" w:fill="auto"/>
            <w:noWrap/>
          </w:tcPr>
          <w:p w:rsidR="00F14557" w:rsidRPr="000F3C8B" w:rsidRDefault="00F14557" w:rsidP="000D3EF2">
            <w:pPr>
              <w:pStyle w:val="TableText0"/>
              <w:jc w:val="right"/>
              <w:rPr>
                <w:lang w:val="en-AU"/>
              </w:rPr>
            </w:pPr>
            <w:r w:rsidRPr="000F3C8B">
              <w:rPr>
                <w:lang w:val="en-AU"/>
              </w:rPr>
              <w:t>100</w:t>
            </w:r>
          </w:p>
        </w:tc>
        <w:tc>
          <w:tcPr>
            <w:tcW w:w="1086" w:type="dxa"/>
            <w:shd w:val="clear" w:color="auto" w:fill="auto"/>
            <w:noWrap/>
          </w:tcPr>
          <w:p w:rsidR="00F14557" w:rsidRPr="000F3C8B" w:rsidRDefault="00F14557" w:rsidP="000D3EF2">
            <w:pPr>
              <w:pStyle w:val="TableText0"/>
              <w:jc w:val="right"/>
              <w:rPr>
                <w:lang w:val="en-AU"/>
              </w:rPr>
            </w:pPr>
            <w:r w:rsidRPr="000F3C8B">
              <w:rPr>
                <w:lang w:val="en-AU"/>
              </w:rPr>
              <w:t>1</w:t>
            </w:r>
          </w:p>
        </w:tc>
        <w:tc>
          <w:tcPr>
            <w:tcW w:w="1433" w:type="dxa"/>
            <w:shd w:val="clear" w:color="auto" w:fill="auto"/>
            <w:noWrap/>
          </w:tcPr>
          <w:p w:rsidR="00F14557" w:rsidRPr="000F3C8B" w:rsidRDefault="003F1391" w:rsidP="000D3EF2">
            <w:pPr>
              <w:pStyle w:val="TableText0"/>
              <w:jc w:val="right"/>
              <w:rPr>
                <w:lang w:val="en-AU"/>
              </w:rPr>
            </w:pPr>
            <w:r w:rsidRPr="000F3C8B">
              <w:rPr>
                <w:lang w:val="en-AU"/>
              </w:rPr>
              <w:t>1.0</w:t>
            </w:r>
          </w:p>
        </w:tc>
      </w:tr>
      <w:tr w:rsidR="00F14557" w:rsidRPr="00965DBA" w:rsidTr="00B91306">
        <w:trPr>
          <w:trHeight w:val="264"/>
        </w:trPr>
        <w:tc>
          <w:tcPr>
            <w:tcW w:w="2698" w:type="dxa"/>
            <w:shd w:val="clear" w:color="auto" w:fill="auto"/>
            <w:noWrap/>
          </w:tcPr>
          <w:p w:rsidR="00F14557" w:rsidRPr="000F3C8B" w:rsidRDefault="00F14557" w:rsidP="000D3EF2">
            <w:pPr>
              <w:pStyle w:val="TableText0"/>
              <w:rPr>
                <w:lang w:val="en-AU"/>
              </w:rPr>
            </w:pPr>
            <w:r w:rsidRPr="000F3C8B">
              <w:rPr>
                <w:lang w:val="en-AU"/>
              </w:rPr>
              <w:t xml:space="preserve">Lepsenyi et al </w:t>
            </w:r>
            <w:r w:rsidR="00AD68A3" w:rsidRPr="000F3C8B">
              <w:rPr>
                <w:lang w:val="en-AU"/>
              </w:rPr>
              <w:t>(</w:t>
            </w:r>
            <w:r w:rsidRPr="000F3C8B">
              <w:rPr>
                <w:lang w:val="en-AU"/>
              </w:rPr>
              <w:t>2011</w:t>
            </w:r>
            <w:r w:rsidR="00AD68A3" w:rsidRPr="000F3C8B">
              <w:rPr>
                <w:lang w:val="en-AU"/>
              </w:rPr>
              <w:t>)</w:t>
            </w:r>
          </w:p>
        </w:tc>
        <w:tc>
          <w:tcPr>
            <w:tcW w:w="872" w:type="dxa"/>
            <w:shd w:val="clear" w:color="auto" w:fill="auto"/>
            <w:noWrap/>
          </w:tcPr>
          <w:p w:rsidR="00F14557" w:rsidRPr="000F3C8B" w:rsidRDefault="000D3EF2" w:rsidP="000D3EF2">
            <w:pPr>
              <w:pStyle w:val="TableText0"/>
              <w:jc w:val="right"/>
              <w:rPr>
                <w:lang w:val="en-AU"/>
              </w:rPr>
            </w:pPr>
            <w:r>
              <w:rPr>
                <w:lang w:val="en-AU"/>
              </w:rPr>
              <w:t>65</w:t>
            </w:r>
            <w:r w:rsidRPr="00B91306">
              <w:rPr>
                <w:vertAlign w:val="superscript"/>
                <w:lang w:val="en-AU"/>
              </w:rPr>
              <w:t>b</w:t>
            </w:r>
          </w:p>
        </w:tc>
        <w:tc>
          <w:tcPr>
            <w:tcW w:w="1086" w:type="dxa"/>
            <w:shd w:val="clear" w:color="auto" w:fill="auto"/>
            <w:noWrap/>
          </w:tcPr>
          <w:p w:rsidR="00F14557" w:rsidRPr="000F3C8B" w:rsidRDefault="000D3EF2" w:rsidP="000D3EF2">
            <w:pPr>
              <w:pStyle w:val="TableText0"/>
              <w:jc w:val="right"/>
              <w:rPr>
                <w:lang w:val="en-AU"/>
              </w:rPr>
            </w:pPr>
            <w:r>
              <w:rPr>
                <w:lang w:val="en-AU"/>
              </w:rPr>
              <w:t>3</w:t>
            </w:r>
            <w:r w:rsidRPr="00B91306">
              <w:rPr>
                <w:vertAlign w:val="superscript"/>
                <w:lang w:val="en-AU"/>
              </w:rPr>
              <w:t>a</w:t>
            </w:r>
          </w:p>
        </w:tc>
        <w:tc>
          <w:tcPr>
            <w:tcW w:w="1433" w:type="dxa"/>
            <w:shd w:val="clear" w:color="auto" w:fill="auto"/>
            <w:noWrap/>
          </w:tcPr>
          <w:p w:rsidR="00F14557" w:rsidRPr="000F3C8B" w:rsidRDefault="003F1391" w:rsidP="000D3EF2">
            <w:pPr>
              <w:pStyle w:val="TableText0"/>
              <w:jc w:val="right"/>
              <w:rPr>
                <w:lang w:val="en-AU"/>
              </w:rPr>
            </w:pPr>
            <w:r w:rsidRPr="000F3C8B">
              <w:rPr>
                <w:lang w:val="en-AU"/>
              </w:rPr>
              <w:t>4.6</w:t>
            </w:r>
          </w:p>
        </w:tc>
      </w:tr>
      <w:tr w:rsidR="00F14557" w:rsidRPr="00965DBA" w:rsidTr="00B91306">
        <w:trPr>
          <w:trHeight w:val="264"/>
        </w:trPr>
        <w:tc>
          <w:tcPr>
            <w:tcW w:w="2698" w:type="dxa"/>
            <w:shd w:val="clear" w:color="auto" w:fill="auto"/>
            <w:noWrap/>
          </w:tcPr>
          <w:p w:rsidR="00F14557" w:rsidRPr="000F3C8B" w:rsidRDefault="00F14557" w:rsidP="000D3EF2">
            <w:pPr>
              <w:pStyle w:val="TableText0"/>
              <w:rPr>
                <w:lang w:val="en-AU"/>
              </w:rPr>
            </w:pPr>
            <w:r w:rsidRPr="000F3C8B">
              <w:rPr>
                <w:lang w:val="en-AU"/>
              </w:rPr>
              <w:t xml:space="preserve">Meisner et al </w:t>
            </w:r>
            <w:r w:rsidR="00AD68A3" w:rsidRPr="000F3C8B">
              <w:rPr>
                <w:lang w:val="en-AU"/>
              </w:rPr>
              <w:t>(</w:t>
            </w:r>
            <w:r w:rsidRPr="000F3C8B">
              <w:rPr>
                <w:lang w:val="en-AU"/>
              </w:rPr>
              <w:t>2011</w:t>
            </w:r>
            <w:r w:rsidR="00AD68A3" w:rsidRPr="000F3C8B">
              <w:rPr>
                <w:lang w:val="en-AU"/>
              </w:rPr>
              <w:t>)</w:t>
            </w:r>
          </w:p>
        </w:tc>
        <w:tc>
          <w:tcPr>
            <w:tcW w:w="872" w:type="dxa"/>
            <w:shd w:val="clear" w:color="auto" w:fill="auto"/>
            <w:noWrap/>
          </w:tcPr>
          <w:p w:rsidR="00F14557" w:rsidRPr="000F3C8B" w:rsidRDefault="00F14557" w:rsidP="000D3EF2">
            <w:pPr>
              <w:pStyle w:val="TableText0"/>
              <w:jc w:val="right"/>
              <w:rPr>
                <w:lang w:val="en-AU"/>
              </w:rPr>
            </w:pPr>
            <w:r w:rsidRPr="000F3C8B">
              <w:rPr>
                <w:lang w:val="en-AU"/>
              </w:rPr>
              <w:t>382</w:t>
            </w:r>
          </w:p>
        </w:tc>
        <w:tc>
          <w:tcPr>
            <w:tcW w:w="1086" w:type="dxa"/>
            <w:shd w:val="clear" w:color="auto" w:fill="auto"/>
            <w:noWrap/>
          </w:tcPr>
          <w:p w:rsidR="00F14557" w:rsidRPr="000F3C8B" w:rsidRDefault="00F14557" w:rsidP="000D3EF2">
            <w:pPr>
              <w:pStyle w:val="TableText0"/>
              <w:jc w:val="right"/>
              <w:rPr>
                <w:lang w:val="en-AU"/>
              </w:rPr>
            </w:pPr>
            <w:r w:rsidRPr="000F3C8B">
              <w:rPr>
                <w:lang w:val="en-AU"/>
              </w:rPr>
              <w:t>2</w:t>
            </w:r>
          </w:p>
        </w:tc>
        <w:tc>
          <w:tcPr>
            <w:tcW w:w="1433" w:type="dxa"/>
            <w:shd w:val="clear" w:color="auto" w:fill="auto"/>
            <w:noWrap/>
          </w:tcPr>
          <w:p w:rsidR="00F14557" w:rsidRPr="000F3C8B" w:rsidRDefault="003F1391" w:rsidP="000D3EF2">
            <w:pPr>
              <w:pStyle w:val="TableText0"/>
              <w:jc w:val="right"/>
              <w:rPr>
                <w:lang w:val="en-AU"/>
              </w:rPr>
            </w:pPr>
            <w:r w:rsidRPr="000F3C8B">
              <w:rPr>
                <w:lang w:val="en-AU"/>
              </w:rPr>
              <w:t>0.5</w:t>
            </w:r>
          </w:p>
        </w:tc>
      </w:tr>
      <w:tr w:rsidR="00F14557" w:rsidRPr="00965DBA" w:rsidTr="00B91306">
        <w:trPr>
          <w:trHeight w:val="264"/>
        </w:trPr>
        <w:tc>
          <w:tcPr>
            <w:tcW w:w="2698" w:type="dxa"/>
            <w:shd w:val="clear" w:color="auto" w:fill="auto"/>
            <w:noWrap/>
            <w:hideMark/>
          </w:tcPr>
          <w:p w:rsidR="00F14557" w:rsidRPr="000F3C8B" w:rsidRDefault="00F14557" w:rsidP="000D3EF2">
            <w:pPr>
              <w:pStyle w:val="TableText0"/>
              <w:rPr>
                <w:lang w:val="en-AU"/>
              </w:rPr>
            </w:pPr>
            <w:r w:rsidRPr="000F3C8B">
              <w:rPr>
                <w:lang w:val="en-AU"/>
              </w:rPr>
              <w:t xml:space="preserve">Selinger et al </w:t>
            </w:r>
            <w:r w:rsidR="00AD68A3" w:rsidRPr="000F3C8B">
              <w:rPr>
                <w:lang w:val="en-AU"/>
              </w:rPr>
              <w:t>(</w:t>
            </w:r>
            <w:r w:rsidRPr="000F3C8B">
              <w:rPr>
                <w:lang w:val="en-AU"/>
              </w:rPr>
              <w:t>2011</w:t>
            </w:r>
            <w:r w:rsidR="00AD68A3" w:rsidRPr="000F3C8B">
              <w:rPr>
                <w:lang w:val="en-AU"/>
              </w:rPr>
              <w:t>)</w:t>
            </w:r>
          </w:p>
        </w:tc>
        <w:tc>
          <w:tcPr>
            <w:tcW w:w="872" w:type="dxa"/>
            <w:shd w:val="clear" w:color="auto" w:fill="auto"/>
            <w:noWrap/>
            <w:hideMark/>
          </w:tcPr>
          <w:p w:rsidR="00F14557" w:rsidRPr="000F3C8B" w:rsidRDefault="00F14557" w:rsidP="000D3EF2">
            <w:pPr>
              <w:pStyle w:val="TableText0"/>
              <w:jc w:val="right"/>
              <w:rPr>
                <w:lang w:val="en-AU"/>
              </w:rPr>
            </w:pPr>
            <w:r w:rsidRPr="000F3C8B">
              <w:rPr>
                <w:lang w:val="en-AU"/>
              </w:rPr>
              <w:t>80</w:t>
            </w:r>
          </w:p>
        </w:tc>
        <w:tc>
          <w:tcPr>
            <w:tcW w:w="1086" w:type="dxa"/>
            <w:shd w:val="clear" w:color="auto" w:fill="auto"/>
            <w:noWrap/>
          </w:tcPr>
          <w:p w:rsidR="00F14557" w:rsidRPr="000F3C8B" w:rsidRDefault="00F14557" w:rsidP="000D3EF2">
            <w:pPr>
              <w:pStyle w:val="TableText0"/>
              <w:jc w:val="right"/>
              <w:rPr>
                <w:vertAlign w:val="superscript"/>
                <w:lang w:val="en-AU"/>
              </w:rPr>
            </w:pPr>
            <w:r w:rsidRPr="000F3C8B">
              <w:rPr>
                <w:lang w:val="en-AU"/>
              </w:rPr>
              <w:t>2</w:t>
            </w:r>
          </w:p>
        </w:tc>
        <w:tc>
          <w:tcPr>
            <w:tcW w:w="1433" w:type="dxa"/>
            <w:shd w:val="clear" w:color="auto" w:fill="auto"/>
            <w:noWrap/>
          </w:tcPr>
          <w:p w:rsidR="00F14557" w:rsidRPr="000F3C8B" w:rsidRDefault="00F14557" w:rsidP="000D3EF2">
            <w:pPr>
              <w:pStyle w:val="TableText0"/>
              <w:jc w:val="right"/>
              <w:rPr>
                <w:lang w:val="en-AU"/>
              </w:rPr>
            </w:pPr>
            <w:r w:rsidRPr="000F3C8B">
              <w:rPr>
                <w:lang w:val="en-AU"/>
              </w:rPr>
              <w:t>2.5</w:t>
            </w:r>
          </w:p>
        </w:tc>
      </w:tr>
      <w:tr w:rsidR="00F14557" w:rsidRPr="00965DBA" w:rsidTr="00B91306">
        <w:trPr>
          <w:trHeight w:val="264"/>
        </w:trPr>
        <w:tc>
          <w:tcPr>
            <w:tcW w:w="2698" w:type="dxa"/>
            <w:shd w:val="clear" w:color="auto" w:fill="auto"/>
            <w:noWrap/>
          </w:tcPr>
          <w:p w:rsidR="00F14557" w:rsidRPr="000F3C8B" w:rsidRDefault="00F14557" w:rsidP="000D3EF2">
            <w:pPr>
              <w:pStyle w:val="TableText0"/>
              <w:rPr>
                <w:lang w:val="en-AU"/>
              </w:rPr>
            </w:pPr>
            <w:r w:rsidRPr="000F3C8B">
              <w:rPr>
                <w:lang w:val="en-AU"/>
              </w:rPr>
              <w:t xml:space="preserve">Yoon et al </w:t>
            </w:r>
            <w:r w:rsidR="00AD68A3" w:rsidRPr="000F3C8B">
              <w:rPr>
                <w:lang w:val="en-AU"/>
              </w:rPr>
              <w:t>(</w:t>
            </w:r>
            <w:r w:rsidRPr="000F3C8B">
              <w:rPr>
                <w:lang w:val="en-AU"/>
              </w:rPr>
              <w:t>2011</w:t>
            </w:r>
            <w:r w:rsidR="00AD68A3" w:rsidRPr="000F3C8B">
              <w:rPr>
                <w:lang w:val="en-AU"/>
              </w:rPr>
              <w:t>)</w:t>
            </w:r>
          </w:p>
        </w:tc>
        <w:tc>
          <w:tcPr>
            <w:tcW w:w="872" w:type="dxa"/>
            <w:shd w:val="clear" w:color="auto" w:fill="auto"/>
            <w:noWrap/>
          </w:tcPr>
          <w:p w:rsidR="00F14557" w:rsidRPr="000F3C8B" w:rsidRDefault="00F14557" w:rsidP="000D3EF2">
            <w:pPr>
              <w:pStyle w:val="TableText0"/>
              <w:jc w:val="right"/>
              <w:rPr>
                <w:lang w:val="en-AU"/>
              </w:rPr>
            </w:pPr>
            <w:r w:rsidRPr="000F3C8B">
              <w:rPr>
                <w:lang w:val="en-AU"/>
              </w:rPr>
              <w:t>412</w:t>
            </w:r>
          </w:p>
        </w:tc>
        <w:tc>
          <w:tcPr>
            <w:tcW w:w="1086" w:type="dxa"/>
            <w:shd w:val="clear" w:color="auto" w:fill="auto"/>
            <w:noWrap/>
          </w:tcPr>
          <w:p w:rsidR="00F14557" w:rsidRPr="000F3C8B" w:rsidRDefault="00F14557" w:rsidP="000D3EF2">
            <w:pPr>
              <w:pStyle w:val="TableText0"/>
              <w:jc w:val="right"/>
              <w:rPr>
                <w:vertAlign w:val="superscript"/>
                <w:lang w:val="en-AU"/>
              </w:rPr>
            </w:pPr>
            <w:r w:rsidRPr="000F3C8B">
              <w:rPr>
                <w:lang w:val="en-AU"/>
              </w:rPr>
              <w:t>1</w:t>
            </w:r>
          </w:p>
        </w:tc>
        <w:tc>
          <w:tcPr>
            <w:tcW w:w="1433" w:type="dxa"/>
            <w:shd w:val="clear" w:color="auto" w:fill="auto"/>
            <w:noWrap/>
          </w:tcPr>
          <w:p w:rsidR="00F14557" w:rsidRPr="000F3C8B" w:rsidRDefault="003F1391" w:rsidP="000D3EF2">
            <w:pPr>
              <w:pStyle w:val="TableText0"/>
              <w:jc w:val="right"/>
              <w:rPr>
                <w:lang w:val="en-AU"/>
              </w:rPr>
            </w:pPr>
            <w:r w:rsidRPr="000F3C8B">
              <w:rPr>
                <w:lang w:val="en-AU"/>
              </w:rPr>
              <w:t>0.2</w:t>
            </w:r>
          </w:p>
        </w:tc>
      </w:tr>
      <w:tr w:rsidR="00F14557" w:rsidRPr="00965DBA" w:rsidTr="00B91306">
        <w:trPr>
          <w:trHeight w:val="264"/>
        </w:trPr>
        <w:tc>
          <w:tcPr>
            <w:tcW w:w="2698" w:type="dxa"/>
            <w:shd w:val="clear" w:color="auto" w:fill="auto"/>
            <w:noWrap/>
            <w:hideMark/>
          </w:tcPr>
          <w:p w:rsidR="00F14557" w:rsidRPr="000F3C8B" w:rsidRDefault="00F14557" w:rsidP="000D3EF2">
            <w:pPr>
              <w:pStyle w:val="TableText0"/>
              <w:rPr>
                <w:lang w:val="en-AU"/>
              </w:rPr>
            </w:pPr>
            <w:r w:rsidRPr="000F3C8B">
              <w:rPr>
                <w:lang w:val="en-AU"/>
              </w:rPr>
              <w:t xml:space="preserve">Young et al </w:t>
            </w:r>
            <w:r w:rsidR="00AD68A3" w:rsidRPr="000F3C8B">
              <w:rPr>
                <w:lang w:val="en-AU"/>
              </w:rPr>
              <w:t>(</w:t>
            </w:r>
            <w:r w:rsidRPr="000F3C8B">
              <w:rPr>
                <w:lang w:val="en-AU"/>
              </w:rPr>
              <w:t>2011</w:t>
            </w:r>
            <w:r w:rsidR="00AD68A3" w:rsidRPr="000F3C8B">
              <w:rPr>
                <w:lang w:val="en-AU"/>
              </w:rPr>
              <w:t>)</w:t>
            </w:r>
          </w:p>
        </w:tc>
        <w:tc>
          <w:tcPr>
            <w:tcW w:w="872" w:type="dxa"/>
            <w:shd w:val="clear" w:color="auto" w:fill="auto"/>
            <w:noWrap/>
            <w:hideMark/>
          </w:tcPr>
          <w:p w:rsidR="00F14557" w:rsidRPr="000F3C8B" w:rsidRDefault="00F14557" w:rsidP="000D3EF2">
            <w:pPr>
              <w:pStyle w:val="TableText0"/>
              <w:jc w:val="right"/>
              <w:rPr>
                <w:lang w:val="en-AU"/>
              </w:rPr>
            </w:pPr>
            <w:r w:rsidRPr="000F3C8B">
              <w:rPr>
                <w:lang w:val="en-AU"/>
              </w:rPr>
              <w:t>100</w:t>
            </w:r>
          </w:p>
        </w:tc>
        <w:tc>
          <w:tcPr>
            <w:tcW w:w="1086" w:type="dxa"/>
            <w:shd w:val="clear" w:color="auto" w:fill="auto"/>
            <w:noWrap/>
          </w:tcPr>
          <w:p w:rsidR="00F14557" w:rsidRPr="000F3C8B" w:rsidRDefault="00F14557" w:rsidP="000D3EF2">
            <w:pPr>
              <w:pStyle w:val="TableText0"/>
              <w:jc w:val="right"/>
              <w:rPr>
                <w:vertAlign w:val="superscript"/>
                <w:lang w:val="en-AU"/>
              </w:rPr>
            </w:pPr>
            <w:r w:rsidRPr="000F3C8B">
              <w:rPr>
                <w:lang w:val="en-AU"/>
              </w:rPr>
              <w:t>0</w:t>
            </w:r>
          </w:p>
        </w:tc>
        <w:tc>
          <w:tcPr>
            <w:tcW w:w="1433" w:type="dxa"/>
            <w:shd w:val="clear" w:color="auto" w:fill="auto"/>
            <w:noWrap/>
          </w:tcPr>
          <w:p w:rsidR="00F14557" w:rsidRPr="000F3C8B" w:rsidRDefault="00F14557" w:rsidP="000D3EF2">
            <w:pPr>
              <w:pStyle w:val="TableText0"/>
              <w:jc w:val="right"/>
              <w:rPr>
                <w:lang w:val="en-AU"/>
              </w:rPr>
            </w:pPr>
            <w:r w:rsidRPr="000F3C8B">
              <w:rPr>
                <w:lang w:val="en-AU"/>
              </w:rPr>
              <w:t>0</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Kim et al </w:t>
            </w:r>
            <w:r w:rsidR="00AD68A3" w:rsidRPr="000F3C8B">
              <w:rPr>
                <w:lang w:val="en-AU"/>
              </w:rPr>
              <w:t>(</w:t>
            </w:r>
            <w:r w:rsidRPr="000F3C8B">
              <w:rPr>
                <w:lang w:val="en-AU"/>
              </w:rPr>
              <w:t>2010</w:t>
            </w:r>
            <w:r w:rsidR="00AD68A3" w:rsidRPr="000F3C8B">
              <w:rPr>
                <w:lang w:val="en-AU"/>
              </w:rPr>
              <w:t>)</w:t>
            </w:r>
          </w:p>
        </w:tc>
        <w:tc>
          <w:tcPr>
            <w:tcW w:w="872" w:type="dxa"/>
            <w:shd w:val="clear" w:color="auto" w:fill="auto"/>
            <w:noWrap/>
          </w:tcPr>
          <w:p w:rsidR="0048612A" w:rsidRPr="000F3C8B" w:rsidRDefault="000D3EF2" w:rsidP="000D3EF2">
            <w:pPr>
              <w:pStyle w:val="TableText0"/>
              <w:jc w:val="right"/>
              <w:rPr>
                <w:lang w:val="en-AU"/>
              </w:rPr>
            </w:pPr>
            <w:r>
              <w:rPr>
                <w:lang w:val="en-AU"/>
              </w:rPr>
              <w:t>110</w:t>
            </w:r>
            <w:r w:rsidRPr="00B91306">
              <w:rPr>
                <w:vertAlign w:val="superscript"/>
                <w:lang w:val="en-AU"/>
              </w:rPr>
              <w:t>b</w:t>
            </w:r>
          </w:p>
        </w:tc>
        <w:tc>
          <w:tcPr>
            <w:tcW w:w="1086" w:type="dxa"/>
            <w:shd w:val="clear" w:color="auto" w:fill="auto"/>
            <w:noWrap/>
          </w:tcPr>
          <w:p w:rsidR="0048612A" w:rsidRPr="000F3C8B" w:rsidRDefault="000D3EF2" w:rsidP="000D3EF2">
            <w:pPr>
              <w:pStyle w:val="TableText0"/>
              <w:jc w:val="right"/>
              <w:rPr>
                <w:lang w:val="en-AU"/>
              </w:rPr>
            </w:pPr>
            <w:r>
              <w:rPr>
                <w:lang w:val="en-AU"/>
              </w:rPr>
              <w:t>13</w:t>
            </w:r>
            <w:r w:rsidRPr="00B91306">
              <w:rPr>
                <w:vertAlign w:val="superscript"/>
                <w:lang w:val="en-AU"/>
              </w:rPr>
              <w:t>a</w:t>
            </w:r>
          </w:p>
        </w:tc>
        <w:tc>
          <w:tcPr>
            <w:tcW w:w="1433" w:type="dxa"/>
            <w:shd w:val="clear" w:color="auto" w:fill="auto"/>
            <w:noWrap/>
          </w:tcPr>
          <w:p w:rsidR="0048612A" w:rsidRPr="000F3C8B" w:rsidRDefault="003F1391" w:rsidP="000D3EF2">
            <w:pPr>
              <w:pStyle w:val="TableText0"/>
              <w:jc w:val="right"/>
              <w:rPr>
                <w:lang w:val="en-AU"/>
              </w:rPr>
            </w:pPr>
            <w:r w:rsidRPr="000F3C8B">
              <w:rPr>
                <w:lang w:val="en-AU"/>
              </w:rPr>
              <w:t>11.8</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Li et al </w:t>
            </w:r>
            <w:r w:rsidR="00AD68A3" w:rsidRPr="000F3C8B">
              <w:rPr>
                <w:lang w:val="en-AU"/>
              </w:rPr>
              <w:t>(</w:t>
            </w:r>
            <w:r w:rsidRPr="000F3C8B">
              <w:rPr>
                <w:lang w:val="en-AU"/>
              </w:rPr>
              <w:t>2010</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50</w:t>
            </w:r>
          </w:p>
        </w:tc>
        <w:tc>
          <w:tcPr>
            <w:tcW w:w="1086" w:type="dxa"/>
            <w:shd w:val="clear" w:color="auto" w:fill="auto"/>
            <w:noWrap/>
          </w:tcPr>
          <w:p w:rsidR="0048612A" w:rsidRPr="000F3C8B" w:rsidRDefault="0048612A" w:rsidP="000D3EF2">
            <w:pPr>
              <w:pStyle w:val="TableText0"/>
              <w:jc w:val="right"/>
              <w:rPr>
                <w:lang w:val="en-AU"/>
              </w:rPr>
            </w:pPr>
            <w:r w:rsidRPr="000F3C8B">
              <w:rPr>
                <w:lang w:val="en-AU"/>
              </w:rPr>
              <w:t>0</w:t>
            </w:r>
          </w:p>
        </w:tc>
        <w:tc>
          <w:tcPr>
            <w:tcW w:w="1433" w:type="dxa"/>
            <w:shd w:val="clear" w:color="auto" w:fill="auto"/>
            <w:noWrap/>
          </w:tcPr>
          <w:p w:rsidR="0048612A" w:rsidRPr="000F3C8B" w:rsidRDefault="003F1391" w:rsidP="000D3EF2">
            <w:pPr>
              <w:pStyle w:val="TableText0"/>
              <w:jc w:val="right"/>
              <w:rPr>
                <w:lang w:val="en-AU"/>
              </w:rPr>
            </w:pPr>
            <w:r w:rsidRPr="000F3C8B">
              <w:rPr>
                <w:lang w:val="en-AU"/>
              </w:rPr>
              <w:t>0</w:t>
            </w:r>
          </w:p>
        </w:tc>
      </w:tr>
      <w:tr w:rsidR="0048612A" w:rsidRPr="00965DBA" w:rsidTr="00B91306">
        <w:trPr>
          <w:trHeight w:val="264"/>
        </w:trPr>
        <w:tc>
          <w:tcPr>
            <w:tcW w:w="2698" w:type="dxa"/>
            <w:shd w:val="clear" w:color="auto" w:fill="auto"/>
            <w:noWrap/>
            <w:hideMark/>
          </w:tcPr>
          <w:p w:rsidR="0048612A" w:rsidRPr="000F3C8B" w:rsidRDefault="0048612A" w:rsidP="000D3EF2">
            <w:pPr>
              <w:pStyle w:val="TableText0"/>
              <w:rPr>
                <w:lang w:val="en-AU"/>
              </w:rPr>
            </w:pPr>
            <w:r w:rsidRPr="000F3C8B">
              <w:rPr>
                <w:lang w:val="en-AU"/>
              </w:rPr>
              <w:t xml:space="preserve">Moon et al </w:t>
            </w:r>
            <w:r w:rsidR="00AD68A3" w:rsidRPr="000F3C8B">
              <w:rPr>
                <w:lang w:val="en-AU"/>
              </w:rPr>
              <w:t>(</w:t>
            </w:r>
            <w:r w:rsidRPr="000F3C8B">
              <w:rPr>
                <w:lang w:val="en-AU"/>
              </w:rPr>
              <w:t>2010</w:t>
            </w:r>
            <w:r w:rsidR="00AD68A3" w:rsidRPr="000F3C8B">
              <w:rPr>
                <w:lang w:val="en-AU"/>
              </w:rPr>
              <w:t>)</w:t>
            </w:r>
          </w:p>
        </w:tc>
        <w:tc>
          <w:tcPr>
            <w:tcW w:w="872" w:type="dxa"/>
            <w:shd w:val="clear" w:color="auto" w:fill="auto"/>
            <w:noWrap/>
            <w:hideMark/>
          </w:tcPr>
          <w:p w:rsidR="0048612A" w:rsidRPr="000F3C8B" w:rsidRDefault="0048612A" w:rsidP="000D3EF2">
            <w:pPr>
              <w:pStyle w:val="TableText0"/>
              <w:jc w:val="right"/>
              <w:rPr>
                <w:lang w:val="en-AU"/>
              </w:rPr>
            </w:pPr>
            <w:r w:rsidRPr="000F3C8B">
              <w:rPr>
                <w:lang w:val="en-AU"/>
              </w:rPr>
              <w:t>68</w:t>
            </w:r>
          </w:p>
        </w:tc>
        <w:tc>
          <w:tcPr>
            <w:tcW w:w="1086" w:type="dxa"/>
            <w:shd w:val="clear" w:color="auto" w:fill="auto"/>
            <w:noWrap/>
          </w:tcPr>
          <w:p w:rsidR="0048612A" w:rsidRPr="000F3C8B" w:rsidRDefault="000D3EF2" w:rsidP="000D3EF2">
            <w:pPr>
              <w:pStyle w:val="TableText0"/>
              <w:jc w:val="right"/>
              <w:rPr>
                <w:vertAlign w:val="superscript"/>
                <w:lang w:val="en-AU"/>
              </w:rPr>
            </w:pPr>
            <w:r>
              <w:rPr>
                <w:lang w:val="en-AU"/>
              </w:rPr>
              <w:t>2</w:t>
            </w:r>
            <w:r w:rsidRPr="00B91306">
              <w:rPr>
                <w:vertAlign w:val="superscript"/>
                <w:lang w:val="en-AU"/>
              </w:rPr>
              <w:t>c</w:t>
            </w:r>
          </w:p>
        </w:tc>
        <w:tc>
          <w:tcPr>
            <w:tcW w:w="1433" w:type="dxa"/>
            <w:shd w:val="clear" w:color="auto" w:fill="auto"/>
            <w:noWrap/>
          </w:tcPr>
          <w:p w:rsidR="0048612A" w:rsidRPr="000F3C8B" w:rsidRDefault="003F1391" w:rsidP="000D3EF2">
            <w:pPr>
              <w:pStyle w:val="TableText0"/>
              <w:jc w:val="right"/>
              <w:rPr>
                <w:lang w:val="en-AU"/>
              </w:rPr>
            </w:pPr>
            <w:r w:rsidRPr="000F3C8B">
              <w:rPr>
                <w:lang w:val="en-AU"/>
              </w:rPr>
              <w:t>2.9</w:t>
            </w:r>
          </w:p>
        </w:tc>
      </w:tr>
      <w:tr w:rsidR="0048612A" w:rsidRPr="00965DBA" w:rsidTr="00B91306">
        <w:trPr>
          <w:trHeight w:val="264"/>
        </w:trPr>
        <w:tc>
          <w:tcPr>
            <w:tcW w:w="2698" w:type="dxa"/>
            <w:shd w:val="clear" w:color="auto" w:fill="auto"/>
            <w:noWrap/>
            <w:hideMark/>
          </w:tcPr>
          <w:p w:rsidR="0048612A" w:rsidRPr="000F3C8B" w:rsidRDefault="0048612A" w:rsidP="000D3EF2">
            <w:pPr>
              <w:pStyle w:val="TableText0"/>
              <w:rPr>
                <w:lang w:val="en-AU"/>
              </w:rPr>
            </w:pPr>
            <w:r w:rsidRPr="000F3C8B">
              <w:rPr>
                <w:lang w:val="en-AU"/>
              </w:rPr>
              <w:t xml:space="preserve">Park et al </w:t>
            </w:r>
            <w:r w:rsidR="00AD68A3" w:rsidRPr="000F3C8B">
              <w:rPr>
                <w:lang w:val="en-AU"/>
              </w:rPr>
              <w:t>(</w:t>
            </w:r>
            <w:r w:rsidRPr="000F3C8B">
              <w:rPr>
                <w:lang w:val="en-AU"/>
              </w:rPr>
              <w:t>2010</w:t>
            </w:r>
            <w:r w:rsidR="00AD68A3" w:rsidRPr="000F3C8B">
              <w:rPr>
                <w:lang w:val="en-AU"/>
              </w:rPr>
              <w:t>)</w:t>
            </w:r>
          </w:p>
        </w:tc>
        <w:tc>
          <w:tcPr>
            <w:tcW w:w="872" w:type="dxa"/>
            <w:shd w:val="clear" w:color="auto" w:fill="auto"/>
            <w:noWrap/>
            <w:hideMark/>
          </w:tcPr>
          <w:p w:rsidR="0048612A" w:rsidRPr="000F3C8B" w:rsidRDefault="0048612A" w:rsidP="000D3EF2">
            <w:pPr>
              <w:pStyle w:val="TableText0"/>
              <w:jc w:val="right"/>
              <w:rPr>
                <w:vertAlign w:val="superscript"/>
                <w:lang w:val="en-AU"/>
              </w:rPr>
            </w:pPr>
            <w:r w:rsidRPr="000F3C8B">
              <w:rPr>
                <w:lang w:val="en-AU"/>
              </w:rPr>
              <w:t>107</w:t>
            </w:r>
          </w:p>
        </w:tc>
        <w:tc>
          <w:tcPr>
            <w:tcW w:w="1086" w:type="dxa"/>
            <w:shd w:val="clear" w:color="auto" w:fill="auto"/>
            <w:noWrap/>
          </w:tcPr>
          <w:p w:rsidR="0048612A" w:rsidRPr="000F3C8B" w:rsidRDefault="0048612A" w:rsidP="000D3EF2">
            <w:pPr>
              <w:pStyle w:val="TableText0"/>
              <w:jc w:val="right"/>
              <w:rPr>
                <w:lang w:val="en-AU"/>
              </w:rPr>
            </w:pPr>
            <w:r w:rsidRPr="000F3C8B">
              <w:rPr>
                <w:lang w:val="en-AU"/>
              </w:rPr>
              <w:t>0</w:t>
            </w:r>
          </w:p>
        </w:tc>
        <w:tc>
          <w:tcPr>
            <w:tcW w:w="1433" w:type="dxa"/>
            <w:shd w:val="clear" w:color="auto" w:fill="auto"/>
            <w:noWrap/>
          </w:tcPr>
          <w:p w:rsidR="0048612A" w:rsidRPr="000F3C8B" w:rsidRDefault="003F1391" w:rsidP="000D3EF2">
            <w:pPr>
              <w:pStyle w:val="TableText0"/>
              <w:jc w:val="right"/>
              <w:rPr>
                <w:lang w:val="en-AU"/>
              </w:rPr>
            </w:pPr>
            <w:r w:rsidRPr="000F3C8B">
              <w:rPr>
                <w:lang w:val="en-AU"/>
              </w:rPr>
              <w:t>0</w:t>
            </w:r>
          </w:p>
        </w:tc>
      </w:tr>
      <w:tr w:rsidR="0048612A" w:rsidRPr="00965DBA" w:rsidTr="00B91306">
        <w:trPr>
          <w:trHeight w:val="264"/>
        </w:trPr>
        <w:tc>
          <w:tcPr>
            <w:tcW w:w="2698" w:type="dxa"/>
            <w:shd w:val="clear" w:color="auto" w:fill="auto"/>
            <w:noWrap/>
          </w:tcPr>
          <w:p w:rsidR="0048612A" w:rsidRPr="000F3C8B" w:rsidRDefault="00785AD7" w:rsidP="000D3EF2">
            <w:pPr>
              <w:pStyle w:val="TableText0"/>
              <w:rPr>
                <w:lang w:val="en-AU"/>
              </w:rPr>
            </w:pPr>
            <w:r w:rsidRPr="000F3C8B">
              <w:rPr>
                <w:lang w:val="en-AU"/>
              </w:rPr>
              <w:t xml:space="preserve">Small </w:t>
            </w:r>
            <w:r w:rsidR="000E5DEE">
              <w:rPr>
                <w:lang w:val="en-AU"/>
              </w:rPr>
              <w:t>et al</w:t>
            </w:r>
            <w:r w:rsidR="0048612A" w:rsidRPr="000F3C8B">
              <w:rPr>
                <w:lang w:val="en-AU"/>
              </w:rPr>
              <w:t xml:space="preserve"> </w:t>
            </w:r>
            <w:r w:rsidR="00AD68A3" w:rsidRPr="000F3C8B">
              <w:rPr>
                <w:lang w:val="en-AU"/>
              </w:rPr>
              <w:t>(</w:t>
            </w:r>
            <w:r w:rsidR="0048612A" w:rsidRPr="000F3C8B">
              <w:rPr>
                <w:lang w:val="en-AU"/>
              </w:rPr>
              <w:t>2010</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233</w:t>
            </w:r>
          </w:p>
        </w:tc>
        <w:tc>
          <w:tcPr>
            <w:tcW w:w="1086" w:type="dxa"/>
            <w:shd w:val="clear" w:color="auto" w:fill="auto"/>
            <w:noWrap/>
          </w:tcPr>
          <w:p w:rsidR="0048612A" w:rsidRPr="000F3C8B" w:rsidRDefault="000D3EF2" w:rsidP="000D3EF2">
            <w:pPr>
              <w:pStyle w:val="TableText0"/>
              <w:jc w:val="right"/>
              <w:rPr>
                <w:lang w:val="en-AU"/>
              </w:rPr>
            </w:pPr>
            <w:r>
              <w:rPr>
                <w:lang w:val="en-AU"/>
              </w:rPr>
              <w:t>2</w:t>
            </w:r>
            <w:r w:rsidRPr="00B91306">
              <w:rPr>
                <w:vertAlign w:val="superscript"/>
                <w:lang w:val="en-AU"/>
              </w:rPr>
              <w:t>c</w:t>
            </w:r>
          </w:p>
        </w:tc>
        <w:tc>
          <w:tcPr>
            <w:tcW w:w="1433" w:type="dxa"/>
            <w:shd w:val="clear" w:color="auto" w:fill="auto"/>
            <w:noWrap/>
          </w:tcPr>
          <w:p w:rsidR="0048612A" w:rsidRPr="000F3C8B" w:rsidRDefault="003F1391" w:rsidP="000D3EF2">
            <w:pPr>
              <w:pStyle w:val="TableText0"/>
              <w:jc w:val="right"/>
              <w:rPr>
                <w:lang w:val="en-AU"/>
              </w:rPr>
            </w:pPr>
            <w:r w:rsidRPr="000F3C8B">
              <w:rPr>
                <w:lang w:val="en-AU"/>
              </w:rPr>
              <w:t>0.9</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Kim et al </w:t>
            </w:r>
            <w:r w:rsidR="00AD68A3" w:rsidRPr="000F3C8B">
              <w:rPr>
                <w:lang w:val="en-AU"/>
              </w:rPr>
              <w:t>(</w:t>
            </w:r>
            <w:r w:rsidRPr="000F3C8B">
              <w:rPr>
                <w:lang w:val="en-AU"/>
              </w:rPr>
              <w:t>2009</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116</w:t>
            </w:r>
          </w:p>
        </w:tc>
        <w:tc>
          <w:tcPr>
            <w:tcW w:w="1086" w:type="dxa"/>
            <w:shd w:val="clear" w:color="auto" w:fill="auto"/>
            <w:noWrap/>
          </w:tcPr>
          <w:p w:rsidR="0048612A" w:rsidRPr="000F3C8B" w:rsidRDefault="000D3EF2" w:rsidP="000D3EF2">
            <w:pPr>
              <w:pStyle w:val="TableText0"/>
              <w:jc w:val="right"/>
              <w:rPr>
                <w:lang w:val="en-AU"/>
              </w:rPr>
            </w:pPr>
            <w:r>
              <w:rPr>
                <w:lang w:val="en-AU"/>
              </w:rPr>
              <w:t>4</w:t>
            </w:r>
            <w:r w:rsidRPr="00B91306">
              <w:rPr>
                <w:vertAlign w:val="superscript"/>
                <w:lang w:val="en-AU"/>
              </w:rPr>
              <w:t>a</w:t>
            </w:r>
          </w:p>
        </w:tc>
        <w:tc>
          <w:tcPr>
            <w:tcW w:w="1433" w:type="dxa"/>
            <w:shd w:val="clear" w:color="auto" w:fill="auto"/>
          </w:tcPr>
          <w:p w:rsidR="0048612A" w:rsidRPr="000F3C8B" w:rsidRDefault="003F1391" w:rsidP="000D3EF2">
            <w:pPr>
              <w:pStyle w:val="TableText0"/>
              <w:jc w:val="right"/>
              <w:rPr>
                <w:lang w:val="en-AU"/>
              </w:rPr>
            </w:pPr>
            <w:r w:rsidRPr="000F3C8B">
              <w:rPr>
                <w:lang w:val="en-AU"/>
              </w:rPr>
              <w:t>3.4</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Shrivastava et al </w:t>
            </w:r>
            <w:r w:rsidR="00AD68A3" w:rsidRPr="000F3C8B">
              <w:rPr>
                <w:lang w:val="en-AU"/>
              </w:rPr>
              <w:t>(</w:t>
            </w:r>
            <w:r w:rsidRPr="000F3C8B">
              <w:rPr>
                <w:lang w:val="en-AU"/>
              </w:rPr>
              <w:t>2008</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81</w:t>
            </w:r>
          </w:p>
        </w:tc>
        <w:tc>
          <w:tcPr>
            <w:tcW w:w="1086" w:type="dxa"/>
            <w:shd w:val="clear" w:color="auto" w:fill="auto"/>
            <w:noWrap/>
          </w:tcPr>
          <w:p w:rsidR="0048612A" w:rsidRPr="000F3C8B" w:rsidRDefault="0048612A" w:rsidP="000D3EF2">
            <w:pPr>
              <w:pStyle w:val="TableText0"/>
              <w:jc w:val="right"/>
              <w:rPr>
                <w:lang w:val="en-AU"/>
              </w:rPr>
            </w:pPr>
            <w:r w:rsidRPr="000F3C8B">
              <w:rPr>
                <w:lang w:val="en-AU"/>
              </w:rPr>
              <w:t>3</w:t>
            </w:r>
            <w:r w:rsidR="000D3EF2" w:rsidRPr="00B91306">
              <w:rPr>
                <w:vertAlign w:val="superscript"/>
                <w:lang w:val="en-AU"/>
              </w:rPr>
              <w:t>a</w:t>
            </w:r>
          </w:p>
        </w:tc>
        <w:tc>
          <w:tcPr>
            <w:tcW w:w="1433" w:type="dxa"/>
            <w:shd w:val="clear" w:color="auto" w:fill="auto"/>
          </w:tcPr>
          <w:p w:rsidR="0048612A" w:rsidRPr="000F3C8B" w:rsidRDefault="003F1391" w:rsidP="000D3EF2">
            <w:pPr>
              <w:pStyle w:val="TableText0"/>
              <w:jc w:val="right"/>
              <w:rPr>
                <w:lang w:val="en-AU"/>
              </w:rPr>
            </w:pPr>
            <w:r w:rsidRPr="000F3C8B">
              <w:rPr>
                <w:lang w:val="en-AU"/>
              </w:rPr>
              <w:t>3.7</w:t>
            </w:r>
          </w:p>
        </w:tc>
      </w:tr>
      <w:tr w:rsidR="0048612A" w:rsidRPr="00965DBA" w:rsidTr="00B91306">
        <w:trPr>
          <w:trHeight w:val="264"/>
        </w:trPr>
        <w:tc>
          <w:tcPr>
            <w:tcW w:w="2698" w:type="dxa"/>
            <w:shd w:val="clear" w:color="auto" w:fill="auto"/>
            <w:noWrap/>
          </w:tcPr>
          <w:p w:rsidR="0048612A" w:rsidRPr="000F3C8B" w:rsidRDefault="00785AD7" w:rsidP="000D3EF2">
            <w:pPr>
              <w:pStyle w:val="TableText0"/>
              <w:rPr>
                <w:lang w:val="en-AU"/>
              </w:rPr>
            </w:pPr>
            <w:r w:rsidRPr="000F3C8B">
              <w:rPr>
                <w:lang w:val="en-AU"/>
              </w:rPr>
              <w:t>Small and Baron</w:t>
            </w:r>
            <w:r w:rsidR="0048612A" w:rsidRPr="000F3C8B">
              <w:rPr>
                <w:lang w:val="en-AU"/>
              </w:rPr>
              <w:t xml:space="preserve"> </w:t>
            </w:r>
            <w:r w:rsidR="00AD68A3" w:rsidRPr="000F3C8B">
              <w:rPr>
                <w:lang w:val="en-AU"/>
              </w:rPr>
              <w:t>(</w:t>
            </w:r>
            <w:r w:rsidR="0048612A" w:rsidRPr="000F3C8B">
              <w:rPr>
                <w:lang w:val="en-AU"/>
              </w:rPr>
              <w:t>2008</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85</w:t>
            </w:r>
          </w:p>
        </w:tc>
        <w:tc>
          <w:tcPr>
            <w:tcW w:w="1086" w:type="dxa"/>
            <w:shd w:val="clear" w:color="auto" w:fill="auto"/>
            <w:noWrap/>
          </w:tcPr>
          <w:p w:rsidR="0048612A" w:rsidRPr="000F3C8B" w:rsidRDefault="00B91306" w:rsidP="000D3EF2">
            <w:pPr>
              <w:pStyle w:val="TableText0"/>
              <w:jc w:val="right"/>
              <w:rPr>
                <w:lang w:val="en-AU"/>
              </w:rPr>
            </w:pPr>
            <w:r>
              <w:rPr>
                <w:lang w:val="en-AU"/>
              </w:rPr>
              <w:t>11</w:t>
            </w:r>
            <w:r w:rsidRPr="00B91306">
              <w:rPr>
                <w:vertAlign w:val="superscript"/>
                <w:lang w:val="en-AU"/>
              </w:rPr>
              <w:t>c</w:t>
            </w:r>
          </w:p>
        </w:tc>
        <w:tc>
          <w:tcPr>
            <w:tcW w:w="1433" w:type="dxa"/>
            <w:shd w:val="clear" w:color="auto" w:fill="auto"/>
          </w:tcPr>
          <w:p w:rsidR="0048612A" w:rsidRPr="000F3C8B" w:rsidRDefault="003F1391" w:rsidP="000D3EF2">
            <w:pPr>
              <w:pStyle w:val="TableText0"/>
              <w:jc w:val="right"/>
              <w:rPr>
                <w:lang w:val="en-AU"/>
              </w:rPr>
            </w:pPr>
            <w:r w:rsidRPr="000F3C8B">
              <w:rPr>
                <w:lang w:val="en-AU"/>
              </w:rPr>
              <w:t>12.9</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Lee et al </w:t>
            </w:r>
            <w:r w:rsidR="00AD68A3" w:rsidRPr="000F3C8B">
              <w:rPr>
                <w:lang w:val="en-AU"/>
              </w:rPr>
              <w:t>(</w:t>
            </w:r>
            <w:r w:rsidRPr="000F3C8B">
              <w:rPr>
                <w:lang w:val="en-AU"/>
              </w:rPr>
              <w:t>2007</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80</w:t>
            </w:r>
          </w:p>
        </w:tc>
        <w:tc>
          <w:tcPr>
            <w:tcW w:w="1086" w:type="dxa"/>
            <w:shd w:val="clear" w:color="auto" w:fill="auto"/>
            <w:noWrap/>
          </w:tcPr>
          <w:p w:rsidR="0048612A" w:rsidRPr="000F3C8B" w:rsidRDefault="0048612A" w:rsidP="000D3EF2">
            <w:pPr>
              <w:pStyle w:val="TableText0"/>
              <w:jc w:val="right"/>
              <w:rPr>
                <w:lang w:val="en-AU"/>
              </w:rPr>
            </w:pPr>
            <w:r w:rsidRPr="000F3C8B">
              <w:rPr>
                <w:lang w:val="en-AU"/>
              </w:rPr>
              <w:t>1</w:t>
            </w:r>
            <w:r w:rsidR="000D3EF2" w:rsidRPr="00B91306">
              <w:rPr>
                <w:vertAlign w:val="superscript"/>
                <w:lang w:val="en-AU"/>
              </w:rPr>
              <w:t>a</w:t>
            </w:r>
          </w:p>
        </w:tc>
        <w:tc>
          <w:tcPr>
            <w:tcW w:w="1433" w:type="dxa"/>
            <w:shd w:val="clear" w:color="auto" w:fill="auto"/>
          </w:tcPr>
          <w:p w:rsidR="0048612A" w:rsidRPr="000F3C8B" w:rsidRDefault="003F1391" w:rsidP="000D3EF2">
            <w:pPr>
              <w:pStyle w:val="TableText0"/>
              <w:jc w:val="right"/>
              <w:rPr>
                <w:lang w:val="en-AU"/>
              </w:rPr>
            </w:pPr>
            <w:r w:rsidRPr="000F3C8B">
              <w:rPr>
                <w:lang w:val="en-AU"/>
              </w:rPr>
              <w:t>1.2</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Garcia-Cano </w:t>
            </w:r>
            <w:r w:rsidR="00AD68A3" w:rsidRPr="000F3C8B">
              <w:rPr>
                <w:lang w:val="en-AU"/>
              </w:rPr>
              <w:t>et al (</w:t>
            </w:r>
            <w:r w:rsidRPr="000F3C8B">
              <w:rPr>
                <w:lang w:val="en-AU"/>
              </w:rPr>
              <w:t>2006</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175</w:t>
            </w:r>
          </w:p>
        </w:tc>
        <w:tc>
          <w:tcPr>
            <w:tcW w:w="1086" w:type="dxa"/>
            <w:shd w:val="clear" w:color="auto" w:fill="auto"/>
            <w:noWrap/>
          </w:tcPr>
          <w:p w:rsidR="0048612A" w:rsidRPr="000F3C8B" w:rsidRDefault="0048612A" w:rsidP="000D3EF2">
            <w:pPr>
              <w:pStyle w:val="TableText0"/>
              <w:jc w:val="right"/>
              <w:rPr>
                <w:lang w:val="en-AU"/>
              </w:rPr>
            </w:pPr>
            <w:r w:rsidRPr="000F3C8B">
              <w:rPr>
                <w:lang w:val="en-AU"/>
              </w:rPr>
              <w:t>1</w:t>
            </w:r>
          </w:p>
        </w:tc>
        <w:tc>
          <w:tcPr>
            <w:tcW w:w="1433" w:type="dxa"/>
            <w:shd w:val="clear" w:color="auto" w:fill="auto"/>
          </w:tcPr>
          <w:p w:rsidR="0048612A" w:rsidRPr="000F3C8B" w:rsidRDefault="003F1391" w:rsidP="000D3EF2">
            <w:pPr>
              <w:pStyle w:val="TableText0"/>
              <w:jc w:val="right"/>
              <w:rPr>
                <w:lang w:val="en-AU"/>
              </w:rPr>
            </w:pPr>
            <w:r w:rsidRPr="000F3C8B">
              <w:rPr>
                <w:lang w:val="en-AU"/>
              </w:rPr>
              <w:t>0.6</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Vitale et al </w:t>
            </w:r>
            <w:r w:rsidR="00AD68A3" w:rsidRPr="000F3C8B">
              <w:rPr>
                <w:lang w:val="en-AU"/>
              </w:rPr>
              <w:t>(</w:t>
            </w:r>
            <w:r w:rsidRPr="000F3C8B">
              <w:rPr>
                <w:lang w:val="en-AU"/>
              </w:rPr>
              <w:t>2006</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vertAlign w:val="superscript"/>
                <w:lang w:val="en-AU"/>
              </w:rPr>
            </w:pPr>
            <w:r w:rsidRPr="000F3C8B">
              <w:rPr>
                <w:lang w:val="en-AU"/>
              </w:rPr>
              <w:t>31</w:t>
            </w:r>
          </w:p>
        </w:tc>
        <w:tc>
          <w:tcPr>
            <w:tcW w:w="1086" w:type="dxa"/>
            <w:shd w:val="clear" w:color="auto" w:fill="auto"/>
            <w:noWrap/>
          </w:tcPr>
          <w:p w:rsidR="0048612A" w:rsidRPr="000F3C8B" w:rsidRDefault="0048612A" w:rsidP="000D3EF2">
            <w:pPr>
              <w:pStyle w:val="TableText0"/>
              <w:jc w:val="right"/>
              <w:rPr>
                <w:lang w:val="en-AU"/>
              </w:rPr>
            </w:pPr>
            <w:r w:rsidRPr="000F3C8B">
              <w:rPr>
                <w:lang w:val="en-AU"/>
              </w:rPr>
              <w:t>5</w:t>
            </w:r>
            <w:r w:rsidR="000D3EF2" w:rsidRPr="00B91306">
              <w:rPr>
                <w:vertAlign w:val="superscript"/>
                <w:lang w:val="en-AU"/>
              </w:rPr>
              <w:t>a</w:t>
            </w:r>
          </w:p>
        </w:tc>
        <w:tc>
          <w:tcPr>
            <w:tcW w:w="1433" w:type="dxa"/>
            <w:shd w:val="clear" w:color="auto" w:fill="auto"/>
          </w:tcPr>
          <w:p w:rsidR="0048612A" w:rsidRPr="000F3C8B" w:rsidRDefault="003F1391" w:rsidP="000D3EF2">
            <w:pPr>
              <w:pStyle w:val="TableText0"/>
              <w:jc w:val="right"/>
              <w:rPr>
                <w:lang w:val="en-AU"/>
              </w:rPr>
            </w:pPr>
            <w:r w:rsidRPr="000F3C8B">
              <w:rPr>
                <w:lang w:val="en-AU"/>
              </w:rPr>
              <w:t>16.1</w:t>
            </w:r>
          </w:p>
        </w:tc>
      </w:tr>
      <w:tr w:rsidR="0048612A" w:rsidRPr="00965DBA" w:rsidTr="00B91306">
        <w:trPr>
          <w:trHeight w:val="264"/>
        </w:trPr>
        <w:tc>
          <w:tcPr>
            <w:tcW w:w="2698" w:type="dxa"/>
            <w:shd w:val="clear" w:color="auto" w:fill="auto"/>
            <w:noWrap/>
          </w:tcPr>
          <w:p w:rsidR="0048612A" w:rsidRPr="000F3C8B" w:rsidRDefault="0048612A" w:rsidP="000D3EF2">
            <w:pPr>
              <w:pStyle w:val="TableText0"/>
              <w:rPr>
                <w:lang w:val="en-AU"/>
              </w:rPr>
            </w:pPr>
            <w:r w:rsidRPr="000F3C8B">
              <w:rPr>
                <w:lang w:val="en-AU"/>
              </w:rPr>
              <w:t xml:space="preserve">Mainar et al </w:t>
            </w:r>
            <w:r w:rsidR="00AD68A3" w:rsidRPr="000F3C8B">
              <w:rPr>
                <w:lang w:val="en-AU"/>
              </w:rPr>
              <w:t>(</w:t>
            </w:r>
            <w:r w:rsidRPr="000F3C8B">
              <w:rPr>
                <w:lang w:val="en-AU"/>
              </w:rPr>
              <w:t>1999</w:t>
            </w:r>
            <w:r w:rsidR="00AD68A3" w:rsidRPr="000F3C8B">
              <w:rPr>
                <w:lang w:val="en-AU"/>
              </w:rPr>
              <w:t>)</w:t>
            </w:r>
          </w:p>
        </w:tc>
        <w:tc>
          <w:tcPr>
            <w:tcW w:w="872" w:type="dxa"/>
            <w:shd w:val="clear" w:color="auto" w:fill="auto"/>
            <w:noWrap/>
          </w:tcPr>
          <w:p w:rsidR="0048612A" w:rsidRPr="000F3C8B" w:rsidRDefault="0048612A" w:rsidP="000D3EF2">
            <w:pPr>
              <w:pStyle w:val="TableText0"/>
              <w:jc w:val="right"/>
              <w:rPr>
                <w:lang w:val="en-AU"/>
              </w:rPr>
            </w:pPr>
            <w:r w:rsidRPr="000F3C8B">
              <w:rPr>
                <w:lang w:val="en-AU"/>
              </w:rPr>
              <w:t>71</w:t>
            </w:r>
          </w:p>
        </w:tc>
        <w:tc>
          <w:tcPr>
            <w:tcW w:w="1086" w:type="dxa"/>
            <w:shd w:val="clear" w:color="auto" w:fill="auto"/>
            <w:noWrap/>
          </w:tcPr>
          <w:p w:rsidR="0048612A" w:rsidRPr="000F3C8B" w:rsidRDefault="0048612A" w:rsidP="000D3EF2">
            <w:pPr>
              <w:pStyle w:val="TableText0"/>
              <w:jc w:val="right"/>
              <w:rPr>
                <w:lang w:val="en-AU"/>
              </w:rPr>
            </w:pPr>
            <w:r w:rsidRPr="000F3C8B">
              <w:rPr>
                <w:lang w:val="en-AU"/>
              </w:rPr>
              <w:t>5</w:t>
            </w:r>
            <w:r w:rsidR="000D3EF2" w:rsidRPr="00B91306">
              <w:rPr>
                <w:vertAlign w:val="superscript"/>
                <w:lang w:val="en-AU"/>
              </w:rPr>
              <w:t>a</w:t>
            </w:r>
          </w:p>
        </w:tc>
        <w:tc>
          <w:tcPr>
            <w:tcW w:w="1433" w:type="dxa"/>
            <w:shd w:val="clear" w:color="auto" w:fill="auto"/>
          </w:tcPr>
          <w:p w:rsidR="0048612A" w:rsidRPr="000F3C8B" w:rsidRDefault="0048612A" w:rsidP="000D3EF2">
            <w:pPr>
              <w:pStyle w:val="TableText0"/>
              <w:jc w:val="right"/>
              <w:rPr>
                <w:lang w:val="en-AU"/>
              </w:rPr>
            </w:pPr>
            <w:r w:rsidRPr="000F3C8B">
              <w:rPr>
                <w:lang w:val="en-AU"/>
              </w:rPr>
              <w:t>7.</w:t>
            </w:r>
            <w:r w:rsidR="003F1391" w:rsidRPr="000F3C8B">
              <w:rPr>
                <w:lang w:val="en-AU"/>
              </w:rPr>
              <w:t>0</w:t>
            </w:r>
          </w:p>
        </w:tc>
      </w:tr>
      <w:tr w:rsidR="0048612A" w:rsidRPr="00965DBA" w:rsidTr="00B91306">
        <w:trPr>
          <w:trHeight w:val="217"/>
        </w:trPr>
        <w:tc>
          <w:tcPr>
            <w:tcW w:w="2698" w:type="dxa"/>
            <w:tcBorders>
              <w:bottom w:val="single" w:sz="12" w:space="0" w:color="auto"/>
            </w:tcBorders>
            <w:shd w:val="clear" w:color="auto" w:fill="auto"/>
            <w:noWrap/>
          </w:tcPr>
          <w:p w:rsidR="0048612A" w:rsidRPr="000F3C8B" w:rsidRDefault="0048612A" w:rsidP="000D3EF2">
            <w:pPr>
              <w:pStyle w:val="TableText0"/>
              <w:rPr>
                <w:b/>
                <w:lang w:val="en-AU"/>
              </w:rPr>
            </w:pPr>
            <w:r w:rsidRPr="000F3C8B">
              <w:rPr>
                <w:b/>
                <w:lang w:val="en-AU"/>
              </w:rPr>
              <w:t>T</w:t>
            </w:r>
            <w:r w:rsidR="00AA75A4" w:rsidRPr="000F3C8B">
              <w:rPr>
                <w:b/>
                <w:lang w:val="en-AU"/>
              </w:rPr>
              <w:t>OTAL</w:t>
            </w:r>
            <w:r w:rsidRPr="000F3C8B">
              <w:rPr>
                <w:b/>
                <w:lang w:val="en-AU"/>
              </w:rPr>
              <w:t xml:space="preserve"> (</w:t>
            </w:r>
            <w:r w:rsidR="00F4058B" w:rsidRPr="000F3C8B">
              <w:rPr>
                <w:b/>
                <w:lang w:val="en-AU"/>
              </w:rPr>
              <w:t>19</w:t>
            </w:r>
            <w:r w:rsidRPr="000F3C8B">
              <w:rPr>
                <w:b/>
                <w:lang w:val="en-AU"/>
              </w:rPr>
              <w:t xml:space="preserve"> studies)</w:t>
            </w:r>
          </w:p>
        </w:tc>
        <w:tc>
          <w:tcPr>
            <w:tcW w:w="872" w:type="dxa"/>
            <w:tcBorders>
              <w:bottom w:val="single" w:sz="12" w:space="0" w:color="auto"/>
            </w:tcBorders>
            <w:shd w:val="clear" w:color="auto" w:fill="auto"/>
            <w:noWrap/>
          </w:tcPr>
          <w:p w:rsidR="0048612A" w:rsidRPr="000F3C8B" w:rsidRDefault="0048612A" w:rsidP="000D3EF2">
            <w:pPr>
              <w:pStyle w:val="TableText0"/>
              <w:jc w:val="right"/>
              <w:rPr>
                <w:b/>
                <w:lang w:val="en-AU"/>
              </w:rPr>
            </w:pPr>
            <w:r w:rsidRPr="000F3C8B">
              <w:rPr>
                <w:b/>
                <w:lang w:val="en-AU"/>
              </w:rPr>
              <w:t>2</w:t>
            </w:r>
            <w:r w:rsidR="00C87601" w:rsidRPr="000F3C8B">
              <w:rPr>
                <w:b/>
                <w:lang w:val="en-AU"/>
              </w:rPr>
              <w:t>813</w:t>
            </w:r>
          </w:p>
        </w:tc>
        <w:tc>
          <w:tcPr>
            <w:tcW w:w="1086" w:type="dxa"/>
            <w:tcBorders>
              <w:bottom w:val="single" w:sz="12" w:space="0" w:color="auto"/>
            </w:tcBorders>
            <w:shd w:val="clear" w:color="auto" w:fill="auto"/>
            <w:noWrap/>
          </w:tcPr>
          <w:p w:rsidR="0048612A" w:rsidRPr="000F3C8B" w:rsidRDefault="00C87601" w:rsidP="000D3EF2">
            <w:pPr>
              <w:pStyle w:val="TableText0"/>
              <w:jc w:val="right"/>
              <w:rPr>
                <w:b/>
                <w:lang w:val="en-AU"/>
              </w:rPr>
            </w:pPr>
            <w:r w:rsidRPr="000F3C8B">
              <w:rPr>
                <w:b/>
                <w:lang w:val="en-AU"/>
              </w:rPr>
              <w:t>72</w:t>
            </w:r>
          </w:p>
        </w:tc>
        <w:tc>
          <w:tcPr>
            <w:tcW w:w="1433" w:type="dxa"/>
            <w:tcBorders>
              <w:bottom w:val="single" w:sz="12" w:space="0" w:color="auto"/>
            </w:tcBorders>
            <w:shd w:val="clear" w:color="auto" w:fill="auto"/>
            <w:noWrap/>
          </w:tcPr>
          <w:p w:rsidR="0048612A" w:rsidRPr="000F3C8B" w:rsidRDefault="0048612A" w:rsidP="000D3EF2">
            <w:pPr>
              <w:pStyle w:val="TableText0"/>
              <w:jc w:val="right"/>
              <w:rPr>
                <w:b/>
                <w:lang w:val="en-AU"/>
              </w:rPr>
            </w:pPr>
            <w:r w:rsidRPr="000F3C8B">
              <w:rPr>
                <w:b/>
                <w:lang w:val="en-AU"/>
              </w:rPr>
              <w:t>2.</w:t>
            </w:r>
            <w:r w:rsidR="00C87601" w:rsidRPr="000F3C8B">
              <w:rPr>
                <w:b/>
                <w:lang w:val="en-AU"/>
              </w:rPr>
              <w:t>6</w:t>
            </w:r>
          </w:p>
        </w:tc>
      </w:tr>
    </w:tbl>
    <w:p w:rsidR="00B91306" w:rsidRDefault="00B91306" w:rsidP="000D3EF2">
      <w:pPr>
        <w:pStyle w:val="TableNotes"/>
        <w:rPr>
          <w:rFonts w:cs="Calibri"/>
          <w:color w:val="000000"/>
          <w:lang w:val="en-AU" w:eastAsia="en-US"/>
        </w:rPr>
      </w:pPr>
      <w:proofErr w:type="gramStart"/>
      <w:r>
        <w:rPr>
          <w:rFonts w:cs="Calibri"/>
          <w:color w:val="000000"/>
          <w:lang w:val="en-AU" w:eastAsia="en-US"/>
        </w:rPr>
        <w:t>a</w:t>
      </w:r>
      <w:proofErr w:type="gramEnd"/>
      <w:r w:rsidRPr="000D3EF2">
        <w:rPr>
          <w:rFonts w:cs="Calibri"/>
          <w:color w:val="000000"/>
          <w:lang w:eastAsia="en-US"/>
        </w:rPr>
        <w:t xml:space="preserve"> Post-interventional anal/rectal bleeding (mild) which ceased spontaneously or with conservative management.</w:t>
      </w:r>
    </w:p>
    <w:p w:rsidR="000D3EF2" w:rsidRDefault="00B91306" w:rsidP="000D3EF2">
      <w:pPr>
        <w:pStyle w:val="TableNotes"/>
        <w:rPr>
          <w:rFonts w:cs="Calibri"/>
          <w:color w:val="000000"/>
          <w:lang w:val="en-AU" w:eastAsia="en-US"/>
        </w:rPr>
      </w:pPr>
      <w:proofErr w:type="gramStart"/>
      <w:r>
        <w:rPr>
          <w:rFonts w:cs="Calibri"/>
          <w:color w:val="000000"/>
          <w:lang w:val="en-AU" w:eastAsia="en-US"/>
        </w:rPr>
        <w:t>b</w:t>
      </w:r>
      <w:proofErr w:type="gramEnd"/>
      <w:r w:rsidR="000D3EF2" w:rsidRPr="000D3EF2">
        <w:rPr>
          <w:rFonts w:cs="Calibri"/>
          <w:color w:val="000000"/>
          <w:lang w:eastAsia="en-US"/>
        </w:rPr>
        <w:t xml:space="preserve"> N</w:t>
      </w:r>
      <w:r>
        <w:rPr>
          <w:rFonts w:cs="Calibri"/>
          <w:color w:val="000000"/>
          <w:lang w:val="en-AU" w:eastAsia="en-US"/>
        </w:rPr>
        <w:t xml:space="preserve"> b</w:t>
      </w:r>
      <w:r w:rsidR="000D3EF2" w:rsidRPr="000D3EF2">
        <w:rPr>
          <w:rFonts w:cs="Calibri"/>
          <w:color w:val="000000"/>
          <w:lang w:eastAsia="en-US"/>
        </w:rPr>
        <w:t>ased on the number of stenting procedures or attempts performed.</w:t>
      </w:r>
      <w:r w:rsidR="000D3EF2" w:rsidRPr="000D3EF2">
        <w:rPr>
          <w:rFonts w:cs="Calibri"/>
          <w:color w:val="000000"/>
          <w:lang w:eastAsia="en-US"/>
        </w:rPr>
        <w:br/>
      </w:r>
      <w:proofErr w:type="gramStart"/>
      <w:r>
        <w:rPr>
          <w:rFonts w:cs="Calibri"/>
          <w:color w:val="000000"/>
          <w:lang w:val="en-AU" w:eastAsia="en-US"/>
        </w:rPr>
        <w:t>c</w:t>
      </w:r>
      <w:proofErr w:type="gramEnd"/>
      <w:r w:rsidR="000D3EF2" w:rsidRPr="000D3EF2">
        <w:rPr>
          <w:rFonts w:cs="Calibri"/>
          <w:color w:val="000000"/>
          <w:lang w:eastAsia="en-US"/>
        </w:rPr>
        <w:t xml:space="preserve"> Haematochezia.</w:t>
      </w:r>
    </w:p>
    <w:p w:rsidR="001A025D" w:rsidRPr="000D3EF2" w:rsidRDefault="000D3EF2" w:rsidP="000D3EF2">
      <w:pPr>
        <w:pStyle w:val="TableNotes"/>
        <w:rPr>
          <w:rFonts w:cs="Calibri"/>
          <w:color w:val="000000"/>
          <w:lang w:val="en-AU" w:eastAsia="en-US"/>
        </w:rPr>
      </w:pPr>
      <w:r w:rsidRPr="000D3EF2">
        <w:rPr>
          <w:rFonts w:cs="Calibri"/>
          <w:color w:val="000000"/>
          <w:lang w:eastAsia="en-US"/>
        </w:rPr>
        <w:t>N: Based on all patients for whom safety data are reported, regardless of the number of patients enrolled in a study, or their technical/clinical success. In some cases, the number of stenting attempts or procedures performed has been considered as the denominator instead of the number of patients.</w:t>
      </w:r>
    </w:p>
    <w:p w:rsidR="00B03ABA" w:rsidRPr="00965DBA" w:rsidRDefault="001A025D" w:rsidP="00FA34AF">
      <w:pPr>
        <w:pStyle w:val="Heading4"/>
        <w:spacing w:before="0"/>
      </w:pPr>
      <w:r w:rsidRPr="00965DBA">
        <w:t>Infectious events</w:t>
      </w:r>
    </w:p>
    <w:p w:rsidR="00FA1627" w:rsidRPr="00EA2600" w:rsidRDefault="00FA1627" w:rsidP="00310A28">
      <w:r w:rsidRPr="009E5C53">
        <w:t xml:space="preserve">Infectious events </w:t>
      </w:r>
      <w:r w:rsidRPr="00E2422F">
        <w:t xml:space="preserve">such as bacteraemia, sepsis, abscess and peritonitis </w:t>
      </w:r>
      <w:r w:rsidR="004E6820">
        <w:t>were also reported</w:t>
      </w:r>
      <w:r w:rsidRPr="00E2422F">
        <w:t>. Overall</w:t>
      </w:r>
      <w:r w:rsidR="00673061" w:rsidRPr="00892811">
        <w:t>,</w:t>
      </w:r>
      <w:r w:rsidRPr="008978EE">
        <w:t xml:space="preserve"> </w:t>
      </w:r>
      <w:r w:rsidR="00585179" w:rsidRPr="008978EE">
        <w:t>six</w:t>
      </w:r>
      <w:r w:rsidRPr="00A30BA9">
        <w:t xml:space="preserve"> studies with 746 patients </w:t>
      </w:r>
      <w:r w:rsidR="004E6820">
        <w:t>reported</w:t>
      </w:r>
      <w:r w:rsidR="004E6820" w:rsidRPr="00A30BA9">
        <w:t xml:space="preserve"> </w:t>
      </w:r>
      <w:r w:rsidRPr="00A30BA9">
        <w:t>13 such events</w:t>
      </w:r>
      <w:r w:rsidR="00673061" w:rsidRPr="005646B6">
        <w:t>,</w:t>
      </w:r>
      <w:r w:rsidRPr="00003831">
        <w:t xml:space="preserve"> </w:t>
      </w:r>
      <w:r w:rsidR="004E6820">
        <w:t>with</w:t>
      </w:r>
      <w:r w:rsidR="004E6820" w:rsidRPr="00003831">
        <w:t xml:space="preserve"> </w:t>
      </w:r>
      <w:r w:rsidRPr="00003831">
        <w:t>a</w:t>
      </w:r>
      <w:r w:rsidR="00C72B95" w:rsidRPr="00A87C52">
        <w:t xml:space="preserve"> mean</w:t>
      </w:r>
      <w:r w:rsidRPr="00DF686C">
        <w:t xml:space="preserve"> occurrence of 1.7</w:t>
      </w:r>
      <w:r w:rsidR="00B463D8">
        <w:t xml:space="preserve"> per cent</w:t>
      </w:r>
      <w:r w:rsidR="00FA34AF">
        <w:t xml:space="preserve"> (</w:t>
      </w:r>
      <w:r w:rsidR="006F654A">
        <w:t xml:space="preserve">See </w:t>
      </w:r>
      <w:r w:rsidR="00FA34AF">
        <w:fldChar w:fldCharType="begin"/>
      </w:r>
      <w:r w:rsidR="00FA34AF">
        <w:instrText xml:space="preserve"> REF _Ref324948103 \h </w:instrText>
      </w:r>
      <w:r w:rsidR="00FA34AF">
        <w:fldChar w:fldCharType="separate"/>
      </w:r>
      <w:r w:rsidR="0071544A">
        <w:t xml:space="preserve">Table </w:t>
      </w:r>
      <w:r w:rsidR="0071544A">
        <w:rPr>
          <w:noProof/>
        </w:rPr>
        <w:t>40</w:t>
      </w:r>
      <w:r w:rsidR="00FA34AF">
        <w:fldChar w:fldCharType="end"/>
      </w:r>
      <w:r w:rsidR="00FA34AF">
        <w:t>)</w:t>
      </w:r>
      <w:r w:rsidRPr="00DF686C">
        <w:t xml:space="preserve">. This includes </w:t>
      </w:r>
      <w:r w:rsidR="00585179" w:rsidRPr="00DF686C">
        <w:t>eight</w:t>
      </w:r>
      <w:r w:rsidRPr="00DF686C">
        <w:t xml:space="preserve"> cases of bacteraemi</w:t>
      </w:r>
      <w:r w:rsidRPr="007D0320">
        <w:t xml:space="preserve">a accompanied with fever (n=318, 2.5%), </w:t>
      </w:r>
      <w:r w:rsidR="00585179" w:rsidRPr="00F13A5A">
        <w:t>two</w:t>
      </w:r>
      <w:r w:rsidRPr="00BE3EA8">
        <w:t xml:space="preserve"> cases </w:t>
      </w:r>
      <w:r w:rsidR="00673061" w:rsidRPr="00BE3EA8">
        <w:t xml:space="preserve">of </w:t>
      </w:r>
      <w:r w:rsidRPr="00A3741F">
        <w:t>abscess (n=185, 1.</w:t>
      </w:r>
      <w:r w:rsidR="00C1779E" w:rsidRPr="00F2707B">
        <w:t>1</w:t>
      </w:r>
      <w:r w:rsidRPr="00F2707B">
        <w:t>%)</w:t>
      </w:r>
      <w:r w:rsidR="007A48D6" w:rsidRPr="00F2707B">
        <w:t xml:space="preserve"> and</w:t>
      </w:r>
      <w:r w:rsidRPr="00F2707B">
        <w:t xml:space="preserve"> </w:t>
      </w:r>
      <w:r w:rsidR="00585179" w:rsidRPr="00F2707B">
        <w:t>two</w:t>
      </w:r>
      <w:r w:rsidRPr="00154934">
        <w:t xml:space="preserve"> cases of sepsis (n=257, 0.</w:t>
      </w:r>
      <w:r w:rsidR="00C1779E" w:rsidRPr="008F42F9">
        <w:t>8</w:t>
      </w:r>
      <w:r w:rsidRPr="008F42F9">
        <w:t>%)</w:t>
      </w:r>
      <w:r w:rsidR="007A48D6" w:rsidRPr="008F42F9">
        <w:t xml:space="preserve">. Mainar et al (1999) reported </w:t>
      </w:r>
      <w:r w:rsidRPr="008F42F9">
        <w:t xml:space="preserve">a case of peritonitis (n=71, 1.1%). Some incidences </w:t>
      </w:r>
      <w:r w:rsidRPr="008F42F9">
        <w:lastRenderedPageBreak/>
        <w:t xml:space="preserve">of </w:t>
      </w:r>
      <w:r w:rsidR="00287635" w:rsidRPr="008F42F9">
        <w:t>sepsis</w:t>
      </w:r>
      <w:r w:rsidRPr="00325C69">
        <w:t xml:space="preserve"> could not </w:t>
      </w:r>
      <w:r w:rsidR="00673061" w:rsidRPr="007D5B7C">
        <w:t>be</w:t>
      </w:r>
      <w:r w:rsidRPr="007D5B7C">
        <w:t xml:space="preserve"> </w:t>
      </w:r>
      <w:r w:rsidR="00AA08C6" w:rsidRPr="007D5B7C">
        <w:t>incorporated in</w:t>
      </w:r>
      <w:r w:rsidRPr="007D5B7C">
        <w:t>to our calculation as authors d</w:t>
      </w:r>
      <w:r w:rsidR="00D03AD7" w:rsidRPr="007D5B7C">
        <w:t>id</w:t>
      </w:r>
      <w:r w:rsidRPr="007D5B7C">
        <w:t xml:space="preserve"> not quantify the</w:t>
      </w:r>
      <w:r w:rsidR="00D03AD7" w:rsidRPr="007D5B7C">
        <w:t>ir</w:t>
      </w:r>
      <w:r w:rsidRPr="007D5B7C">
        <w:t xml:space="preserve"> </w:t>
      </w:r>
      <w:r w:rsidR="0076768E" w:rsidRPr="00960A9E">
        <w:t>occurrence</w:t>
      </w:r>
      <w:r w:rsidR="007A48D6" w:rsidRPr="00EA2600">
        <w:t xml:space="preserve"> separately from the aggregated data</w:t>
      </w:r>
      <w:r w:rsidRPr="00EA2600">
        <w:t xml:space="preserve"> (Mackay et al 2011).</w:t>
      </w:r>
    </w:p>
    <w:p w:rsidR="0076768E" w:rsidRPr="0072092E" w:rsidRDefault="00FA34AF" w:rsidP="00FA34AF">
      <w:pPr>
        <w:pStyle w:val="Caption"/>
      </w:pPr>
      <w:bookmarkStart w:id="186" w:name="_Ref324948103"/>
      <w:bookmarkStart w:id="187" w:name="_Toc327522084"/>
      <w:r>
        <w:t xml:space="preserve">Table </w:t>
      </w:r>
      <w:fldSimple w:instr=" SEQ Table \* ARABIC ">
        <w:r w:rsidR="0071544A">
          <w:rPr>
            <w:noProof/>
          </w:rPr>
          <w:t>40</w:t>
        </w:r>
      </w:fldSimple>
      <w:bookmarkEnd w:id="186"/>
      <w:r w:rsidR="00310A28" w:rsidRPr="00361416">
        <w:tab/>
      </w:r>
      <w:r w:rsidR="00D14AC6" w:rsidRPr="0086082D">
        <w:t>S</w:t>
      </w:r>
      <w:r w:rsidR="0076768E" w:rsidRPr="0072092E">
        <w:t>ummary of infectious events reported by included primary studies</w:t>
      </w:r>
      <w:bookmarkEnd w:id="187"/>
    </w:p>
    <w:tbl>
      <w:tblPr>
        <w:tblW w:w="6204" w:type="dxa"/>
        <w:tblInd w:w="720" w:type="dxa"/>
        <w:tblBorders>
          <w:top w:val="single" w:sz="12" w:space="0" w:color="auto"/>
        </w:tblBorders>
        <w:tblLook w:val="04A0" w:firstRow="1" w:lastRow="0" w:firstColumn="1" w:lastColumn="0" w:noHBand="0" w:noVBand="1"/>
      </w:tblPr>
      <w:tblGrid>
        <w:gridCol w:w="1951"/>
        <w:gridCol w:w="698"/>
        <w:gridCol w:w="2005"/>
        <w:gridCol w:w="1550"/>
      </w:tblGrid>
      <w:tr w:rsidR="0076768E" w:rsidRPr="00965DBA" w:rsidTr="00242BAC">
        <w:trPr>
          <w:trHeight w:val="288"/>
        </w:trPr>
        <w:tc>
          <w:tcPr>
            <w:tcW w:w="1951" w:type="dxa"/>
            <w:tcBorders>
              <w:top w:val="single" w:sz="12" w:space="0" w:color="auto"/>
              <w:bottom w:val="single" w:sz="4" w:space="0" w:color="auto"/>
            </w:tcBorders>
            <w:shd w:val="clear" w:color="auto" w:fill="auto"/>
            <w:noWrap/>
            <w:hideMark/>
          </w:tcPr>
          <w:p w:rsidR="0076768E" w:rsidRPr="00965DBA" w:rsidRDefault="0076768E" w:rsidP="00B91306">
            <w:pPr>
              <w:pStyle w:val="TableHeading0"/>
            </w:pPr>
            <w:r w:rsidRPr="00965DBA">
              <w:t>Author</w:t>
            </w:r>
          </w:p>
        </w:tc>
        <w:tc>
          <w:tcPr>
            <w:tcW w:w="698" w:type="dxa"/>
            <w:tcBorders>
              <w:top w:val="single" w:sz="12" w:space="0" w:color="auto"/>
              <w:bottom w:val="single" w:sz="4" w:space="0" w:color="auto"/>
            </w:tcBorders>
            <w:shd w:val="clear" w:color="auto" w:fill="auto"/>
            <w:noWrap/>
            <w:hideMark/>
          </w:tcPr>
          <w:p w:rsidR="0076768E" w:rsidRPr="00965DBA" w:rsidRDefault="0076768E" w:rsidP="00B55E18">
            <w:pPr>
              <w:pStyle w:val="TableHeading0"/>
              <w:jc w:val="center"/>
            </w:pPr>
            <w:r w:rsidRPr="00965DBA">
              <w:t>N</w:t>
            </w:r>
          </w:p>
        </w:tc>
        <w:tc>
          <w:tcPr>
            <w:tcW w:w="2005" w:type="dxa"/>
            <w:tcBorders>
              <w:top w:val="single" w:sz="12" w:space="0" w:color="auto"/>
              <w:bottom w:val="single" w:sz="4" w:space="0" w:color="auto"/>
            </w:tcBorders>
            <w:shd w:val="clear" w:color="auto" w:fill="auto"/>
            <w:noWrap/>
            <w:hideMark/>
          </w:tcPr>
          <w:p w:rsidR="0076768E" w:rsidRPr="00965DBA" w:rsidRDefault="00C72B95" w:rsidP="00B91306">
            <w:pPr>
              <w:pStyle w:val="TableHeading0"/>
            </w:pPr>
            <w:r w:rsidRPr="00965DBA">
              <w:t xml:space="preserve">Infectious events </w:t>
            </w:r>
            <w:r w:rsidR="00242BAC">
              <w:t>(</w:t>
            </w:r>
            <w:r w:rsidR="0076768E" w:rsidRPr="00965DBA">
              <w:t>n</w:t>
            </w:r>
            <w:r w:rsidR="00242BAC">
              <w:t>)</w:t>
            </w:r>
          </w:p>
        </w:tc>
        <w:tc>
          <w:tcPr>
            <w:tcW w:w="1550" w:type="dxa"/>
            <w:tcBorders>
              <w:top w:val="single" w:sz="12" w:space="0" w:color="auto"/>
              <w:bottom w:val="single" w:sz="4" w:space="0" w:color="auto"/>
            </w:tcBorders>
            <w:shd w:val="clear" w:color="auto" w:fill="auto"/>
            <w:noWrap/>
            <w:hideMark/>
          </w:tcPr>
          <w:p w:rsidR="0076768E" w:rsidRPr="00965DBA" w:rsidRDefault="0076768E" w:rsidP="00B91306">
            <w:pPr>
              <w:pStyle w:val="TableHeading0"/>
            </w:pPr>
            <w:r w:rsidRPr="00965DBA">
              <w:t>Occurrence (%)</w:t>
            </w:r>
          </w:p>
        </w:tc>
      </w:tr>
      <w:tr w:rsidR="00287635" w:rsidRPr="00965DBA" w:rsidTr="00242BAC">
        <w:trPr>
          <w:trHeight w:val="288"/>
        </w:trPr>
        <w:tc>
          <w:tcPr>
            <w:tcW w:w="1951" w:type="dxa"/>
            <w:tcBorders>
              <w:top w:val="single" w:sz="4" w:space="0" w:color="auto"/>
            </w:tcBorders>
            <w:shd w:val="clear" w:color="auto" w:fill="auto"/>
            <w:noWrap/>
          </w:tcPr>
          <w:p w:rsidR="00287635" w:rsidRPr="000F3C8B" w:rsidRDefault="00287635" w:rsidP="00B91306">
            <w:pPr>
              <w:pStyle w:val="TableText0"/>
              <w:rPr>
                <w:lang w:val="en-AU"/>
              </w:rPr>
            </w:pPr>
            <w:r w:rsidRPr="000F3C8B">
              <w:rPr>
                <w:lang w:val="en-AU"/>
              </w:rPr>
              <w:t xml:space="preserve">Keränen et al </w:t>
            </w:r>
            <w:r w:rsidR="00A106CF" w:rsidRPr="000F3C8B">
              <w:rPr>
                <w:lang w:val="en-AU"/>
              </w:rPr>
              <w:t>(</w:t>
            </w:r>
            <w:r w:rsidRPr="000F3C8B">
              <w:rPr>
                <w:lang w:val="en-AU"/>
              </w:rPr>
              <w:t>2011</w:t>
            </w:r>
            <w:r w:rsidR="00A106CF" w:rsidRPr="000F3C8B">
              <w:rPr>
                <w:lang w:val="en-AU"/>
              </w:rPr>
              <w:t>)</w:t>
            </w:r>
          </w:p>
        </w:tc>
        <w:tc>
          <w:tcPr>
            <w:tcW w:w="698" w:type="dxa"/>
            <w:tcBorders>
              <w:top w:val="single" w:sz="4" w:space="0" w:color="auto"/>
            </w:tcBorders>
            <w:shd w:val="clear" w:color="auto" w:fill="auto"/>
            <w:noWrap/>
          </w:tcPr>
          <w:p w:rsidR="00287635" w:rsidRPr="000F3C8B" w:rsidRDefault="00287635" w:rsidP="00B55E18">
            <w:pPr>
              <w:pStyle w:val="TableText0"/>
              <w:jc w:val="center"/>
              <w:rPr>
                <w:lang w:val="en-AU"/>
              </w:rPr>
            </w:pPr>
            <w:r w:rsidRPr="000F3C8B">
              <w:rPr>
                <w:lang w:val="en-AU"/>
              </w:rPr>
              <w:t>100</w:t>
            </w:r>
          </w:p>
        </w:tc>
        <w:tc>
          <w:tcPr>
            <w:tcW w:w="2005" w:type="dxa"/>
            <w:tcBorders>
              <w:top w:val="single" w:sz="4" w:space="0" w:color="auto"/>
            </w:tcBorders>
            <w:shd w:val="clear" w:color="auto" w:fill="auto"/>
            <w:noWrap/>
          </w:tcPr>
          <w:p w:rsidR="00287635" w:rsidRPr="000F3C8B" w:rsidRDefault="00287635" w:rsidP="00B91306">
            <w:pPr>
              <w:pStyle w:val="TableText0"/>
              <w:jc w:val="right"/>
              <w:rPr>
                <w:lang w:val="en-AU"/>
              </w:rPr>
            </w:pPr>
            <w:r w:rsidRPr="000F3C8B">
              <w:rPr>
                <w:lang w:val="en-AU"/>
              </w:rPr>
              <w:t>1</w:t>
            </w:r>
          </w:p>
        </w:tc>
        <w:tc>
          <w:tcPr>
            <w:tcW w:w="1550" w:type="dxa"/>
            <w:tcBorders>
              <w:top w:val="single" w:sz="4" w:space="0" w:color="auto"/>
            </w:tcBorders>
            <w:shd w:val="clear" w:color="auto" w:fill="auto"/>
            <w:noWrap/>
          </w:tcPr>
          <w:p w:rsidR="00287635" w:rsidRPr="000F3C8B" w:rsidRDefault="003F1391" w:rsidP="00B91306">
            <w:pPr>
              <w:pStyle w:val="TableText0"/>
              <w:jc w:val="right"/>
              <w:rPr>
                <w:lang w:val="en-AU"/>
              </w:rPr>
            </w:pPr>
            <w:r w:rsidRPr="000F3C8B">
              <w:rPr>
                <w:lang w:val="en-AU"/>
              </w:rPr>
              <w:t>1.0</w:t>
            </w:r>
          </w:p>
        </w:tc>
      </w:tr>
      <w:tr w:rsidR="00287635" w:rsidRPr="00965DBA" w:rsidTr="00242BAC">
        <w:trPr>
          <w:trHeight w:val="288"/>
        </w:trPr>
        <w:tc>
          <w:tcPr>
            <w:tcW w:w="1951" w:type="dxa"/>
            <w:shd w:val="clear" w:color="auto" w:fill="auto"/>
            <w:noWrap/>
          </w:tcPr>
          <w:p w:rsidR="00287635" w:rsidRPr="000F3C8B" w:rsidRDefault="00287635" w:rsidP="00B91306">
            <w:pPr>
              <w:pStyle w:val="TableText0"/>
              <w:rPr>
                <w:lang w:val="en-AU"/>
              </w:rPr>
            </w:pPr>
            <w:r w:rsidRPr="000F3C8B">
              <w:rPr>
                <w:lang w:val="en-AU"/>
              </w:rPr>
              <w:t xml:space="preserve">Mackay et al </w:t>
            </w:r>
            <w:r w:rsidR="00A106CF" w:rsidRPr="000F3C8B">
              <w:rPr>
                <w:lang w:val="en-AU"/>
              </w:rPr>
              <w:t>(</w:t>
            </w:r>
            <w:r w:rsidRPr="000F3C8B">
              <w:rPr>
                <w:lang w:val="en-AU"/>
              </w:rPr>
              <w:t>2011</w:t>
            </w:r>
            <w:r w:rsidR="00A106CF" w:rsidRPr="000F3C8B">
              <w:rPr>
                <w:lang w:val="en-AU"/>
              </w:rPr>
              <w:t>)</w:t>
            </w:r>
          </w:p>
        </w:tc>
        <w:tc>
          <w:tcPr>
            <w:tcW w:w="698" w:type="dxa"/>
            <w:shd w:val="clear" w:color="auto" w:fill="auto"/>
            <w:noWrap/>
          </w:tcPr>
          <w:p w:rsidR="00287635" w:rsidRPr="000F3C8B" w:rsidRDefault="00287635" w:rsidP="00B55E18">
            <w:pPr>
              <w:pStyle w:val="TableText0"/>
              <w:jc w:val="center"/>
              <w:rPr>
                <w:lang w:val="en-AU"/>
              </w:rPr>
            </w:pPr>
            <w:r w:rsidRPr="000F3C8B">
              <w:rPr>
                <w:lang w:val="en-AU"/>
              </w:rPr>
              <w:t>82</w:t>
            </w:r>
          </w:p>
        </w:tc>
        <w:tc>
          <w:tcPr>
            <w:tcW w:w="2005" w:type="dxa"/>
            <w:shd w:val="clear" w:color="auto" w:fill="auto"/>
            <w:noWrap/>
          </w:tcPr>
          <w:p w:rsidR="00287635" w:rsidRPr="000F3C8B" w:rsidRDefault="00287635" w:rsidP="00B91306">
            <w:pPr>
              <w:pStyle w:val="TableText0"/>
              <w:jc w:val="right"/>
              <w:rPr>
                <w:lang w:val="en-AU"/>
              </w:rPr>
            </w:pPr>
            <w:r w:rsidRPr="000F3C8B">
              <w:rPr>
                <w:lang w:val="en-AU"/>
              </w:rPr>
              <w:t>1</w:t>
            </w:r>
          </w:p>
        </w:tc>
        <w:tc>
          <w:tcPr>
            <w:tcW w:w="1550" w:type="dxa"/>
            <w:shd w:val="clear" w:color="auto" w:fill="auto"/>
            <w:noWrap/>
          </w:tcPr>
          <w:p w:rsidR="00287635" w:rsidRPr="000F3C8B" w:rsidRDefault="003F1391" w:rsidP="00B91306">
            <w:pPr>
              <w:pStyle w:val="TableText0"/>
              <w:jc w:val="right"/>
              <w:rPr>
                <w:lang w:val="en-AU"/>
              </w:rPr>
            </w:pPr>
            <w:r w:rsidRPr="000F3C8B">
              <w:rPr>
                <w:lang w:val="en-AU"/>
              </w:rPr>
              <w:t>1.2</w:t>
            </w:r>
          </w:p>
        </w:tc>
      </w:tr>
      <w:tr w:rsidR="00287635" w:rsidRPr="00965DBA" w:rsidTr="00242BAC">
        <w:trPr>
          <w:trHeight w:val="288"/>
        </w:trPr>
        <w:tc>
          <w:tcPr>
            <w:tcW w:w="1951" w:type="dxa"/>
            <w:shd w:val="clear" w:color="auto" w:fill="auto"/>
            <w:noWrap/>
          </w:tcPr>
          <w:p w:rsidR="00287635" w:rsidRPr="000F3C8B" w:rsidRDefault="00785AD7" w:rsidP="00B91306">
            <w:pPr>
              <w:pStyle w:val="TableText0"/>
              <w:rPr>
                <w:lang w:val="en-AU"/>
              </w:rPr>
            </w:pPr>
            <w:r w:rsidRPr="000F3C8B">
              <w:rPr>
                <w:lang w:val="en-AU"/>
              </w:rPr>
              <w:t xml:space="preserve">Small </w:t>
            </w:r>
            <w:r w:rsidR="000E5DEE">
              <w:rPr>
                <w:lang w:val="en-AU"/>
              </w:rPr>
              <w:t>et al</w:t>
            </w:r>
            <w:r w:rsidR="00287635" w:rsidRPr="000F3C8B">
              <w:rPr>
                <w:lang w:val="en-AU"/>
              </w:rPr>
              <w:t xml:space="preserve"> </w:t>
            </w:r>
            <w:r w:rsidR="00A106CF" w:rsidRPr="000F3C8B">
              <w:rPr>
                <w:lang w:val="en-AU"/>
              </w:rPr>
              <w:t>(</w:t>
            </w:r>
            <w:r w:rsidR="00287635" w:rsidRPr="000F3C8B">
              <w:rPr>
                <w:lang w:val="en-AU"/>
              </w:rPr>
              <w:t>2010</w:t>
            </w:r>
            <w:r w:rsidR="00A106CF" w:rsidRPr="000F3C8B">
              <w:rPr>
                <w:lang w:val="en-AU"/>
              </w:rPr>
              <w:t>)</w:t>
            </w:r>
          </w:p>
        </w:tc>
        <w:tc>
          <w:tcPr>
            <w:tcW w:w="698" w:type="dxa"/>
            <w:shd w:val="clear" w:color="auto" w:fill="auto"/>
            <w:noWrap/>
          </w:tcPr>
          <w:p w:rsidR="00287635" w:rsidRPr="000F3C8B" w:rsidRDefault="00287635" w:rsidP="00B55E18">
            <w:pPr>
              <w:pStyle w:val="TableText0"/>
              <w:jc w:val="center"/>
              <w:rPr>
                <w:lang w:val="en-AU"/>
              </w:rPr>
            </w:pPr>
            <w:r w:rsidRPr="000F3C8B">
              <w:rPr>
                <w:lang w:val="en-AU"/>
              </w:rPr>
              <w:t>233</w:t>
            </w:r>
          </w:p>
        </w:tc>
        <w:tc>
          <w:tcPr>
            <w:tcW w:w="2005" w:type="dxa"/>
            <w:shd w:val="clear" w:color="auto" w:fill="auto"/>
            <w:noWrap/>
          </w:tcPr>
          <w:p w:rsidR="00287635" w:rsidRPr="000F3C8B" w:rsidRDefault="00287635" w:rsidP="00B91306">
            <w:pPr>
              <w:pStyle w:val="TableText0"/>
              <w:jc w:val="right"/>
              <w:rPr>
                <w:lang w:val="en-AU"/>
              </w:rPr>
            </w:pPr>
            <w:r w:rsidRPr="000F3C8B">
              <w:rPr>
                <w:lang w:val="en-AU"/>
              </w:rPr>
              <w:t>7</w:t>
            </w:r>
          </w:p>
        </w:tc>
        <w:tc>
          <w:tcPr>
            <w:tcW w:w="1550" w:type="dxa"/>
            <w:shd w:val="clear" w:color="auto" w:fill="auto"/>
            <w:noWrap/>
          </w:tcPr>
          <w:p w:rsidR="00287635" w:rsidRPr="000F3C8B" w:rsidRDefault="003F1391" w:rsidP="00B91306">
            <w:pPr>
              <w:pStyle w:val="TableText0"/>
              <w:jc w:val="right"/>
              <w:rPr>
                <w:lang w:val="en-AU"/>
              </w:rPr>
            </w:pPr>
            <w:r w:rsidRPr="000F3C8B">
              <w:rPr>
                <w:lang w:val="en-AU"/>
              </w:rPr>
              <w:t>3.0</w:t>
            </w:r>
          </w:p>
        </w:tc>
      </w:tr>
      <w:tr w:rsidR="00287635" w:rsidRPr="00965DBA" w:rsidTr="00242BAC">
        <w:trPr>
          <w:trHeight w:val="288"/>
        </w:trPr>
        <w:tc>
          <w:tcPr>
            <w:tcW w:w="1951" w:type="dxa"/>
            <w:shd w:val="clear" w:color="auto" w:fill="auto"/>
            <w:noWrap/>
          </w:tcPr>
          <w:p w:rsidR="00287635" w:rsidRPr="000F3C8B" w:rsidRDefault="00785AD7" w:rsidP="00B91306">
            <w:pPr>
              <w:pStyle w:val="TableText0"/>
              <w:rPr>
                <w:lang w:val="en-AU"/>
              </w:rPr>
            </w:pPr>
            <w:r w:rsidRPr="000F3C8B">
              <w:rPr>
                <w:lang w:val="en-AU"/>
              </w:rPr>
              <w:t>Small and Baron</w:t>
            </w:r>
            <w:r w:rsidR="00287635" w:rsidRPr="000F3C8B">
              <w:rPr>
                <w:lang w:val="en-AU"/>
              </w:rPr>
              <w:t xml:space="preserve"> </w:t>
            </w:r>
            <w:r w:rsidR="00A106CF" w:rsidRPr="000F3C8B">
              <w:rPr>
                <w:lang w:val="en-AU"/>
              </w:rPr>
              <w:t>(</w:t>
            </w:r>
            <w:r w:rsidR="00287635" w:rsidRPr="000F3C8B">
              <w:rPr>
                <w:lang w:val="en-AU"/>
              </w:rPr>
              <w:t>2008</w:t>
            </w:r>
            <w:r w:rsidR="00A106CF" w:rsidRPr="000F3C8B">
              <w:rPr>
                <w:lang w:val="en-AU"/>
              </w:rPr>
              <w:t>)</w:t>
            </w:r>
          </w:p>
        </w:tc>
        <w:tc>
          <w:tcPr>
            <w:tcW w:w="698" w:type="dxa"/>
            <w:shd w:val="clear" w:color="auto" w:fill="auto"/>
            <w:noWrap/>
          </w:tcPr>
          <w:p w:rsidR="00287635" w:rsidRPr="000F3C8B" w:rsidRDefault="00287635" w:rsidP="00B55E18">
            <w:pPr>
              <w:pStyle w:val="TableText0"/>
              <w:jc w:val="center"/>
              <w:rPr>
                <w:lang w:val="en-AU"/>
              </w:rPr>
            </w:pPr>
            <w:r w:rsidRPr="000F3C8B">
              <w:rPr>
                <w:lang w:val="en-AU"/>
              </w:rPr>
              <w:t>85</w:t>
            </w:r>
          </w:p>
        </w:tc>
        <w:tc>
          <w:tcPr>
            <w:tcW w:w="2005" w:type="dxa"/>
            <w:shd w:val="clear" w:color="auto" w:fill="auto"/>
            <w:noWrap/>
          </w:tcPr>
          <w:p w:rsidR="00287635" w:rsidRPr="000F3C8B" w:rsidRDefault="00287635" w:rsidP="00B91306">
            <w:pPr>
              <w:pStyle w:val="TableText0"/>
              <w:jc w:val="right"/>
              <w:rPr>
                <w:lang w:val="en-AU"/>
              </w:rPr>
            </w:pPr>
            <w:r w:rsidRPr="000F3C8B">
              <w:rPr>
                <w:lang w:val="en-AU"/>
              </w:rPr>
              <w:t>1</w:t>
            </w:r>
          </w:p>
        </w:tc>
        <w:tc>
          <w:tcPr>
            <w:tcW w:w="1550" w:type="dxa"/>
            <w:shd w:val="clear" w:color="auto" w:fill="auto"/>
            <w:noWrap/>
          </w:tcPr>
          <w:p w:rsidR="00287635" w:rsidRPr="000F3C8B" w:rsidRDefault="003F1391" w:rsidP="00B91306">
            <w:pPr>
              <w:pStyle w:val="TableText0"/>
              <w:jc w:val="right"/>
              <w:rPr>
                <w:lang w:val="en-AU"/>
              </w:rPr>
            </w:pPr>
            <w:r w:rsidRPr="000F3C8B">
              <w:rPr>
                <w:lang w:val="en-AU"/>
              </w:rPr>
              <w:t>1.2</w:t>
            </w:r>
          </w:p>
        </w:tc>
      </w:tr>
      <w:tr w:rsidR="00F17D20" w:rsidRPr="00965DBA" w:rsidTr="00242BAC">
        <w:trPr>
          <w:trHeight w:val="288"/>
        </w:trPr>
        <w:tc>
          <w:tcPr>
            <w:tcW w:w="1951" w:type="dxa"/>
            <w:shd w:val="clear" w:color="auto" w:fill="auto"/>
            <w:noWrap/>
          </w:tcPr>
          <w:p w:rsidR="00F17D20" w:rsidRPr="000F3C8B" w:rsidRDefault="00F17D20" w:rsidP="00B91306">
            <w:pPr>
              <w:pStyle w:val="TableText0"/>
              <w:rPr>
                <w:lang w:val="en-AU"/>
              </w:rPr>
            </w:pPr>
            <w:r w:rsidRPr="000F3C8B">
              <w:rPr>
                <w:lang w:val="en-AU"/>
              </w:rPr>
              <w:t xml:space="preserve">Garcia-Cano </w:t>
            </w:r>
            <w:r w:rsidR="004E6820" w:rsidRPr="000F3C8B">
              <w:rPr>
                <w:lang w:val="en-AU"/>
              </w:rPr>
              <w:t xml:space="preserve">et al </w:t>
            </w:r>
            <w:r w:rsidR="00A106CF" w:rsidRPr="000F3C8B">
              <w:rPr>
                <w:lang w:val="en-AU"/>
              </w:rPr>
              <w:t>(</w:t>
            </w:r>
            <w:r w:rsidRPr="000F3C8B">
              <w:rPr>
                <w:lang w:val="en-AU"/>
              </w:rPr>
              <w:t>2006</w:t>
            </w:r>
            <w:r w:rsidR="00A106CF" w:rsidRPr="000F3C8B">
              <w:rPr>
                <w:lang w:val="en-AU"/>
              </w:rPr>
              <w:t>)</w:t>
            </w:r>
          </w:p>
        </w:tc>
        <w:tc>
          <w:tcPr>
            <w:tcW w:w="698" w:type="dxa"/>
            <w:shd w:val="clear" w:color="auto" w:fill="auto"/>
            <w:noWrap/>
          </w:tcPr>
          <w:p w:rsidR="00F17D20" w:rsidRPr="000F3C8B" w:rsidRDefault="00F17D20" w:rsidP="00B55E18">
            <w:pPr>
              <w:pStyle w:val="TableText0"/>
              <w:jc w:val="center"/>
              <w:rPr>
                <w:lang w:val="en-AU"/>
              </w:rPr>
            </w:pPr>
            <w:r w:rsidRPr="000F3C8B">
              <w:rPr>
                <w:lang w:val="en-AU"/>
              </w:rPr>
              <w:t>175</w:t>
            </w:r>
          </w:p>
        </w:tc>
        <w:tc>
          <w:tcPr>
            <w:tcW w:w="2005" w:type="dxa"/>
            <w:shd w:val="clear" w:color="auto" w:fill="auto"/>
            <w:noWrap/>
          </w:tcPr>
          <w:p w:rsidR="00F17D20" w:rsidRPr="000F3C8B" w:rsidRDefault="00F17D20" w:rsidP="00B91306">
            <w:pPr>
              <w:pStyle w:val="TableText0"/>
              <w:jc w:val="right"/>
              <w:rPr>
                <w:lang w:val="en-AU"/>
              </w:rPr>
            </w:pPr>
            <w:r w:rsidRPr="000F3C8B">
              <w:rPr>
                <w:lang w:val="en-AU"/>
              </w:rPr>
              <w:t>1</w:t>
            </w:r>
          </w:p>
        </w:tc>
        <w:tc>
          <w:tcPr>
            <w:tcW w:w="1550" w:type="dxa"/>
            <w:shd w:val="clear" w:color="auto" w:fill="auto"/>
          </w:tcPr>
          <w:p w:rsidR="00F17D20" w:rsidRPr="000F3C8B" w:rsidRDefault="003F1391" w:rsidP="00B91306">
            <w:pPr>
              <w:pStyle w:val="TableText0"/>
              <w:jc w:val="right"/>
              <w:rPr>
                <w:lang w:val="en-AU"/>
              </w:rPr>
            </w:pPr>
            <w:r w:rsidRPr="000F3C8B">
              <w:rPr>
                <w:lang w:val="en-AU"/>
              </w:rPr>
              <w:t>0.6</w:t>
            </w:r>
          </w:p>
        </w:tc>
      </w:tr>
      <w:tr w:rsidR="00F17D20" w:rsidRPr="00965DBA" w:rsidTr="00242BAC">
        <w:trPr>
          <w:trHeight w:val="288"/>
        </w:trPr>
        <w:tc>
          <w:tcPr>
            <w:tcW w:w="1951" w:type="dxa"/>
            <w:tcBorders>
              <w:bottom w:val="nil"/>
            </w:tcBorders>
            <w:shd w:val="clear" w:color="auto" w:fill="auto"/>
            <w:noWrap/>
          </w:tcPr>
          <w:p w:rsidR="00F17D20" w:rsidRPr="000F3C8B" w:rsidRDefault="00F17D20" w:rsidP="00B91306">
            <w:pPr>
              <w:pStyle w:val="TableText0"/>
              <w:rPr>
                <w:lang w:val="en-AU"/>
              </w:rPr>
            </w:pPr>
            <w:r w:rsidRPr="000F3C8B">
              <w:rPr>
                <w:lang w:val="en-AU"/>
              </w:rPr>
              <w:t xml:space="preserve">Mainar et al </w:t>
            </w:r>
            <w:r w:rsidR="00A106CF" w:rsidRPr="000F3C8B">
              <w:rPr>
                <w:lang w:val="en-AU"/>
              </w:rPr>
              <w:t>(</w:t>
            </w:r>
            <w:r w:rsidRPr="000F3C8B">
              <w:rPr>
                <w:lang w:val="en-AU"/>
              </w:rPr>
              <w:t>1999</w:t>
            </w:r>
            <w:r w:rsidR="00A106CF" w:rsidRPr="000F3C8B">
              <w:rPr>
                <w:lang w:val="en-AU"/>
              </w:rPr>
              <w:t>)</w:t>
            </w:r>
          </w:p>
        </w:tc>
        <w:tc>
          <w:tcPr>
            <w:tcW w:w="698" w:type="dxa"/>
            <w:tcBorders>
              <w:bottom w:val="nil"/>
            </w:tcBorders>
            <w:shd w:val="clear" w:color="auto" w:fill="auto"/>
            <w:noWrap/>
          </w:tcPr>
          <w:p w:rsidR="00F17D20" w:rsidRPr="000F3C8B" w:rsidRDefault="00F17D20" w:rsidP="00B55E18">
            <w:pPr>
              <w:pStyle w:val="TableText0"/>
              <w:jc w:val="center"/>
              <w:rPr>
                <w:lang w:val="en-AU"/>
              </w:rPr>
            </w:pPr>
            <w:r w:rsidRPr="000F3C8B">
              <w:rPr>
                <w:lang w:val="en-AU"/>
              </w:rPr>
              <w:t>71</w:t>
            </w:r>
          </w:p>
        </w:tc>
        <w:tc>
          <w:tcPr>
            <w:tcW w:w="2005" w:type="dxa"/>
            <w:tcBorders>
              <w:bottom w:val="nil"/>
            </w:tcBorders>
            <w:shd w:val="clear" w:color="auto" w:fill="auto"/>
            <w:noWrap/>
          </w:tcPr>
          <w:p w:rsidR="00F17D20" w:rsidRPr="000F3C8B" w:rsidRDefault="00F17D20" w:rsidP="00B91306">
            <w:pPr>
              <w:pStyle w:val="TableText0"/>
              <w:jc w:val="right"/>
              <w:rPr>
                <w:lang w:val="en-AU"/>
              </w:rPr>
            </w:pPr>
            <w:r w:rsidRPr="000F3C8B">
              <w:rPr>
                <w:lang w:val="en-AU"/>
              </w:rPr>
              <w:t>1</w:t>
            </w:r>
          </w:p>
        </w:tc>
        <w:tc>
          <w:tcPr>
            <w:tcW w:w="1550" w:type="dxa"/>
            <w:tcBorders>
              <w:bottom w:val="nil"/>
            </w:tcBorders>
            <w:shd w:val="clear" w:color="auto" w:fill="auto"/>
          </w:tcPr>
          <w:p w:rsidR="00F17D20" w:rsidRPr="000F3C8B" w:rsidRDefault="003F1391" w:rsidP="00B91306">
            <w:pPr>
              <w:pStyle w:val="TableText0"/>
              <w:jc w:val="right"/>
              <w:rPr>
                <w:lang w:val="en-AU"/>
              </w:rPr>
            </w:pPr>
            <w:r w:rsidRPr="000F3C8B">
              <w:rPr>
                <w:lang w:val="en-AU"/>
              </w:rPr>
              <w:t>1.4</w:t>
            </w:r>
          </w:p>
        </w:tc>
      </w:tr>
      <w:tr w:rsidR="00F17D20" w:rsidRPr="00965DBA" w:rsidTr="00242BAC">
        <w:trPr>
          <w:trHeight w:val="237"/>
        </w:trPr>
        <w:tc>
          <w:tcPr>
            <w:tcW w:w="1951" w:type="dxa"/>
            <w:tcBorders>
              <w:top w:val="nil"/>
              <w:bottom w:val="single" w:sz="12" w:space="0" w:color="auto"/>
            </w:tcBorders>
            <w:shd w:val="clear" w:color="auto" w:fill="auto"/>
            <w:noWrap/>
          </w:tcPr>
          <w:p w:rsidR="00F17D20" w:rsidRPr="000F3C8B" w:rsidRDefault="00F17D20" w:rsidP="00B91306">
            <w:pPr>
              <w:pStyle w:val="TableText0"/>
              <w:rPr>
                <w:b/>
                <w:lang w:val="en-AU"/>
              </w:rPr>
            </w:pPr>
            <w:r w:rsidRPr="000F3C8B">
              <w:rPr>
                <w:b/>
                <w:lang w:val="en-AU"/>
              </w:rPr>
              <w:t>T</w:t>
            </w:r>
            <w:r w:rsidR="00AA75A4" w:rsidRPr="000F3C8B">
              <w:rPr>
                <w:b/>
                <w:lang w:val="en-AU"/>
              </w:rPr>
              <w:t>OTAL</w:t>
            </w:r>
            <w:r w:rsidRPr="000F3C8B">
              <w:rPr>
                <w:b/>
                <w:lang w:val="en-AU"/>
              </w:rPr>
              <w:t xml:space="preserve"> (</w:t>
            </w:r>
            <w:r w:rsidR="00441B2A" w:rsidRPr="000F3C8B">
              <w:rPr>
                <w:b/>
                <w:lang w:val="en-AU"/>
              </w:rPr>
              <w:t>6</w:t>
            </w:r>
            <w:r w:rsidRPr="000F3C8B">
              <w:rPr>
                <w:b/>
                <w:lang w:val="en-AU"/>
              </w:rPr>
              <w:t xml:space="preserve"> studies)</w:t>
            </w:r>
          </w:p>
        </w:tc>
        <w:tc>
          <w:tcPr>
            <w:tcW w:w="698" w:type="dxa"/>
            <w:tcBorders>
              <w:top w:val="nil"/>
              <w:bottom w:val="single" w:sz="12" w:space="0" w:color="auto"/>
            </w:tcBorders>
            <w:shd w:val="clear" w:color="auto" w:fill="auto"/>
            <w:noWrap/>
          </w:tcPr>
          <w:p w:rsidR="00F17D20" w:rsidRPr="000F3C8B" w:rsidRDefault="00F17D20" w:rsidP="00B55E18">
            <w:pPr>
              <w:pStyle w:val="TableText0"/>
              <w:jc w:val="center"/>
              <w:rPr>
                <w:b/>
                <w:lang w:val="en-AU"/>
              </w:rPr>
            </w:pPr>
            <w:r w:rsidRPr="000F3C8B">
              <w:rPr>
                <w:b/>
                <w:lang w:val="en-AU"/>
              </w:rPr>
              <w:t>746</w:t>
            </w:r>
          </w:p>
        </w:tc>
        <w:tc>
          <w:tcPr>
            <w:tcW w:w="2005" w:type="dxa"/>
            <w:tcBorders>
              <w:top w:val="nil"/>
              <w:bottom w:val="single" w:sz="12" w:space="0" w:color="auto"/>
            </w:tcBorders>
            <w:shd w:val="clear" w:color="auto" w:fill="auto"/>
            <w:noWrap/>
          </w:tcPr>
          <w:p w:rsidR="00F17D20" w:rsidRPr="000F3C8B" w:rsidRDefault="00A106CF" w:rsidP="00B91306">
            <w:pPr>
              <w:pStyle w:val="TableText0"/>
              <w:jc w:val="right"/>
              <w:rPr>
                <w:b/>
                <w:lang w:val="en-AU"/>
              </w:rPr>
            </w:pPr>
            <w:r w:rsidRPr="000F3C8B">
              <w:rPr>
                <w:b/>
                <w:lang w:val="en-AU"/>
              </w:rPr>
              <w:t>12</w:t>
            </w:r>
          </w:p>
        </w:tc>
        <w:tc>
          <w:tcPr>
            <w:tcW w:w="1550" w:type="dxa"/>
            <w:tcBorders>
              <w:top w:val="nil"/>
              <w:bottom w:val="single" w:sz="12" w:space="0" w:color="auto"/>
            </w:tcBorders>
            <w:shd w:val="clear" w:color="auto" w:fill="auto"/>
            <w:noWrap/>
          </w:tcPr>
          <w:p w:rsidR="00F17D20" w:rsidRPr="000F3C8B" w:rsidRDefault="003F1391" w:rsidP="00B91306">
            <w:pPr>
              <w:pStyle w:val="TableText0"/>
              <w:jc w:val="right"/>
              <w:rPr>
                <w:b/>
                <w:lang w:val="en-AU"/>
              </w:rPr>
            </w:pPr>
            <w:r w:rsidRPr="000F3C8B">
              <w:rPr>
                <w:b/>
                <w:lang w:val="en-AU"/>
              </w:rPr>
              <w:t>1.7</w:t>
            </w:r>
          </w:p>
        </w:tc>
      </w:tr>
    </w:tbl>
    <w:p w:rsidR="00A106CF" w:rsidRPr="00325C69" w:rsidRDefault="00B91306" w:rsidP="00B91306">
      <w:pPr>
        <w:pStyle w:val="TableNotes"/>
        <w:rPr>
          <w:sz w:val="18"/>
          <w:szCs w:val="18"/>
        </w:rPr>
      </w:pPr>
      <w:r w:rsidRPr="00B91306">
        <w:rPr>
          <w:rFonts w:cs="Calibri"/>
          <w:color w:val="000000"/>
          <w:lang w:eastAsia="en-US"/>
        </w:rPr>
        <w:t>N:  Based on all patients for whom safety data are reported, regardless of the number of patients enrolled in a study, or their technical/clinical success.</w:t>
      </w:r>
    </w:p>
    <w:p w:rsidR="001A025D" w:rsidRPr="00965DBA" w:rsidRDefault="001A025D" w:rsidP="00041D5E">
      <w:pPr>
        <w:pStyle w:val="Heading4"/>
      </w:pPr>
      <w:r w:rsidRPr="00965DBA">
        <w:t>Other events</w:t>
      </w:r>
    </w:p>
    <w:p w:rsidR="001A025D" w:rsidRPr="00E2422F" w:rsidRDefault="00DE62DE" w:rsidP="00041D5E">
      <w:r w:rsidRPr="009E5C53">
        <w:t xml:space="preserve">Other adverse events </w:t>
      </w:r>
      <w:r w:rsidR="004E6820">
        <w:t>that</w:t>
      </w:r>
      <w:r w:rsidR="004E6820" w:rsidRPr="00E2422F">
        <w:t xml:space="preserve"> </w:t>
      </w:r>
      <w:r w:rsidRPr="00892811">
        <w:t>resulted from the intervention were erosion (and/or ulcer), fistula formation and adhesions. Four studies reported 10 ca</w:t>
      </w:r>
      <w:r w:rsidRPr="008978EE">
        <w:t>ses of erosion (and/or ulcer) with a</w:t>
      </w:r>
      <w:r w:rsidR="00D03AD7" w:rsidRPr="008978EE">
        <w:t>n</w:t>
      </w:r>
      <w:r w:rsidRPr="00A30BA9">
        <w:t xml:space="preserve"> occurrence</w:t>
      </w:r>
      <w:r w:rsidR="00D03AD7" w:rsidRPr="005646B6">
        <w:t xml:space="preserve"> rate</w:t>
      </w:r>
      <w:r w:rsidRPr="00003831">
        <w:t xml:space="preserve"> of 2.2</w:t>
      </w:r>
      <w:r w:rsidR="00B463D8">
        <w:t xml:space="preserve"> per cent</w:t>
      </w:r>
      <w:r w:rsidRPr="00003831">
        <w:t xml:space="preserve">. </w:t>
      </w:r>
      <w:r w:rsidR="002B64C4" w:rsidRPr="00A87C52">
        <w:t>Fistula formation wa</w:t>
      </w:r>
      <w:r w:rsidR="00D03AD7" w:rsidRPr="00DF686C">
        <w:t>s</w:t>
      </w:r>
      <w:r w:rsidR="002B64C4" w:rsidRPr="00DF686C">
        <w:t xml:space="preserve"> reported at a</w:t>
      </w:r>
      <w:r w:rsidR="00C72B95" w:rsidRPr="00DF686C">
        <w:t xml:space="preserve"> mean</w:t>
      </w:r>
      <w:r w:rsidR="002B64C4" w:rsidRPr="007D0320">
        <w:t xml:space="preserve"> occurrence rate of 1.</w:t>
      </w:r>
      <w:r w:rsidR="008C40BB" w:rsidRPr="00965DBA">
        <w:t>9</w:t>
      </w:r>
      <w:r w:rsidR="00B463D8">
        <w:t xml:space="preserve"> per cent</w:t>
      </w:r>
      <w:r w:rsidR="002B64C4" w:rsidRPr="00965DBA">
        <w:t xml:space="preserve"> (</w:t>
      </w:r>
      <w:r w:rsidR="008C40BB" w:rsidRPr="00965DBA">
        <w:t>6</w:t>
      </w:r>
      <w:r w:rsidR="002B64C4" w:rsidRPr="00965DBA">
        <w:t xml:space="preserve"> of </w:t>
      </w:r>
      <w:r w:rsidR="008C40BB" w:rsidRPr="00965DBA">
        <w:t>31</w:t>
      </w:r>
      <w:r w:rsidR="002B64C4" w:rsidRPr="00965DBA">
        <w:t>3). Two cases of adhesions were also noted (2.8%</w:t>
      </w:r>
      <w:r w:rsidR="007A48D6" w:rsidRPr="00965DBA">
        <w:t>, n=71</w:t>
      </w:r>
      <w:r w:rsidR="002B64C4" w:rsidRPr="00F13A5A">
        <w:t>)</w:t>
      </w:r>
      <w:r w:rsidR="00464189">
        <w:t xml:space="preserve"> </w:t>
      </w:r>
      <w:r w:rsidR="002B64C4" w:rsidRPr="00F13A5A">
        <w:t>(</w:t>
      </w:r>
      <w:r w:rsidR="00464189" w:rsidRPr="00B91306">
        <w:t xml:space="preserve">See </w:t>
      </w:r>
      <w:r w:rsidR="00464189" w:rsidRPr="00B91306">
        <w:fldChar w:fldCharType="begin"/>
      </w:r>
      <w:r w:rsidR="00464189" w:rsidRPr="00B91306">
        <w:instrText xml:space="preserve"> REF _Ref324945372 \h </w:instrText>
      </w:r>
      <w:r w:rsidR="007C10F0" w:rsidRPr="00B91306">
        <w:instrText xml:space="preserve"> \* MERGEFORMAT </w:instrText>
      </w:r>
      <w:r w:rsidR="00464189" w:rsidRPr="00B91306">
        <w:fldChar w:fldCharType="separate"/>
      </w:r>
      <w:r w:rsidR="0071544A">
        <w:t xml:space="preserve">Table </w:t>
      </w:r>
      <w:r w:rsidR="0071544A">
        <w:rPr>
          <w:noProof/>
        </w:rPr>
        <w:t>31</w:t>
      </w:r>
      <w:r w:rsidR="00464189" w:rsidRPr="00B91306">
        <w:fldChar w:fldCharType="end"/>
      </w:r>
      <w:r w:rsidR="002B64C4" w:rsidRPr="009E5C53">
        <w:t xml:space="preserve">).   </w:t>
      </w:r>
    </w:p>
    <w:p w:rsidR="00505EF9" w:rsidRPr="00003831" w:rsidRDefault="00505EF9" w:rsidP="00A36136"/>
    <w:p w:rsidR="008F59A8" w:rsidRPr="00DF686C" w:rsidRDefault="00A878D5">
      <w:pPr>
        <w:pStyle w:val="Heading2"/>
      </w:pPr>
      <w:bookmarkStart w:id="188" w:name="_Toc214339179"/>
      <w:r w:rsidRPr="00A87C52">
        <w:br w:type="page"/>
      </w:r>
      <w:bookmarkStart w:id="189" w:name="_Toc352924425"/>
      <w:r w:rsidR="008F59A8" w:rsidRPr="00A87C52">
        <w:lastRenderedPageBreak/>
        <w:t>Is it effective?</w:t>
      </w:r>
      <w:bookmarkEnd w:id="188"/>
      <w:bookmarkEnd w:id="189"/>
      <w:r w:rsidR="008F59A8" w:rsidRPr="00A87C52">
        <w:t xml:space="preserve"> </w:t>
      </w:r>
    </w:p>
    <w:p w:rsidR="00811464" w:rsidRPr="00DF686C" w:rsidRDefault="00811464" w:rsidP="00811464">
      <w:r w:rsidRPr="00DF686C">
        <w:t xml:space="preserve">No studies comparing stents to best supportive care were retrieved; as such, no assessment of the relative effectiveness of these two treatments could be made. All data presented within this section relates to the relative effectiveness of SEMS insertion compared to </w:t>
      </w:r>
      <w:r w:rsidR="00DF03CC">
        <w:t>multi-stage</w:t>
      </w:r>
      <w:r w:rsidRPr="00DF686C">
        <w:t xml:space="preserve"> surgical resection.</w:t>
      </w:r>
    </w:p>
    <w:p w:rsidR="00E61FB3" w:rsidRPr="00F13A5A" w:rsidRDefault="00E61FB3" w:rsidP="00FC35F9">
      <w:pPr>
        <w:pStyle w:val="Heading3"/>
      </w:pPr>
      <w:r w:rsidRPr="00F13A5A">
        <w:t>Technical and clinical success</w:t>
      </w:r>
    </w:p>
    <w:p w:rsidR="005E5FFA" w:rsidRPr="00325C69" w:rsidRDefault="004E6820" w:rsidP="005E5FFA">
      <w:r>
        <w:t>T</w:t>
      </w:r>
      <w:r w:rsidR="005E5FFA" w:rsidRPr="00BE3EA8">
        <w:t xml:space="preserve">reatment outcomes of SEMS placement are commonly reported </w:t>
      </w:r>
      <w:r>
        <w:t>as either</w:t>
      </w:r>
      <w:r w:rsidRPr="00BE3EA8">
        <w:t xml:space="preserve"> technical or</w:t>
      </w:r>
      <w:r w:rsidR="005E5FFA" w:rsidRPr="00BE3EA8">
        <w:t xml:space="preserve"> clinical. Technical success is generally defined as the successful placement and deployment of a SEMS. </w:t>
      </w:r>
      <w:r>
        <w:t>Whilst there is no universal definition, c</w:t>
      </w:r>
      <w:r w:rsidR="005E5FFA" w:rsidRPr="00BE3EA8">
        <w:t xml:space="preserve">linical success is </w:t>
      </w:r>
      <w:r>
        <w:t>often</w:t>
      </w:r>
      <w:r w:rsidRPr="00BE3EA8">
        <w:t xml:space="preserve"> </w:t>
      </w:r>
      <w:r w:rsidR="005E5FFA" w:rsidRPr="00BE3EA8">
        <w:t>regarded as colonic decompression without endoscopic or surgical reintervention after successful SEMS placement</w:t>
      </w:r>
      <w:r>
        <w:t xml:space="preserve">. The </w:t>
      </w:r>
      <w:r w:rsidR="005E5FFA" w:rsidRPr="00BE3EA8">
        <w:t xml:space="preserve">authors of different studies </w:t>
      </w:r>
      <w:r>
        <w:t xml:space="preserve">have </w:t>
      </w:r>
      <w:r w:rsidR="005E5FFA" w:rsidRPr="008F42F9">
        <w:t>often use</w:t>
      </w:r>
      <w:r>
        <w:t>d</w:t>
      </w:r>
      <w:r w:rsidR="005E5FFA" w:rsidRPr="008F42F9">
        <w:t xml:space="preserve"> their own criteria to define clinical success. The Cochrane review by Sagar (2011) noted that definitions of clinical success included relief of colonic obstruction symptoms, return of bowel function and resumption of oral intake, and stated that the outcomes of studies comparing SEMS to surgery may be impacted by these different definitions. This is reflected in the studies included to assess clinical treatment outcomes in the current review, where definitions of clinical success after SEMS placement included successful colonic decompression (Osman et al 2000), relief from obstructive symptoms (Johnson et al 2004; Varadarajulu et al 2011), improvement of obstructive symptoms within 48 hours (Nagula et al 2010) and resumption of bowel function and</w:t>
      </w:r>
      <w:r w:rsidR="005E5FFA" w:rsidRPr="00325C69">
        <w:t xml:space="preserve"> oral intake (Fiori et al 2004).</w:t>
      </w:r>
    </w:p>
    <w:p w:rsidR="005E5FFA" w:rsidRPr="007D5B7C" w:rsidRDefault="005E5FFA" w:rsidP="005E5FFA">
      <w:r w:rsidRPr="007D5B7C">
        <w:t>Definitions of clinical success after surgery also varied, and included relief from obstructive symptoms (Johnson et al 2004; Varadarajulu et al 2011)</w:t>
      </w:r>
      <w:r w:rsidR="004E6820">
        <w:t>,</w:t>
      </w:r>
      <w:r w:rsidRPr="007D5B7C">
        <w:t xml:space="preserve"> and resumption of bowel function and oral intake (Fiori et al 2004). Nagula et al (2010) and Osman et al (2000) did not provide explicit definitions of clinical success for surgery, and Xinopoulos et al (2004) did not provide explicit definitions of clinical success for either SEMS placement or surgery.</w:t>
      </w:r>
    </w:p>
    <w:p w:rsidR="005E5FFA" w:rsidRPr="00DF686C" w:rsidRDefault="005E5FFA" w:rsidP="005E5FFA">
      <w:r w:rsidRPr="007D5B7C">
        <w:t>Data on rates of technical and clinical success after SEMS placement and surgery are summarised in</w:t>
      </w:r>
      <w:r w:rsidR="009A376B">
        <w:t xml:space="preserve"> </w:t>
      </w:r>
      <w:r w:rsidR="009A376B">
        <w:fldChar w:fldCharType="begin"/>
      </w:r>
      <w:r w:rsidR="009A376B">
        <w:instrText xml:space="preserve"> REF _Ref324948291 \h </w:instrText>
      </w:r>
      <w:r w:rsidR="009A376B">
        <w:fldChar w:fldCharType="separate"/>
      </w:r>
      <w:r w:rsidR="0071544A">
        <w:t xml:space="preserve">Table </w:t>
      </w:r>
      <w:r w:rsidR="0071544A">
        <w:rPr>
          <w:noProof/>
        </w:rPr>
        <w:t>41</w:t>
      </w:r>
      <w:r w:rsidR="009A376B">
        <w:fldChar w:fldCharType="end"/>
      </w:r>
      <w:r w:rsidRPr="009E5C53">
        <w:t>. Both of the RCTs provided some data on technical and clinical success outcomes of SEMS placement. Xinopoulos et al (2004) reported technical and</w:t>
      </w:r>
      <w:r w:rsidRPr="00E2422F">
        <w:t xml:space="preserve"> clinical success in 14 of 15 patients (93.3</w:t>
      </w:r>
      <w:r w:rsidR="00765927" w:rsidRPr="00892811">
        <w:t>%</w:t>
      </w:r>
      <w:r w:rsidRPr="008978EE">
        <w:t>) that had SEMS placed. In the remaining patient, stenting was not possible because the guide</w:t>
      </w:r>
      <w:r w:rsidR="00737637" w:rsidRPr="008978EE">
        <w:t>-</w:t>
      </w:r>
      <w:r w:rsidRPr="00A30BA9">
        <w:t>wire could not be passed through the lesion; the patient subsequently underwent palliative stoma formation surgery. T</w:t>
      </w:r>
      <w:r w:rsidRPr="005646B6">
        <w:t>he colostomy procedure was reported to have been performed successfully and without serious complications in the comparator group of 15 patients (100</w:t>
      </w:r>
      <w:r w:rsidR="00765927" w:rsidRPr="00003831">
        <w:t>%</w:t>
      </w:r>
      <w:r w:rsidRPr="00A87C52">
        <w:t>) who underwent surgery. Fiori et al (2004) reported technical and clinical success rates of 100</w:t>
      </w:r>
      <w:r w:rsidR="0070275B">
        <w:t xml:space="preserve"> per cent</w:t>
      </w:r>
      <w:r w:rsidRPr="00DF686C">
        <w:t xml:space="preserve"> in the 11 patients that had SEMS placed, as well as successful interventions (classified as restoration of canalisation of the gastrointestinal tract) for all 11 patients who underwent colostomy surgery.</w:t>
      </w:r>
    </w:p>
    <w:p w:rsidR="005E5FFA" w:rsidRPr="00EC591E" w:rsidRDefault="005E5FFA" w:rsidP="005E5FFA">
      <w:r w:rsidRPr="00F13A5A">
        <w:t>Four of the five non-randomised comparative studies reported</w:t>
      </w:r>
      <w:r w:rsidRPr="00BE3EA8">
        <w:t xml:space="preserve"> on technical and clinical success outcomes of SEMS placement. Nagula et al (2010) reported the lowest rate of technical success, with 32 of 38 patients (84.2</w:t>
      </w:r>
      <w:r w:rsidR="00765927" w:rsidRPr="00BE3EA8">
        <w:t>%</w:t>
      </w:r>
      <w:r w:rsidRPr="00A3741F">
        <w:t>) receiving successful SEMS placement and deployment. A further two patients had inadequate sympt</w:t>
      </w:r>
      <w:r w:rsidRPr="008F42F9">
        <w:t>om resolution within 48 hours of stent placement, resulting in a clinical success rate of 78.9</w:t>
      </w:r>
      <w:r w:rsidR="0070275B">
        <w:t xml:space="preserve"> per cent</w:t>
      </w:r>
      <w:r w:rsidRPr="008F42F9">
        <w:t xml:space="preserve">. The authors made no statement about the clinical success of surgery in the comparator group of 14 patients. This group included the eight patients who experienced clinical failure after </w:t>
      </w:r>
      <w:r w:rsidRPr="008F42F9">
        <w:lastRenderedPageBreak/>
        <w:t>SEMS placement, all of whom received surgical palliation. Johnson et al (2004) reported a SEMS technical and clinical success rate of 90.0</w:t>
      </w:r>
      <w:r w:rsidR="0070275B">
        <w:t xml:space="preserve"> per cent</w:t>
      </w:r>
      <w:r w:rsidRPr="007D5B7C">
        <w:t xml:space="preserve"> in 20 patients. Both of the patients who experienced technical failure were subsequently managed by palliative stoma formation. In the comparator group, 16 of 18 surgery patients (88.9</w:t>
      </w:r>
      <w:r w:rsidR="00765927" w:rsidRPr="007D5B7C">
        <w:t>%</w:t>
      </w:r>
      <w:r w:rsidRPr="007D5B7C">
        <w:t xml:space="preserve">) were reported to have gained a benefit from stoma formation, while the remaining two patients had extensive peritoneal disease and died soon after treatment. </w:t>
      </w:r>
      <w:r w:rsidRPr="00960A9E">
        <w:t>Osman et al (2000) reported a technical and clinical success rate of 93.8</w:t>
      </w:r>
      <w:r w:rsidR="0070275B">
        <w:t xml:space="preserve"> per cent</w:t>
      </w:r>
      <w:r w:rsidRPr="00EA2600">
        <w:t xml:space="preserve"> in 16 SEMS patients, but did not report definitive success rates of intervention in surgical patients. Varadarajulu et al (2011) reported technical and clinical success in all 12 pa</w:t>
      </w:r>
      <w:r w:rsidRPr="00EC591E">
        <w:t>tients treated with SEMS, and successful treatment for all 24 patients who underwent surgery.</w:t>
      </w:r>
    </w:p>
    <w:p w:rsidR="00E61FB3" w:rsidRPr="00361416" w:rsidRDefault="009A376B" w:rsidP="009A376B">
      <w:pPr>
        <w:pStyle w:val="Caption"/>
        <w:rPr>
          <w:lang w:eastAsia="en-US"/>
        </w:rPr>
      </w:pPr>
      <w:bookmarkStart w:id="190" w:name="_Ref324948291"/>
      <w:bookmarkStart w:id="191" w:name="_Toc327522085"/>
      <w:r>
        <w:t xml:space="preserve">Table </w:t>
      </w:r>
      <w:fldSimple w:instr=" SEQ Table \* ARABIC ">
        <w:r w:rsidR="0071544A">
          <w:rPr>
            <w:noProof/>
          </w:rPr>
          <w:t>41</w:t>
        </w:r>
      </w:fldSimple>
      <w:bookmarkEnd w:id="190"/>
      <w:r w:rsidR="00E61FB3" w:rsidRPr="00361416">
        <w:rPr>
          <w:lang w:eastAsia="en-US"/>
        </w:rPr>
        <w:tab/>
        <w:t>Technical and clinical success rates of SEMS placement and surgery: comparative studies</w:t>
      </w:r>
      <w:bookmarkEnd w:id="191"/>
    </w:p>
    <w:tbl>
      <w:tblPr>
        <w:tblW w:w="8409" w:type="dxa"/>
        <w:tblInd w:w="720" w:type="dxa"/>
        <w:tblBorders>
          <w:top w:val="single" w:sz="12" w:space="0" w:color="000000"/>
        </w:tblBorders>
        <w:tblLayout w:type="fixed"/>
        <w:tblCellMar>
          <w:top w:w="28" w:type="dxa"/>
          <w:left w:w="57" w:type="dxa"/>
          <w:bottom w:w="28" w:type="dxa"/>
          <w:right w:w="57" w:type="dxa"/>
        </w:tblCellMar>
        <w:tblLook w:val="0000" w:firstRow="0" w:lastRow="0" w:firstColumn="0" w:lastColumn="0" w:noHBand="0" w:noVBand="0"/>
      </w:tblPr>
      <w:tblGrid>
        <w:gridCol w:w="1464"/>
        <w:gridCol w:w="992"/>
        <w:gridCol w:w="893"/>
        <w:gridCol w:w="1012"/>
        <w:gridCol w:w="1012"/>
        <w:gridCol w:w="1012"/>
        <w:gridCol w:w="1012"/>
        <w:gridCol w:w="1012"/>
      </w:tblGrid>
      <w:tr w:rsidR="00E61FB3" w:rsidRPr="00965DBA" w:rsidTr="0007443E">
        <w:trPr>
          <w:trHeight w:val="140"/>
        </w:trPr>
        <w:tc>
          <w:tcPr>
            <w:tcW w:w="1464" w:type="dxa"/>
            <w:vMerge w:val="restart"/>
            <w:tcBorders>
              <w:top w:val="single" w:sz="12" w:space="0" w:color="000000"/>
            </w:tcBorders>
          </w:tcPr>
          <w:p w:rsidR="00E61FB3" w:rsidRPr="00965DBA" w:rsidRDefault="00E61FB3" w:rsidP="009A376B">
            <w:pPr>
              <w:pStyle w:val="TableHeading0"/>
            </w:pPr>
            <w:r w:rsidRPr="00965DBA">
              <w:t>Study</w:t>
            </w:r>
          </w:p>
        </w:tc>
        <w:tc>
          <w:tcPr>
            <w:tcW w:w="992" w:type="dxa"/>
            <w:vMerge w:val="restart"/>
            <w:tcBorders>
              <w:top w:val="single" w:sz="12" w:space="0" w:color="000000"/>
            </w:tcBorders>
          </w:tcPr>
          <w:p w:rsidR="00E61FB3" w:rsidRPr="00965DBA" w:rsidRDefault="00E61FB3" w:rsidP="009A376B">
            <w:pPr>
              <w:pStyle w:val="TableHeading0"/>
            </w:pPr>
            <w:r w:rsidRPr="00965DBA">
              <w:t>Level of evidence</w:t>
            </w:r>
          </w:p>
        </w:tc>
        <w:tc>
          <w:tcPr>
            <w:tcW w:w="3929" w:type="dxa"/>
            <w:gridSpan w:val="4"/>
            <w:tcBorders>
              <w:top w:val="single" w:sz="12" w:space="0" w:color="000000"/>
            </w:tcBorders>
          </w:tcPr>
          <w:p w:rsidR="00E61FB3" w:rsidRPr="00965DBA" w:rsidRDefault="00E61FB3" w:rsidP="009A376B">
            <w:pPr>
              <w:pStyle w:val="TableHeading0"/>
            </w:pPr>
            <w:r w:rsidRPr="00965DBA">
              <w:t>SEMS placement</w:t>
            </w:r>
          </w:p>
        </w:tc>
        <w:tc>
          <w:tcPr>
            <w:tcW w:w="2024" w:type="dxa"/>
            <w:gridSpan w:val="2"/>
            <w:tcBorders>
              <w:top w:val="single" w:sz="12" w:space="0" w:color="000000"/>
            </w:tcBorders>
          </w:tcPr>
          <w:p w:rsidR="00E61FB3" w:rsidRPr="00965DBA" w:rsidRDefault="00E61FB3" w:rsidP="009A376B">
            <w:pPr>
              <w:pStyle w:val="TableHeading0"/>
            </w:pPr>
            <w:r w:rsidRPr="00965DBA">
              <w:t>Surgery</w:t>
            </w:r>
          </w:p>
        </w:tc>
      </w:tr>
      <w:tr w:rsidR="00E61FB3" w:rsidRPr="00965DBA" w:rsidTr="0007443E">
        <w:trPr>
          <w:trHeight w:val="140"/>
        </w:trPr>
        <w:tc>
          <w:tcPr>
            <w:tcW w:w="1464" w:type="dxa"/>
            <w:vMerge/>
            <w:tcBorders>
              <w:top w:val="nil"/>
            </w:tcBorders>
          </w:tcPr>
          <w:p w:rsidR="00E61FB3" w:rsidRPr="00965DBA" w:rsidRDefault="00E61FB3" w:rsidP="009A376B">
            <w:pPr>
              <w:pStyle w:val="TableHeading0"/>
            </w:pPr>
          </w:p>
        </w:tc>
        <w:tc>
          <w:tcPr>
            <w:tcW w:w="992" w:type="dxa"/>
            <w:vMerge/>
            <w:tcBorders>
              <w:top w:val="nil"/>
            </w:tcBorders>
          </w:tcPr>
          <w:p w:rsidR="00E61FB3" w:rsidRPr="00965DBA" w:rsidRDefault="00E61FB3" w:rsidP="009A376B">
            <w:pPr>
              <w:pStyle w:val="TableHeading0"/>
            </w:pPr>
          </w:p>
        </w:tc>
        <w:tc>
          <w:tcPr>
            <w:tcW w:w="1905" w:type="dxa"/>
            <w:gridSpan w:val="2"/>
            <w:tcBorders>
              <w:top w:val="nil"/>
            </w:tcBorders>
          </w:tcPr>
          <w:p w:rsidR="00E61FB3" w:rsidRPr="00965DBA" w:rsidRDefault="00E61FB3" w:rsidP="009A376B">
            <w:pPr>
              <w:pStyle w:val="TableHeading0"/>
            </w:pPr>
            <w:r w:rsidRPr="00965DBA">
              <w:t>Technical success</w:t>
            </w:r>
          </w:p>
        </w:tc>
        <w:tc>
          <w:tcPr>
            <w:tcW w:w="2024" w:type="dxa"/>
            <w:gridSpan w:val="2"/>
            <w:tcBorders>
              <w:top w:val="nil"/>
            </w:tcBorders>
          </w:tcPr>
          <w:p w:rsidR="00E61FB3" w:rsidRPr="00965DBA" w:rsidRDefault="00E61FB3" w:rsidP="009A376B">
            <w:pPr>
              <w:pStyle w:val="TableHeading0"/>
            </w:pPr>
            <w:r w:rsidRPr="00965DBA">
              <w:t>Clinical success</w:t>
            </w:r>
          </w:p>
        </w:tc>
        <w:tc>
          <w:tcPr>
            <w:tcW w:w="2024" w:type="dxa"/>
            <w:gridSpan w:val="2"/>
            <w:tcBorders>
              <w:top w:val="nil"/>
            </w:tcBorders>
          </w:tcPr>
          <w:p w:rsidR="00E61FB3" w:rsidRPr="00965DBA" w:rsidRDefault="00E61FB3" w:rsidP="009A376B">
            <w:pPr>
              <w:pStyle w:val="TableHeading0"/>
            </w:pPr>
            <w:r w:rsidRPr="00965DBA">
              <w:t>Clinical success</w:t>
            </w:r>
          </w:p>
        </w:tc>
      </w:tr>
      <w:tr w:rsidR="00E61FB3" w:rsidRPr="00965DBA" w:rsidTr="0007443E">
        <w:trPr>
          <w:trHeight w:val="140"/>
        </w:trPr>
        <w:tc>
          <w:tcPr>
            <w:tcW w:w="1464" w:type="dxa"/>
            <w:vMerge/>
            <w:tcBorders>
              <w:top w:val="nil"/>
              <w:bottom w:val="single" w:sz="4" w:space="0" w:color="000000"/>
            </w:tcBorders>
          </w:tcPr>
          <w:p w:rsidR="00E61FB3" w:rsidRPr="00965DBA" w:rsidRDefault="00E61FB3" w:rsidP="00E61FB3">
            <w:pPr>
              <w:keepNext/>
              <w:spacing w:after="0"/>
              <w:ind w:left="0"/>
              <w:rPr>
                <w:rFonts w:ascii="Arial Narrow" w:hAnsi="Arial Narrow"/>
                <w:b/>
                <w:sz w:val="18"/>
                <w:lang w:eastAsia="en-US"/>
              </w:rPr>
            </w:pPr>
          </w:p>
        </w:tc>
        <w:tc>
          <w:tcPr>
            <w:tcW w:w="992" w:type="dxa"/>
            <w:vMerge/>
            <w:tcBorders>
              <w:top w:val="nil"/>
              <w:bottom w:val="single" w:sz="4" w:space="0" w:color="000000"/>
            </w:tcBorders>
          </w:tcPr>
          <w:p w:rsidR="00E61FB3" w:rsidRPr="00965DBA" w:rsidRDefault="00E61FB3" w:rsidP="00E61FB3">
            <w:pPr>
              <w:keepNext/>
              <w:spacing w:after="0"/>
              <w:ind w:left="0"/>
              <w:rPr>
                <w:rFonts w:ascii="Arial Narrow" w:hAnsi="Arial Narrow"/>
                <w:b/>
                <w:sz w:val="18"/>
                <w:lang w:eastAsia="en-US"/>
              </w:rPr>
            </w:pPr>
          </w:p>
        </w:tc>
        <w:tc>
          <w:tcPr>
            <w:tcW w:w="893" w:type="dxa"/>
            <w:tcBorders>
              <w:top w:val="nil"/>
              <w:bottom w:val="single" w:sz="4" w:space="0" w:color="000000"/>
            </w:tcBorders>
          </w:tcPr>
          <w:p w:rsidR="00E61FB3" w:rsidRPr="00965DBA" w:rsidRDefault="00E61FB3" w:rsidP="00FB5FE7">
            <w:pPr>
              <w:pStyle w:val="TableHeading0"/>
            </w:pPr>
            <w:r w:rsidRPr="00965DBA">
              <w:t>n/N</w:t>
            </w:r>
          </w:p>
        </w:tc>
        <w:tc>
          <w:tcPr>
            <w:tcW w:w="1012" w:type="dxa"/>
            <w:tcBorders>
              <w:top w:val="nil"/>
              <w:bottom w:val="single" w:sz="4" w:space="0" w:color="000000"/>
            </w:tcBorders>
          </w:tcPr>
          <w:p w:rsidR="00E61FB3" w:rsidRPr="00965DBA" w:rsidRDefault="00E61FB3" w:rsidP="00FB5FE7">
            <w:pPr>
              <w:pStyle w:val="TableHeading0"/>
            </w:pPr>
            <w:r w:rsidRPr="00965DBA">
              <w:t>%</w:t>
            </w:r>
          </w:p>
        </w:tc>
        <w:tc>
          <w:tcPr>
            <w:tcW w:w="1012" w:type="dxa"/>
            <w:tcBorders>
              <w:top w:val="nil"/>
              <w:bottom w:val="single" w:sz="4" w:space="0" w:color="000000"/>
            </w:tcBorders>
          </w:tcPr>
          <w:p w:rsidR="00E61FB3" w:rsidRPr="00965DBA" w:rsidRDefault="00E61FB3" w:rsidP="00FB5FE7">
            <w:pPr>
              <w:pStyle w:val="TableHeading0"/>
            </w:pPr>
            <w:r w:rsidRPr="00965DBA">
              <w:t>n/N</w:t>
            </w:r>
          </w:p>
        </w:tc>
        <w:tc>
          <w:tcPr>
            <w:tcW w:w="1012" w:type="dxa"/>
            <w:tcBorders>
              <w:top w:val="nil"/>
              <w:bottom w:val="single" w:sz="4" w:space="0" w:color="000000"/>
            </w:tcBorders>
          </w:tcPr>
          <w:p w:rsidR="00E61FB3" w:rsidRPr="00965DBA" w:rsidRDefault="00E61FB3" w:rsidP="00FB5FE7">
            <w:pPr>
              <w:pStyle w:val="TableHeading0"/>
            </w:pPr>
            <w:r w:rsidRPr="00965DBA">
              <w:t>%</w:t>
            </w:r>
          </w:p>
        </w:tc>
        <w:tc>
          <w:tcPr>
            <w:tcW w:w="1012" w:type="dxa"/>
            <w:tcBorders>
              <w:top w:val="nil"/>
              <w:bottom w:val="single" w:sz="4" w:space="0" w:color="000000"/>
            </w:tcBorders>
          </w:tcPr>
          <w:p w:rsidR="00E61FB3" w:rsidRPr="00965DBA" w:rsidRDefault="00E61FB3" w:rsidP="00FB5FE7">
            <w:pPr>
              <w:pStyle w:val="TableHeading0"/>
            </w:pPr>
            <w:r w:rsidRPr="00965DBA">
              <w:t>n/N</w:t>
            </w:r>
          </w:p>
        </w:tc>
        <w:tc>
          <w:tcPr>
            <w:tcW w:w="1012" w:type="dxa"/>
            <w:tcBorders>
              <w:top w:val="nil"/>
              <w:bottom w:val="single" w:sz="4" w:space="0" w:color="000000"/>
            </w:tcBorders>
          </w:tcPr>
          <w:p w:rsidR="00E61FB3" w:rsidRPr="00965DBA" w:rsidRDefault="00E61FB3" w:rsidP="00FB5FE7">
            <w:pPr>
              <w:pStyle w:val="TableHeading0"/>
            </w:pPr>
            <w:r w:rsidRPr="00965DBA">
              <w:t>%</w:t>
            </w:r>
          </w:p>
        </w:tc>
      </w:tr>
      <w:tr w:rsidR="00E61FB3" w:rsidRPr="00965DBA" w:rsidTr="0007443E">
        <w:trPr>
          <w:trHeight w:val="125"/>
        </w:trPr>
        <w:tc>
          <w:tcPr>
            <w:tcW w:w="1464" w:type="dxa"/>
            <w:tcBorders>
              <w:top w:val="single" w:sz="4" w:space="0" w:color="000000"/>
            </w:tcBorders>
          </w:tcPr>
          <w:p w:rsidR="00E61FB3" w:rsidRPr="000F3C8B" w:rsidRDefault="00E61FB3" w:rsidP="00FB5FE7">
            <w:pPr>
              <w:pStyle w:val="TableText0"/>
              <w:rPr>
                <w:lang w:val="en-AU"/>
              </w:rPr>
            </w:pPr>
            <w:r w:rsidRPr="000F3C8B">
              <w:rPr>
                <w:lang w:val="en-AU"/>
              </w:rPr>
              <w:t>Fiori</w:t>
            </w:r>
            <w:r w:rsidR="00242BAC">
              <w:rPr>
                <w:lang w:val="en-AU"/>
              </w:rPr>
              <w:t xml:space="preserve"> et al</w:t>
            </w:r>
            <w:r w:rsidRPr="000F3C8B">
              <w:rPr>
                <w:lang w:val="en-AU"/>
              </w:rPr>
              <w:t xml:space="preserve"> (2004)</w:t>
            </w:r>
          </w:p>
        </w:tc>
        <w:tc>
          <w:tcPr>
            <w:tcW w:w="992" w:type="dxa"/>
            <w:tcBorders>
              <w:top w:val="single" w:sz="4" w:space="0" w:color="000000"/>
            </w:tcBorders>
          </w:tcPr>
          <w:p w:rsidR="00E61FB3" w:rsidRPr="000F3C8B" w:rsidRDefault="00E61FB3" w:rsidP="00FB5FE7">
            <w:pPr>
              <w:pStyle w:val="TableText0"/>
              <w:rPr>
                <w:lang w:val="en-AU"/>
              </w:rPr>
            </w:pPr>
            <w:r w:rsidRPr="000F3C8B">
              <w:rPr>
                <w:lang w:val="en-AU"/>
              </w:rPr>
              <w:t>II</w:t>
            </w:r>
          </w:p>
        </w:tc>
        <w:tc>
          <w:tcPr>
            <w:tcW w:w="893" w:type="dxa"/>
            <w:tcBorders>
              <w:top w:val="single" w:sz="4" w:space="0" w:color="000000"/>
            </w:tcBorders>
          </w:tcPr>
          <w:p w:rsidR="00E61FB3" w:rsidRPr="000F3C8B" w:rsidRDefault="00E61FB3" w:rsidP="00FB5FE7">
            <w:pPr>
              <w:pStyle w:val="TableText0"/>
              <w:rPr>
                <w:lang w:val="en-AU"/>
              </w:rPr>
            </w:pPr>
            <w:r w:rsidRPr="000F3C8B">
              <w:rPr>
                <w:lang w:val="en-AU"/>
              </w:rPr>
              <w:t>11/11</w:t>
            </w:r>
          </w:p>
        </w:tc>
        <w:tc>
          <w:tcPr>
            <w:tcW w:w="1012" w:type="dxa"/>
            <w:tcBorders>
              <w:top w:val="single" w:sz="4" w:space="0" w:color="000000"/>
            </w:tcBorders>
          </w:tcPr>
          <w:p w:rsidR="00E61FB3" w:rsidRPr="000F3C8B" w:rsidRDefault="00E61FB3" w:rsidP="00FB5FE7">
            <w:pPr>
              <w:pStyle w:val="TableText0"/>
              <w:rPr>
                <w:lang w:val="en-AU"/>
              </w:rPr>
            </w:pPr>
            <w:r w:rsidRPr="000F3C8B">
              <w:rPr>
                <w:lang w:val="en-AU"/>
              </w:rPr>
              <w:t>100</w:t>
            </w:r>
          </w:p>
        </w:tc>
        <w:tc>
          <w:tcPr>
            <w:tcW w:w="1012" w:type="dxa"/>
            <w:tcBorders>
              <w:top w:val="single" w:sz="4" w:space="0" w:color="000000"/>
            </w:tcBorders>
          </w:tcPr>
          <w:p w:rsidR="00E61FB3" w:rsidRPr="000F3C8B" w:rsidRDefault="00E61FB3" w:rsidP="00FB5FE7">
            <w:pPr>
              <w:pStyle w:val="TableText0"/>
              <w:rPr>
                <w:lang w:val="en-AU"/>
              </w:rPr>
            </w:pPr>
            <w:r w:rsidRPr="000F3C8B">
              <w:rPr>
                <w:lang w:val="en-AU"/>
              </w:rPr>
              <w:t>11/11</w:t>
            </w:r>
          </w:p>
        </w:tc>
        <w:tc>
          <w:tcPr>
            <w:tcW w:w="1012" w:type="dxa"/>
            <w:tcBorders>
              <w:top w:val="single" w:sz="4" w:space="0" w:color="000000"/>
            </w:tcBorders>
          </w:tcPr>
          <w:p w:rsidR="00E61FB3" w:rsidRPr="000F3C8B" w:rsidRDefault="00E61FB3" w:rsidP="00FB5FE7">
            <w:pPr>
              <w:pStyle w:val="TableText0"/>
              <w:rPr>
                <w:lang w:val="en-AU"/>
              </w:rPr>
            </w:pPr>
            <w:r w:rsidRPr="000F3C8B">
              <w:rPr>
                <w:lang w:val="en-AU"/>
              </w:rPr>
              <w:t>100</w:t>
            </w:r>
          </w:p>
        </w:tc>
        <w:tc>
          <w:tcPr>
            <w:tcW w:w="1012" w:type="dxa"/>
            <w:tcBorders>
              <w:top w:val="single" w:sz="4" w:space="0" w:color="000000"/>
            </w:tcBorders>
          </w:tcPr>
          <w:p w:rsidR="00E61FB3" w:rsidRPr="000F3C8B" w:rsidRDefault="00E61FB3" w:rsidP="00FB5FE7">
            <w:pPr>
              <w:pStyle w:val="TableText0"/>
              <w:rPr>
                <w:lang w:val="en-AU"/>
              </w:rPr>
            </w:pPr>
            <w:r w:rsidRPr="000F3C8B">
              <w:rPr>
                <w:lang w:val="en-AU"/>
              </w:rPr>
              <w:t>11/11</w:t>
            </w:r>
          </w:p>
        </w:tc>
        <w:tc>
          <w:tcPr>
            <w:tcW w:w="1012" w:type="dxa"/>
            <w:tcBorders>
              <w:top w:val="single" w:sz="4" w:space="0" w:color="000000"/>
            </w:tcBorders>
            <w:vAlign w:val="center"/>
          </w:tcPr>
          <w:p w:rsidR="00E61FB3" w:rsidRPr="000F3C8B" w:rsidRDefault="00E61FB3" w:rsidP="00FB5FE7">
            <w:pPr>
              <w:pStyle w:val="TableText0"/>
              <w:rPr>
                <w:lang w:val="en-AU"/>
              </w:rPr>
            </w:pPr>
            <w:r w:rsidRPr="000F3C8B">
              <w:rPr>
                <w:lang w:val="en-AU"/>
              </w:rPr>
              <w:t>100</w:t>
            </w:r>
          </w:p>
        </w:tc>
      </w:tr>
      <w:tr w:rsidR="00E61FB3" w:rsidRPr="00965DBA" w:rsidTr="0007443E">
        <w:trPr>
          <w:trHeight w:val="125"/>
        </w:trPr>
        <w:tc>
          <w:tcPr>
            <w:tcW w:w="1464" w:type="dxa"/>
          </w:tcPr>
          <w:p w:rsidR="00E61FB3" w:rsidRPr="000F3C8B" w:rsidRDefault="00E61FB3" w:rsidP="00FB5FE7">
            <w:pPr>
              <w:pStyle w:val="TableText0"/>
              <w:rPr>
                <w:lang w:val="en-AU"/>
              </w:rPr>
            </w:pPr>
            <w:r w:rsidRPr="000F3C8B">
              <w:rPr>
                <w:lang w:val="en-AU"/>
              </w:rPr>
              <w:t xml:space="preserve">Xinopoulos </w:t>
            </w:r>
            <w:r w:rsidR="00242BAC">
              <w:rPr>
                <w:lang w:val="en-AU"/>
              </w:rPr>
              <w:t>et al</w:t>
            </w:r>
            <w:r w:rsidR="00242BAC" w:rsidRPr="000F3C8B">
              <w:rPr>
                <w:lang w:val="en-AU"/>
              </w:rPr>
              <w:t xml:space="preserve"> </w:t>
            </w:r>
            <w:r w:rsidRPr="000F3C8B">
              <w:rPr>
                <w:lang w:val="en-AU"/>
              </w:rPr>
              <w:t>(2004)</w:t>
            </w:r>
          </w:p>
        </w:tc>
        <w:tc>
          <w:tcPr>
            <w:tcW w:w="992" w:type="dxa"/>
          </w:tcPr>
          <w:p w:rsidR="00E61FB3" w:rsidRPr="000F3C8B" w:rsidRDefault="00E61FB3" w:rsidP="00FB5FE7">
            <w:pPr>
              <w:pStyle w:val="TableText0"/>
              <w:rPr>
                <w:lang w:val="en-AU"/>
              </w:rPr>
            </w:pPr>
            <w:r w:rsidRPr="000F3C8B">
              <w:rPr>
                <w:lang w:val="en-AU"/>
              </w:rPr>
              <w:t>II</w:t>
            </w:r>
          </w:p>
        </w:tc>
        <w:tc>
          <w:tcPr>
            <w:tcW w:w="893" w:type="dxa"/>
          </w:tcPr>
          <w:p w:rsidR="00E61FB3" w:rsidRPr="000F3C8B" w:rsidRDefault="00E61FB3" w:rsidP="00FB5FE7">
            <w:pPr>
              <w:pStyle w:val="TableText0"/>
              <w:rPr>
                <w:lang w:val="en-AU"/>
              </w:rPr>
            </w:pPr>
            <w:r w:rsidRPr="000F3C8B">
              <w:rPr>
                <w:lang w:val="en-AU"/>
              </w:rPr>
              <w:t>14/15</w:t>
            </w:r>
          </w:p>
        </w:tc>
        <w:tc>
          <w:tcPr>
            <w:tcW w:w="1012" w:type="dxa"/>
          </w:tcPr>
          <w:p w:rsidR="00E61FB3" w:rsidRPr="000F3C8B" w:rsidRDefault="00E61FB3" w:rsidP="00FB5FE7">
            <w:pPr>
              <w:pStyle w:val="TableText0"/>
              <w:rPr>
                <w:lang w:val="en-AU"/>
              </w:rPr>
            </w:pPr>
            <w:r w:rsidRPr="000F3C8B">
              <w:rPr>
                <w:lang w:val="en-AU"/>
              </w:rPr>
              <w:t>93.3</w:t>
            </w:r>
          </w:p>
        </w:tc>
        <w:tc>
          <w:tcPr>
            <w:tcW w:w="1012" w:type="dxa"/>
          </w:tcPr>
          <w:p w:rsidR="00E61FB3" w:rsidRPr="000F3C8B" w:rsidRDefault="00E61FB3" w:rsidP="00FB5FE7">
            <w:pPr>
              <w:pStyle w:val="TableText0"/>
              <w:rPr>
                <w:lang w:val="en-AU"/>
              </w:rPr>
            </w:pPr>
            <w:r w:rsidRPr="000F3C8B">
              <w:rPr>
                <w:lang w:val="en-AU"/>
              </w:rPr>
              <w:t>14/15</w:t>
            </w:r>
          </w:p>
        </w:tc>
        <w:tc>
          <w:tcPr>
            <w:tcW w:w="1012" w:type="dxa"/>
          </w:tcPr>
          <w:p w:rsidR="00E61FB3" w:rsidRPr="000F3C8B" w:rsidRDefault="00E61FB3" w:rsidP="00FB5FE7">
            <w:pPr>
              <w:pStyle w:val="TableText0"/>
              <w:rPr>
                <w:lang w:val="en-AU"/>
              </w:rPr>
            </w:pPr>
            <w:r w:rsidRPr="000F3C8B">
              <w:rPr>
                <w:lang w:val="en-AU"/>
              </w:rPr>
              <w:t>93.3</w:t>
            </w:r>
          </w:p>
        </w:tc>
        <w:tc>
          <w:tcPr>
            <w:tcW w:w="1012" w:type="dxa"/>
          </w:tcPr>
          <w:p w:rsidR="00E61FB3" w:rsidRPr="000F3C8B" w:rsidRDefault="00E61FB3" w:rsidP="00FB5FE7">
            <w:pPr>
              <w:pStyle w:val="TableText0"/>
              <w:rPr>
                <w:lang w:val="en-AU"/>
              </w:rPr>
            </w:pPr>
            <w:r w:rsidRPr="000F3C8B">
              <w:rPr>
                <w:lang w:val="en-AU"/>
              </w:rPr>
              <w:t>15/15</w:t>
            </w:r>
          </w:p>
        </w:tc>
        <w:tc>
          <w:tcPr>
            <w:tcW w:w="1012" w:type="dxa"/>
          </w:tcPr>
          <w:p w:rsidR="00E61FB3" w:rsidRPr="000F3C8B" w:rsidRDefault="00E61FB3" w:rsidP="00FB5FE7">
            <w:pPr>
              <w:pStyle w:val="TableText0"/>
              <w:rPr>
                <w:lang w:val="en-AU"/>
              </w:rPr>
            </w:pPr>
            <w:r w:rsidRPr="000F3C8B">
              <w:rPr>
                <w:lang w:val="en-AU"/>
              </w:rPr>
              <w:t>100</w:t>
            </w:r>
          </w:p>
        </w:tc>
      </w:tr>
      <w:tr w:rsidR="00E61FB3" w:rsidRPr="00965DBA" w:rsidTr="0007443E">
        <w:trPr>
          <w:trHeight w:val="125"/>
        </w:trPr>
        <w:tc>
          <w:tcPr>
            <w:tcW w:w="1464" w:type="dxa"/>
          </w:tcPr>
          <w:p w:rsidR="00E61FB3" w:rsidRPr="000F3C8B" w:rsidRDefault="00E61FB3" w:rsidP="00FB5FE7">
            <w:pPr>
              <w:pStyle w:val="TableText0"/>
              <w:rPr>
                <w:lang w:val="en-AU"/>
              </w:rPr>
            </w:pPr>
            <w:r w:rsidRPr="000F3C8B">
              <w:rPr>
                <w:lang w:val="en-AU"/>
              </w:rPr>
              <w:t xml:space="preserve">Nagula </w:t>
            </w:r>
            <w:r w:rsidR="00242BAC">
              <w:rPr>
                <w:lang w:val="en-AU"/>
              </w:rPr>
              <w:t>et al</w:t>
            </w:r>
            <w:r w:rsidR="00242BAC" w:rsidRPr="000F3C8B">
              <w:rPr>
                <w:lang w:val="en-AU"/>
              </w:rPr>
              <w:t xml:space="preserve"> </w:t>
            </w:r>
            <w:r w:rsidRPr="000F3C8B">
              <w:rPr>
                <w:lang w:val="en-AU"/>
              </w:rPr>
              <w:t>(2010)</w:t>
            </w:r>
          </w:p>
        </w:tc>
        <w:tc>
          <w:tcPr>
            <w:tcW w:w="992" w:type="dxa"/>
          </w:tcPr>
          <w:p w:rsidR="00E61FB3" w:rsidRPr="000F3C8B" w:rsidRDefault="00E61FB3" w:rsidP="00FB5FE7">
            <w:pPr>
              <w:pStyle w:val="TableText0"/>
              <w:rPr>
                <w:lang w:val="en-AU"/>
              </w:rPr>
            </w:pPr>
            <w:r w:rsidRPr="000F3C8B">
              <w:rPr>
                <w:lang w:val="en-AU"/>
              </w:rPr>
              <w:t>III-2</w:t>
            </w:r>
          </w:p>
        </w:tc>
        <w:tc>
          <w:tcPr>
            <w:tcW w:w="893" w:type="dxa"/>
          </w:tcPr>
          <w:p w:rsidR="00E61FB3" w:rsidRPr="000F3C8B" w:rsidRDefault="00E61FB3" w:rsidP="00FB5FE7">
            <w:pPr>
              <w:pStyle w:val="TableText0"/>
              <w:rPr>
                <w:lang w:val="en-AU"/>
              </w:rPr>
            </w:pPr>
            <w:r w:rsidRPr="000F3C8B">
              <w:rPr>
                <w:lang w:val="en-AU"/>
              </w:rPr>
              <w:t>32/38</w:t>
            </w:r>
          </w:p>
        </w:tc>
        <w:tc>
          <w:tcPr>
            <w:tcW w:w="1012" w:type="dxa"/>
          </w:tcPr>
          <w:p w:rsidR="00E61FB3" w:rsidRPr="000F3C8B" w:rsidRDefault="00E61FB3" w:rsidP="00FB5FE7">
            <w:pPr>
              <w:pStyle w:val="TableText0"/>
              <w:rPr>
                <w:lang w:val="en-AU"/>
              </w:rPr>
            </w:pPr>
            <w:r w:rsidRPr="000F3C8B">
              <w:rPr>
                <w:lang w:val="en-AU"/>
              </w:rPr>
              <w:t>84.2</w:t>
            </w:r>
          </w:p>
        </w:tc>
        <w:tc>
          <w:tcPr>
            <w:tcW w:w="1012" w:type="dxa"/>
          </w:tcPr>
          <w:p w:rsidR="00E61FB3" w:rsidRPr="000F3C8B" w:rsidRDefault="00E61FB3" w:rsidP="00FB5FE7">
            <w:pPr>
              <w:pStyle w:val="TableText0"/>
              <w:rPr>
                <w:lang w:val="en-AU"/>
              </w:rPr>
            </w:pPr>
            <w:r w:rsidRPr="000F3C8B">
              <w:rPr>
                <w:lang w:val="en-AU"/>
              </w:rPr>
              <w:t>30/38</w:t>
            </w:r>
          </w:p>
        </w:tc>
        <w:tc>
          <w:tcPr>
            <w:tcW w:w="1012" w:type="dxa"/>
          </w:tcPr>
          <w:p w:rsidR="00E61FB3" w:rsidRPr="000F3C8B" w:rsidRDefault="00E61FB3" w:rsidP="00FB5FE7">
            <w:pPr>
              <w:pStyle w:val="TableText0"/>
              <w:rPr>
                <w:lang w:val="en-AU"/>
              </w:rPr>
            </w:pPr>
            <w:r w:rsidRPr="000F3C8B">
              <w:rPr>
                <w:lang w:val="en-AU"/>
              </w:rPr>
              <w:t>78.9</w:t>
            </w:r>
          </w:p>
        </w:tc>
        <w:tc>
          <w:tcPr>
            <w:tcW w:w="1012" w:type="dxa"/>
          </w:tcPr>
          <w:p w:rsidR="00E61FB3" w:rsidRPr="000F3C8B" w:rsidRDefault="00E61FB3" w:rsidP="00FB5FE7">
            <w:pPr>
              <w:pStyle w:val="TableText0"/>
              <w:rPr>
                <w:lang w:val="en-AU"/>
              </w:rPr>
            </w:pPr>
            <w:r w:rsidRPr="000F3C8B">
              <w:rPr>
                <w:lang w:val="en-AU"/>
              </w:rPr>
              <w:t>NR/14</w:t>
            </w:r>
            <w:r w:rsidRPr="000F3C8B">
              <w:rPr>
                <w:vertAlign w:val="superscript"/>
                <w:lang w:val="en-AU"/>
              </w:rPr>
              <w:t>a</w:t>
            </w:r>
          </w:p>
        </w:tc>
        <w:tc>
          <w:tcPr>
            <w:tcW w:w="1012" w:type="dxa"/>
          </w:tcPr>
          <w:p w:rsidR="00E61FB3" w:rsidRPr="000F3C8B" w:rsidRDefault="00E61FB3" w:rsidP="00FB5FE7">
            <w:pPr>
              <w:pStyle w:val="TableText0"/>
              <w:rPr>
                <w:lang w:val="en-AU"/>
              </w:rPr>
            </w:pPr>
            <w:r w:rsidRPr="000F3C8B">
              <w:rPr>
                <w:lang w:val="en-AU"/>
              </w:rPr>
              <w:t>NR</w:t>
            </w:r>
          </w:p>
        </w:tc>
      </w:tr>
      <w:tr w:rsidR="00AF6CA8" w:rsidRPr="00965DBA" w:rsidTr="0007443E">
        <w:trPr>
          <w:trHeight w:val="125"/>
        </w:trPr>
        <w:tc>
          <w:tcPr>
            <w:tcW w:w="1464" w:type="dxa"/>
          </w:tcPr>
          <w:p w:rsidR="00AF6CA8" w:rsidRPr="000F3C8B" w:rsidRDefault="00AF6CA8" w:rsidP="00FB5FE7">
            <w:pPr>
              <w:pStyle w:val="TableText0"/>
              <w:rPr>
                <w:lang w:val="en-AU"/>
              </w:rPr>
            </w:pPr>
            <w:r w:rsidRPr="000F3C8B">
              <w:rPr>
                <w:lang w:val="en-AU"/>
              </w:rPr>
              <w:t xml:space="preserve">Varadarajulu </w:t>
            </w:r>
            <w:r w:rsidR="00242BAC">
              <w:rPr>
                <w:lang w:val="en-AU"/>
              </w:rPr>
              <w:t>et al</w:t>
            </w:r>
            <w:r w:rsidR="00242BAC" w:rsidRPr="000F3C8B">
              <w:rPr>
                <w:lang w:val="en-AU"/>
              </w:rPr>
              <w:t xml:space="preserve"> </w:t>
            </w:r>
            <w:r w:rsidRPr="000F3C8B">
              <w:rPr>
                <w:lang w:val="en-AU"/>
              </w:rPr>
              <w:t>(2011)</w:t>
            </w:r>
          </w:p>
        </w:tc>
        <w:tc>
          <w:tcPr>
            <w:tcW w:w="992" w:type="dxa"/>
          </w:tcPr>
          <w:p w:rsidR="00AF6CA8" w:rsidRPr="000F3C8B" w:rsidRDefault="00AF6CA8" w:rsidP="00FB5FE7">
            <w:pPr>
              <w:pStyle w:val="TableText0"/>
              <w:rPr>
                <w:lang w:val="en-AU"/>
              </w:rPr>
            </w:pPr>
            <w:r w:rsidRPr="000F3C8B">
              <w:rPr>
                <w:lang w:val="en-AU"/>
              </w:rPr>
              <w:t>III-3</w:t>
            </w:r>
          </w:p>
        </w:tc>
        <w:tc>
          <w:tcPr>
            <w:tcW w:w="893" w:type="dxa"/>
          </w:tcPr>
          <w:p w:rsidR="00AF6CA8" w:rsidRPr="000F3C8B" w:rsidRDefault="00AF6CA8" w:rsidP="00FB5FE7">
            <w:pPr>
              <w:pStyle w:val="TableText0"/>
              <w:rPr>
                <w:lang w:val="en-AU"/>
              </w:rPr>
            </w:pPr>
            <w:r w:rsidRPr="000F3C8B">
              <w:rPr>
                <w:lang w:val="en-AU"/>
              </w:rPr>
              <w:t>12/12</w:t>
            </w:r>
          </w:p>
        </w:tc>
        <w:tc>
          <w:tcPr>
            <w:tcW w:w="1012" w:type="dxa"/>
          </w:tcPr>
          <w:p w:rsidR="00AF6CA8" w:rsidRPr="000F3C8B" w:rsidRDefault="00AF6CA8" w:rsidP="00FB5FE7">
            <w:pPr>
              <w:pStyle w:val="TableText0"/>
              <w:rPr>
                <w:lang w:val="en-AU"/>
              </w:rPr>
            </w:pPr>
            <w:r w:rsidRPr="000F3C8B">
              <w:rPr>
                <w:lang w:val="en-AU"/>
              </w:rPr>
              <w:t>100</w:t>
            </w:r>
          </w:p>
        </w:tc>
        <w:tc>
          <w:tcPr>
            <w:tcW w:w="1012" w:type="dxa"/>
          </w:tcPr>
          <w:p w:rsidR="00AF6CA8" w:rsidRPr="000F3C8B" w:rsidRDefault="00AF6CA8" w:rsidP="00FB5FE7">
            <w:pPr>
              <w:pStyle w:val="TableText0"/>
              <w:rPr>
                <w:lang w:val="en-AU"/>
              </w:rPr>
            </w:pPr>
            <w:r w:rsidRPr="000F3C8B">
              <w:rPr>
                <w:lang w:val="en-AU"/>
              </w:rPr>
              <w:t>12/12</w:t>
            </w:r>
          </w:p>
        </w:tc>
        <w:tc>
          <w:tcPr>
            <w:tcW w:w="1012" w:type="dxa"/>
          </w:tcPr>
          <w:p w:rsidR="00AF6CA8" w:rsidRPr="000F3C8B" w:rsidRDefault="00AF6CA8" w:rsidP="00FB5FE7">
            <w:pPr>
              <w:pStyle w:val="TableText0"/>
              <w:rPr>
                <w:lang w:val="en-AU"/>
              </w:rPr>
            </w:pPr>
            <w:r w:rsidRPr="000F3C8B">
              <w:rPr>
                <w:lang w:val="en-AU"/>
              </w:rPr>
              <w:t>100</w:t>
            </w:r>
          </w:p>
        </w:tc>
        <w:tc>
          <w:tcPr>
            <w:tcW w:w="1012" w:type="dxa"/>
          </w:tcPr>
          <w:p w:rsidR="00AF6CA8" w:rsidRPr="000F3C8B" w:rsidRDefault="00AF6CA8" w:rsidP="00FB5FE7">
            <w:pPr>
              <w:pStyle w:val="TableText0"/>
              <w:rPr>
                <w:lang w:val="en-AU"/>
              </w:rPr>
            </w:pPr>
            <w:r w:rsidRPr="000F3C8B">
              <w:rPr>
                <w:lang w:val="en-AU"/>
              </w:rPr>
              <w:t>24/24</w:t>
            </w:r>
          </w:p>
        </w:tc>
        <w:tc>
          <w:tcPr>
            <w:tcW w:w="1012" w:type="dxa"/>
          </w:tcPr>
          <w:p w:rsidR="00AF6CA8" w:rsidRPr="000F3C8B" w:rsidRDefault="00AF6CA8" w:rsidP="00FB5FE7">
            <w:pPr>
              <w:pStyle w:val="TableText0"/>
              <w:rPr>
                <w:lang w:val="en-AU"/>
              </w:rPr>
            </w:pPr>
            <w:r w:rsidRPr="000F3C8B">
              <w:rPr>
                <w:lang w:val="en-AU"/>
              </w:rPr>
              <w:t>100</w:t>
            </w:r>
          </w:p>
        </w:tc>
      </w:tr>
      <w:tr w:rsidR="00AF6CA8" w:rsidRPr="00965DBA" w:rsidTr="0007443E">
        <w:trPr>
          <w:trHeight w:val="125"/>
        </w:trPr>
        <w:tc>
          <w:tcPr>
            <w:tcW w:w="1464" w:type="dxa"/>
            <w:tcBorders>
              <w:bottom w:val="nil"/>
            </w:tcBorders>
          </w:tcPr>
          <w:p w:rsidR="00AF6CA8" w:rsidRPr="000F3C8B" w:rsidRDefault="00AF6CA8" w:rsidP="00FB5FE7">
            <w:pPr>
              <w:pStyle w:val="TableText0"/>
              <w:rPr>
                <w:lang w:val="en-AU"/>
              </w:rPr>
            </w:pPr>
            <w:r w:rsidRPr="000F3C8B">
              <w:rPr>
                <w:lang w:val="en-AU"/>
              </w:rPr>
              <w:t xml:space="preserve">Johnson </w:t>
            </w:r>
            <w:r w:rsidR="00242BAC">
              <w:rPr>
                <w:lang w:val="en-AU"/>
              </w:rPr>
              <w:t>et al</w:t>
            </w:r>
            <w:r w:rsidR="00242BAC" w:rsidRPr="000F3C8B">
              <w:rPr>
                <w:lang w:val="en-AU"/>
              </w:rPr>
              <w:t xml:space="preserve"> </w:t>
            </w:r>
            <w:r w:rsidRPr="000F3C8B">
              <w:rPr>
                <w:lang w:val="en-AU"/>
              </w:rPr>
              <w:t>(2004)</w:t>
            </w:r>
          </w:p>
        </w:tc>
        <w:tc>
          <w:tcPr>
            <w:tcW w:w="992" w:type="dxa"/>
            <w:tcBorders>
              <w:bottom w:val="nil"/>
            </w:tcBorders>
          </w:tcPr>
          <w:p w:rsidR="00AF6CA8" w:rsidRPr="000F3C8B" w:rsidRDefault="00AF6CA8" w:rsidP="00FB5FE7">
            <w:pPr>
              <w:pStyle w:val="TableText0"/>
              <w:rPr>
                <w:lang w:val="en-AU"/>
              </w:rPr>
            </w:pPr>
            <w:r w:rsidRPr="000F3C8B">
              <w:rPr>
                <w:lang w:val="en-AU"/>
              </w:rPr>
              <w:t>III-3</w:t>
            </w:r>
          </w:p>
        </w:tc>
        <w:tc>
          <w:tcPr>
            <w:tcW w:w="893" w:type="dxa"/>
            <w:tcBorders>
              <w:bottom w:val="nil"/>
            </w:tcBorders>
          </w:tcPr>
          <w:p w:rsidR="00AF6CA8" w:rsidRPr="000F3C8B" w:rsidRDefault="00AF6CA8" w:rsidP="00FB5FE7">
            <w:pPr>
              <w:pStyle w:val="TableText0"/>
              <w:rPr>
                <w:lang w:val="en-AU"/>
              </w:rPr>
            </w:pPr>
            <w:r w:rsidRPr="000F3C8B">
              <w:rPr>
                <w:lang w:val="en-AU"/>
              </w:rPr>
              <w:t>18/20</w:t>
            </w:r>
          </w:p>
        </w:tc>
        <w:tc>
          <w:tcPr>
            <w:tcW w:w="1012" w:type="dxa"/>
            <w:tcBorders>
              <w:bottom w:val="nil"/>
            </w:tcBorders>
          </w:tcPr>
          <w:p w:rsidR="00AF6CA8" w:rsidRPr="000F3C8B" w:rsidRDefault="00AF6CA8" w:rsidP="00FB5FE7">
            <w:pPr>
              <w:pStyle w:val="TableText0"/>
              <w:rPr>
                <w:lang w:val="en-AU"/>
              </w:rPr>
            </w:pPr>
            <w:r w:rsidRPr="000F3C8B">
              <w:rPr>
                <w:lang w:val="en-AU"/>
              </w:rPr>
              <w:t>90.0</w:t>
            </w:r>
          </w:p>
        </w:tc>
        <w:tc>
          <w:tcPr>
            <w:tcW w:w="1012" w:type="dxa"/>
            <w:tcBorders>
              <w:bottom w:val="nil"/>
            </w:tcBorders>
          </w:tcPr>
          <w:p w:rsidR="00AF6CA8" w:rsidRPr="000F3C8B" w:rsidRDefault="00AF6CA8" w:rsidP="00FB5FE7">
            <w:pPr>
              <w:pStyle w:val="TableText0"/>
              <w:rPr>
                <w:lang w:val="en-AU"/>
              </w:rPr>
            </w:pPr>
            <w:r w:rsidRPr="000F3C8B">
              <w:rPr>
                <w:lang w:val="en-AU"/>
              </w:rPr>
              <w:t>18/20</w:t>
            </w:r>
          </w:p>
        </w:tc>
        <w:tc>
          <w:tcPr>
            <w:tcW w:w="1012" w:type="dxa"/>
            <w:tcBorders>
              <w:bottom w:val="nil"/>
            </w:tcBorders>
          </w:tcPr>
          <w:p w:rsidR="00AF6CA8" w:rsidRPr="000F3C8B" w:rsidRDefault="00AF6CA8" w:rsidP="00FB5FE7">
            <w:pPr>
              <w:pStyle w:val="TableText0"/>
              <w:rPr>
                <w:lang w:val="en-AU"/>
              </w:rPr>
            </w:pPr>
            <w:r w:rsidRPr="000F3C8B">
              <w:rPr>
                <w:lang w:val="en-AU"/>
              </w:rPr>
              <w:t>90.0</w:t>
            </w:r>
          </w:p>
        </w:tc>
        <w:tc>
          <w:tcPr>
            <w:tcW w:w="1012" w:type="dxa"/>
            <w:tcBorders>
              <w:bottom w:val="nil"/>
            </w:tcBorders>
          </w:tcPr>
          <w:p w:rsidR="00AF6CA8" w:rsidRPr="000F3C8B" w:rsidRDefault="00AF6CA8" w:rsidP="00FB5FE7">
            <w:pPr>
              <w:pStyle w:val="TableText0"/>
              <w:rPr>
                <w:lang w:val="en-AU"/>
              </w:rPr>
            </w:pPr>
            <w:r w:rsidRPr="000F3C8B">
              <w:rPr>
                <w:lang w:val="en-AU"/>
              </w:rPr>
              <w:t>16/18</w:t>
            </w:r>
            <w:r w:rsidRPr="000F3C8B">
              <w:rPr>
                <w:vertAlign w:val="superscript"/>
                <w:lang w:val="en-AU"/>
              </w:rPr>
              <w:t>b</w:t>
            </w:r>
          </w:p>
        </w:tc>
        <w:tc>
          <w:tcPr>
            <w:tcW w:w="1012" w:type="dxa"/>
            <w:tcBorders>
              <w:bottom w:val="nil"/>
            </w:tcBorders>
          </w:tcPr>
          <w:p w:rsidR="00AF6CA8" w:rsidRPr="000F3C8B" w:rsidRDefault="00AF6CA8" w:rsidP="00FB5FE7">
            <w:pPr>
              <w:pStyle w:val="TableText0"/>
              <w:rPr>
                <w:lang w:val="en-AU"/>
              </w:rPr>
            </w:pPr>
            <w:r w:rsidRPr="000F3C8B">
              <w:rPr>
                <w:lang w:val="en-AU"/>
              </w:rPr>
              <w:t>88.9</w:t>
            </w:r>
          </w:p>
        </w:tc>
      </w:tr>
      <w:tr w:rsidR="00AF6CA8" w:rsidRPr="00965DBA" w:rsidTr="0007443E">
        <w:trPr>
          <w:trHeight w:val="125"/>
        </w:trPr>
        <w:tc>
          <w:tcPr>
            <w:tcW w:w="1464" w:type="dxa"/>
            <w:tcBorders>
              <w:top w:val="nil"/>
              <w:bottom w:val="single" w:sz="12" w:space="0" w:color="000000"/>
            </w:tcBorders>
          </w:tcPr>
          <w:p w:rsidR="00AF6CA8" w:rsidRPr="000F3C8B" w:rsidRDefault="00AF6CA8" w:rsidP="00FB5FE7">
            <w:pPr>
              <w:pStyle w:val="TableText0"/>
              <w:rPr>
                <w:lang w:val="en-AU"/>
              </w:rPr>
            </w:pPr>
            <w:r w:rsidRPr="000F3C8B">
              <w:rPr>
                <w:lang w:val="en-AU"/>
              </w:rPr>
              <w:t xml:space="preserve">Osman </w:t>
            </w:r>
            <w:r w:rsidR="00242BAC">
              <w:rPr>
                <w:lang w:val="en-AU"/>
              </w:rPr>
              <w:t>et al</w:t>
            </w:r>
            <w:r w:rsidR="00242BAC" w:rsidRPr="000F3C8B">
              <w:rPr>
                <w:lang w:val="en-AU"/>
              </w:rPr>
              <w:t xml:space="preserve"> </w:t>
            </w:r>
            <w:r w:rsidRPr="000F3C8B">
              <w:rPr>
                <w:lang w:val="en-AU"/>
              </w:rPr>
              <w:t>(2000)</w:t>
            </w:r>
          </w:p>
        </w:tc>
        <w:tc>
          <w:tcPr>
            <w:tcW w:w="992" w:type="dxa"/>
            <w:tcBorders>
              <w:top w:val="nil"/>
              <w:bottom w:val="single" w:sz="12" w:space="0" w:color="000000"/>
            </w:tcBorders>
          </w:tcPr>
          <w:p w:rsidR="00AF6CA8" w:rsidRPr="000F3C8B" w:rsidRDefault="00AF6CA8" w:rsidP="00FB5FE7">
            <w:pPr>
              <w:pStyle w:val="TableText0"/>
              <w:rPr>
                <w:lang w:val="en-AU"/>
              </w:rPr>
            </w:pPr>
            <w:r w:rsidRPr="000F3C8B">
              <w:rPr>
                <w:lang w:val="en-AU"/>
              </w:rPr>
              <w:t>III-3</w:t>
            </w:r>
          </w:p>
        </w:tc>
        <w:tc>
          <w:tcPr>
            <w:tcW w:w="893" w:type="dxa"/>
            <w:tcBorders>
              <w:top w:val="nil"/>
              <w:bottom w:val="single" w:sz="12" w:space="0" w:color="000000"/>
            </w:tcBorders>
          </w:tcPr>
          <w:p w:rsidR="00AF6CA8" w:rsidRPr="000F3C8B" w:rsidRDefault="00AF6CA8" w:rsidP="00FB5FE7">
            <w:pPr>
              <w:pStyle w:val="TableText0"/>
              <w:rPr>
                <w:lang w:val="en-AU"/>
              </w:rPr>
            </w:pPr>
            <w:r w:rsidRPr="000F3C8B">
              <w:rPr>
                <w:lang w:val="en-AU"/>
              </w:rPr>
              <w:t>15/16</w:t>
            </w:r>
          </w:p>
        </w:tc>
        <w:tc>
          <w:tcPr>
            <w:tcW w:w="1012" w:type="dxa"/>
            <w:tcBorders>
              <w:top w:val="nil"/>
              <w:bottom w:val="single" w:sz="12" w:space="0" w:color="000000"/>
            </w:tcBorders>
          </w:tcPr>
          <w:p w:rsidR="00AF6CA8" w:rsidRPr="000F3C8B" w:rsidRDefault="00AF6CA8" w:rsidP="00FB5FE7">
            <w:pPr>
              <w:pStyle w:val="TableText0"/>
              <w:rPr>
                <w:lang w:val="en-AU"/>
              </w:rPr>
            </w:pPr>
            <w:r w:rsidRPr="000F3C8B">
              <w:rPr>
                <w:lang w:val="en-AU"/>
              </w:rPr>
              <w:t>93.8</w:t>
            </w:r>
          </w:p>
        </w:tc>
        <w:tc>
          <w:tcPr>
            <w:tcW w:w="1012" w:type="dxa"/>
            <w:tcBorders>
              <w:top w:val="nil"/>
              <w:bottom w:val="single" w:sz="12" w:space="0" w:color="000000"/>
            </w:tcBorders>
          </w:tcPr>
          <w:p w:rsidR="00AF6CA8" w:rsidRPr="000F3C8B" w:rsidRDefault="00AF6CA8" w:rsidP="00FB5FE7">
            <w:pPr>
              <w:pStyle w:val="TableText0"/>
              <w:rPr>
                <w:lang w:val="en-AU"/>
              </w:rPr>
            </w:pPr>
            <w:r w:rsidRPr="000F3C8B">
              <w:rPr>
                <w:lang w:val="en-AU"/>
              </w:rPr>
              <w:t>15/16</w:t>
            </w:r>
          </w:p>
        </w:tc>
        <w:tc>
          <w:tcPr>
            <w:tcW w:w="1012" w:type="dxa"/>
            <w:tcBorders>
              <w:top w:val="nil"/>
              <w:bottom w:val="single" w:sz="12" w:space="0" w:color="000000"/>
            </w:tcBorders>
          </w:tcPr>
          <w:p w:rsidR="00AF6CA8" w:rsidRPr="000F3C8B" w:rsidRDefault="00AF6CA8" w:rsidP="00FB5FE7">
            <w:pPr>
              <w:pStyle w:val="TableText0"/>
              <w:rPr>
                <w:lang w:val="en-AU"/>
              </w:rPr>
            </w:pPr>
            <w:r w:rsidRPr="000F3C8B">
              <w:rPr>
                <w:lang w:val="en-AU"/>
              </w:rPr>
              <w:t>93.8</w:t>
            </w:r>
          </w:p>
        </w:tc>
        <w:tc>
          <w:tcPr>
            <w:tcW w:w="1012" w:type="dxa"/>
            <w:tcBorders>
              <w:top w:val="nil"/>
              <w:bottom w:val="single" w:sz="12" w:space="0" w:color="000000"/>
            </w:tcBorders>
          </w:tcPr>
          <w:p w:rsidR="00AF6CA8" w:rsidRPr="000F3C8B" w:rsidRDefault="00AF6CA8" w:rsidP="00FB5FE7">
            <w:pPr>
              <w:pStyle w:val="TableText0"/>
              <w:rPr>
                <w:lang w:val="en-AU"/>
              </w:rPr>
            </w:pPr>
            <w:r w:rsidRPr="000F3C8B">
              <w:rPr>
                <w:lang w:val="en-AU"/>
              </w:rPr>
              <w:t>NR/10</w:t>
            </w:r>
          </w:p>
        </w:tc>
        <w:tc>
          <w:tcPr>
            <w:tcW w:w="1012" w:type="dxa"/>
            <w:tcBorders>
              <w:top w:val="nil"/>
              <w:bottom w:val="single" w:sz="12" w:space="0" w:color="000000"/>
            </w:tcBorders>
          </w:tcPr>
          <w:p w:rsidR="00AF6CA8" w:rsidRPr="000F3C8B" w:rsidRDefault="00AF6CA8" w:rsidP="00FB5FE7">
            <w:pPr>
              <w:pStyle w:val="TableText0"/>
              <w:rPr>
                <w:lang w:val="en-AU"/>
              </w:rPr>
            </w:pPr>
            <w:r w:rsidRPr="000F3C8B">
              <w:rPr>
                <w:lang w:val="en-AU"/>
              </w:rPr>
              <w:t>NR</w:t>
            </w:r>
          </w:p>
        </w:tc>
      </w:tr>
    </w:tbl>
    <w:p w:rsidR="00262FBD" w:rsidRDefault="00E61FB3" w:rsidP="00FB5FE7">
      <w:pPr>
        <w:pStyle w:val="TableNotes"/>
        <w:rPr>
          <w:lang w:val="en-AU" w:eastAsia="en-US"/>
        </w:rPr>
      </w:pPr>
      <w:r w:rsidRPr="00F13A5A">
        <w:rPr>
          <w:lang w:eastAsia="en-US"/>
        </w:rPr>
        <w:t xml:space="preserve">a  Includes eight patients who initially received SEMS </w:t>
      </w:r>
      <w:r w:rsidRPr="00BE3EA8">
        <w:rPr>
          <w:lang w:eastAsia="en-US"/>
        </w:rPr>
        <w:t>placement, but did not experience clinical success.</w:t>
      </w:r>
      <w:r w:rsidRPr="00BE3EA8">
        <w:rPr>
          <w:lang w:eastAsia="en-US"/>
        </w:rPr>
        <w:br/>
        <w:t>b  Two patients who did not experience benefit from stoma formation were found to have extensive peritoneal disease.</w:t>
      </w:r>
    </w:p>
    <w:p w:rsidR="00E61FB3" w:rsidRPr="00BE3EA8" w:rsidRDefault="00262FBD" w:rsidP="00FB5FE7">
      <w:pPr>
        <w:pStyle w:val="TableNotes"/>
      </w:pPr>
      <w:r w:rsidRPr="00F13A5A">
        <w:rPr>
          <w:lang w:eastAsia="en-US"/>
        </w:rPr>
        <w:t>NR: Not reported; SEMS: Self-expanding metallic stent.</w:t>
      </w:r>
    </w:p>
    <w:p w:rsidR="00E61FB3" w:rsidRPr="008F42F9" w:rsidRDefault="00E61FB3" w:rsidP="00FC35F9">
      <w:pPr>
        <w:pStyle w:val="Heading3"/>
      </w:pPr>
      <w:bookmarkStart w:id="192" w:name="_Toc138754459"/>
      <w:r w:rsidRPr="008F42F9">
        <w:t>Duration of stent patency and need for reintervention</w:t>
      </w:r>
      <w:bookmarkEnd w:id="192"/>
    </w:p>
    <w:p w:rsidR="005E5FFA" w:rsidRPr="007D5B7C" w:rsidRDefault="005E5FFA" w:rsidP="005E5FFA">
      <w:r w:rsidRPr="008F42F9">
        <w:t>Two comparative studies, including the RCT by Xinopoulos et al (2004), reported on stent patency as either a proportion of patients with a patent SEMS at time of death, or as duration of patency; both studies incorporated only patients receiving palliative treatment. Xinopoulos et al (2004) reported that 100</w:t>
      </w:r>
      <w:r w:rsidR="0070275B">
        <w:t xml:space="preserve"> per cent</w:t>
      </w:r>
      <w:r w:rsidRPr="007D5B7C">
        <w:t xml:space="preserve"> of patients achieving clinical success after SEMS placement (n=14) had patent stents at time of death (median time to mortality 21.4 weeks). Johnson et al (2004) also reported that 100</w:t>
      </w:r>
      <w:r w:rsidR="0070275B">
        <w:t xml:space="preserve"> per cent</w:t>
      </w:r>
      <w:r w:rsidRPr="007D5B7C">
        <w:t xml:space="preserve"> of patients achieving clinical success after SEMS placement (n=18) had patent stents at time of death (median time to mortality 92 days). In both studies, patient mortality was reported to be primarily a result of progression of the underlying malignant disease, not loss of stent patency.</w:t>
      </w:r>
    </w:p>
    <w:p w:rsidR="005E5FFA" w:rsidRPr="00DA0155" w:rsidRDefault="005E5FFA" w:rsidP="005E5FFA">
      <w:r w:rsidRPr="00960A9E">
        <w:t>Four comp</w:t>
      </w:r>
      <w:r w:rsidRPr="00EA2600">
        <w:t xml:space="preserve">arative studies reported on </w:t>
      </w:r>
      <w:r w:rsidR="004E6820">
        <w:t xml:space="preserve">the </w:t>
      </w:r>
      <w:r w:rsidRPr="00EA2600">
        <w:t>need for reintervention after clinically successful SEMS placement in patients treated for palliative purposes. The RCT by Xinopoulos et al (2004) reported six of 14 patients (42.9</w:t>
      </w:r>
      <w:r w:rsidR="00765927" w:rsidRPr="00EC591E">
        <w:t>%</w:t>
      </w:r>
      <w:r w:rsidRPr="00EC591E">
        <w:t>) subsequently underwent laser treatment of tum</w:t>
      </w:r>
      <w:r w:rsidRPr="00430AA8">
        <w:t>our ingrowth for maintenance of stent patency. Johnson et al (2004) reported that two of 18 patients (11.1</w:t>
      </w:r>
      <w:r w:rsidR="00765927" w:rsidRPr="00347DAA">
        <w:t>%</w:t>
      </w:r>
      <w:r w:rsidRPr="009672A9">
        <w:t>) received a second stent placement for treatment of obstruction due to tumour ingrowth. Nagula et al (2010) stated that three of 30 patients (10.0</w:t>
      </w:r>
      <w:r w:rsidR="00765927" w:rsidRPr="009672A9">
        <w:t>%</w:t>
      </w:r>
      <w:r w:rsidRPr="00584C29">
        <w:t xml:space="preserve">) patients required repeat colonoscopy with second stent placement, two for treatment of obstruction due to tumour ingrowth and one for stent migration. Varadarajulu et al (2011) reported that all of the four palliative SEMS patients for whom </w:t>
      </w:r>
      <w:r w:rsidRPr="00584C29">
        <w:lastRenderedPageBreak/>
        <w:t>follow-up data</w:t>
      </w:r>
      <w:r w:rsidRPr="00DA0155">
        <w:t xml:space="preserve"> were available had died without requiring re</w:t>
      </w:r>
      <w:r w:rsidR="009A3CF9">
        <w:t>-</w:t>
      </w:r>
      <w:r w:rsidRPr="00DA0155">
        <w:t>intervention; none of the 19 patients who underwent colostomy or internal bypass experienced complications which required re-intervention. No study discussed need for re-intervention after surgical treatment.</w:t>
      </w:r>
    </w:p>
    <w:p w:rsidR="00E61FB3" w:rsidRPr="00A550ED" w:rsidRDefault="00E61FB3" w:rsidP="00FC35F9">
      <w:pPr>
        <w:pStyle w:val="Heading3"/>
      </w:pPr>
      <w:r w:rsidRPr="00CF31D5">
        <w:t>Qu</w:t>
      </w:r>
      <w:r w:rsidRPr="00A550ED">
        <w:t>ality of life outcomes</w:t>
      </w:r>
    </w:p>
    <w:p w:rsidR="005E5FFA" w:rsidRPr="009E5C53" w:rsidRDefault="005E5FFA" w:rsidP="005E5FFA">
      <w:r w:rsidRPr="0055406F">
        <w:t>The prospective, non-randomised comparative study by Nagula et al (2010) reported on measures of patient quality of life using the Functional Assessment of Cancer Therapy – Colorectal (FACT-C) survey instrument, and the Colon Obstruc</w:t>
      </w:r>
      <w:r w:rsidRPr="004C658D">
        <w:t>tion Score. The FACT-C is a validated tool for the assessment of quality of life in cancer patients through physical, functional, social and emotional well-being subscales, with an additional subscale that evaluates quality of life related to gastrointest</w:t>
      </w:r>
      <w:r w:rsidRPr="00B1508A">
        <w:t>inal function. The Colon Obstruction Score is a novel, seemingly non-validated questionnaire that semi-quantitatively assesses the presence and severity of a range of symptoms of colonic obstruction. Patients were asked three additional individual questions to evaluate global quality of life, global health and the effort they required to cope with the illness, but no further detail on these questions was provided. The authors did not report any statistical comparisons of patients who received SEMS and those who underwent surgery. Quality of life scores at follow-up were only compared to baseline scores within the same treatment cohort. Results are shown in</w:t>
      </w:r>
      <w:r w:rsidR="005F5D1E">
        <w:t xml:space="preserve"> </w:t>
      </w:r>
      <w:r w:rsidR="005F5D1E">
        <w:fldChar w:fldCharType="begin"/>
      </w:r>
      <w:r w:rsidR="005F5D1E">
        <w:instrText xml:space="preserve"> REF _Ref324948409 \h </w:instrText>
      </w:r>
      <w:r w:rsidR="005F5D1E">
        <w:fldChar w:fldCharType="separate"/>
      </w:r>
      <w:r w:rsidR="0071544A">
        <w:t xml:space="preserve">Table </w:t>
      </w:r>
      <w:r w:rsidR="0071544A">
        <w:rPr>
          <w:noProof/>
        </w:rPr>
        <w:t>42</w:t>
      </w:r>
      <w:r w:rsidR="005F5D1E">
        <w:fldChar w:fldCharType="end"/>
      </w:r>
      <w:r w:rsidRPr="009E5C53">
        <w:t>.</w:t>
      </w:r>
    </w:p>
    <w:p w:rsidR="005E5FFA" w:rsidRPr="008978EE" w:rsidRDefault="005E5FFA" w:rsidP="005E5FFA">
      <w:r w:rsidRPr="00E2422F">
        <w:t xml:space="preserve">In the SEMS treatment group (i.e. patients who achieved technical </w:t>
      </w:r>
      <w:r w:rsidRPr="00892811">
        <w:t>and clinical success), the overall FACT-C score improved progressively from two weeks after treatment through the study period (six months post-treatment), but this improvement did not reach statistical significance. In the surgery group, the overall FACT-</w:t>
      </w:r>
      <w:r w:rsidRPr="008978EE">
        <w:t>C score declined two weeks after treatment, but returned to baseline for the remainder of the study period. Improvements in the various subscales were minimal at best for both treatment groups, with the exception of the Colon - Symptoms subscale. Scores on this subscale were reported to have improved significantly in the SEMS group (</w:t>
      </w:r>
      <w:r w:rsidRPr="0007443E">
        <w:rPr>
          <w:i/>
        </w:rPr>
        <w:t>p</w:t>
      </w:r>
      <w:r w:rsidRPr="008978EE">
        <w:t>&lt;0.05 compared with baseline at 1- and 6-month follow-up) and in the surgery group (</w:t>
      </w:r>
      <w:r w:rsidRPr="0007443E">
        <w:rPr>
          <w:i/>
        </w:rPr>
        <w:t>p</w:t>
      </w:r>
      <w:r w:rsidRPr="008978EE">
        <w:t>&lt;0.05 compared with baseline at 1-month follow-up).</w:t>
      </w:r>
    </w:p>
    <w:p w:rsidR="005E5FFA" w:rsidRPr="00A87C52" w:rsidRDefault="005E5FFA" w:rsidP="005E5FFA">
      <w:r w:rsidRPr="00A30BA9">
        <w:t xml:space="preserve">Colon Obstruction Scores indicated the </w:t>
      </w:r>
      <w:r w:rsidRPr="005646B6">
        <w:t>presence of an improvement in obstructive symptoms in both the SEMS and surgical groups compared with baseline throughout the study period (p&lt;0.05 for both treatment groups at 1- and 6-month follow-up); however, it should be noted that this was a novel and</w:t>
      </w:r>
      <w:r w:rsidRPr="00003831">
        <w:t xml:space="preserve"> non-validated measure that does not appear to have been employed in any other clinical study. Self-rated global quality of life was shown to improve significantly in patients who underwent surgery at 4- and 8-week follow-up (</w:t>
      </w:r>
      <w:r w:rsidRPr="0007443E">
        <w:rPr>
          <w:i/>
        </w:rPr>
        <w:t>p</w:t>
      </w:r>
      <w:r w:rsidRPr="00003831">
        <w:t>&lt;0.05 at both time points), b</w:t>
      </w:r>
      <w:r w:rsidRPr="00A87C52">
        <w:t>ut declined after this time point. Patients in the SEMS group had a significant improvement in their ability to cope with their illness at 2-week follow-up only (</w:t>
      </w:r>
      <w:r w:rsidRPr="0007443E">
        <w:rPr>
          <w:i/>
        </w:rPr>
        <w:t>p</w:t>
      </w:r>
      <w:r w:rsidRPr="00A87C52">
        <w:t>&lt;0.03, data not shown by authors).</w:t>
      </w:r>
    </w:p>
    <w:p w:rsidR="005E5FFA" w:rsidRPr="00BE3EA8" w:rsidRDefault="005E5FFA" w:rsidP="005E5FFA">
      <w:r w:rsidRPr="00DF686C">
        <w:t>It should be noted that the authors acknowledged that substantial losses of patients to follow-up, particularly due to the high mortality rate related to advanced malignancy, limited their capacity to draw statistical conclusions at later time points. At 8-week follow-up</w:t>
      </w:r>
      <w:r w:rsidR="004E6820">
        <w:t>,</w:t>
      </w:r>
      <w:r w:rsidRPr="00DF686C">
        <w:t xml:space="preserve"> only 25 of 44 enrolled patients (56.8</w:t>
      </w:r>
      <w:r w:rsidR="00581E14" w:rsidRPr="00DF686C">
        <w:t>%</w:t>
      </w:r>
      <w:r w:rsidRPr="007D0320">
        <w:t>) we</w:t>
      </w:r>
      <w:r w:rsidRPr="00965DBA">
        <w:t>re available, dropping to 16 patients (36.4</w:t>
      </w:r>
      <w:r w:rsidR="00581E14" w:rsidRPr="00F13A5A">
        <w:t>%</w:t>
      </w:r>
      <w:r w:rsidRPr="00BE3EA8">
        <w:t>) at 24-week follow-up. The authors noted that statistically significant differences at those later time points should be interpreted cautiously.</w:t>
      </w:r>
    </w:p>
    <w:p w:rsidR="00E61FB3" w:rsidRPr="0086082D" w:rsidRDefault="005F5D1E" w:rsidP="005F5D1E">
      <w:pPr>
        <w:pStyle w:val="Caption"/>
        <w:rPr>
          <w:lang w:eastAsia="en-US"/>
        </w:rPr>
      </w:pPr>
      <w:bookmarkStart w:id="193" w:name="_Ref324948409"/>
      <w:bookmarkStart w:id="194" w:name="_Toc327522086"/>
      <w:r>
        <w:lastRenderedPageBreak/>
        <w:t xml:space="preserve">Table </w:t>
      </w:r>
      <w:fldSimple w:instr=" SEQ Table \* ARABIC ">
        <w:r w:rsidR="0071544A">
          <w:rPr>
            <w:noProof/>
          </w:rPr>
          <w:t>42</w:t>
        </w:r>
      </w:fldSimple>
      <w:bookmarkEnd w:id="193"/>
      <w:r w:rsidR="00E61FB3" w:rsidRPr="00361416">
        <w:rPr>
          <w:lang w:eastAsia="en-US"/>
        </w:rPr>
        <w:tab/>
        <w:t>Quality of life in patients after</w:t>
      </w:r>
      <w:r w:rsidR="00E61FB3" w:rsidRPr="0086082D">
        <w:rPr>
          <w:lang w:eastAsia="en-US"/>
        </w:rPr>
        <w:t xml:space="preserve"> SEMS placement and surgery</w:t>
      </w:r>
      <w:bookmarkEnd w:id="194"/>
    </w:p>
    <w:tbl>
      <w:tblPr>
        <w:tblW w:w="8408" w:type="dxa"/>
        <w:tblInd w:w="720" w:type="dxa"/>
        <w:tblBorders>
          <w:top w:val="single" w:sz="12" w:space="0" w:color="auto"/>
          <w:bottom w:val="single" w:sz="12" w:space="0" w:color="auto"/>
        </w:tblBorders>
        <w:tblLayout w:type="fixed"/>
        <w:tblCellMar>
          <w:top w:w="28" w:type="dxa"/>
          <w:left w:w="57" w:type="dxa"/>
          <w:bottom w:w="28" w:type="dxa"/>
          <w:right w:w="57" w:type="dxa"/>
        </w:tblCellMar>
        <w:tblLook w:val="0000" w:firstRow="0" w:lastRow="0" w:firstColumn="0" w:lastColumn="0" w:noHBand="0" w:noVBand="0"/>
      </w:tblPr>
      <w:tblGrid>
        <w:gridCol w:w="1497"/>
        <w:gridCol w:w="1440"/>
        <w:gridCol w:w="1080"/>
        <w:gridCol w:w="1620"/>
        <w:gridCol w:w="1621"/>
        <w:gridCol w:w="1150"/>
      </w:tblGrid>
      <w:tr w:rsidR="00E61FB3" w:rsidRPr="00BB3C05" w:rsidTr="0007443E">
        <w:trPr>
          <w:trHeight w:val="200"/>
        </w:trPr>
        <w:tc>
          <w:tcPr>
            <w:tcW w:w="1497" w:type="dxa"/>
            <w:tcBorders>
              <w:top w:val="single" w:sz="12" w:space="0" w:color="auto"/>
              <w:bottom w:val="single" w:sz="4" w:space="0" w:color="auto"/>
            </w:tcBorders>
          </w:tcPr>
          <w:p w:rsidR="00E61FB3" w:rsidRPr="0072092E" w:rsidRDefault="00E61FB3" w:rsidP="005F5D1E">
            <w:pPr>
              <w:pStyle w:val="TableHeading0"/>
            </w:pPr>
            <w:r w:rsidRPr="0072092E">
              <w:t>Outcome</w:t>
            </w:r>
          </w:p>
        </w:tc>
        <w:tc>
          <w:tcPr>
            <w:tcW w:w="1440" w:type="dxa"/>
            <w:tcBorders>
              <w:top w:val="single" w:sz="12" w:space="0" w:color="auto"/>
              <w:bottom w:val="single" w:sz="4" w:space="0" w:color="auto"/>
            </w:tcBorders>
          </w:tcPr>
          <w:p w:rsidR="00E61FB3" w:rsidRPr="0052787F" w:rsidRDefault="00E61FB3" w:rsidP="005F5D1E">
            <w:pPr>
              <w:pStyle w:val="TableHeading0"/>
            </w:pPr>
            <w:r w:rsidRPr="0052787F">
              <w:t>Subscale</w:t>
            </w:r>
            <w:r w:rsidRPr="0052787F">
              <w:br/>
              <w:t>(where applicable)</w:t>
            </w:r>
          </w:p>
        </w:tc>
        <w:tc>
          <w:tcPr>
            <w:tcW w:w="1080" w:type="dxa"/>
            <w:tcBorders>
              <w:top w:val="single" w:sz="12" w:space="0" w:color="auto"/>
              <w:bottom w:val="single" w:sz="4" w:space="0" w:color="auto"/>
            </w:tcBorders>
          </w:tcPr>
          <w:p w:rsidR="00E61FB3" w:rsidRPr="00A84480" w:rsidRDefault="00E61FB3" w:rsidP="005F5D1E">
            <w:pPr>
              <w:pStyle w:val="TableHeading0"/>
            </w:pPr>
            <w:r w:rsidRPr="00A84480">
              <w:t>Follow-up</w:t>
            </w:r>
          </w:p>
        </w:tc>
        <w:tc>
          <w:tcPr>
            <w:tcW w:w="1620" w:type="dxa"/>
            <w:tcBorders>
              <w:top w:val="single" w:sz="12" w:space="0" w:color="auto"/>
              <w:bottom w:val="single" w:sz="4" w:space="0" w:color="auto"/>
            </w:tcBorders>
          </w:tcPr>
          <w:p w:rsidR="00E61FB3" w:rsidRPr="00186148" w:rsidRDefault="00E61FB3" w:rsidP="005F5D1E">
            <w:pPr>
              <w:pStyle w:val="TableHeading0"/>
            </w:pPr>
            <w:r w:rsidRPr="00186148">
              <w:t>SEMS placement</w:t>
            </w:r>
          </w:p>
          <w:p w:rsidR="00E61FB3" w:rsidRPr="00A32225" w:rsidRDefault="00E61FB3" w:rsidP="005F5D1E">
            <w:pPr>
              <w:pStyle w:val="TableHeading0"/>
            </w:pPr>
            <w:r w:rsidRPr="00A32225">
              <w:t>median (IQR)</w:t>
            </w:r>
          </w:p>
        </w:tc>
        <w:tc>
          <w:tcPr>
            <w:tcW w:w="1621" w:type="dxa"/>
            <w:tcBorders>
              <w:top w:val="single" w:sz="12" w:space="0" w:color="auto"/>
              <w:bottom w:val="single" w:sz="4" w:space="0" w:color="auto"/>
            </w:tcBorders>
          </w:tcPr>
          <w:p w:rsidR="00E61FB3" w:rsidRPr="005C214B" w:rsidRDefault="00E61FB3" w:rsidP="005F5D1E">
            <w:pPr>
              <w:pStyle w:val="TableHeading0"/>
            </w:pPr>
            <w:r w:rsidRPr="005C214B">
              <w:t>Surgery</w:t>
            </w:r>
          </w:p>
          <w:p w:rsidR="00E61FB3" w:rsidRPr="00C27C1E" w:rsidRDefault="00E61FB3" w:rsidP="005F5D1E">
            <w:pPr>
              <w:pStyle w:val="TableHeading0"/>
            </w:pPr>
            <w:r w:rsidRPr="00C27C1E">
              <w:t>median (IQR)</w:t>
            </w:r>
          </w:p>
        </w:tc>
        <w:tc>
          <w:tcPr>
            <w:tcW w:w="1150" w:type="dxa"/>
            <w:tcBorders>
              <w:top w:val="single" w:sz="12" w:space="0" w:color="auto"/>
              <w:bottom w:val="single" w:sz="4" w:space="0" w:color="auto"/>
            </w:tcBorders>
          </w:tcPr>
          <w:p w:rsidR="00E61FB3" w:rsidRPr="00027046" w:rsidRDefault="00E61FB3" w:rsidP="005F5D1E">
            <w:pPr>
              <w:pStyle w:val="TableHeading0"/>
            </w:pPr>
            <w:r w:rsidRPr="0007443E">
              <w:rPr>
                <w:i/>
              </w:rPr>
              <w:t>p</w:t>
            </w:r>
            <w:r w:rsidRPr="00027046">
              <w:t>-value</w:t>
            </w:r>
          </w:p>
        </w:tc>
      </w:tr>
      <w:tr w:rsidR="00E61FB3" w:rsidRPr="00BB3C05" w:rsidTr="0007443E">
        <w:trPr>
          <w:trHeight w:val="125"/>
        </w:trPr>
        <w:tc>
          <w:tcPr>
            <w:tcW w:w="1497" w:type="dxa"/>
            <w:vMerge w:val="restart"/>
            <w:tcBorders>
              <w:top w:val="single" w:sz="4" w:space="0" w:color="auto"/>
            </w:tcBorders>
          </w:tcPr>
          <w:p w:rsidR="00E61FB3" w:rsidRPr="000F3C8B" w:rsidRDefault="00E61FB3" w:rsidP="005F5D1E">
            <w:pPr>
              <w:pStyle w:val="TableText0"/>
              <w:rPr>
                <w:lang w:val="en-AU"/>
              </w:rPr>
            </w:pPr>
            <w:r w:rsidRPr="000F3C8B">
              <w:rPr>
                <w:lang w:val="en-AU"/>
              </w:rPr>
              <w:t>FACT-C</w:t>
            </w:r>
          </w:p>
        </w:tc>
        <w:tc>
          <w:tcPr>
            <w:tcW w:w="1440" w:type="dxa"/>
            <w:vMerge w:val="restart"/>
            <w:tcBorders>
              <w:top w:val="single" w:sz="4" w:space="0" w:color="auto"/>
            </w:tcBorders>
          </w:tcPr>
          <w:p w:rsidR="00E61FB3" w:rsidRPr="000F3C8B" w:rsidRDefault="00E61FB3" w:rsidP="005F5D1E">
            <w:pPr>
              <w:pStyle w:val="TableText0"/>
              <w:rPr>
                <w:lang w:val="en-AU"/>
              </w:rPr>
            </w:pPr>
            <w:r w:rsidRPr="000F3C8B">
              <w:rPr>
                <w:lang w:val="en-AU"/>
              </w:rPr>
              <w:t>Overall</w:t>
            </w:r>
          </w:p>
        </w:tc>
        <w:tc>
          <w:tcPr>
            <w:tcW w:w="1080" w:type="dxa"/>
            <w:tcBorders>
              <w:top w:val="single" w:sz="4" w:space="0" w:color="auto"/>
            </w:tcBorders>
            <w:vAlign w:val="center"/>
          </w:tcPr>
          <w:p w:rsidR="00E61FB3" w:rsidRPr="000F3C8B" w:rsidRDefault="00E61FB3" w:rsidP="005F5D1E">
            <w:pPr>
              <w:pStyle w:val="TableText0"/>
              <w:rPr>
                <w:lang w:val="en-AU"/>
              </w:rPr>
            </w:pPr>
            <w:r w:rsidRPr="000F3C8B">
              <w:rPr>
                <w:lang w:val="en-AU"/>
              </w:rPr>
              <w:t>Baseline</w:t>
            </w:r>
          </w:p>
        </w:tc>
        <w:tc>
          <w:tcPr>
            <w:tcW w:w="1620" w:type="dxa"/>
            <w:tcBorders>
              <w:top w:val="single" w:sz="4" w:space="0" w:color="auto"/>
            </w:tcBorders>
            <w:vAlign w:val="center"/>
          </w:tcPr>
          <w:p w:rsidR="00E61FB3" w:rsidRPr="000F3C8B" w:rsidRDefault="00E61FB3" w:rsidP="005F5D1E">
            <w:pPr>
              <w:pStyle w:val="TableText0"/>
              <w:rPr>
                <w:lang w:val="en-AU"/>
              </w:rPr>
            </w:pPr>
            <w:r w:rsidRPr="000F3C8B">
              <w:rPr>
                <w:lang w:val="en-AU"/>
              </w:rPr>
              <w:t>72.3 (65.5-80.0)</w:t>
            </w:r>
          </w:p>
        </w:tc>
        <w:tc>
          <w:tcPr>
            <w:tcW w:w="1621" w:type="dxa"/>
            <w:tcBorders>
              <w:top w:val="single" w:sz="4" w:space="0" w:color="auto"/>
            </w:tcBorders>
            <w:vAlign w:val="center"/>
          </w:tcPr>
          <w:p w:rsidR="00E61FB3" w:rsidRPr="000F3C8B" w:rsidRDefault="00E61FB3" w:rsidP="005F5D1E">
            <w:pPr>
              <w:pStyle w:val="TableText0"/>
              <w:rPr>
                <w:lang w:val="en-AU"/>
              </w:rPr>
            </w:pPr>
            <w:r w:rsidRPr="000F3C8B">
              <w:rPr>
                <w:lang w:val="en-AU"/>
              </w:rPr>
              <w:t>74.6 (60.7-83.2)</w:t>
            </w:r>
          </w:p>
        </w:tc>
        <w:tc>
          <w:tcPr>
            <w:tcW w:w="1150" w:type="dxa"/>
            <w:vMerge w:val="restart"/>
            <w:tcBorders>
              <w:top w:val="single" w:sz="4" w:space="0" w:color="auto"/>
            </w:tcBorders>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1 month</w:t>
            </w:r>
          </w:p>
        </w:tc>
        <w:tc>
          <w:tcPr>
            <w:tcW w:w="1620" w:type="dxa"/>
            <w:vAlign w:val="center"/>
          </w:tcPr>
          <w:p w:rsidR="00E61FB3" w:rsidRPr="000F3C8B" w:rsidRDefault="00E61FB3" w:rsidP="005F5D1E">
            <w:pPr>
              <w:pStyle w:val="TableText0"/>
              <w:rPr>
                <w:lang w:val="en-AU"/>
              </w:rPr>
            </w:pPr>
            <w:r w:rsidRPr="000F3C8B">
              <w:rPr>
                <w:lang w:val="en-AU"/>
              </w:rPr>
              <w:t>89.7 (72.0-99.3)</w:t>
            </w:r>
          </w:p>
        </w:tc>
        <w:tc>
          <w:tcPr>
            <w:tcW w:w="1621" w:type="dxa"/>
            <w:vAlign w:val="center"/>
          </w:tcPr>
          <w:p w:rsidR="00E61FB3" w:rsidRPr="000F3C8B" w:rsidRDefault="00E61FB3" w:rsidP="005F5D1E">
            <w:pPr>
              <w:pStyle w:val="TableText0"/>
              <w:rPr>
                <w:lang w:val="en-AU"/>
              </w:rPr>
            </w:pPr>
            <w:r w:rsidRPr="000F3C8B">
              <w:rPr>
                <w:lang w:val="en-AU"/>
              </w:rPr>
              <w:t>79.5 (66.5-86.2)</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6 months</w:t>
            </w:r>
          </w:p>
        </w:tc>
        <w:tc>
          <w:tcPr>
            <w:tcW w:w="1620" w:type="dxa"/>
            <w:vAlign w:val="center"/>
          </w:tcPr>
          <w:p w:rsidR="00E61FB3" w:rsidRPr="000F3C8B" w:rsidRDefault="00E61FB3" w:rsidP="005F5D1E">
            <w:pPr>
              <w:pStyle w:val="TableText0"/>
              <w:rPr>
                <w:lang w:val="en-AU"/>
              </w:rPr>
            </w:pPr>
            <w:r w:rsidRPr="000F3C8B">
              <w:rPr>
                <w:lang w:val="en-AU"/>
              </w:rPr>
              <w:t>95.5 (74.0-99.8)</w:t>
            </w:r>
          </w:p>
        </w:tc>
        <w:tc>
          <w:tcPr>
            <w:tcW w:w="1621" w:type="dxa"/>
            <w:vAlign w:val="center"/>
          </w:tcPr>
          <w:p w:rsidR="00E61FB3" w:rsidRPr="000F3C8B" w:rsidRDefault="00E61FB3" w:rsidP="005F5D1E">
            <w:pPr>
              <w:pStyle w:val="TableText0"/>
              <w:rPr>
                <w:lang w:val="en-AU"/>
              </w:rPr>
            </w:pPr>
            <w:r w:rsidRPr="000F3C8B">
              <w:rPr>
                <w:lang w:val="en-AU"/>
              </w:rPr>
              <w:t>77.5 (68.7-105.2)</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restart"/>
          </w:tcPr>
          <w:p w:rsidR="00E61FB3" w:rsidRPr="000F3C8B" w:rsidRDefault="00E61FB3" w:rsidP="005F5D1E">
            <w:pPr>
              <w:pStyle w:val="TableText0"/>
              <w:rPr>
                <w:lang w:val="en-AU"/>
              </w:rPr>
            </w:pPr>
            <w:r w:rsidRPr="000F3C8B">
              <w:rPr>
                <w:lang w:val="en-AU"/>
              </w:rPr>
              <w:t>Physical</w:t>
            </w:r>
          </w:p>
        </w:tc>
        <w:tc>
          <w:tcPr>
            <w:tcW w:w="1080" w:type="dxa"/>
            <w:vAlign w:val="center"/>
          </w:tcPr>
          <w:p w:rsidR="00E61FB3" w:rsidRPr="000F3C8B" w:rsidRDefault="00E61FB3" w:rsidP="005F5D1E">
            <w:pPr>
              <w:pStyle w:val="TableText0"/>
              <w:rPr>
                <w:lang w:val="en-AU"/>
              </w:rPr>
            </w:pPr>
            <w:r w:rsidRPr="000F3C8B">
              <w:rPr>
                <w:lang w:val="en-AU"/>
              </w:rPr>
              <w:t>Baseline</w:t>
            </w:r>
          </w:p>
        </w:tc>
        <w:tc>
          <w:tcPr>
            <w:tcW w:w="1620" w:type="dxa"/>
            <w:vAlign w:val="center"/>
          </w:tcPr>
          <w:p w:rsidR="00E61FB3" w:rsidRPr="000F3C8B" w:rsidRDefault="00E61FB3" w:rsidP="005F5D1E">
            <w:pPr>
              <w:pStyle w:val="TableText0"/>
              <w:rPr>
                <w:lang w:val="en-AU"/>
              </w:rPr>
            </w:pPr>
            <w:r w:rsidRPr="000F3C8B">
              <w:rPr>
                <w:lang w:val="en-AU"/>
              </w:rPr>
              <w:t>11.7 (9.3-14.0)</w:t>
            </w:r>
          </w:p>
        </w:tc>
        <w:tc>
          <w:tcPr>
            <w:tcW w:w="1621" w:type="dxa"/>
            <w:vAlign w:val="center"/>
          </w:tcPr>
          <w:p w:rsidR="00E61FB3" w:rsidRPr="000F3C8B" w:rsidRDefault="00E61FB3" w:rsidP="005F5D1E">
            <w:pPr>
              <w:pStyle w:val="TableText0"/>
              <w:rPr>
                <w:lang w:val="en-AU"/>
              </w:rPr>
            </w:pPr>
            <w:r w:rsidRPr="000F3C8B">
              <w:rPr>
                <w:lang w:val="en-AU"/>
              </w:rPr>
              <w:t>11.7 (5.8-16.3)</w:t>
            </w:r>
          </w:p>
        </w:tc>
        <w:tc>
          <w:tcPr>
            <w:tcW w:w="1150" w:type="dxa"/>
            <w:vMerge w:val="restart"/>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1 month</w:t>
            </w:r>
          </w:p>
        </w:tc>
        <w:tc>
          <w:tcPr>
            <w:tcW w:w="1620" w:type="dxa"/>
            <w:vAlign w:val="center"/>
          </w:tcPr>
          <w:p w:rsidR="00E61FB3" w:rsidRPr="000F3C8B" w:rsidRDefault="00E61FB3" w:rsidP="005F5D1E">
            <w:pPr>
              <w:pStyle w:val="TableText0"/>
              <w:rPr>
                <w:lang w:val="en-AU"/>
              </w:rPr>
            </w:pPr>
            <w:r w:rsidRPr="000F3C8B">
              <w:rPr>
                <w:lang w:val="en-AU"/>
              </w:rPr>
              <w:t>15.2 (10.5-22.2)</w:t>
            </w:r>
          </w:p>
        </w:tc>
        <w:tc>
          <w:tcPr>
            <w:tcW w:w="1621" w:type="dxa"/>
            <w:vAlign w:val="center"/>
          </w:tcPr>
          <w:p w:rsidR="00E61FB3" w:rsidRPr="000F3C8B" w:rsidRDefault="00E61FB3" w:rsidP="005F5D1E">
            <w:pPr>
              <w:pStyle w:val="TableText0"/>
              <w:rPr>
                <w:lang w:val="en-AU"/>
              </w:rPr>
            </w:pPr>
            <w:r w:rsidRPr="000F3C8B">
              <w:rPr>
                <w:lang w:val="en-AU"/>
              </w:rPr>
              <w:t>13.4 (10.5-17.5)</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6 months</w:t>
            </w:r>
          </w:p>
        </w:tc>
        <w:tc>
          <w:tcPr>
            <w:tcW w:w="1620" w:type="dxa"/>
            <w:vAlign w:val="center"/>
          </w:tcPr>
          <w:p w:rsidR="00E61FB3" w:rsidRPr="000F3C8B" w:rsidRDefault="00E61FB3" w:rsidP="005F5D1E">
            <w:pPr>
              <w:pStyle w:val="TableText0"/>
              <w:rPr>
                <w:lang w:val="en-AU"/>
              </w:rPr>
            </w:pPr>
            <w:r w:rsidRPr="000F3C8B">
              <w:rPr>
                <w:lang w:val="en-AU"/>
              </w:rPr>
              <w:t>18.7 (14.0-21.0)</w:t>
            </w:r>
          </w:p>
        </w:tc>
        <w:tc>
          <w:tcPr>
            <w:tcW w:w="1621" w:type="dxa"/>
            <w:vAlign w:val="center"/>
          </w:tcPr>
          <w:p w:rsidR="00E61FB3" w:rsidRPr="000F3C8B" w:rsidRDefault="00E61FB3" w:rsidP="005F5D1E">
            <w:pPr>
              <w:pStyle w:val="TableText0"/>
              <w:rPr>
                <w:lang w:val="en-AU"/>
              </w:rPr>
            </w:pPr>
            <w:r w:rsidRPr="000F3C8B">
              <w:rPr>
                <w:lang w:val="en-AU"/>
              </w:rPr>
              <w:t>17.5 (10.5-22.2)</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restart"/>
          </w:tcPr>
          <w:p w:rsidR="00E61FB3" w:rsidRPr="000F3C8B" w:rsidRDefault="00E61FB3" w:rsidP="005F5D1E">
            <w:pPr>
              <w:pStyle w:val="TableText0"/>
              <w:rPr>
                <w:lang w:val="en-AU"/>
              </w:rPr>
            </w:pPr>
            <w:r w:rsidRPr="000F3C8B">
              <w:rPr>
                <w:lang w:val="en-AU"/>
              </w:rPr>
              <w:t>Emotional</w:t>
            </w:r>
          </w:p>
        </w:tc>
        <w:tc>
          <w:tcPr>
            <w:tcW w:w="1080" w:type="dxa"/>
            <w:vAlign w:val="center"/>
          </w:tcPr>
          <w:p w:rsidR="00E61FB3" w:rsidRPr="000F3C8B" w:rsidRDefault="00E61FB3" w:rsidP="005F5D1E">
            <w:pPr>
              <w:pStyle w:val="TableText0"/>
              <w:rPr>
                <w:lang w:val="en-AU"/>
              </w:rPr>
            </w:pPr>
            <w:r w:rsidRPr="000F3C8B">
              <w:rPr>
                <w:lang w:val="en-AU"/>
              </w:rPr>
              <w:t>Baseline</w:t>
            </w:r>
          </w:p>
        </w:tc>
        <w:tc>
          <w:tcPr>
            <w:tcW w:w="1620" w:type="dxa"/>
            <w:vAlign w:val="center"/>
          </w:tcPr>
          <w:p w:rsidR="00E61FB3" w:rsidRPr="000F3C8B" w:rsidRDefault="00E61FB3" w:rsidP="005F5D1E">
            <w:pPr>
              <w:pStyle w:val="TableText0"/>
              <w:rPr>
                <w:lang w:val="en-AU"/>
              </w:rPr>
            </w:pPr>
            <w:r w:rsidRPr="000F3C8B">
              <w:rPr>
                <w:lang w:val="en-AU"/>
              </w:rPr>
              <w:t>12.0 (9.0-18.0)</w:t>
            </w:r>
          </w:p>
        </w:tc>
        <w:tc>
          <w:tcPr>
            <w:tcW w:w="1621" w:type="dxa"/>
            <w:vAlign w:val="center"/>
          </w:tcPr>
          <w:p w:rsidR="00E61FB3" w:rsidRPr="000F3C8B" w:rsidRDefault="00E61FB3" w:rsidP="005F5D1E">
            <w:pPr>
              <w:pStyle w:val="TableText0"/>
              <w:rPr>
                <w:lang w:val="en-AU"/>
              </w:rPr>
            </w:pPr>
            <w:r w:rsidRPr="000F3C8B">
              <w:rPr>
                <w:lang w:val="en-AU"/>
              </w:rPr>
              <w:t>12.0 (10.0-15.0)</w:t>
            </w:r>
          </w:p>
        </w:tc>
        <w:tc>
          <w:tcPr>
            <w:tcW w:w="1150" w:type="dxa"/>
            <w:vMerge w:val="restart"/>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1 month</w:t>
            </w:r>
          </w:p>
        </w:tc>
        <w:tc>
          <w:tcPr>
            <w:tcW w:w="1620" w:type="dxa"/>
            <w:vAlign w:val="center"/>
          </w:tcPr>
          <w:p w:rsidR="00E61FB3" w:rsidRPr="000F3C8B" w:rsidRDefault="00E61FB3" w:rsidP="005F5D1E">
            <w:pPr>
              <w:pStyle w:val="TableText0"/>
              <w:rPr>
                <w:lang w:val="en-AU"/>
              </w:rPr>
            </w:pPr>
            <w:r w:rsidRPr="000F3C8B">
              <w:rPr>
                <w:lang w:val="en-AU"/>
              </w:rPr>
              <w:t>18.0 (12.0-20.0)</w:t>
            </w:r>
          </w:p>
        </w:tc>
        <w:tc>
          <w:tcPr>
            <w:tcW w:w="1621" w:type="dxa"/>
            <w:vAlign w:val="center"/>
          </w:tcPr>
          <w:p w:rsidR="00E61FB3" w:rsidRPr="000F3C8B" w:rsidRDefault="00E61FB3" w:rsidP="005F5D1E">
            <w:pPr>
              <w:pStyle w:val="TableText0"/>
              <w:rPr>
                <w:lang w:val="en-AU"/>
              </w:rPr>
            </w:pPr>
            <w:r w:rsidRPr="000F3C8B">
              <w:rPr>
                <w:lang w:val="en-AU"/>
              </w:rPr>
              <w:t xml:space="preserve">12.5 (9.0-17.0) </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6 months</w:t>
            </w:r>
          </w:p>
        </w:tc>
        <w:tc>
          <w:tcPr>
            <w:tcW w:w="1620" w:type="dxa"/>
            <w:vAlign w:val="center"/>
          </w:tcPr>
          <w:p w:rsidR="00E61FB3" w:rsidRPr="000F3C8B" w:rsidRDefault="00E61FB3" w:rsidP="005F5D1E">
            <w:pPr>
              <w:pStyle w:val="TableText0"/>
              <w:rPr>
                <w:lang w:val="en-AU"/>
              </w:rPr>
            </w:pPr>
            <w:r w:rsidRPr="000F3C8B">
              <w:rPr>
                <w:lang w:val="en-AU"/>
              </w:rPr>
              <w:t>16.0 (12.0-22.0)</w:t>
            </w:r>
          </w:p>
        </w:tc>
        <w:tc>
          <w:tcPr>
            <w:tcW w:w="1621" w:type="dxa"/>
            <w:vAlign w:val="center"/>
          </w:tcPr>
          <w:p w:rsidR="00E61FB3" w:rsidRPr="000F3C8B" w:rsidRDefault="00E61FB3" w:rsidP="005F5D1E">
            <w:pPr>
              <w:pStyle w:val="TableText0"/>
              <w:rPr>
                <w:lang w:val="en-AU"/>
              </w:rPr>
            </w:pPr>
            <w:r w:rsidRPr="000F3C8B">
              <w:rPr>
                <w:lang w:val="en-AU"/>
              </w:rPr>
              <w:t>16.0 (14.0-16.0)</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restart"/>
          </w:tcPr>
          <w:p w:rsidR="00E61FB3" w:rsidRPr="000F3C8B" w:rsidRDefault="00E61FB3" w:rsidP="005F5D1E">
            <w:pPr>
              <w:pStyle w:val="TableText0"/>
              <w:rPr>
                <w:lang w:val="en-AU"/>
              </w:rPr>
            </w:pPr>
            <w:r w:rsidRPr="000F3C8B">
              <w:rPr>
                <w:lang w:val="en-AU"/>
              </w:rPr>
              <w:t>Functional</w:t>
            </w:r>
          </w:p>
        </w:tc>
        <w:tc>
          <w:tcPr>
            <w:tcW w:w="1080" w:type="dxa"/>
            <w:vAlign w:val="center"/>
          </w:tcPr>
          <w:p w:rsidR="00E61FB3" w:rsidRPr="000F3C8B" w:rsidRDefault="00E61FB3" w:rsidP="005F5D1E">
            <w:pPr>
              <w:pStyle w:val="TableText0"/>
              <w:rPr>
                <w:lang w:val="en-AU"/>
              </w:rPr>
            </w:pPr>
            <w:r w:rsidRPr="000F3C8B">
              <w:rPr>
                <w:lang w:val="en-AU"/>
              </w:rPr>
              <w:t>Baseline</w:t>
            </w:r>
          </w:p>
        </w:tc>
        <w:tc>
          <w:tcPr>
            <w:tcW w:w="1620" w:type="dxa"/>
            <w:vAlign w:val="center"/>
          </w:tcPr>
          <w:p w:rsidR="00E61FB3" w:rsidRPr="000F3C8B" w:rsidRDefault="00E61FB3" w:rsidP="005F5D1E">
            <w:pPr>
              <w:pStyle w:val="TableText0"/>
              <w:rPr>
                <w:lang w:val="en-AU"/>
              </w:rPr>
            </w:pPr>
            <w:r w:rsidRPr="000F3C8B">
              <w:rPr>
                <w:lang w:val="en-AU"/>
              </w:rPr>
              <w:t>13.0 (11.0-16.0)</w:t>
            </w:r>
          </w:p>
        </w:tc>
        <w:tc>
          <w:tcPr>
            <w:tcW w:w="1621" w:type="dxa"/>
            <w:vAlign w:val="center"/>
          </w:tcPr>
          <w:p w:rsidR="00E61FB3" w:rsidRPr="000F3C8B" w:rsidRDefault="00E61FB3" w:rsidP="005F5D1E">
            <w:pPr>
              <w:pStyle w:val="TableText0"/>
              <w:rPr>
                <w:lang w:val="en-AU"/>
              </w:rPr>
            </w:pPr>
            <w:r w:rsidRPr="000F3C8B">
              <w:rPr>
                <w:lang w:val="en-AU"/>
              </w:rPr>
              <w:t>11.5 (10.0-16.0)</w:t>
            </w:r>
          </w:p>
        </w:tc>
        <w:tc>
          <w:tcPr>
            <w:tcW w:w="1150" w:type="dxa"/>
            <w:vMerge w:val="restart"/>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1 month</w:t>
            </w:r>
          </w:p>
        </w:tc>
        <w:tc>
          <w:tcPr>
            <w:tcW w:w="1620" w:type="dxa"/>
            <w:vAlign w:val="center"/>
          </w:tcPr>
          <w:p w:rsidR="00E61FB3" w:rsidRPr="000F3C8B" w:rsidRDefault="00E61FB3" w:rsidP="005F5D1E">
            <w:pPr>
              <w:pStyle w:val="TableText0"/>
              <w:rPr>
                <w:lang w:val="en-AU"/>
              </w:rPr>
            </w:pPr>
            <w:r w:rsidRPr="000F3C8B">
              <w:rPr>
                <w:lang w:val="en-AU"/>
              </w:rPr>
              <w:t>15.0 (12.0-18.0)</w:t>
            </w:r>
          </w:p>
        </w:tc>
        <w:tc>
          <w:tcPr>
            <w:tcW w:w="1621" w:type="dxa"/>
            <w:vAlign w:val="center"/>
          </w:tcPr>
          <w:p w:rsidR="00E61FB3" w:rsidRPr="000F3C8B" w:rsidRDefault="00E61FB3" w:rsidP="005F5D1E">
            <w:pPr>
              <w:pStyle w:val="TableText0"/>
              <w:rPr>
                <w:lang w:val="en-AU"/>
              </w:rPr>
            </w:pPr>
            <w:r w:rsidRPr="000F3C8B">
              <w:rPr>
                <w:lang w:val="en-AU"/>
              </w:rPr>
              <w:t>14.0 (12.0-16.0)</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6 months</w:t>
            </w:r>
          </w:p>
        </w:tc>
        <w:tc>
          <w:tcPr>
            <w:tcW w:w="1620" w:type="dxa"/>
            <w:vAlign w:val="center"/>
          </w:tcPr>
          <w:p w:rsidR="00E61FB3" w:rsidRPr="000F3C8B" w:rsidRDefault="00E61FB3" w:rsidP="005F5D1E">
            <w:pPr>
              <w:pStyle w:val="TableText0"/>
              <w:rPr>
                <w:lang w:val="en-AU"/>
              </w:rPr>
            </w:pPr>
            <w:r w:rsidRPr="000F3C8B">
              <w:rPr>
                <w:lang w:val="en-AU"/>
              </w:rPr>
              <w:t>16.0 (12.0-18.0)</w:t>
            </w:r>
          </w:p>
        </w:tc>
        <w:tc>
          <w:tcPr>
            <w:tcW w:w="1621" w:type="dxa"/>
            <w:vAlign w:val="center"/>
          </w:tcPr>
          <w:p w:rsidR="00E61FB3" w:rsidRPr="000F3C8B" w:rsidRDefault="00E61FB3" w:rsidP="005F5D1E">
            <w:pPr>
              <w:pStyle w:val="TableText0"/>
              <w:rPr>
                <w:lang w:val="en-AU"/>
              </w:rPr>
            </w:pPr>
            <w:r w:rsidRPr="000F3C8B">
              <w:rPr>
                <w:lang w:val="en-AU"/>
              </w:rPr>
              <w:t>15.0 (11.0-23.0)</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restart"/>
          </w:tcPr>
          <w:p w:rsidR="00E61FB3" w:rsidRPr="000F3C8B" w:rsidRDefault="00E61FB3" w:rsidP="005F5D1E">
            <w:pPr>
              <w:pStyle w:val="TableText0"/>
              <w:rPr>
                <w:lang w:val="en-AU"/>
              </w:rPr>
            </w:pPr>
            <w:r w:rsidRPr="000F3C8B">
              <w:rPr>
                <w:lang w:val="en-AU"/>
              </w:rPr>
              <w:t>Social</w:t>
            </w:r>
          </w:p>
        </w:tc>
        <w:tc>
          <w:tcPr>
            <w:tcW w:w="1080" w:type="dxa"/>
            <w:vAlign w:val="center"/>
          </w:tcPr>
          <w:p w:rsidR="00E61FB3" w:rsidRPr="000F3C8B" w:rsidRDefault="00E61FB3" w:rsidP="005F5D1E">
            <w:pPr>
              <w:pStyle w:val="TableText0"/>
              <w:rPr>
                <w:lang w:val="en-AU"/>
              </w:rPr>
            </w:pPr>
            <w:r w:rsidRPr="000F3C8B">
              <w:rPr>
                <w:lang w:val="en-AU"/>
              </w:rPr>
              <w:t>Baseline</w:t>
            </w:r>
          </w:p>
        </w:tc>
        <w:tc>
          <w:tcPr>
            <w:tcW w:w="1620" w:type="dxa"/>
            <w:vAlign w:val="center"/>
          </w:tcPr>
          <w:p w:rsidR="00E61FB3" w:rsidRPr="000F3C8B" w:rsidRDefault="00E61FB3" w:rsidP="005F5D1E">
            <w:pPr>
              <w:pStyle w:val="TableText0"/>
              <w:rPr>
                <w:lang w:val="en-AU"/>
              </w:rPr>
            </w:pPr>
            <w:r w:rsidRPr="000F3C8B">
              <w:rPr>
                <w:lang w:val="en-AU"/>
              </w:rPr>
              <w:t>23.0 (22.0-25.0)</w:t>
            </w:r>
          </w:p>
        </w:tc>
        <w:tc>
          <w:tcPr>
            <w:tcW w:w="1621" w:type="dxa"/>
            <w:vAlign w:val="center"/>
          </w:tcPr>
          <w:p w:rsidR="00E61FB3" w:rsidRPr="000F3C8B" w:rsidRDefault="00E61FB3" w:rsidP="005F5D1E">
            <w:pPr>
              <w:pStyle w:val="TableText0"/>
              <w:rPr>
                <w:lang w:val="en-AU"/>
              </w:rPr>
            </w:pPr>
            <w:r w:rsidRPr="000F3C8B">
              <w:rPr>
                <w:lang w:val="en-AU"/>
              </w:rPr>
              <w:t>25.0 (21.0-25.0)</w:t>
            </w:r>
          </w:p>
        </w:tc>
        <w:tc>
          <w:tcPr>
            <w:tcW w:w="1150" w:type="dxa"/>
            <w:vMerge w:val="restart"/>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1 month</w:t>
            </w:r>
          </w:p>
        </w:tc>
        <w:tc>
          <w:tcPr>
            <w:tcW w:w="1620" w:type="dxa"/>
            <w:vAlign w:val="center"/>
          </w:tcPr>
          <w:p w:rsidR="00E61FB3" w:rsidRPr="000F3C8B" w:rsidRDefault="00E61FB3" w:rsidP="005F5D1E">
            <w:pPr>
              <w:pStyle w:val="TableText0"/>
              <w:rPr>
                <w:lang w:val="en-AU"/>
              </w:rPr>
            </w:pPr>
            <w:r w:rsidRPr="000F3C8B">
              <w:rPr>
                <w:lang w:val="en-AU"/>
              </w:rPr>
              <w:t>24.5 (23.0-24.5)</w:t>
            </w:r>
          </w:p>
        </w:tc>
        <w:tc>
          <w:tcPr>
            <w:tcW w:w="1621" w:type="dxa"/>
            <w:vAlign w:val="center"/>
          </w:tcPr>
          <w:p w:rsidR="00E61FB3" w:rsidRPr="000F3C8B" w:rsidRDefault="00E61FB3" w:rsidP="005F5D1E">
            <w:pPr>
              <w:pStyle w:val="TableText0"/>
              <w:rPr>
                <w:lang w:val="en-AU"/>
              </w:rPr>
            </w:pPr>
            <w:r w:rsidRPr="000F3C8B">
              <w:rPr>
                <w:lang w:val="en-AU"/>
              </w:rPr>
              <w:t>25.0 (23.0-25.0)</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6 months</w:t>
            </w:r>
          </w:p>
        </w:tc>
        <w:tc>
          <w:tcPr>
            <w:tcW w:w="1620" w:type="dxa"/>
            <w:vAlign w:val="center"/>
          </w:tcPr>
          <w:p w:rsidR="00E61FB3" w:rsidRPr="000F3C8B" w:rsidRDefault="00E61FB3" w:rsidP="005F5D1E">
            <w:pPr>
              <w:pStyle w:val="TableText0"/>
              <w:rPr>
                <w:lang w:val="en-AU"/>
              </w:rPr>
            </w:pPr>
            <w:r w:rsidRPr="000F3C8B">
              <w:rPr>
                <w:lang w:val="en-AU"/>
              </w:rPr>
              <w:t>23.0 (19.0-24.0)</w:t>
            </w:r>
          </w:p>
        </w:tc>
        <w:tc>
          <w:tcPr>
            <w:tcW w:w="1621" w:type="dxa"/>
            <w:vAlign w:val="center"/>
          </w:tcPr>
          <w:p w:rsidR="00E61FB3" w:rsidRPr="000F3C8B" w:rsidRDefault="00E61FB3" w:rsidP="005F5D1E">
            <w:pPr>
              <w:pStyle w:val="TableText0"/>
              <w:rPr>
                <w:lang w:val="en-AU"/>
              </w:rPr>
            </w:pPr>
            <w:r w:rsidRPr="000F3C8B">
              <w:rPr>
                <w:lang w:val="en-AU"/>
              </w:rPr>
              <w:t>25.0 (23.0-25.0)</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restart"/>
          </w:tcPr>
          <w:p w:rsidR="00E61FB3" w:rsidRPr="000F3C8B" w:rsidRDefault="00E61FB3" w:rsidP="005F5D1E">
            <w:pPr>
              <w:pStyle w:val="TableText0"/>
              <w:rPr>
                <w:lang w:val="en-AU"/>
              </w:rPr>
            </w:pPr>
            <w:r w:rsidRPr="000F3C8B">
              <w:rPr>
                <w:lang w:val="en-AU"/>
              </w:rPr>
              <w:t>Colon - symptoms</w:t>
            </w:r>
          </w:p>
        </w:tc>
        <w:tc>
          <w:tcPr>
            <w:tcW w:w="1080" w:type="dxa"/>
            <w:vAlign w:val="center"/>
          </w:tcPr>
          <w:p w:rsidR="00E61FB3" w:rsidRPr="000F3C8B" w:rsidRDefault="00E61FB3" w:rsidP="005F5D1E">
            <w:pPr>
              <w:pStyle w:val="TableText0"/>
              <w:rPr>
                <w:lang w:val="en-AU"/>
              </w:rPr>
            </w:pPr>
            <w:r w:rsidRPr="000F3C8B">
              <w:rPr>
                <w:lang w:val="en-AU"/>
              </w:rPr>
              <w:t>Baseline</w:t>
            </w:r>
          </w:p>
        </w:tc>
        <w:tc>
          <w:tcPr>
            <w:tcW w:w="1620" w:type="dxa"/>
            <w:vAlign w:val="center"/>
          </w:tcPr>
          <w:p w:rsidR="00E61FB3" w:rsidRPr="000F3C8B" w:rsidRDefault="00E61FB3" w:rsidP="005F5D1E">
            <w:pPr>
              <w:pStyle w:val="TableText0"/>
              <w:rPr>
                <w:lang w:val="en-AU"/>
              </w:rPr>
            </w:pPr>
            <w:r w:rsidRPr="000F3C8B">
              <w:rPr>
                <w:lang w:val="en-AU"/>
              </w:rPr>
              <w:t>11.0 (9.0-14.0)</w:t>
            </w:r>
          </w:p>
        </w:tc>
        <w:tc>
          <w:tcPr>
            <w:tcW w:w="1621" w:type="dxa"/>
            <w:vAlign w:val="center"/>
          </w:tcPr>
          <w:p w:rsidR="00E61FB3" w:rsidRPr="000F3C8B" w:rsidRDefault="00E61FB3" w:rsidP="005F5D1E">
            <w:pPr>
              <w:pStyle w:val="TableText0"/>
              <w:rPr>
                <w:lang w:val="en-AU"/>
              </w:rPr>
            </w:pPr>
            <w:r w:rsidRPr="000F3C8B">
              <w:rPr>
                <w:lang w:val="en-AU"/>
              </w:rPr>
              <w:t>10.0 (8.0-13.0)</w:t>
            </w:r>
          </w:p>
        </w:tc>
        <w:tc>
          <w:tcPr>
            <w:tcW w:w="1150" w:type="dxa"/>
            <w:vMerge w:val="restart"/>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1 month</w:t>
            </w:r>
          </w:p>
        </w:tc>
        <w:tc>
          <w:tcPr>
            <w:tcW w:w="1620" w:type="dxa"/>
            <w:vAlign w:val="center"/>
          </w:tcPr>
          <w:p w:rsidR="00E61FB3" w:rsidRPr="000F3C8B" w:rsidRDefault="00E61FB3" w:rsidP="005F5D1E">
            <w:pPr>
              <w:pStyle w:val="TableText0"/>
              <w:rPr>
                <w:lang w:val="en-AU"/>
              </w:rPr>
            </w:pPr>
            <w:r w:rsidRPr="000F3C8B">
              <w:rPr>
                <w:lang w:val="en-AU"/>
              </w:rPr>
              <w:t>14.5 (12.0-20.0)</w:t>
            </w:r>
            <w:r w:rsidRPr="000F3C8B">
              <w:rPr>
                <w:vertAlign w:val="superscript"/>
                <w:lang w:val="en-AU"/>
              </w:rPr>
              <w:t>a</w:t>
            </w:r>
          </w:p>
        </w:tc>
        <w:tc>
          <w:tcPr>
            <w:tcW w:w="1621" w:type="dxa"/>
            <w:vAlign w:val="center"/>
          </w:tcPr>
          <w:p w:rsidR="00E61FB3" w:rsidRPr="000F3C8B" w:rsidRDefault="00E61FB3" w:rsidP="005F5D1E">
            <w:pPr>
              <w:pStyle w:val="TableText0"/>
              <w:rPr>
                <w:lang w:val="en-AU"/>
              </w:rPr>
            </w:pPr>
            <w:r w:rsidRPr="000F3C8B">
              <w:rPr>
                <w:lang w:val="en-AU"/>
              </w:rPr>
              <w:t>13.0 (11.0-21.0)</w:t>
            </w:r>
            <w:r w:rsidRPr="000F3C8B">
              <w:rPr>
                <w:vertAlign w:val="superscript"/>
                <w:lang w:val="en-AU"/>
              </w:rPr>
              <w:t>a</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6 months</w:t>
            </w:r>
          </w:p>
        </w:tc>
        <w:tc>
          <w:tcPr>
            <w:tcW w:w="1620" w:type="dxa"/>
            <w:vAlign w:val="center"/>
          </w:tcPr>
          <w:p w:rsidR="00E61FB3" w:rsidRPr="000F3C8B" w:rsidRDefault="00E61FB3" w:rsidP="005F5D1E">
            <w:pPr>
              <w:pStyle w:val="TableText0"/>
              <w:rPr>
                <w:lang w:val="en-AU"/>
              </w:rPr>
            </w:pPr>
            <w:r w:rsidRPr="000F3C8B">
              <w:rPr>
                <w:lang w:val="en-AU"/>
              </w:rPr>
              <w:t>21.0 (15.0-22.0)</w:t>
            </w:r>
            <w:r w:rsidRPr="000F3C8B">
              <w:rPr>
                <w:vertAlign w:val="superscript"/>
                <w:lang w:val="en-AU"/>
              </w:rPr>
              <w:t>a</w:t>
            </w:r>
          </w:p>
        </w:tc>
        <w:tc>
          <w:tcPr>
            <w:tcW w:w="1621" w:type="dxa"/>
            <w:vAlign w:val="center"/>
          </w:tcPr>
          <w:p w:rsidR="00E61FB3" w:rsidRPr="000F3C8B" w:rsidRDefault="00E61FB3" w:rsidP="005F5D1E">
            <w:pPr>
              <w:pStyle w:val="TableText0"/>
              <w:rPr>
                <w:lang w:val="en-AU"/>
              </w:rPr>
            </w:pPr>
            <w:r w:rsidRPr="000F3C8B">
              <w:rPr>
                <w:lang w:val="en-AU"/>
              </w:rPr>
              <w:t>16.0 (14.0-19.0)</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val="restart"/>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Colon Obstruction Score</w:t>
            </w:r>
          </w:p>
        </w:tc>
        <w:tc>
          <w:tcPr>
            <w:tcW w:w="1440" w:type="dxa"/>
            <w:vMerge w:val="restart"/>
            <w:vAlign w:val="center"/>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Baseline</w:t>
            </w:r>
          </w:p>
        </w:tc>
        <w:tc>
          <w:tcPr>
            <w:tcW w:w="1620" w:type="dxa"/>
            <w:vAlign w:val="center"/>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6.0 (4.0-9.0)</w:t>
            </w:r>
          </w:p>
        </w:tc>
        <w:tc>
          <w:tcPr>
            <w:tcW w:w="1621" w:type="dxa"/>
            <w:vAlign w:val="center"/>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6.5 (5.0-10.0)</w:t>
            </w:r>
          </w:p>
        </w:tc>
        <w:tc>
          <w:tcPr>
            <w:tcW w:w="1150" w:type="dxa"/>
            <w:vMerge w:val="restart"/>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66"/>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1 month</w:t>
            </w:r>
          </w:p>
        </w:tc>
        <w:tc>
          <w:tcPr>
            <w:tcW w:w="1620" w:type="dxa"/>
            <w:vAlign w:val="center"/>
          </w:tcPr>
          <w:p w:rsidR="00E61FB3" w:rsidRPr="000F3C8B" w:rsidRDefault="00E61FB3" w:rsidP="005F5D1E">
            <w:pPr>
              <w:pStyle w:val="TableText0"/>
              <w:rPr>
                <w:lang w:val="en-AU"/>
              </w:rPr>
            </w:pPr>
            <w:r w:rsidRPr="000F3C8B">
              <w:rPr>
                <w:lang w:val="en-AU"/>
              </w:rPr>
              <w:t>3.5 (2.0-5.0)</w:t>
            </w:r>
            <w:r w:rsidRPr="000F3C8B">
              <w:rPr>
                <w:vertAlign w:val="superscript"/>
                <w:lang w:val="en-AU"/>
              </w:rPr>
              <w:t>a</w:t>
            </w:r>
          </w:p>
        </w:tc>
        <w:tc>
          <w:tcPr>
            <w:tcW w:w="1621" w:type="dxa"/>
            <w:vAlign w:val="center"/>
          </w:tcPr>
          <w:p w:rsidR="00E61FB3" w:rsidRPr="000F3C8B" w:rsidRDefault="00E61FB3" w:rsidP="005F5D1E">
            <w:pPr>
              <w:pStyle w:val="TableText0"/>
              <w:rPr>
                <w:lang w:val="en-AU"/>
              </w:rPr>
            </w:pPr>
            <w:r w:rsidRPr="000F3C8B">
              <w:rPr>
                <w:lang w:val="en-AU"/>
              </w:rPr>
              <w:t>2.5 (1.0-6.0)</w:t>
            </w:r>
            <w:r w:rsidRPr="000F3C8B">
              <w:rPr>
                <w:vertAlign w:val="superscript"/>
                <w:lang w:val="en-AU"/>
              </w:rPr>
              <w:t>a</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vAlign w:val="center"/>
          </w:tcPr>
          <w:p w:rsidR="00E61FB3" w:rsidRPr="000F3C8B" w:rsidRDefault="00E61FB3" w:rsidP="005F5D1E">
            <w:pPr>
              <w:pStyle w:val="TableText0"/>
              <w:rPr>
                <w:lang w:val="en-AU"/>
              </w:rPr>
            </w:pPr>
            <w:r w:rsidRPr="000F3C8B">
              <w:rPr>
                <w:lang w:val="en-AU"/>
              </w:rPr>
              <w:t>6 months</w:t>
            </w:r>
          </w:p>
        </w:tc>
        <w:tc>
          <w:tcPr>
            <w:tcW w:w="1620" w:type="dxa"/>
            <w:vAlign w:val="center"/>
          </w:tcPr>
          <w:p w:rsidR="00E61FB3" w:rsidRPr="000F3C8B" w:rsidRDefault="00E61FB3" w:rsidP="005F5D1E">
            <w:pPr>
              <w:pStyle w:val="TableText0"/>
              <w:rPr>
                <w:lang w:val="en-AU"/>
              </w:rPr>
            </w:pPr>
            <w:r w:rsidRPr="000F3C8B">
              <w:rPr>
                <w:lang w:val="en-AU"/>
              </w:rPr>
              <w:t>2.0 (1.0-3.0)</w:t>
            </w:r>
            <w:r w:rsidRPr="000F3C8B">
              <w:rPr>
                <w:vertAlign w:val="superscript"/>
                <w:lang w:val="en-AU"/>
              </w:rPr>
              <w:t>a</w:t>
            </w:r>
          </w:p>
        </w:tc>
        <w:tc>
          <w:tcPr>
            <w:tcW w:w="1621" w:type="dxa"/>
            <w:vAlign w:val="center"/>
          </w:tcPr>
          <w:p w:rsidR="00E61FB3" w:rsidRPr="000F3C8B" w:rsidRDefault="00E61FB3" w:rsidP="005F5D1E">
            <w:pPr>
              <w:pStyle w:val="TableText0"/>
              <w:rPr>
                <w:lang w:val="en-AU"/>
              </w:rPr>
            </w:pPr>
            <w:r w:rsidRPr="000F3C8B">
              <w:rPr>
                <w:lang w:val="en-AU"/>
              </w:rPr>
              <w:t>4.0 (0.0-5.0)</w:t>
            </w:r>
            <w:r w:rsidRPr="000F3C8B">
              <w:rPr>
                <w:vertAlign w:val="superscript"/>
                <w:lang w:val="en-AU"/>
              </w:rPr>
              <w:t>a</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val="restart"/>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 xml:space="preserve">Self-reported global quality of life </w:t>
            </w:r>
            <w:r w:rsidRPr="000F3C8B">
              <w:rPr>
                <w:vertAlign w:val="superscript"/>
                <w:lang w:val="en-AU"/>
              </w:rPr>
              <w:t>b</w:t>
            </w:r>
          </w:p>
        </w:tc>
        <w:tc>
          <w:tcPr>
            <w:tcW w:w="1440" w:type="dxa"/>
            <w:vMerge w:val="restart"/>
            <w:vAlign w:val="center"/>
          </w:tcPr>
          <w:p w:rsidR="00E61FB3" w:rsidRPr="000F3C8B" w:rsidRDefault="00E61FB3" w:rsidP="005F5D1E">
            <w:pPr>
              <w:pStyle w:val="TableText0"/>
              <w:rPr>
                <w:lang w:val="en-AU"/>
              </w:rPr>
            </w:pPr>
          </w:p>
        </w:tc>
        <w:tc>
          <w:tcPr>
            <w:tcW w:w="1080" w:type="dxa"/>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Baseline</w:t>
            </w:r>
          </w:p>
        </w:tc>
        <w:tc>
          <w:tcPr>
            <w:tcW w:w="1620" w:type="dxa"/>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4 (2-6)</w:t>
            </w:r>
          </w:p>
        </w:tc>
        <w:tc>
          <w:tcPr>
            <w:tcW w:w="1621" w:type="dxa"/>
          </w:tcPr>
          <w:p w:rsidR="00E61FB3" w:rsidRPr="000F3C8B" w:rsidRDefault="00E61FB3" w:rsidP="005F5D1E">
            <w:pPr>
              <w:pStyle w:val="TableText0"/>
              <w:rPr>
                <w:lang w:val="en-AU"/>
              </w:rPr>
            </w:pPr>
          </w:p>
          <w:p w:rsidR="00E61FB3" w:rsidRPr="000F3C8B" w:rsidRDefault="00E61FB3" w:rsidP="005F5D1E">
            <w:pPr>
              <w:pStyle w:val="TableText0"/>
              <w:rPr>
                <w:lang w:val="en-AU"/>
              </w:rPr>
            </w:pPr>
            <w:r w:rsidRPr="000F3C8B">
              <w:rPr>
                <w:lang w:val="en-AU"/>
              </w:rPr>
              <w:t>2.5 (1-6)</w:t>
            </w:r>
          </w:p>
        </w:tc>
        <w:tc>
          <w:tcPr>
            <w:tcW w:w="1150" w:type="dxa"/>
            <w:vMerge w:val="restart"/>
            <w:vAlign w:val="center"/>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tcPr>
          <w:p w:rsidR="00E61FB3" w:rsidRPr="000F3C8B" w:rsidRDefault="00E61FB3" w:rsidP="005F5D1E">
            <w:pPr>
              <w:pStyle w:val="TableText0"/>
              <w:rPr>
                <w:lang w:val="en-AU"/>
              </w:rPr>
            </w:pPr>
            <w:r w:rsidRPr="000F3C8B">
              <w:rPr>
                <w:lang w:val="en-AU"/>
              </w:rPr>
              <w:t>1 weeks</w:t>
            </w:r>
          </w:p>
        </w:tc>
        <w:tc>
          <w:tcPr>
            <w:tcW w:w="1620" w:type="dxa"/>
          </w:tcPr>
          <w:p w:rsidR="00E61FB3" w:rsidRPr="000F3C8B" w:rsidRDefault="00E61FB3" w:rsidP="005F5D1E">
            <w:pPr>
              <w:pStyle w:val="TableText0"/>
              <w:rPr>
                <w:lang w:val="en-AU"/>
              </w:rPr>
            </w:pPr>
            <w:r w:rsidRPr="000F3C8B">
              <w:rPr>
                <w:lang w:val="en-AU"/>
              </w:rPr>
              <w:t>5 (3-6)</w:t>
            </w:r>
          </w:p>
        </w:tc>
        <w:tc>
          <w:tcPr>
            <w:tcW w:w="1621" w:type="dxa"/>
          </w:tcPr>
          <w:p w:rsidR="00E61FB3" w:rsidRPr="000F3C8B" w:rsidRDefault="00E61FB3" w:rsidP="005F5D1E">
            <w:pPr>
              <w:pStyle w:val="TableText0"/>
              <w:rPr>
                <w:lang w:val="en-AU"/>
              </w:rPr>
            </w:pPr>
            <w:r w:rsidRPr="000F3C8B">
              <w:rPr>
                <w:lang w:val="en-AU"/>
              </w:rPr>
              <w:t>3 (1-4)</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tcPr>
          <w:p w:rsidR="00E61FB3" w:rsidRPr="000F3C8B" w:rsidRDefault="00E61FB3" w:rsidP="005F5D1E">
            <w:pPr>
              <w:pStyle w:val="TableText0"/>
              <w:rPr>
                <w:lang w:val="en-AU"/>
              </w:rPr>
            </w:pPr>
            <w:r w:rsidRPr="000F3C8B">
              <w:rPr>
                <w:lang w:val="en-AU"/>
              </w:rPr>
              <w:t>2 weeks</w:t>
            </w:r>
          </w:p>
        </w:tc>
        <w:tc>
          <w:tcPr>
            <w:tcW w:w="1620" w:type="dxa"/>
          </w:tcPr>
          <w:p w:rsidR="00E61FB3" w:rsidRPr="000F3C8B" w:rsidRDefault="00E61FB3" w:rsidP="005F5D1E">
            <w:pPr>
              <w:pStyle w:val="TableText0"/>
              <w:rPr>
                <w:lang w:val="en-AU"/>
              </w:rPr>
            </w:pPr>
            <w:r w:rsidRPr="000F3C8B">
              <w:rPr>
                <w:lang w:val="en-AU"/>
              </w:rPr>
              <w:t>4 (4-7)</w:t>
            </w:r>
          </w:p>
        </w:tc>
        <w:tc>
          <w:tcPr>
            <w:tcW w:w="1621" w:type="dxa"/>
          </w:tcPr>
          <w:p w:rsidR="00E61FB3" w:rsidRPr="000F3C8B" w:rsidRDefault="00E61FB3" w:rsidP="005F5D1E">
            <w:pPr>
              <w:pStyle w:val="TableText0"/>
              <w:rPr>
                <w:lang w:val="en-AU"/>
              </w:rPr>
            </w:pPr>
            <w:r w:rsidRPr="000F3C8B">
              <w:rPr>
                <w:lang w:val="en-AU"/>
              </w:rPr>
              <w:t>3 (2-5)</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tcPr>
          <w:p w:rsidR="00E61FB3" w:rsidRPr="000F3C8B" w:rsidRDefault="00E61FB3" w:rsidP="005F5D1E">
            <w:pPr>
              <w:pStyle w:val="TableText0"/>
              <w:rPr>
                <w:lang w:val="en-AU"/>
              </w:rPr>
            </w:pPr>
            <w:r w:rsidRPr="000F3C8B">
              <w:rPr>
                <w:lang w:val="en-AU"/>
              </w:rPr>
              <w:t>4 weeks</w:t>
            </w:r>
          </w:p>
        </w:tc>
        <w:tc>
          <w:tcPr>
            <w:tcW w:w="1620" w:type="dxa"/>
          </w:tcPr>
          <w:p w:rsidR="00E61FB3" w:rsidRPr="000F3C8B" w:rsidRDefault="00E61FB3" w:rsidP="005F5D1E">
            <w:pPr>
              <w:pStyle w:val="TableText0"/>
              <w:rPr>
                <w:lang w:val="en-AU"/>
              </w:rPr>
            </w:pPr>
            <w:r w:rsidRPr="000F3C8B">
              <w:rPr>
                <w:lang w:val="en-AU"/>
              </w:rPr>
              <w:t>5 (3-6)</w:t>
            </w:r>
          </w:p>
        </w:tc>
        <w:tc>
          <w:tcPr>
            <w:tcW w:w="1621" w:type="dxa"/>
          </w:tcPr>
          <w:p w:rsidR="00E61FB3" w:rsidRPr="000F3C8B" w:rsidRDefault="00E61FB3" w:rsidP="005F5D1E">
            <w:pPr>
              <w:pStyle w:val="TableText0"/>
              <w:rPr>
                <w:lang w:val="en-AU"/>
              </w:rPr>
            </w:pPr>
            <w:r w:rsidRPr="000F3C8B">
              <w:rPr>
                <w:lang w:val="en-AU"/>
              </w:rPr>
              <w:t>5.5 (3-7)</w:t>
            </w:r>
            <w:r w:rsidRPr="000F3C8B">
              <w:rPr>
                <w:vertAlign w:val="superscript"/>
                <w:lang w:val="en-AU"/>
              </w:rPr>
              <w:t>a</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tcPr>
          <w:p w:rsidR="00E61FB3" w:rsidRPr="000F3C8B" w:rsidRDefault="00E61FB3" w:rsidP="005F5D1E">
            <w:pPr>
              <w:pStyle w:val="TableText0"/>
              <w:rPr>
                <w:lang w:val="en-AU"/>
              </w:rPr>
            </w:pPr>
            <w:r w:rsidRPr="000F3C8B">
              <w:rPr>
                <w:lang w:val="en-AU"/>
              </w:rPr>
              <w:t>8 weeks</w:t>
            </w:r>
          </w:p>
        </w:tc>
        <w:tc>
          <w:tcPr>
            <w:tcW w:w="1620" w:type="dxa"/>
          </w:tcPr>
          <w:p w:rsidR="00E61FB3" w:rsidRPr="000F3C8B" w:rsidRDefault="00E61FB3" w:rsidP="005F5D1E">
            <w:pPr>
              <w:pStyle w:val="TableText0"/>
              <w:rPr>
                <w:lang w:val="en-AU"/>
              </w:rPr>
            </w:pPr>
            <w:r w:rsidRPr="000F3C8B">
              <w:rPr>
                <w:lang w:val="en-AU"/>
              </w:rPr>
              <w:t>5 (3-7)</w:t>
            </w:r>
          </w:p>
        </w:tc>
        <w:tc>
          <w:tcPr>
            <w:tcW w:w="1621" w:type="dxa"/>
          </w:tcPr>
          <w:p w:rsidR="00E61FB3" w:rsidRPr="000F3C8B" w:rsidRDefault="00E61FB3" w:rsidP="005F5D1E">
            <w:pPr>
              <w:pStyle w:val="TableText0"/>
              <w:rPr>
                <w:lang w:val="en-AU"/>
              </w:rPr>
            </w:pPr>
            <w:r w:rsidRPr="000F3C8B">
              <w:rPr>
                <w:lang w:val="en-AU"/>
              </w:rPr>
              <w:t>7 (6-8)</w:t>
            </w:r>
            <w:r w:rsidRPr="000F3C8B">
              <w:rPr>
                <w:vertAlign w:val="superscript"/>
                <w:lang w:val="en-AU"/>
              </w:rPr>
              <w:t>a</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tcPr>
          <w:p w:rsidR="00E61FB3" w:rsidRPr="000F3C8B" w:rsidRDefault="00E61FB3" w:rsidP="005F5D1E">
            <w:pPr>
              <w:pStyle w:val="TableText0"/>
              <w:rPr>
                <w:lang w:val="en-AU"/>
              </w:rPr>
            </w:pPr>
            <w:r w:rsidRPr="000F3C8B">
              <w:rPr>
                <w:lang w:val="en-AU"/>
              </w:rPr>
              <w:t>12 weeks</w:t>
            </w:r>
          </w:p>
        </w:tc>
        <w:tc>
          <w:tcPr>
            <w:tcW w:w="1620" w:type="dxa"/>
          </w:tcPr>
          <w:p w:rsidR="00E61FB3" w:rsidRPr="000F3C8B" w:rsidRDefault="00E61FB3" w:rsidP="005F5D1E">
            <w:pPr>
              <w:pStyle w:val="TableText0"/>
              <w:rPr>
                <w:lang w:val="en-AU"/>
              </w:rPr>
            </w:pPr>
            <w:r w:rsidRPr="000F3C8B">
              <w:rPr>
                <w:lang w:val="en-AU"/>
              </w:rPr>
              <w:t>6 (5-7)</w:t>
            </w:r>
          </w:p>
        </w:tc>
        <w:tc>
          <w:tcPr>
            <w:tcW w:w="1621" w:type="dxa"/>
          </w:tcPr>
          <w:p w:rsidR="00E61FB3" w:rsidRPr="000F3C8B" w:rsidRDefault="00E61FB3" w:rsidP="005F5D1E">
            <w:pPr>
              <w:pStyle w:val="TableText0"/>
              <w:rPr>
                <w:lang w:val="en-AU"/>
              </w:rPr>
            </w:pPr>
            <w:r w:rsidRPr="000F3C8B">
              <w:rPr>
                <w:lang w:val="en-AU"/>
              </w:rPr>
              <w:t>6 (3-7)</w:t>
            </w:r>
          </w:p>
        </w:tc>
        <w:tc>
          <w:tcPr>
            <w:tcW w:w="1150" w:type="dxa"/>
            <w:vMerge/>
            <w:vAlign w:val="center"/>
          </w:tcPr>
          <w:p w:rsidR="00E61FB3" w:rsidRPr="000F3C8B" w:rsidRDefault="00E61FB3" w:rsidP="005F5D1E">
            <w:pPr>
              <w:pStyle w:val="TableText0"/>
              <w:rPr>
                <w:lang w:val="en-AU"/>
              </w:rPr>
            </w:pPr>
          </w:p>
        </w:tc>
      </w:tr>
      <w:tr w:rsidR="00E61FB3" w:rsidRPr="00BB3C05" w:rsidTr="0007443E">
        <w:trPr>
          <w:trHeight w:val="125"/>
        </w:trPr>
        <w:tc>
          <w:tcPr>
            <w:tcW w:w="1497" w:type="dxa"/>
            <w:vMerge/>
          </w:tcPr>
          <w:p w:rsidR="00E61FB3" w:rsidRPr="000F3C8B" w:rsidRDefault="00E61FB3" w:rsidP="005F5D1E">
            <w:pPr>
              <w:pStyle w:val="TableText0"/>
              <w:rPr>
                <w:lang w:val="en-AU"/>
              </w:rPr>
            </w:pPr>
          </w:p>
        </w:tc>
        <w:tc>
          <w:tcPr>
            <w:tcW w:w="1440" w:type="dxa"/>
            <w:vMerge/>
            <w:vAlign w:val="center"/>
          </w:tcPr>
          <w:p w:rsidR="00E61FB3" w:rsidRPr="000F3C8B" w:rsidRDefault="00E61FB3" w:rsidP="005F5D1E">
            <w:pPr>
              <w:pStyle w:val="TableText0"/>
              <w:rPr>
                <w:lang w:val="en-AU"/>
              </w:rPr>
            </w:pPr>
          </w:p>
        </w:tc>
        <w:tc>
          <w:tcPr>
            <w:tcW w:w="1080" w:type="dxa"/>
          </w:tcPr>
          <w:p w:rsidR="00E61FB3" w:rsidRPr="000F3C8B" w:rsidRDefault="00E61FB3" w:rsidP="005F5D1E">
            <w:pPr>
              <w:pStyle w:val="TableText0"/>
              <w:rPr>
                <w:lang w:val="en-AU"/>
              </w:rPr>
            </w:pPr>
            <w:r w:rsidRPr="000F3C8B">
              <w:rPr>
                <w:lang w:val="en-AU"/>
              </w:rPr>
              <w:t>24 weeks</w:t>
            </w:r>
          </w:p>
        </w:tc>
        <w:tc>
          <w:tcPr>
            <w:tcW w:w="1620" w:type="dxa"/>
          </w:tcPr>
          <w:p w:rsidR="00E61FB3" w:rsidRPr="000F3C8B" w:rsidRDefault="00E61FB3" w:rsidP="005F5D1E">
            <w:pPr>
              <w:pStyle w:val="TableText0"/>
              <w:rPr>
                <w:lang w:val="en-AU"/>
              </w:rPr>
            </w:pPr>
            <w:r w:rsidRPr="000F3C8B">
              <w:rPr>
                <w:lang w:val="en-AU"/>
              </w:rPr>
              <w:t>6 (5-7)</w:t>
            </w:r>
          </w:p>
        </w:tc>
        <w:tc>
          <w:tcPr>
            <w:tcW w:w="1621" w:type="dxa"/>
          </w:tcPr>
          <w:p w:rsidR="00E61FB3" w:rsidRPr="000F3C8B" w:rsidRDefault="00E61FB3" w:rsidP="005F5D1E">
            <w:pPr>
              <w:pStyle w:val="TableText0"/>
              <w:rPr>
                <w:lang w:val="en-AU"/>
              </w:rPr>
            </w:pPr>
            <w:r w:rsidRPr="000F3C8B">
              <w:rPr>
                <w:lang w:val="en-AU"/>
              </w:rPr>
              <w:t>4 (4-7)</w:t>
            </w:r>
          </w:p>
        </w:tc>
        <w:tc>
          <w:tcPr>
            <w:tcW w:w="1150" w:type="dxa"/>
            <w:vMerge/>
            <w:vAlign w:val="center"/>
          </w:tcPr>
          <w:p w:rsidR="00E61FB3" w:rsidRPr="000F3C8B" w:rsidRDefault="00E61FB3" w:rsidP="005F5D1E">
            <w:pPr>
              <w:pStyle w:val="TableText0"/>
              <w:rPr>
                <w:lang w:val="en-AU"/>
              </w:rPr>
            </w:pPr>
          </w:p>
        </w:tc>
      </w:tr>
    </w:tbl>
    <w:p w:rsidR="00262FBD" w:rsidRDefault="00E61FB3" w:rsidP="005F5D1E">
      <w:pPr>
        <w:pStyle w:val="TableNotes"/>
        <w:rPr>
          <w:lang w:val="en-AU"/>
        </w:rPr>
      </w:pPr>
      <w:r w:rsidRPr="00BB3C05">
        <w:t>a  Denotes statistically significant improvement (</w:t>
      </w:r>
      <w:r w:rsidRPr="0007443E">
        <w:rPr>
          <w:i/>
        </w:rPr>
        <w:t>p</w:t>
      </w:r>
      <w:r w:rsidRPr="00BB3C05">
        <w:t>&lt; 0.05) compared with baseline.</w:t>
      </w:r>
      <w:r w:rsidRPr="00BB3C05">
        <w:br/>
        <w:t>b  Data not shown by authors; values derived from figure.</w:t>
      </w:r>
      <w:r w:rsidRPr="00BB3C05">
        <w:br/>
      </w:r>
      <w:r w:rsidR="00262FBD" w:rsidRPr="00BB3C05">
        <w:t>FACT-C: Functional Assessment of Cancer Therapy – Colorectal; IQR: interquartile range; NR: Not reported; SEMS: Self-expanding metallic stent.</w:t>
      </w:r>
    </w:p>
    <w:p w:rsidR="00E61FB3" w:rsidRPr="00BB3C05" w:rsidRDefault="00E61FB3" w:rsidP="005F5D1E">
      <w:pPr>
        <w:pStyle w:val="TableNotes"/>
      </w:pPr>
      <w:r w:rsidRPr="00BB3C05">
        <w:t>Source: Nagula et al (2010).</w:t>
      </w:r>
    </w:p>
    <w:p w:rsidR="00E61FB3" w:rsidRPr="00BB3C05" w:rsidRDefault="00E61FB3" w:rsidP="00FC35F9">
      <w:pPr>
        <w:pStyle w:val="Heading3"/>
      </w:pPr>
      <w:r w:rsidRPr="00BB3C05">
        <w:t>Hospital and intensive care unit stay</w:t>
      </w:r>
    </w:p>
    <w:p w:rsidR="005E5FFA" w:rsidRPr="008978EE" w:rsidRDefault="005E5FFA" w:rsidP="005E5FFA">
      <w:r w:rsidRPr="00BB3C05">
        <w:t xml:space="preserve">With regards to hospital and intensive care unit stay, outcomes were generally found to favour SEMS placement over surgery (see </w:t>
      </w:r>
      <w:r w:rsidR="005F5D1E">
        <w:fldChar w:fldCharType="begin"/>
      </w:r>
      <w:r w:rsidR="005F5D1E">
        <w:instrText xml:space="preserve"> REF _Ref324948663 \h </w:instrText>
      </w:r>
      <w:r w:rsidR="005F5D1E">
        <w:fldChar w:fldCharType="separate"/>
      </w:r>
      <w:r w:rsidR="0071544A">
        <w:t xml:space="preserve">Table </w:t>
      </w:r>
      <w:r w:rsidR="0071544A">
        <w:rPr>
          <w:noProof/>
        </w:rPr>
        <w:t>43</w:t>
      </w:r>
      <w:r w:rsidR="005F5D1E">
        <w:fldChar w:fldCharType="end"/>
      </w:r>
      <w:r w:rsidR="005F5D1E">
        <w:t xml:space="preserve"> </w:t>
      </w:r>
      <w:r w:rsidRPr="00E2422F">
        <w:t xml:space="preserve">for details). The RCT of Fiori et al </w:t>
      </w:r>
      <w:r w:rsidRPr="00E2422F">
        <w:lastRenderedPageBreak/>
        <w:t xml:space="preserve">(2004) reported a median hospital stay of 2.6 </w:t>
      </w:r>
      <w:r w:rsidRPr="00892811">
        <w:t>days after SEMS placement, while the 11 patients who underwent colostomy had a median hospital stay of 8.1 days post-surgery. This difference in length of stay was found to be statistically significant in favour of SEMS placement (</w:t>
      </w:r>
      <w:r w:rsidRPr="0007443E">
        <w:rPr>
          <w:i/>
        </w:rPr>
        <w:t>p</w:t>
      </w:r>
      <w:r w:rsidRPr="00892811">
        <w:t>&lt;0.001). In their RCT, X</w:t>
      </w:r>
      <w:r w:rsidRPr="008978EE">
        <w:t>inopoulos et al (2004) reported a total hospital stay of 28 days for the 15 patients undergoing SEMS placement (mean 1.9 days) and a total hospital stay of 60 days for the 15 patients who underwent colostomy surgery (mean 4 days, no statistical comparison reported).</w:t>
      </w:r>
    </w:p>
    <w:p w:rsidR="005E5FFA" w:rsidRPr="00DF686C" w:rsidRDefault="005E5FFA" w:rsidP="005E5FFA">
      <w:r w:rsidRPr="00A30BA9">
        <w:t>All five non-randomised comparative studies reported on length of hospital stay following SEMS placement. Osman et al (2000) reported a mean hospital stay of 2.5 days after SEMS placement and 13.5 days after Hartmann’s procedure or defunctioning</w:t>
      </w:r>
      <w:r w:rsidRPr="005646B6">
        <w:t xml:space="preserve"> caecostomy surgery (no statistical comparison reported). One surgery patient required admission to the intensive care unit for 24 hours. Johnson et al (2004) found no significant difference in the duration of hospital stay between patients receiving SEMS </w:t>
      </w:r>
      <w:r w:rsidRPr="00003831">
        <w:t xml:space="preserve">placement and those receiving palliative stoma formation (median 17.5 days vs 18 days, </w:t>
      </w:r>
      <w:r w:rsidRPr="0007443E">
        <w:rPr>
          <w:i/>
        </w:rPr>
        <w:t>p</w:t>
      </w:r>
      <w:r w:rsidRPr="00003831">
        <w:t>=0.65); however, the authors stated that patients who received a stoma (median 2.5 days in eight patients) required a significantly longer stay in the intensive care u</w:t>
      </w:r>
      <w:r w:rsidRPr="00A87C52">
        <w:t>nit than SEMS patients (no patients requiring stay) (</w:t>
      </w:r>
      <w:r w:rsidRPr="0007443E">
        <w:rPr>
          <w:i/>
        </w:rPr>
        <w:t>p</w:t>
      </w:r>
      <w:r w:rsidRPr="00A87C52">
        <w:t xml:space="preserve">=0.003). Baik et al (2006) found SEMS patients to have a significantly shorter post-procedural hospital stay than colostomy patients (median 5 days vs 14 days, </w:t>
      </w:r>
      <w:r w:rsidRPr="0007443E">
        <w:rPr>
          <w:i/>
        </w:rPr>
        <w:t>p</w:t>
      </w:r>
      <w:r w:rsidRPr="00A87C52">
        <w:t>&lt;0.001), as did Varadarajulu et al (2011</w:t>
      </w:r>
      <w:r w:rsidRPr="00DF686C">
        <w:t xml:space="preserve">) (mean 2.17 days vs 10.58 days, </w:t>
      </w:r>
      <w:r w:rsidRPr="0007443E">
        <w:rPr>
          <w:i/>
        </w:rPr>
        <w:t>p</w:t>
      </w:r>
      <w:r w:rsidRPr="00DF686C">
        <w:t xml:space="preserve"> = 0.004). Nagula et al (2010) compared only SEMS patients who underwent treatment as inpatients and achieved clinical success (22 patients; eight patients were treated as outpatients) to those patients receiving surgery, reporting that median length of stay was 4 days after SEMS placement and 7.5 days after surgery (no statistical comparison reported).</w:t>
      </w:r>
    </w:p>
    <w:p w:rsidR="00E61FB3" w:rsidRPr="00965DBA" w:rsidRDefault="005F5D1E" w:rsidP="005F5D1E">
      <w:pPr>
        <w:pStyle w:val="Caption"/>
        <w:rPr>
          <w:lang w:eastAsia="en-US"/>
        </w:rPr>
      </w:pPr>
      <w:bookmarkStart w:id="195" w:name="_Ref324948663"/>
      <w:bookmarkStart w:id="196" w:name="_Toc327522087"/>
      <w:r>
        <w:t xml:space="preserve">Table </w:t>
      </w:r>
      <w:fldSimple w:instr=" SEQ Table \* ARABIC ">
        <w:r w:rsidR="0071544A">
          <w:rPr>
            <w:noProof/>
          </w:rPr>
          <w:t>43</w:t>
        </w:r>
      </w:fldSimple>
      <w:bookmarkEnd w:id="195"/>
      <w:r w:rsidR="00E61FB3" w:rsidRPr="00965DBA">
        <w:rPr>
          <w:lang w:eastAsia="en-US"/>
        </w:rPr>
        <w:tab/>
        <w:t>Length of hospital stay after SEMS placement and surgery: comparative studies</w:t>
      </w:r>
      <w:bookmarkEnd w:id="196"/>
    </w:p>
    <w:tbl>
      <w:tblPr>
        <w:tblW w:w="8409" w:type="dxa"/>
        <w:tblInd w:w="720" w:type="dxa"/>
        <w:tblBorders>
          <w:top w:val="single" w:sz="12" w:space="0" w:color="000000"/>
          <w:bottom w:val="single" w:sz="12" w:space="0" w:color="000000"/>
        </w:tblBorders>
        <w:tblLayout w:type="fixed"/>
        <w:tblCellMar>
          <w:top w:w="28" w:type="dxa"/>
          <w:left w:w="57" w:type="dxa"/>
          <w:bottom w:w="28" w:type="dxa"/>
          <w:right w:w="57" w:type="dxa"/>
        </w:tblCellMar>
        <w:tblLook w:val="0000" w:firstRow="0" w:lastRow="0" w:firstColumn="0" w:lastColumn="0" w:noHBand="0" w:noVBand="0"/>
      </w:tblPr>
      <w:tblGrid>
        <w:gridCol w:w="1747"/>
        <w:gridCol w:w="992"/>
        <w:gridCol w:w="567"/>
        <w:gridCol w:w="1701"/>
        <w:gridCol w:w="450"/>
        <w:gridCol w:w="1920"/>
        <w:gridCol w:w="1032"/>
      </w:tblGrid>
      <w:tr w:rsidR="00E61FB3" w:rsidRPr="00BB3C05" w:rsidTr="0007443E">
        <w:trPr>
          <w:trHeight w:val="140"/>
        </w:trPr>
        <w:tc>
          <w:tcPr>
            <w:tcW w:w="1747" w:type="dxa"/>
            <w:vMerge w:val="restart"/>
            <w:tcBorders>
              <w:top w:val="single" w:sz="12" w:space="0" w:color="000000"/>
              <w:bottom w:val="nil"/>
            </w:tcBorders>
          </w:tcPr>
          <w:p w:rsidR="00E61FB3" w:rsidRPr="00965DBA" w:rsidRDefault="00E61FB3" w:rsidP="005F5D1E">
            <w:pPr>
              <w:pStyle w:val="TableHeading0"/>
            </w:pPr>
            <w:r w:rsidRPr="00965DBA">
              <w:t>Study</w:t>
            </w:r>
          </w:p>
        </w:tc>
        <w:tc>
          <w:tcPr>
            <w:tcW w:w="992" w:type="dxa"/>
            <w:vMerge w:val="restart"/>
            <w:tcBorders>
              <w:top w:val="single" w:sz="12" w:space="0" w:color="000000"/>
              <w:bottom w:val="nil"/>
            </w:tcBorders>
          </w:tcPr>
          <w:p w:rsidR="00E61FB3" w:rsidRPr="00BE3EA8" w:rsidRDefault="00E61FB3" w:rsidP="005F5D1E">
            <w:pPr>
              <w:pStyle w:val="TableHeading0"/>
            </w:pPr>
            <w:r w:rsidRPr="00F13A5A">
              <w:t>Leve</w:t>
            </w:r>
            <w:r w:rsidRPr="00BE3EA8">
              <w:t>l of evidence</w:t>
            </w:r>
          </w:p>
        </w:tc>
        <w:tc>
          <w:tcPr>
            <w:tcW w:w="2268" w:type="dxa"/>
            <w:gridSpan w:val="2"/>
            <w:tcBorders>
              <w:top w:val="single" w:sz="12" w:space="0" w:color="000000"/>
              <w:bottom w:val="nil"/>
            </w:tcBorders>
          </w:tcPr>
          <w:p w:rsidR="00E61FB3" w:rsidRPr="00BE3EA8" w:rsidRDefault="00E61FB3" w:rsidP="005F5D1E">
            <w:pPr>
              <w:pStyle w:val="TableHeading0"/>
            </w:pPr>
            <w:r w:rsidRPr="00BE3EA8">
              <w:t>SEMS placement</w:t>
            </w:r>
          </w:p>
        </w:tc>
        <w:tc>
          <w:tcPr>
            <w:tcW w:w="2370" w:type="dxa"/>
            <w:gridSpan w:val="2"/>
            <w:tcBorders>
              <w:top w:val="single" w:sz="12" w:space="0" w:color="000000"/>
              <w:bottom w:val="nil"/>
            </w:tcBorders>
          </w:tcPr>
          <w:p w:rsidR="00E61FB3" w:rsidRPr="008F42F9" w:rsidRDefault="00E61FB3" w:rsidP="005F5D1E">
            <w:pPr>
              <w:pStyle w:val="TableHeading0"/>
            </w:pPr>
            <w:r w:rsidRPr="008F42F9">
              <w:t>Surgery</w:t>
            </w:r>
          </w:p>
        </w:tc>
        <w:tc>
          <w:tcPr>
            <w:tcW w:w="1032" w:type="dxa"/>
            <w:vMerge w:val="restart"/>
            <w:tcBorders>
              <w:top w:val="single" w:sz="12" w:space="0" w:color="000000"/>
              <w:bottom w:val="single" w:sz="4" w:space="0" w:color="000000"/>
            </w:tcBorders>
          </w:tcPr>
          <w:p w:rsidR="00E61FB3" w:rsidRPr="008F42F9" w:rsidRDefault="00E61FB3" w:rsidP="005F5D1E">
            <w:pPr>
              <w:pStyle w:val="TableHeading0"/>
            </w:pPr>
            <w:r w:rsidRPr="0007443E">
              <w:rPr>
                <w:i/>
              </w:rPr>
              <w:t>p</w:t>
            </w:r>
            <w:r w:rsidRPr="008F42F9">
              <w:t>-value</w:t>
            </w:r>
          </w:p>
        </w:tc>
      </w:tr>
      <w:tr w:rsidR="00E61FB3" w:rsidRPr="00BB3C05" w:rsidTr="0007443E">
        <w:trPr>
          <w:trHeight w:val="140"/>
        </w:trPr>
        <w:tc>
          <w:tcPr>
            <w:tcW w:w="1747" w:type="dxa"/>
            <w:vMerge/>
            <w:tcBorders>
              <w:top w:val="nil"/>
              <w:bottom w:val="single" w:sz="4" w:space="0" w:color="000000"/>
            </w:tcBorders>
          </w:tcPr>
          <w:p w:rsidR="00E61FB3" w:rsidRPr="00BB3C05" w:rsidRDefault="00E61FB3" w:rsidP="00E61FB3">
            <w:pPr>
              <w:keepNext/>
              <w:spacing w:after="0"/>
              <w:ind w:left="0"/>
              <w:rPr>
                <w:rFonts w:ascii="Arial Narrow" w:hAnsi="Arial Narrow"/>
                <w:b/>
                <w:sz w:val="18"/>
                <w:lang w:eastAsia="en-US"/>
              </w:rPr>
            </w:pPr>
          </w:p>
        </w:tc>
        <w:tc>
          <w:tcPr>
            <w:tcW w:w="992" w:type="dxa"/>
            <w:vMerge/>
            <w:tcBorders>
              <w:top w:val="nil"/>
              <w:bottom w:val="single" w:sz="4" w:space="0" w:color="000000"/>
            </w:tcBorders>
          </w:tcPr>
          <w:p w:rsidR="00E61FB3" w:rsidRPr="00BB3C05" w:rsidRDefault="00E61FB3" w:rsidP="00E61FB3">
            <w:pPr>
              <w:keepNext/>
              <w:spacing w:after="0"/>
              <w:ind w:left="0"/>
              <w:rPr>
                <w:rFonts w:ascii="Arial Narrow" w:hAnsi="Arial Narrow"/>
                <w:b/>
                <w:sz w:val="18"/>
                <w:lang w:eastAsia="en-US"/>
              </w:rPr>
            </w:pPr>
          </w:p>
        </w:tc>
        <w:tc>
          <w:tcPr>
            <w:tcW w:w="567" w:type="dxa"/>
            <w:tcBorders>
              <w:top w:val="nil"/>
              <w:bottom w:val="single" w:sz="4" w:space="0" w:color="000000"/>
            </w:tcBorders>
          </w:tcPr>
          <w:p w:rsidR="00E61FB3" w:rsidRPr="00BB3C05" w:rsidRDefault="00E61FB3" w:rsidP="005F5D1E">
            <w:pPr>
              <w:pStyle w:val="TableHeading0"/>
            </w:pPr>
            <w:r w:rsidRPr="00BB3C05">
              <w:t>n</w:t>
            </w:r>
          </w:p>
        </w:tc>
        <w:tc>
          <w:tcPr>
            <w:tcW w:w="1701" w:type="dxa"/>
            <w:tcBorders>
              <w:top w:val="nil"/>
              <w:bottom w:val="single" w:sz="4" w:space="0" w:color="000000"/>
            </w:tcBorders>
          </w:tcPr>
          <w:p w:rsidR="00E61FB3" w:rsidRPr="00BB3C05" w:rsidRDefault="00E61FB3" w:rsidP="005F5D1E">
            <w:pPr>
              <w:pStyle w:val="TableHeading0"/>
            </w:pPr>
            <w:r w:rsidRPr="00BB3C05">
              <w:t>LOS (days)</w:t>
            </w:r>
            <w:r w:rsidRPr="00BB3C05">
              <w:rPr>
                <w:vertAlign w:val="superscript"/>
              </w:rPr>
              <w:t>a</w:t>
            </w:r>
          </w:p>
        </w:tc>
        <w:tc>
          <w:tcPr>
            <w:tcW w:w="450" w:type="dxa"/>
            <w:tcBorders>
              <w:top w:val="nil"/>
              <w:bottom w:val="single" w:sz="4" w:space="0" w:color="000000"/>
            </w:tcBorders>
          </w:tcPr>
          <w:p w:rsidR="00E61FB3" w:rsidRPr="00BB3C05" w:rsidRDefault="00E61FB3" w:rsidP="005F5D1E">
            <w:pPr>
              <w:pStyle w:val="TableHeading0"/>
            </w:pPr>
            <w:r w:rsidRPr="00BB3C05">
              <w:t>n</w:t>
            </w:r>
          </w:p>
        </w:tc>
        <w:tc>
          <w:tcPr>
            <w:tcW w:w="1920" w:type="dxa"/>
            <w:tcBorders>
              <w:top w:val="nil"/>
              <w:bottom w:val="single" w:sz="4" w:space="0" w:color="000000"/>
            </w:tcBorders>
          </w:tcPr>
          <w:p w:rsidR="00E61FB3" w:rsidRPr="00BB3C05" w:rsidRDefault="00E61FB3" w:rsidP="005F5D1E">
            <w:pPr>
              <w:pStyle w:val="TableHeading0"/>
            </w:pPr>
            <w:r w:rsidRPr="00BB3C05">
              <w:t>LOS (days)</w:t>
            </w:r>
            <w:r w:rsidRPr="00BB3C05">
              <w:rPr>
                <w:vertAlign w:val="superscript"/>
              </w:rPr>
              <w:t>a</w:t>
            </w:r>
          </w:p>
        </w:tc>
        <w:tc>
          <w:tcPr>
            <w:tcW w:w="1032" w:type="dxa"/>
            <w:vMerge/>
            <w:tcBorders>
              <w:top w:val="nil"/>
              <w:bottom w:val="single" w:sz="4" w:space="0" w:color="000000"/>
            </w:tcBorders>
          </w:tcPr>
          <w:p w:rsidR="00E61FB3" w:rsidRPr="00BB3C05" w:rsidRDefault="00E61FB3" w:rsidP="00E61FB3">
            <w:pPr>
              <w:keepNext/>
              <w:spacing w:after="0"/>
              <w:ind w:left="0"/>
              <w:rPr>
                <w:rFonts w:ascii="Arial Narrow" w:hAnsi="Arial Narrow"/>
                <w:b/>
                <w:sz w:val="18"/>
                <w:lang w:eastAsia="en-US"/>
              </w:rPr>
            </w:pPr>
          </w:p>
        </w:tc>
      </w:tr>
      <w:tr w:rsidR="00E61FB3" w:rsidRPr="00BB3C05" w:rsidTr="0007443E">
        <w:trPr>
          <w:trHeight w:val="125"/>
        </w:trPr>
        <w:tc>
          <w:tcPr>
            <w:tcW w:w="1747" w:type="dxa"/>
            <w:tcBorders>
              <w:top w:val="single" w:sz="4" w:space="0" w:color="000000"/>
            </w:tcBorders>
          </w:tcPr>
          <w:p w:rsidR="00E61FB3" w:rsidRPr="000F3C8B" w:rsidRDefault="00E61FB3" w:rsidP="005F5D1E">
            <w:pPr>
              <w:pStyle w:val="TableText0"/>
              <w:rPr>
                <w:lang w:val="en-AU"/>
              </w:rPr>
            </w:pPr>
            <w:r w:rsidRPr="000F3C8B">
              <w:rPr>
                <w:lang w:val="en-AU"/>
              </w:rPr>
              <w:t xml:space="preserve">Fiori </w:t>
            </w:r>
            <w:r w:rsidR="0090408E" w:rsidRPr="000F3C8B">
              <w:rPr>
                <w:lang w:val="en-AU"/>
              </w:rPr>
              <w:t xml:space="preserve">et al </w:t>
            </w:r>
            <w:r w:rsidRPr="000F3C8B">
              <w:rPr>
                <w:lang w:val="en-AU"/>
              </w:rPr>
              <w:t>(2004)</w:t>
            </w:r>
          </w:p>
        </w:tc>
        <w:tc>
          <w:tcPr>
            <w:tcW w:w="992" w:type="dxa"/>
            <w:tcBorders>
              <w:top w:val="single" w:sz="4" w:space="0" w:color="000000"/>
            </w:tcBorders>
          </w:tcPr>
          <w:p w:rsidR="00E61FB3" w:rsidRPr="000F3C8B" w:rsidRDefault="00E61FB3" w:rsidP="005F5D1E">
            <w:pPr>
              <w:pStyle w:val="TableText0"/>
              <w:rPr>
                <w:lang w:val="en-AU"/>
              </w:rPr>
            </w:pPr>
            <w:r w:rsidRPr="000F3C8B">
              <w:rPr>
                <w:lang w:val="en-AU"/>
              </w:rPr>
              <w:t>II</w:t>
            </w:r>
          </w:p>
        </w:tc>
        <w:tc>
          <w:tcPr>
            <w:tcW w:w="567" w:type="dxa"/>
            <w:tcBorders>
              <w:top w:val="single" w:sz="4" w:space="0" w:color="000000"/>
            </w:tcBorders>
          </w:tcPr>
          <w:p w:rsidR="00E61FB3" w:rsidRPr="000F3C8B" w:rsidRDefault="00E61FB3" w:rsidP="005F5D1E">
            <w:pPr>
              <w:pStyle w:val="TableText0"/>
              <w:rPr>
                <w:lang w:val="en-AU"/>
              </w:rPr>
            </w:pPr>
            <w:r w:rsidRPr="000F3C8B">
              <w:rPr>
                <w:lang w:val="en-AU"/>
              </w:rPr>
              <w:t>11</w:t>
            </w:r>
          </w:p>
        </w:tc>
        <w:tc>
          <w:tcPr>
            <w:tcW w:w="1701" w:type="dxa"/>
            <w:tcBorders>
              <w:top w:val="single" w:sz="4" w:space="0" w:color="000000"/>
            </w:tcBorders>
          </w:tcPr>
          <w:p w:rsidR="00E61FB3" w:rsidRPr="000F3C8B" w:rsidRDefault="00E61FB3" w:rsidP="005F5D1E">
            <w:pPr>
              <w:pStyle w:val="TableText0"/>
              <w:rPr>
                <w:lang w:val="en-AU"/>
              </w:rPr>
            </w:pPr>
            <w:r w:rsidRPr="000F3C8B">
              <w:rPr>
                <w:lang w:val="en-AU"/>
              </w:rPr>
              <w:t>2.6 (range 2-4)</w:t>
            </w:r>
          </w:p>
        </w:tc>
        <w:tc>
          <w:tcPr>
            <w:tcW w:w="450" w:type="dxa"/>
            <w:tcBorders>
              <w:top w:val="single" w:sz="4" w:space="0" w:color="000000"/>
            </w:tcBorders>
          </w:tcPr>
          <w:p w:rsidR="00E61FB3" w:rsidRPr="000F3C8B" w:rsidRDefault="00E61FB3" w:rsidP="005F5D1E">
            <w:pPr>
              <w:pStyle w:val="TableText0"/>
              <w:rPr>
                <w:lang w:val="en-AU"/>
              </w:rPr>
            </w:pPr>
            <w:r w:rsidRPr="000F3C8B">
              <w:rPr>
                <w:lang w:val="en-AU"/>
              </w:rPr>
              <w:t>11</w:t>
            </w:r>
          </w:p>
        </w:tc>
        <w:tc>
          <w:tcPr>
            <w:tcW w:w="1920" w:type="dxa"/>
            <w:tcBorders>
              <w:top w:val="single" w:sz="4" w:space="0" w:color="000000"/>
            </w:tcBorders>
          </w:tcPr>
          <w:p w:rsidR="00E61FB3" w:rsidRPr="000F3C8B" w:rsidRDefault="00E61FB3" w:rsidP="005F5D1E">
            <w:pPr>
              <w:pStyle w:val="TableText0"/>
              <w:rPr>
                <w:lang w:val="en-AU"/>
              </w:rPr>
            </w:pPr>
            <w:r w:rsidRPr="000F3C8B">
              <w:rPr>
                <w:lang w:val="en-AU"/>
              </w:rPr>
              <w:t>8.1 (range 7-10)</w:t>
            </w:r>
          </w:p>
        </w:tc>
        <w:tc>
          <w:tcPr>
            <w:tcW w:w="1032" w:type="dxa"/>
            <w:tcBorders>
              <w:top w:val="single" w:sz="4" w:space="0" w:color="000000"/>
            </w:tcBorders>
          </w:tcPr>
          <w:p w:rsidR="00E61FB3" w:rsidRPr="000F3C8B" w:rsidRDefault="00E61FB3" w:rsidP="005F5D1E">
            <w:pPr>
              <w:pStyle w:val="TableText0"/>
              <w:rPr>
                <w:lang w:val="en-AU"/>
              </w:rPr>
            </w:pPr>
            <w:r w:rsidRPr="000F3C8B">
              <w:rPr>
                <w:lang w:val="en-AU"/>
              </w:rPr>
              <w:t>&lt;0.0001</w:t>
            </w:r>
          </w:p>
        </w:tc>
      </w:tr>
      <w:tr w:rsidR="00E61FB3" w:rsidRPr="00BB3C05" w:rsidTr="0007443E">
        <w:trPr>
          <w:trHeight w:val="125"/>
        </w:trPr>
        <w:tc>
          <w:tcPr>
            <w:tcW w:w="1747" w:type="dxa"/>
          </w:tcPr>
          <w:p w:rsidR="00E61FB3" w:rsidRPr="000F3C8B" w:rsidRDefault="00E61FB3" w:rsidP="005F5D1E">
            <w:pPr>
              <w:pStyle w:val="TableText0"/>
              <w:rPr>
                <w:lang w:val="en-AU"/>
              </w:rPr>
            </w:pPr>
            <w:r w:rsidRPr="000F3C8B">
              <w:rPr>
                <w:lang w:val="en-AU"/>
              </w:rPr>
              <w:t xml:space="preserve">Xinopoulos </w:t>
            </w:r>
            <w:r w:rsidR="0090408E" w:rsidRPr="000F3C8B">
              <w:rPr>
                <w:lang w:val="en-AU"/>
              </w:rPr>
              <w:t xml:space="preserve">et al </w:t>
            </w:r>
            <w:r w:rsidRPr="000F3C8B">
              <w:rPr>
                <w:lang w:val="en-AU"/>
              </w:rPr>
              <w:t>(2004)</w:t>
            </w:r>
          </w:p>
        </w:tc>
        <w:tc>
          <w:tcPr>
            <w:tcW w:w="992" w:type="dxa"/>
          </w:tcPr>
          <w:p w:rsidR="00E61FB3" w:rsidRPr="000F3C8B" w:rsidRDefault="00E61FB3" w:rsidP="005F5D1E">
            <w:pPr>
              <w:pStyle w:val="TableText0"/>
              <w:rPr>
                <w:lang w:val="en-AU"/>
              </w:rPr>
            </w:pPr>
            <w:r w:rsidRPr="000F3C8B">
              <w:rPr>
                <w:lang w:val="en-AU"/>
              </w:rPr>
              <w:t>II</w:t>
            </w:r>
          </w:p>
        </w:tc>
        <w:tc>
          <w:tcPr>
            <w:tcW w:w="567" w:type="dxa"/>
          </w:tcPr>
          <w:p w:rsidR="00E61FB3" w:rsidRPr="000F3C8B" w:rsidRDefault="00E61FB3" w:rsidP="005F5D1E">
            <w:pPr>
              <w:pStyle w:val="TableText0"/>
              <w:rPr>
                <w:lang w:val="en-AU"/>
              </w:rPr>
            </w:pPr>
            <w:r w:rsidRPr="000F3C8B">
              <w:rPr>
                <w:lang w:val="en-AU"/>
              </w:rPr>
              <w:t>15</w:t>
            </w:r>
          </w:p>
        </w:tc>
        <w:tc>
          <w:tcPr>
            <w:tcW w:w="1701" w:type="dxa"/>
          </w:tcPr>
          <w:p w:rsidR="00E61FB3" w:rsidRPr="000F3C8B" w:rsidRDefault="00E61FB3" w:rsidP="005F5D1E">
            <w:pPr>
              <w:pStyle w:val="TableText0"/>
              <w:rPr>
                <w:lang w:val="en-AU"/>
              </w:rPr>
            </w:pPr>
            <w:r w:rsidRPr="000F3C8B">
              <w:rPr>
                <w:lang w:val="en-AU"/>
              </w:rPr>
              <w:t>1.9</w:t>
            </w:r>
            <w:r w:rsidRPr="000F3C8B">
              <w:rPr>
                <w:vertAlign w:val="superscript"/>
                <w:lang w:val="en-AU"/>
              </w:rPr>
              <w:t>b</w:t>
            </w:r>
            <w:r w:rsidRPr="000F3C8B">
              <w:rPr>
                <w:lang w:val="en-AU"/>
              </w:rPr>
              <w:t xml:space="preserve"> (mean)</w:t>
            </w:r>
          </w:p>
        </w:tc>
        <w:tc>
          <w:tcPr>
            <w:tcW w:w="450" w:type="dxa"/>
          </w:tcPr>
          <w:p w:rsidR="00E61FB3" w:rsidRPr="000F3C8B" w:rsidRDefault="00E61FB3" w:rsidP="005F5D1E">
            <w:pPr>
              <w:pStyle w:val="TableText0"/>
              <w:rPr>
                <w:lang w:val="en-AU"/>
              </w:rPr>
            </w:pPr>
            <w:r w:rsidRPr="000F3C8B">
              <w:rPr>
                <w:lang w:val="en-AU"/>
              </w:rPr>
              <w:t>15</w:t>
            </w:r>
          </w:p>
        </w:tc>
        <w:tc>
          <w:tcPr>
            <w:tcW w:w="1920" w:type="dxa"/>
          </w:tcPr>
          <w:p w:rsidR="00E61FB3" w:rsidRPr="000F3C8B" w:rsidRDefault="00E61FB3" w:rsidP="005F5D1E">
            <w:pPr>
              <w:pStyle w:val="TableText0"/>
              <w:rPr>
                <w:lang w:val="en-AU"/>
              </w:rPr>
            </w:pPr>
            <w:r w:rsidRPr="000F3C8B">
              <w:rPr>
                <w:lang w:val="en-AU"/>
              </w:rPr>
              <w:t>4</w:t>
            </w:r>
            <w:r w:rsidRPr="000F3C8B">
              <w:rPr>
                <w:vertAlign w:val="superscript"/>
                <w:lang w:val="en-AU"/>
              </w:rPr>
              <w:t xml:space="preserve">b </w:t>
            </w:r>
            <w:r w:rsidRPr="000F3C8B">
              <w:rPr>
                <w:lang w:val="en-AU"/>
              </w:rPr>
              <w:t>(mean)</w:t>
            </w:r>
          </w:p>
        </w:tc>
        <w:tc>
          <w:tcPr>
            <w:tcW w:w="1032" w:type="dxa"/>
          </w:tcPr>
          <w:p w:rsidR="00E61FB3" w:rsidRPr="000F3C8B" w:rsidRDefault="00E61FB3" w:rsidP="005F5D1E">
            <w:pPr>
              <w:pStyle w:val="TableText0"/>
              <w:rPr>
                <w:lang w:val="en-AU"/>
              </w:rPr>
            </w:pPr>
            <w:r w:rsidRPr="000F3C8B">
              <w:rPr>
                <w:lang w:val="en-AU"/>
              </w:rPr>
              <w:t>NR</w:t>
            </w:r>
          </w:p>
        </w:tc>
      </w:tr>
      <w:tr w:rsidR="00E61FB3" w:rsidRPr="00BB3C05" w:rsidTr="0007443E">
        <w:trPr>
          <w:trHeight w:val="125"/>
        </w:trPr>
        <w:tc>
          <w:tcPr>
            <w:tcW w:w="1747" w:type="dxa"/>
          </w:tcPr>
          <w:p w:rsidR="00E61FB3" w:rsidRPr="000F3C8B" w:rsidRDefault="00E61FB3" w:rsidP="005F5D1E">
            <w:pPr>
              <w:pStyle w:val="TableText0"/>
              <w:rPr>
                <w:lang w:val="en-AU"/>
              </w:rPr>
            </w:pPr>
            <w:r w:rsidRPr="000F3C8B">
              <w:rPr>
                <w:lang w:val="en-AU"/>
              </w:rPr>
              <w:t xml:space="preserve">Nagula </w:t>
            </w:r>
            <w:r w:rsidR="0090408E" w:rsidRPr="000F3C8B">
              <w:rPr>
                <w:lang w:val="en-AU"/>
              </w:rPr>
              <w:t xml:space="preserve">et al </w:t>
            </w:r>
            <w:r w:rsidRPr="000F3C8B">
              <w:rPr>
                <w:lang w:val="en-AU"/>
              </w:rPr>
              <w:t>(2010)</w:t>
            </w:r>
          </w:p>
        </w:tc>
        <w:tc>
          <w:tcPr>
            <w:tcW w:w="992" w:type="dxa"/>
          </w:tcPr>
          <w:p w:rsidR="00E61FB3" w:rsidRPr="000F3C8B" w:rsidRDefault="00E61FB3" w:rsidP="005F5D1E">
            <w:pPr>
              <w:pStyle w:val="TableText0"/>
              <w:rPr>
                <w:lang w:val="en-AU"/>
              </w:rPr>
            </w:pPr>
            <w:r w:rsidRPr="000F3C8B">
              <w:rPr>
                <w:lang w:val="en-AU"/>
              </w:rPr>
              <w:t>III-2</w:t>
            </w:r>
          </w:p>
        </w:tc>
        <w:tc>
          <w:tcPr>
            <w:tcW w:w="567" w:type="dxa"/>
          </w:tcPr>
          <w:p w:rsidR="00E61FB3" w:rsidRPr="000F3C8B" w:rsidRDefault="00E61FB3" w:rsidP="005F5D1E">
            <w:pPr>
              <w:pStyle w:val="TableText0"/>
              <w:rPr>
                <w:lang w:val="en-AU"/>
              </w:rPr>
            </w:pPr>
            <w:r w:rsidRPr="000F3C8B">
              <w:rPr>
                <w:lang w:val="en-AU"/>
              </w:rPr>
              <w:t>22</w:t>
            </w:r>
            <w:r w:rsidRPr="000F3C8B">
              <w:rPr>
                <w:vertAlign w:val="superscript"/>
                <w:lang w:val="en-AU"/>
              </w:rPr>
              <w:t>c</w:t>
            </w:r>
          </w:p>
        </w:tc>
        <w:tc>
          <w:tcPr>
            <w:tcW w:w="1701" w:type="dxa"/>
          </w:tcPr>
          <w:p w:rsidR="00E61FB3" w:rsidRPr="000F3C8B" w:rsidRDefault="00E61FB3" w:rsidP="005F5D1E">
            <w:pPr>
              <w:pStyle w:val="TableText0"/>
              <w:rPr>
                <w:lang w:val="en-AU"/>
              </w:rPr>
            </w:pPr>
            <w:r w:rsidRPr="000F3C8B">
              <w:rPr>
                <w:lang w:val="en-AU"/>
              </w:rPr>
              <w:t>4 (mean)</w:t>
            </w:r>
          </w:p>
        </w:tc>
        <w:tc>
          <w:tcPr>
            <w:tcW w:w="450" w:type="dxa"/>
          </w:tcPr>
          <w:p w:rsidR="00E61FB3" w:rsidRPr="000F3C8B" w:rsidRDefault="00E61FB3" w:rsidP="005F5D1E">
            <w:pPr>
              <w:pStyle w:val="TableText0"/>
              <w:rPr>
                <w:lang w:val="en-AU"/>
              </w:rPr>
            </w:pPr>
            <w:r w:rsidRPr="000F3C8B">
              <w:rPr>
                <w:lang w:val="en-AU"/>
              </w:rPr>
              <w:t>14</w:t>
            </w:r>
          </w:p>
        </w:tc>
        <w:tc>
          <w:tcPr>
            <w:tcW w:w="1920" w:type="dxa"/>
          </w:tcPr>
          <w:p w:rsidR="00E61FB3" w:rsidRPr="000F3C8B" w:rsidRDefault="00E61FB3" w:rsidP="005F5D1E">
            <w:pPr>
              <w:pStyle w:val="TableText0"/>
              <w:rPr>
                <w:lang w:val="en-AU"/>
              </w:rPr>
            </w:pPr>
            <w:r w:rsidRPr="000F3C8B">
              <w:rPr>
                <w:lang w:val="en-AU"/>
              </w:rPr>
              <w:t>7.5 (mean)</w:t>
            </w:r>
          </w:p>
        </w:tc>
        <w:tc>
          <w:tcPr>
            <w:tcW w:w="1032" w:type="dxa"/>
          </w:tcPr>
          <w:p w:rsidR="00E61FB3" w:rsidRPr="000F3C8B" w:rsidRDefault="00E61FB3" w:rsidP="005F5D1E">
            <w:pPr>
              <w:pStyle w:val="TableText0"/>
              <w:rPr>
                <w:lang w:val="en-AU"/>
              </w:rPr>
            </w:pPr>
            <w:r w:rsidRPr="000F3C8B">
              <w:rPr>
                <w:lang w:val="en-AU"/>
              </w:rPr>
              <w:t>NR</w:t>
            </w:r>
          </w:p>
        </w:tc>
      </w:tr>
      <w:tr w:rsidR="00AF6CA8" w:rsidRPr="00BB3C05" w:rsidTr="0007443E">
        <w:trPr>
          <w:trHeight w:val="125"/>
        </w:trPr>
        <w:tc>
          <w:tcPr>
            <w:tcW w:w="1747" w:type="dxa"/>
          </w:tcPr>
          <w:p w:rsidR="00AF6CA8" w:rsidRPr="000F3C8B" w:rsidRDefault="00AF6CA8" w:rsidP="005F5D1E">
            <w:pPr>
              <w:pStyle w:val="TableText0"/>
              <w:rPr>
                <w:lang w:val="en-AU"/>
              </w:rPr>
            </w:pPr>
            <w:r w:rsidRPr="000F3C8B">
              <w:rPr>
                <w:lang w:val="en-AU"/>
              </w:rPr>
              <w:t xml:space="preserve">Varadarajulu </w:t>
            </w:r>
            <w:r w:rsidR="0090408E" w:rsidRPr="000F3C8B">
              <w:rPr>
                <w:lang w:val="en-AU"/>
              </w:rPr>
              <w:t xml:space="preserve">et al </w:t>
            </w:r>
            <w:r w:rsidRPr="000F3C8B">
              <w:rPr>
                <w:lang w:val="en-AU"/>
              </w:rPr>
              <w:t>(2011)</w:t>
            </w:r>
          </w:p>
        </w:tc>
        <w:tc>
          <w:tcPr>
            <w:tcW w:w="992" w:type="dxa"/>
          </w:tcPr>
          <w:p w:rsidR="00AF6CA8" w:rsidRPr="000F3C8B" w:rsidRDefault="00AF6CA8" w:rsidP="005F5D1E">
            <w:pPr>
              <w:pStyle w:val="TableText0"/>
              <w:rPr>
                <w:lang w:val="en-AU"/>
              </w:rPr>
            </w:pPr>
            <w:r w:rsidRPr="000F3C8B">
              <w:rPr>
                <w:lang w:val="en-AU"/>
              </w:rPr>
              <w:t>III-3</w:t>
            </w:r>
          </w:p>
        </w:tc>
        <w:tc>
          <w:tcPr>
            <w:tcW w:w="567" w:type="dxa"/>
          </w:tcPr>
          <w:p w:rsidR="00AF6CA8" w:rsidRPr="000F3C8B" w:rsidRDefault="00AF6CA8" w:rsidP="005F5D1E">
            <w:pPr>
              <w:pStyle w:val="TableText0"/>
              <w:rPr>
                <w:lang w:val="en-AU"/>
              </w:rPr>
            </w:pPr>
            <w:r w:rsidRPr="000F3C8B">
              <w:rPr>
                <w:lang w:val="en-AU"/>
              </w:rPr>
              <w:t>12</w:t>
            </w:r>
          </w:p>
        </w:tc>
        <w:tc>
          <w:tcPr>
            <w:tcW w:w="1701" w:type="dxa"/>
          </w:tcPr>
          <w:p w:rsidR="00AF6CA8" w:rsidRPr="000F3C8B" w:rsidRDefault="00AF6CA8" w:rsidP="005F5D1E">
            <w:pPr>
              <w:pStyle w:val="TableText0"/>
              <w:rPr>
                <w:lang w:val="en-AU"/>
              </w:rPr>
            </w:pPr>
            <w:r w:rsidRPr="000F3C8B">
              <w:rPr>
                <w:lang w:val="en-AU"/>
              </w:rPr>
              <w:t>2.17 (mean)</w:t>
            </w:r>
          </w:p>
        </w:tc>
        <w:tc>
          <w:tcPr>
            <w:tcW w:w="450" w:type="dxa"/>
          </w:tcPr>
          <w:p w:rsidR="00AF6CA8" w:rsidRPr="000F3C8B" w:rsidRDefault="00AF6CA8" w:rsidP="005F5D1E">
            <w:pPr>
              <w:pStyle w:val="TableText0"/>
              <w:rPr>
                <w:lang w:val="en-AU"/>
              </w:rPr>
            </w:pPr>
            <w:r w:rsidRPr="000F3C8B">
              <w:rPr>
                <w:lang w:val="en-AU"/>
              </w:rPr>
              <w:t>24</w:t>
            </w:r>
          </w:p>
        </w:tc>
        <w:tc>
          <w:tcPr>
            <w:tcW w:w="1920" w:type="dxa"/>
          </w:tcPr>
          <w:p w:rsidR="00AF6CA8" w:rsidRPr="000F3C8B" w:rsidRDefault="00AF6CA8" w:rsidP="005F5D1E">
            <w:pPr>
              <w:pStyle w:val="TableText0"/>
              <w:rPr>
                <w:lang w:val="en-AU"/>
              </w:rPr>
            </w:pPr>
            <w:r w:rsidRPr="000F3C8B">
              <w:rPr>
                <w:lang w:val="en-AU"/>
              </w:rPr>
              <w:t>10.58 (mean)</w:t>
            </w:r>
          </w:p>
        </w:tc>
        <w:tc>
          <w:tcPr>
            <w:tcW w:w="1032" w:type="dxa"/>
          </w:tcPr>
          <w:p w:rsidR="00AF6CA8" w:rsidRPr="000F3C8B" w:rsidRDefault="00AF6CA8" w:rsidP="005F5D1E">
            <w:pPr>
              <w:pStyle w:val="TableText0"/>
              <w:rPr>
                <w:lang w:val="en-AU"/>
              </w:rPr>
            </w:pPr>
            <w:r w:rsidRPr="000F3C8B">
              <w:rPr>
                <w:lang w:val="en-AU"/>
              </w:rPr>
              <w:t>0.004</w:t>
            </w:r>
          </w:p>
        </w:tc>
      </w:tr>
      <w:tr w:rsidR="00AF6CA8" w:rsidRPr="00BB3C05" w:rsidTr="0007443E">
        <w:trPr>
          <w:trHeight w:val="125"/>
        </w:trPr>
        <w:tc>
          <w:tcPr>
            <w:tcW w:w="1747" w:type="dxa"/>
          </w:tcPr>
          <w:p w:rsidR="00AF6CA8" w:rsidRPr="000F3C8B" w:rsidRDefault="00AF6CA8" w:rsidP="005F5D1E">
            <w:pPr>
              <w:pStyle w:val="TableText0"/>
              <w:rPr>
                <w:lang w:val="en-AU"/>
              </w:rPr>
            </w:pPr>
            <w:r w:rsidRPr="000F3C8B">
              <w:rPr>
                <w:lang w:val="en-AU"/>
              </w:rPr>
              <w:t>Baik</w:t>
            </w:r>
            <w:r w:rsidR="0090408E" w:rsidRPr="000F3C8B">
              <w:rPr>
                <w:lang w:val="en-AU"/>
              </w:rPr>
              <w:t xml:space="preserve"> et al</w:t>
            </w:r>
            <w:r w:rsidRPr="000F3C8B">
              <w:rPr>
                <w:lang w:val="en-AU"/>
              </w:rPr>
              <w:t xml:space="preserve"> (2006)</w:t>
            </w:r>
          </w:p>
        </w:tc>
        <w:tc>
          <w:tcPr>
            <w:tcW w:w="992" w:type="dxa"/>
          </w:tcPr>
          <w:p w:rsidR="00AF6CA8" w:rsidRPr="000F3C8B" w:rsidRDefault="00AF6CA8" w:rsidP="005F5D1E">
            <w:pPr>
              <w:pStyle w:val="TableText0"/>
              <w:rPr>
                <w:lang w:val="en-AU"/>
              </w:rPr>
            </w:pPr>
            <w:r w:rsidRPr="000F3C8B">
              <w:rPr>
                <w:lang w:val="en-AU"/>
              </w:rPr>
              <w:t>III-3</w:t>
            </w:r>
          </w:p>
        </w:tc>
        <w:tc>
          <w:tcPr>
            <w:tcW w:w="567" w:type="dxa"/>
          </w:tcPr>
          <w:p w:rsidR="00AF6CA8" w:rsidRPr="000F3C8B" w:rsidRDefault="00AF6CA8" w:rsidP="005F5D1E">
            <w:pPr>
              <w:pStyle w:val="TableText0"/>
              <w:rPr>
                <w:lang w:val="en-AU"/>
              </w:rPr>
            </w:pPr>
            <w:r w:rsidRPr="000F3C8B">
              <w:rPr>
                <w:lang w:val="en-AU"/>
              </w:rPr>
              <w:t>18</w:t>
            </w:r>
          </w:p>
        </w:tc>
        <w:tc>
          <w:tcPr>
            <w:tcW w:w="1701" w:type="dxa"/>
          </w:tcPr>
          <w:p w:rsidR="00AF6CA8" w:rsidRPr="000F3C8B" w:rsidRDefault="00AF6CA8" w:rsidP="005F5D1E">
            <w:pPr>
              <w:pStyle w:val="TableText0"/>
              <w:rPr>
                <w:lang w:val="en-AU"/>
              </w:rPr>
            </w:pPr>
            <w:r w:rsidRPr="000F3C8B">
              <w:rPr>
                <w:lang w:val="en-AU"/>
              </w:rPr>
              <w:t>5 (range 1-16)</w:t>
            </w:r>
          </w:p>
        </w:tc>
        <w:tc>
          <w:tcPr>
            <w:tcW w:w="450" w:type="dxa"/>
          </w:tcPr>
          <w:p w:rsidR="00AF6CA8" w:rsidRPr="000F3C8B" w:rsidRDefault="00AF6CA8" w:rsidP="005F5D1E">
            <w:pPr>
              <w:pStyle w:val="TableText0"/>
              <w:rPr>
                <w:lang w:val="en-AU"/>
              </w:rPr>
            </w:pPr>
            <w:r w:rsidRPr="000F3C8B">
              <w:rPr>
                <w:lang w:val="en-AU"/>
              </w:rPr>
              <w:t>19</w:t>
            </w:r>
          </w:p>
        </w:tc>
        <w:tc>
          <w:tcPr>
            <w:tcW w:w="1920" w:type="dxa"/>
          </w:tcPr>
          <w:p w:rsidR="00AF6CA8" w:rsidRPr="000F3C8B" w:rsidRDefault="00AF6CA8" w:rsidP="005F5D1E">
            <w:pPr>
              <w:pStyle w:val="TableText0"/>
              <w:rPr>
                <w:lang w:val="en-AU"/>
              </w:rPr>
            </w:pPr>
            <w:r w:rsidRPr="000F3C8B">
              <w:rPr>
                <w:lang w:val="en-AU"/>
              </w:rPr>
              <w:t>14 (range 7-27)</w:t>
            </w:r>
          </w:p>
        </w:tc>
        <w:tc>
          <w:tcPr>
            <w:tcW w:w="1032" w:type="dxa"/>
          </w:tcPr>
          <w:p w:rsidR="00AF6CA8" w:rsidRPr="000F3C8B" w:rsidRDefault="00AF6CA8" w:rsidP="005F5D1E">
            <w:pPr>
              <w:pStyle w:val="TableText0"/>
              <w:rPr>
                <w:lang w:val="en-AU"/>
              </w:rPr>
            </w:pPr>
            <w:r w:rsidRPr="000F3C8B">
              <w:rPr>
                <w:lang w:val="en-AU"/>
              </w:rPr>
              <w:t>&lt;0.0001</w:t>
            </w:r>
          </w:p>
        </w:tc>
      </w:tr>
      <w:tr w:rsidR="00AF6CA8" w:rsidRPr="00BB3C05" w:rsidTr="0007443E">
        <w:trPr>
          <w:trHeight w:val="125"/>
        </w:trPr>
        <w:tc>
          <w:tcPr>
            <w:tcW w:w="1747" w:type="dxa"/>
          </w:tcPr>
          <w:p w:rsidR="00AF6CA8" w:rsidRPr="000F3C8B" w:rsidRDefault="00AF6CA8" w:rsidP="005F5D1E">
            <w:pPr>
              <w:pStyle w:val="TableText0"/>
              <w:rPr>
                <w:lang w:val="en-AU"/>
              </w:rPr>
            </w:pPr>
            <w:r w:rsidRPr="000F3C8B">
              <w:rPr>
                <w:lang w:val="en-AU"/>
              </w:rPr>
              <w:t xml:space="preserve">Johnson </w:t>
            </w:r>
            <w:r w:rsidR="0090408E" w:rsidRPr="000F3C8B">
              <w:rPr>
                <w:lang w:val="en-AU"/>
              </w:rPr>
              <w:t xml:space="preserve">et al </w:t>
            </w:r>
            <w:r w:rsidRPr="000F3C8B">
              <w:rPr>
                <w:lang w:val="en-AU"/>
              </w:rPr>
              <w:t>(2004)</w:t>
            </w:r>
          </w:p>
        </w:tc>
        <w:tc>
          <w:tcPr>
            <w:tcW w:w="992" w:type="dxa"/>
          </w:tcPr>
          <w:p w:rsidR="00AF6CA8" w:rsidRPr="000F3C8B" w:rsidRDefault="00AF6CA8" w:rsidP="005F5D1E">
            <w:pPr>
              <w:pStyle w:val="TableText0"/>
              <w:rPr>
                <w:lang w:val="en-AU"/>
              </w:rPr>
            </w:pPr>
            <w:r w:rsidRPr="000F3C8B">
              <w:rPr>
                <w:lang w:val="en-AU"/>
              </w:rPr>
              <w:t>III-3</w:t>
            </w:r>
          </w:p>
        </w:tc>
        <w:tc>
          <w:tcPr>
            <w:tcW w:w="567" w:type="dxa"/>
          </w:tcPr>
          <w:p w:rsidR="00AF6CA8" w:rsidRPr="000F3C8B" w:rsidRDefault="00AF6CA8" w:rsidP="005F5D1E">
            <w:pPr>
              <w:pStyle w:val="TableText0"/>
              <w:rPr>
                <w:lang w:val="en-AU"/>
              </w:rPr>
            </w:pPr>
            <w:r w:rsidRPr="000F3C8B">
              <w:rPr>
                <w:lang w:val="en-AU"/>
              </w:rPr>
              <w:t>20</w:t>
            </w:r>
          </w:p>
        </w:tc>
        <w:tc>
          <w:tcPr>
            <w:tcW w:w="1701" w:type="dxa"/>
          </w:tcPr>
          <w:p w:rsidR="00AF6CA8" w:rsidRPr="000F3C8B" w:rsidRDefault="00AF6CA8" w:rsidP="005F5D1E">
            <w:pPr>
              <w:pStyle w:val="TableText0"/>
              <w:rPr>
                <w:lang w:val="en-AU"/>
              </w:rPr>
            </w:pPr>
            <w:r w:rsidRPr="000F3C8B">
              <w:rPr>
                <w:lang w:val="en-AU"/>
              </w:rPr>
              <w:t>18 (range 9-132)</w:t>
            </w:r>
          </w:p>
        </w:tc>
        <w:tc>
          <w:tcPr>
            <w:tcW w:w="450" w:type="dxa"/>
          </w:tcPr>
          <w:p w:rsidR="00AF6CA8" w:rsidRPr="000F3C8B" w:rsidRDefault="00AF6CA8" w:rsidP="005F5D1E">
            <w:pPr>
              <w:pStyle w:val="TableText0"/>
              <w:rPr>
                <w:lang w:val="en-AU"/>
              </w:rPr>
            </w:pPr>
            <w:r w:rsidRPr="000F3C8B">
              <w:rPr>
                <w:lang w:val="en-AU"/>
              </w:rPr>
              <w:t>18</w:t>
            </w:r>
          </w:p>
        </w:tc>
        <w:tc>
          <w:tcPr>
            <w:tcW w:w="1920" w:type="dxa"/>
          </w:tcPr>
          <w:p w:rsidR="00AF6CA8" w:rsidRPr="000F3C8B" w:rsidRDefault="00AF6CA8" w:rsidP="005F5D1E">
            <w:pPr>
              <w:pStyle w:val="TableText0"/>
              <w:rPr>
                <w:lang w:val="en-AU"/>
              </w:rPr>
            </w:pPr>
            <w:r w:rsidRPr="000F3C8B">
              <w:rPr>
                <w:lang w:val="en-AU"/>
              </w:rPr>
              <w:t>17.5 (range 9-65)</w:t>
            </w:r>
          </w:p>
        </w:tc>
        <w:tc>
          <w:tcPr>
            <w:tcW w:w="1032" w:type="dxa"/>
          </w:tcPr>
          <w:p w:rsidR="00AF6CA8" w:rsidRPr="000F3C8B" w:rsidRDefault="00AF6CA8" w:rsidP="005F5D1E">
            <w:pPr>
              <w:pStyle w:val="TableText0"/>
              <w:rPr>
                <w:lang w:val="en-AU"/>
              </w:rPr>
            </w:pPr>
            <w:r w:rsidRPr="000F3C8B">
              <w:rPr>
                <w:lang w:val="en-AU"/>
              </w:rPr>
              <w:t>0.65</w:t>
            </w:r>
          </w:p>
        </w:tc>
      </w:tr>
      <w:tr w:rsidR="00AF6CA8" w:rsidRPr="00BB3C05" w:rsidTr="0007443E">
        <w:trPr>
          <w:trHeight w:val="125"/>
        </w:trPr>
        <w:tc>
          <w:tcPr>
            <w:tcW w:w="1747" w:type="dxa"/>
          </w:tcPr>
          <w:p w:rsidR="00AF6CA8" w:rsidRPr="000F3C8B" w:rsidRDefault="00AF6CA8" w:rsidP="005F5D1E">
            <w:pPr>
              <w:pStyle w:val="TableText0"/>
              <w:rPr>
                <w:lang w:val="en-AU"/>
              </w:rPr>
            </w:pPr>
            <w:r w:rsidRPr="000F3C8B">
              <w:rPr>
                <w:lang w:val="en-AU"/>
              </w:rPr>
              <w:t>Osman</w:t>
            </w:r>
            <w:r w:rsidR="0090408E" w:rsidRPr="000F3C8B">
              <w:rPr>
                <w:lang w:val="en-AU"/>
              </w:rPr>
              <w:t xml:space="preserve"> et al</w:t>
            </w:r>
            <w:r w:rsidRPr="000F3C8B">
              <w:rPr>
                <w:lang w:val="en-AU"/>
              </w:rPr>
              <w:t xml:space="preserve"> (2000)</w:t>
            </w:r>
          </w:p>
        </w:tc>
        <w:tc>
          <w:tcPr>
            <w:tcW w:w="992" w:type="dxa"/>
          </w:tcPr>
          <w:p w:rsidR="00AF6CA8" w:rsidRPr="000F3C8B" w:rsidRDefault="00AF6CA8" w:rsidP="005F5D1E">
            <w:pPr>
              <w:pStyle w:val="TableText0"/>
              <w:rPr>
                <w:lang w:val="en-AU"/>
              </w:rPr>
            </w:pPr>
            <w:r w:rsidRPr="000F3C8B">
              <w:rPr>
                <w:lang w:val="en-AU"/>
              </w:rPr>
              <w:t>III-3</w:t>
            </w:r>
          </w:p>
        </w:tc>
        <w:tc>
          <w:tcPr>
            <w:tcW w:w="567" w:type="dxa"/>
          </w:tcPr>
          <w:p w:rsidR="00AF6CA8" w:rsidRPr="000F3C8B" w:rsidRDefault="00AF6CA8" w:rsidP="005F5D1E">
            <w:pPr>
              <w:pStyle w:val="TableText0"/>
              <w:rPr>
                <w:lang w:val="en-AU"/>
              </w:rPr>
            </w:pPr>
            <w:r w:rsidRPr="000F3C8B">
              <w:rPr>
                <w:lang w:val="en-AU"/>
              </w:rPr>
              <w:t>16</w:t>
            </w:r>
          </w:p>
        </w:tc>
        <w:tc>
          <w:tcPr>
            <w:tcW w:w="1701" w:type="dxa"/>
          </w:tcPr>
          <w:p w:rsidR="00AF6CA8" w:rsidRPr="000F3C8B" w:rsidRDefault="00AF6CA8" w:rsidP="005F5D1E">
            <w:pPr>
              <w:pStyle w:val="TableText0"/>
              <w:rPr>
                <w:lang w:val="en-AU"/>
              </w:rPr>
            </w:pPr>
            <w:r w:rsidRPr="000F3C8B">
              <w:rPr>
                <w:lang w:val="en-AU"/>
              </w:rPr>
              <w:t>2.5 (mean) (range 2-6)</w:t>
            </w:r>
          </w:p>
        </w:tc>
        <w:tc>
          <w:tcPr>
            <w:tcW w:w="450" w:type="dxa"/>
          </w:tcPr>
          <w:p w:rsidR="00AF6CA8" w:rsidRPr="000F3C8B" w:rsidRDefault="00AF6CA8" w:rsidP="005F5D1E">
            <w:pPr>
              <w:pStyle w:val="TableText0"/>
              <w:rPr>
                <w:lang w:val="en-AU"/>
              </w:rPr>
            </w:pPr>
            <w:r w:rsidRPr="000F3C8B">
              <w:rPr>
                <w:lang w:val="en-AU"/>
              </w:rPr>
              <w:t>10</w:t>
            </w:r>
          </w:p>
        </w:tc>
        <w:tc>
          <w:tcPr>
            <w:tcW w:w="1920" w:type="dxa"/>
          </w:tcPr>
          <w:p w:rsidR="00AF6CA8" w:rsidRPr="000F3C8B" w:rsidRDefault="00AF6CA8" w:rsidP="005F5D1E">
            <w:pPr>
              <w:pStyle w:val="TableText0"/>
              <w:rPr>
                <w:lang w:val="en-AU"/>
              </w:rPr>
            </w:pPr>
            <w:r w:rsidRPr="000F3C8B">
              <w:rPr>
                <w:lang w:val="en-AU"/>
              </w:rPr>
              <w:t>13.5 (mean) (range 10-15)</w:t>
            </w:r>
          </w:p>
        </w:tc>
        <w:tc>
          <w:tcPr>
            <w:tcW w:w="1032" w:type="dxa"/>
          </w:tcPr>
          <w:p w:rsidR="00AF6CA8" w:rsidRPr="000F3C8B" w:rsidRDefault="00AF6CA8" w:rsidP="005F5D1E">
            <w:pPr>
              <w:pStyle w:val="TableText0"/>
              <w:rPr>
                <w:lang w:val="en-AU"/>
              </w:rPr>
            </w:pPr>
            <w:r w:rsidRPr="000F3C8B">
              <w:rPr>
                <w:lang w:val="en-AU"/>
              </w:rPr>
              <w:t>NR</w:t>
            </w:r>
          </w:p>
        </w:tc>
      </w:tr>
    </w:tbl>
    <w:p w:rsidR="00E61FB3" w:rsidRDefault="00E61FB3" w:rsidP="005F5D1E">
      <w:pPr>
        <w:pStyle w:val="TableNotes"/>
        <w:rPr>
          <w:lang w:val="en-AU" w:eastAsia="en-US"/>
        </w:rPr>
      </w:pPr>
      <w:r w:rsidRPr="00BB3C05">
        <w:rPr>
          <w:lang w:eastAsia="en-US"/>
        </w:rPr>
        <w:t>a  Median values unless otherwise stated.</w:t>
      </w:r>
      <w:r w:rsidRPr="00BB3C05">
        <w:rPr>
          <w:lang w:eastAsia="en-US"/>
        </w:rPr>
        <w:br/>
        <w:t>b  Study reported total days of hospital stay per treatment group; means were calculated through division by number of patients.</w:t>
      </w:r>
      <w:r w:rsidRPr="00BB3C05">
        <w:rPr>
          <w:lang w:eastAsia="en-US"/>
        </w:rPr>
        <w:br/>
        <w:t>c  Study reported results only for SEMS patients treated as inpatients.</w:t>
      </w:r>
    </w:p>
    <w:p w:rsidR="00262FBD" w:rsidRPr="00262FBD" w:rsidRDefault="00262FBD" w:rsidP="005F5D1E">
      <w:pPr>
        <w:pStyle w:val="TableNotes"/>
        <w:rPr>
          <w:lang w:val="en-AU"/>
        </w:rPr>
      </w:pPr>
      <w:r w:rsidRPr="00BB3C05">
        <w:rPr>
          <w:lang w:eastAsia="en-US"/>
        </w:rPr>
        <w:t xml:space="preserve">LOS: </w:t>
      </w:r>
      <w:r>
        <w:rPr>
          <w:lang w:eastAsia="en-US"/>
        </w:rPr>
        <w:t>L</w:t>
      </w:r>
      <w:r w:rsidRPr="00BB3C05">
        <w:rPr>
          <w:lang w:eastAsia="en-US"/>
        </w:rPr>
        <w:t>ength of hospital stay; NR: Not reported; SEMS: Self-expanding metallic stent.</w:t>
      </w:r>
    </w:p>
    <w:p w:rsidR="00E61FB3" w:rsidRPr="00BB3C05" w:rsidRDefault="00E61FB3" w:rsidP="00FC35F9">
      <w:pPr>
        <w:pStyle w:val="Heading3"/>
      </w:pPr>
      <w:r w:rsidRPr="00BB3C05">
        <w:t>Procedural operating time</w:t>
      </w:r>
    </w:p>
    <w:p w:rsidR="005E5FFA" w:rsidRPr="00BB3C05" w:rsidRDefault="005E5FFA" w:rsidP="005E5FFA">
      <w:r w:rsidRPr="00BB3C05">
        <w:t xml:space="preserve">Only one study compared the length of operating time for the placement of SEMS compared to surgery. The RCT by Fiori et al (2004) found procedural time to be significantly shorter for SEMS placement (mean 36 ± 15.0 minutes (range 15-55)) than for surgery (mean 75.4 ± standard deviation of 26.1 minutes (range 35-110), </w:t>
      </w:r>
      <w:r w:rsidRPr="0007443E">
        <w:rPr>
          <w:i/>
        </w:rPr>
        <w:t>p</w:t>
      </w:r>
      <w:r w:rsidRPr="00BB3C05">
        <w:t>&lt;0.003).</w:t>
      </w:r>
    </w:p>
    <w:p w:rsidR="00E61FB3" w:rsidRPr="00BB3C05" w:rsidRDefault="00E61FB3" w:rsidP="00FC35F9">
      <w:pPr>
        <w:pStyle w:val="Heading3"/>
      </w:pPr>
      <w:r w:rsidRPr="00BB3C05">
        <w:lastRenderedPageBreak/>
        <w:t>Patient survival – palliative stent placement</w:t>
      </w:r>
    </w:p>
    <w:p w:rsidR="005E5FFA" w:rsidRPr="00892811" w:rsidRDefault="005E5FFA" w:rsidP="005E5FFA">
      <w:r w:rsidRPr="00BB3C05">
        <w:t>Three comparative studies, including the RCT by Xinopoulos et al (2004), reported on length of patient survival after palliative treatment with SEMS placement or surgery. No significant differences in median length of survival were reported between treatment groups in any of the studies (Johnson et al 2004; Nagula et al 2010; Xinopoulos et al 2004) (</w:t>
      </w:r>
      <w:r w:rsidR="006F654A">
        <w:t xml:space="preserve">See </w:t>
      </w:r>
      <w:r w:rsidR="00CC521E">
        <w:fldChar w:fldCharType="begin"/>
      </w:r>
      <w:r w:rsidR="00CC521E">
        <w:instrText xml:space="preserve"> REF _Ref324948806 \h </w:instrText>
      </w:r>
      <w:r w:rsidR="00CC521E">
        <w:fldChar w:fldCharType="separate"/>
      </w:r>
      <w:r w:rsidR="0071544A">
        <w:t xml:space="preserve">Table </w:t>
      </w:r>
      <w:r w:rsidR="0071544A">
        <w:rPr>
          <w:noProof/>
        </w:rPr>
        <w:t>44</w:t>
      </w:r>
      <w:r w:rsidR="00CC521E">
        <w:fldChar w:fldCharType="end"/>
      </w:r>
      <w:r w:rsidRPr="009E5C53">
        <w:t>). While the study by Johnson et al (2004) found no significant difference between treatment groups, the patient cohort receiving SEMS placement was found t</w:t>
      </w:r>
      <w:r w:rsidRPr="00E2422F">
        <w:t>o be significantly older (</w:t>
      </w:r>
      <w:r w:rsidRPr="0007443E">
        <w:rPr>
          <w:i/>
        </w:rPr>
        <w:t>p</w:t>
      </w:r>
      <w:r w:rsidRPr="00E2422F">
        <w:t xml:space="preserve">=0.0065) and have more severe disease (determined via American Society of Anesthesiologists physical status classification; </w:t>
      </w:r>
      <w:r w:rsidRPr="0007443E">
        <w:rPr>
          <w:i/>
        </w:rPr>
        <w:t>p</w:t>
      </w:r>
      <w:r w:rsidRPr="00E2422F">
        <w:t>=0.04) than the cohort who underwent surgery, and could potentially have been expected to experience wor</w:t>
      </w:r>
      <w:r w:rsidRPr="00892811">
        <w:t>se survival outcomes than patients who underwent surgery.</w:t>
      </w:r>
    </w:p>
    <w:p w:rsidR="00E61FB3" w:rsidRPr="00965DBA" w:rsidRDefault="00CC521E" w:rsidP="00CC521E">
      <w:pPr>
        <w:pStyle w:val="Caption"/>
        <w:rPr>
          <w:lang w:eastAsia="en-US"/>
        </w:rPr>
      </w:pPr>
      <w:bookmarkStart w:id="197" w:name="_Ref324948806"/>
      <w:bookmarkStart w:id="198" w:name="_Toc327522088"/>
      <w:r>
        <w:t xml:space="preserve">Table </w:t>
      </w:r>
      <w:fldSimple w:instr=" SEQ Table \* ARABIC ">
        <w:r w:rsidR="0071544A">
          <w:rPr>
            <w:noProof/>
          </w:rPr>
          <w:t>44</w:t>
        </w:r>
      </w:fldSimple>
      <w:bookmarkEnd w:id="197"/>
      <w:r w:rsidR="00E61FB3" w:rsidRPr="00965DBA">
        <w:rPr>
          <w:lang w:eastAsia="en-US"/>
        </w:rPr>
        <w:tab/>
        <w:t>Patient survival after palliative treatment with SEMS placement and surgery: comparative studies</w:t>
      </w:r>
      <w:bookmarkEnd w:id="198"/>
    </w:p>
    <w:tbl>
      <w:tblPr>
        <w:tblW w:w="8409" w:type="dxa"/>
        <w:tblInd w:w="720" w:type="dxa"/>
        <w:tblBorders>
          <w:top w:val="single" w:sz="12" w:space="0" w:color="000000"/>
          <w:bottom w:val="single" w:sz="12" w:space="0" w:color="000000"/>
        </w:tblBorders>
        <w:tblLayout w:type="fixed"/>
        <w:tblCellMar>
          <w:top w:w="28" w:type="dxa"/>
          <w:left w:w="57" w:type="dxa"/>
          <w:bottom w:w="28" w:type="dxa"/>
          <w:right w:w="57" w:type="dxa"/>
        </w:tblCellMar>
        <w:tblLook w:val="0000" w:firstRow="0" w:lastRow="0" w:firstColumn="0" w:lastColumn="0" w:noHBand="0" w:noVBand="0"/>
      </w:tblPr>
      <w:tblGrid>
        <w:gridCol w:w="1770"/>
        <w:gridCol w:w="992"/>
        <w:gridCol w:w="426"/>
        <w:gridCol w:w="1669"/>
        <w:gridCol w:w="600"/>
        <w:gridCol w:w="1920"/>
        <w:gridCol w:w="1032"/>
      </w:tblGrid>
      <w:tr w:rsidR="00E61FB3" w:rsidRPr="00BB3C05" w:rsidTr="0007443E">
        <w:trPr>
          <w:trHeight w:val="140"/>
        </w:trPr>
        <w:tc>
          <w:tcPr>
            <w:tcW w:w="1770" w:type="dxa"/>
            <w:vMerge w:val="restart"/>
            <w:tcBorders>
              <w:top w:val="single" w:sz="12" w:space="0" w:color="000000"/>
              <w:bottom w:val="nil"/>
            </w:tcBorders>
          </w:tcPr>
          <w:p w:rsidR="00E61FB3" w:rsidRPr="00965DBA" w:rsidRDefault="00E61FB3" w:rsidP="00CC521E">
            <w:pPr>
              <w:pStyle w:val="TableHeading0"/>
            </w:pPr>
            <w:r w:rsidRPr="00965DBA">
              <w:t>Study</w:t>
            </w:r>
          </w:p>
        </w:tc>
        <w:tc>
          <w:tcPr>
            <w:tcW w:w="992" w:type="dxa"/>
            <w:vMerge w:val="restart"/>
            <w:tcBorders>
              <w:top w:val="single" w:sz="12" w:space="0" w:color="000000"/>
              <w:bottom w:val="nil"/>
            </w:tcBorders>
          </w:tcPr>
          <w:p w:rsidR="00E61FB3" w:rsidRPr="00F13A5A" w:rsidRDefault="00E61FB3" w:rsidP="00CC521E">
            <w:pPr>
              <w:pStyle w:val="TableHeading0"/>
            </w:pPr>
            <w:r w:rsidRPr="00F13A5A">
              <w:t>Level of evidence</w:t>
            </w:r>
          </w:p>
        </w:tc>
        <w:tc>
          <w:tcPr>
            <w:tcW w:w="2095" w:type="dxa"/>
            <w:gridSpan w:val="2"/>
            <w:tcBorders>
              <w:top w:val="single" w:sz="12" w:space="0" w:color="000000"/>
              <w:bottom w:val="nil"/>
            </w:tcBorders>
          </w:tcPr>
          <w:p w:rsidR="00E61FB3" w:rsidRPr="00BE3EA8" w:rsidRDefault="00E61FB3" w:rsidP="00CC521E">
            <w:pPr>
              <w:pStyle w:val="TableHeading0"/>
            </w:pPr>
            <w:r w:rsidRPr="00BE3EA8">
              <w:t>SEMS placement</w:t>
            </w:r>
          </w:p>
        </w:tc>
        <w:tc>
          <w:tcPr>
            <w:tcW w:w="2520" w:type="dxa"/>
            <w:gridSpan w:val="2"/>
            <w:tcBorders>
              <w:top w:val="single" w:sz="12" w:space="0" w:color="000000"/>
              <w:bottom w:val="nil"/>
            </w:tcBorders>
          </w:tcPr>
          <w:p w:rsidR="00E61FB3" w:rsidRPr="00BE3EA8" w:rsidRDefault="00E61FB3" w:rsidP="00CC521E">
            <w:pPr>
              <w:pStyle w:val="TableHeading0"/>
            </w:pPr>
            <w:r w:rsidRPr="00BE3EA8">
              <w:t>Surgery</w:t>
            </w:r>
          </w:p>
        </w:tc>
        <w:tc>
          <w:tcPr>
            <w:tcW w:w="1032" w:type="dxa"/>
            <w:vMerge w:val="restart"/>
            <w:tcBorders>
              <w:top w:val="single" w:sz="12" w:space="0" w:color="000000"/>
              <w:bottom w:val="single" w:sz="4" w:space="0" w:color="000000"/>
            </w:tcBorders>
          </w:tcPr>
          <w:p w:rsidR="00E61FB3" w:rsidRPr="008F42F9" w:rsidRDefault="00E61FB3" w:rsidP="00CC521E">
            <w:pPr>
              <w:pStyle w:val="TableHeading0"/>
            </w:pPr>
            <w:r w:rsidRPr="0007443E">
              <w:rPr>
                <w:i/>
              </w:rPr>
              <w:t>p</w:t>
            </w:r>
            <w:r w:rsidRPr="008F42F9">
              <w:t>-value</w:t>
            </w:r>
          </w:p>
        </w:tc>
      </w:tr>
      <w:tr w:rsidR="00E61FB3" w:rsidRPr="00BB3C05" w:rsidTr="0007443E">
        <w:trPr>
          <w:trHeight w:val="140"/>
        </w:trPr>
        <w:tc>
          <w:tcPr>
            <w:tcW w:w="1770" w:type="dxa"/>
            <w:vMerge/>
            <w:tcBorders>
              <w:top w:val="nil"/>
              <w:bottom w:val="single" w:sz="4" w:space="0" w:color="000000"/>
            </w:tcBorders>
          </w:tcPr>
          <w:p w:rsidR="00E61FB3" w:rsidRPr="00BB3C05" w:rsidRDefault="00E61FB3" w:rsidP="00E61FB3">
            <w:pPr>
              <w:keepNext/>
              <w:spacing w:after="0"/>
              <w:ind w:left="0"/>
              <w:rPr>
                <w:rFonts w:ascii="Arial Narrow" w:hAnsi="Arial Narrow"/>
                <w:b/>
                <w:sz w:val="18"/>
                <w:lang w:eastAsia="en-US"/>
              </w:rPr>
            </w:pPr>
          </w:p>
        </w:tc>
        <w:tc>
          <w:tcPr>
            <w:tcW w:w="992" w:type="dxa"/>
            <w:vMerge/>
            <w:tcBorders>
              <w:top w:val="nil"/>
              <w:bottom w:val="single" w:sz="4" w:space="0" w:color="000000"/>
            </w:tcBorders>
          </w:tcPr>
          <w:p w:rsidR="00E61FB3" w:rsidRPr="00BB3C05" w:rsidRDefault="00E61FB3" w:rsidP="00E61FB3">
            <w:pPr>
              <w:keepNext/>
              <w:spacing w:after="0"/>
              <w:ind w:left="0"/>
              <w:rPr>
                <w:rFonts w:ascii="Arial Narrow" w:hAnsi="Arial Narrow"/>
                <w:b/>
                <w:sz w:val="18"/>
                <w:lang w:eastAsia="en-US"/>
              </w:rPr>
            </w:pPr>
          </w:p>
        </w:tc>
        <w:tc>
          <w:tcPr>
            <w:tcW w:w="426" w:type="dxa"/>
            <w:tcBorders>
              <w:top w:val="nil"/>
              <w:bottom w:val="single" w:sz="4" w:space="0" w:color="000000"/>
            </w:tcBorders>
          </w:tcPr>
          <w:p w:rsidR="00E61FB3" w:rsidRPr="00BB3C05" w:rsidRDefault="00E61FB3" w:rsidP="00CC521E">
            <w:pPr>
              <w:pStyle w:val="TableHeading0"/>
            </w:pPr>
            <w:r w:rsidRPr="00BB3C05">
              <w:t>n</w:t>
            </w:r>
          </w:p>
        </w:tc>
        <w:tc>
          <w:tcPr>
            <w:tcW w:w="1669" w:type="dxa"/>
            <w:tcBorders>
              <w:top w:val="nil"/>
              <w:bottom w:val="single" w:sz="4" w:space="0" w:color="000000"/>
            </w:tcBorders>
          </w:tcPr>
          <w:p w:rsidR="00E61FB3" w:rsidRPr="00BB3C05" w:rsidRDefault="00E61FB3" w:rsidP="00CC521E">
            <w:pPr>
              <w:pStyle w:val="TableHeading0"/>
            </w:pPr>
            <w:r w:rsidRPr="00BB3C05">
              <w:t>Median survival</w:t>
            </w:r>
          </w:p>
        </w:tc>
        <w:tc>
          <w:tcPr>
            <w:tcW w:w="600" w:type="dxa"/>
            <w:tcBorders>
              <w:top w:val="nil"/>
              <w:bottom w:val="single" w:sz="4" w:space="0" w:color="000000"/>
            </w:tcBorders>
          </w:tcPr>
          <w:p w:rsidR="00E61FB3" w:rsidRPr="00BB3C05" w:rsidRDefault="00E61FB3" w:rsidP="00CC521E">
            <w:pPr>
              <w:pStyle w:val="TableHeading0"/>
            </w:pPr>
            <w:r w:rsidRPr="00BB3C05">
              <w:t>n</w:t>
            </w:r>
          </w:p>
        </w:tc>
        <w:tc>
          <w:tcPr>
            <w:tcW w:w="1920" w:type="dxa"/>
            <w:tcBorders>
              <w:top w:val="nil"/>
              <w:bottom w:val="single" w:sz="4" w:space="0" w:color="000000"/>
            </w:tcBorders>
          </w:tcPr>
          <w:p w:rsidR="00E61FB3" w:rsidRPr="00BB3C05" w:rsidRDefault="00E61FB3" w:rsidP="00CC521E">
            <w:pPr>
              <w:pStyle w:val="TableHeading0"/>
            </w:pPr>
            <w:r w:rsidRPr="00BB3C05">
              <w:t>Median survival</w:t>
            </w:r>
          </w:p>
        </w:tc>
        <w:tc>
          <w:tcPr>
            <w:tcW w:w="1032" w:type="dxa"/>
            <w:vMerge/>
            <w:tcBorders>
              <w:top w:val="nil"/>
              <w:bottom w:val="single" w:sz="4" w:space="0" w:color="000000"/>
            </w:tcBorders>
          </w:tcPr>
          <w:p w:rsidR="00E61FB3" w:rsidRPr="00BB3C05" w:rsidRDefault="00E61FB3" w:rsidP="00E61FB3">
            <w:pPr>
              <w:keepNext/>
              <w:spacing w:after="0"/>
              <w:ind w:left="0"/>
              <w:rPr>
                <w:rFonts w:ascii="Arial Narrow" w:hAnsi="Arial Narrow"/>
                <w:b/>
                <w:sz w:val="18"/>
                <w:lang w:eastAsia="en-US"/>
              </w:rPr>
            </w:pPr>
          </w:p>
        </w:tc>
      </w:tr>
      <w:tr w:rsidR="00E61FB3" w:rsidRPr="00BB3C05" w:rsidTr="0007443E">
        <w:trPr>
          <w:trHeight w:val="125"/>
        </w:trPr>
        <w:tc>
          <w:tcPr>
            <w:tcW w:w="1770" w:type="dxa"/>
            <w:tcBorders>
              <w:top w:val="single" w:sz="4" w:space="0" w:color="000000"/>
            </w:tcBorders>
          </w:tcPr>
          <w:p w:rsidR="00E61FB3" w:rsidRPr="000F3C8B" w:rsidRDefault="00E61FB3" w:rsidP="00CC521E">
            <w:pPr>
              <w:pStyle w:val="TableText0"/>
              <w:rPr>
                <w:lang w:val="en-AU"/>
              </w:rPr>
            </w:pPr>
            <w:r w:rsidRPr="000F3C8B">
              <w:rPr>
                <w:lang w:val="en-AU"/>
              </w:rPr>
              <w:t xml:space="preserve">Xinopoulos </w:t>
            </w:r>
            <w:r w:rsidR="00C35A27" w:rsidRPr="000F3C8B">
              <w:rPr>
                <w:lang w:val="en-AU"/>
              </w:rPr>
              <w:t xml:space="preserve">et al </w:t>
            </w:r>
            <w:r w:rsidRPr="000F3C8B">
              <w:rPr>
                <w:lang w:val="en-AU"/>
              </w:rPr>
              <w:t>(2004)</w:t>
            </w:r>
          </w:p>
        </w:tc>
        <w:tc>
          <w:tcPr>
            <w:tcW w:w="992" w:type="dxa"/>
            <w:tcBorders>
              <w:top w:val="single" w:sz="4" w:space="0" w:color="000000"/>
            </w:tcBorders>
          </w:tcPr>
          <w:p w:rsidR="00E61FB3" w:rsidRPr="000F3C8B" w:rsidRDefault="00E61FB3" w:rsidP="00CC521E">
            <w:pPr>
              <w:pStyle w:val="TableText0"/>
              <w:rPr>
                <w:lang w:val="en-AU"/>
              </w:rPr>
            </w:pPr>
            <w:r w:rsidRPr="000F3C8B">
              <w:rPr>
                <w:lang w:val="en-AU"/>
              </w:rPr>
              <w:t>II</w:t>
            </w:r>
          </w:p>
        </w:tc>
        <w:tc>
          <w:tcPr>
            <w:tcW w:w="426" w:type="dxa"/>
            <w:tcBorders>
              <w:top w:val="single" w:sz="4" w:space="0" w:color="000000"/>
            </w:tcBorders>
          </w:tcPr>
          <w:p w:rsidR="00E61FB3" w:rsidRPr="000F3C8B" w:rsidRDefault="00E61FB3" w:rsidP="00CC521E">
            <w:pPr>
              <w:pStyle w:val="TableText0"/>
              <w:rPr>
                <w:lang w:val="en-AU"/>
              </w:rPr>
            </w:pPr>
            <w:r w:rsidRPr="000F3C8B">
              <w:rPr>
                <w:lang w:val="en-AU"/>
              </w:rPr>
              <w:t>14</w:t>
            </w:r>
          </w:p>
        </w:tc>
        <w:tc>
          <w:tcPr>
            <w:tcW w:w="1669" w:type="dxa"/>
            <w:tcBorders>
              <w:top w:val="single" w:sz="4" w:space="0" w:color="000000"/>
            </w:tcBorders>
          </w:tcPr>
          <w:p w:rsidR="00E61FB3" w:rsidRPr="000F3C8B" w:rsidRDefault="00E61FB3" w:rsidP="00CC521E">
            <w:pPr>
              <w:pStyle w:val="TableText0"/>
              <w:rPr>
                <w:lang w:val="en-AU"/>
              </w:rPr>
            </w:pPr>
            <w:r w:rsidRPr="000F3C8B">
              <w:rPr>
                <w:lang w:val="en-AU"/>
              </w:rPr>
              <w:t>21.4 weeks</w:t>
            </w:r>
          </w:p>
        </w:tc>
        <w:tc>
          <w:tcPr>
            <w:tcW w:w="600" w:type="dxa"/>
            <w:tcBorders>
              <w:top w:val="single" w:sz="4" w:space="0" w:color="000000"/>
            </w:tcBorders>
          </w:tcPr>
          <w:p w:rsidR="00E61FB3" w:rsidRPr="000F3C8B" w:rsidRDefault="00E61FB3" w:rsidP="00CC521E">
            <w:pPr>
              <w:pStyle w:val="TableText0"/>
              <w:rPr>
                <w:lang w:val="en-AU"/>
              </w:rPr>
            </w:pPr>
            <w:r w:rsidRPr="000F3C8B">
              <w:rPr>
                <w:lang w:val="en-AU"/>
              </w:rPr>
              <w:t>15</w:t>
            </w:r>
          </w:p>
        </w:tc>
        <w:tc>
          <w:tcPr>
            <w:tcW w:w="1920" w:type="dxa"/>
            <w:tcBorders>
              <w:top w:val="single" w:sz="4" w:space="0" w:color="000000"/>
            </w:tcBorders>
          </w:tcPr>
          <w:p w:rsidR="00E61FB3" w:rsidRPr="000F3C8B" w:rsidRDefault="00E61FB3" w:rsidP="00CC521E">
            <w:pPr>
              <w:pStyle w:val="TableText0"/>
              <w:rPr>
                <w:lang w:val="en-AU"/>
              </w:rPr>
            </w:pPr>
            <w:r w:rsidRPr="000F3C8B">
              <w:rPr>
                <w:lang w:val="en-AU"/>
              </w:rPr>
              <w:t>20.9 weeks</w:t>
            </w:r>
          </w:p>
        </w:tc>
        <w:tc>
          <w:tcPr>
            <w:tcW w:w="1032" w:type="dxa"/>
            <w:tcBorders>
              <w:top w:val="single" w:sz="4" w:space="0" w:color="000000"/>
            </w:tcBorders>
          </w:tcPr>
          <w:p w:rsidR="00E61FB3" w:rsidRPr="000F3C8B" w:rsidRDefault="00E61FB3" w:rsidP="00CC521E">
            <w:pPr>
              <w:pStyle w:val="TableText0"/>
              <w:rPr>
                <w:lang w:val="en-AU"/>
              </w:rPr>
            </w:pPr>
            <w:r w:rsidRPr="000F3C8B">
              <w:rPr>
                <w:lang w:val="en-AU"/>
              </w:rPr>
              <w:t>NS</w:t>
            </w:r>
          </w:p>
        </w:tc>
      </w:tr>
      <w:tr w:rsidR="00E61FB3" w:rsidRPr="00BB3C05" w:rsidTr="0007443E">
        <w:trPr>
          <w:trHeight w:val="125"/>
        </w:trPr>
        <w:tc>
          <w:tcPr>
            <w:tcW w:w="1770" w:type="dxa"/>
          </w:tcPr>
          <w:p w:rsidR="00E61FB3" w:rsidRPr="000F3C8B" w:rsidRDefault="00E61FB3" w:rsidP="00CC521E">
            <w:pPr>
              <w:pStyle w:val="TableText0"/>
              <w:rPr>
                <w:lang w:val="en-AU"/>
              </w:rPr>
            </w:pPr>
            <w:r w:rsidRPr="000F3C8B">
              <w:rPr>
                <w:lang w:val="en-AU"/>
              </w:rPr>
              <w:t xml:space="preserve">Nagula </w:t>
            </w:r>
            <w:r w:rsidR="00C35A27" w:rsidRPr="000F3C8B">
              <w:rPr>
                <w:lang w:val="en-AU"/>
              </w:rPr>
              <w:t xml:space="preserve">et al </w:t>
            </w:r>
            <w:r w:rsidRPr="000F3C8B">
              <w:rPr>
                <w:lang w:val="en-AU"/>
              </w:rPr>
              <w:t>(2010)</w:t>
            </w:r>
          </w:p>
        </w:tc>
        <w:tc>
          <w:tcPr>
            <w:tcW w:w="992" w:type="dxa"/>
          </w:tcPr>
          <w:p w:rsidR="00E61FB3" w:rsidRPr="000F3C8B" w:rsidRDefault="00E61FB3" w:rsidP="00CC521E">
            <w:pPr>
              <w:pStyle w:val="TableText0"/>
              <w:rPr>
                <w:lang w:val="en-AU"/>
              </w:rPr>
            </w:pPr>
            <w:r w:rsidRPr="000F3C8B">
              <w:rPr>
                <w:lang w:val="en-AU"/>
              </w:rPr>
              <w:t>III-2</w:t>
            </w:r>
          </w:p>
        </w:tc>
        <w:tc>
          <w:tcPr>
            <w:tcW w:w="426" w:type="dxa"/>
          </w:tcPr>
          <w:p w:rsidR="00E61FB3" w:rsidRPr="000F3C8B" w:rsidRDefault="00E61FB3" w:rsidP="00CC521E">
            <w:pPr>
              <w:pStyle w:val="TableText0"/>
              <w:rPr>
                <w:lang w:val="en-AU"/>
              </w:rPr>
            </w:pPr>
            <w:r w:rsidRPr="000F3C8B">
              <w:rPr>
                <w:lang w:val="en-AU"/>
              </w:rPr>
              <w:t>30</w:t>
            </w:r>
          </w:p>
        </w:tc>
        <w:tc>
          <w:tcPr>
            <w:tcW w:w="1669" w:type="dxa"/>
          </w:tcPr>
          <w:p w:rsidR="00E61FB3" w:rsidRPr="000F3C8B" w:rsidRDefault="00E61FB3" w:rsidP="00CC521E">
            <w:pPr>
              <w:pStyle w:val="TableText0"/>
              <w:rPr>
                <w:lang w:val="en-AU"/>
              </w:rPr>
            </w:pPr>
            <w:r w:rsidRPr="000F3C8B">
              <w:rPr>
                <w:lang w:val="en-AU"/>
              </w:rPr>
              <w:t>6 months</w:t>
            </w:r>
          </w:p>
        </w:tc>
        <w:tc>
          <w:tcPr>
            <w:tcW w:w="600" w:type="dxa"/>
          </w:tcPr>
          <w:p w:rsidR="00E61FB3" w:rsidRPr="000F3C8B" w:rsidRDefault="00E61FB3" w:rsidP="00CC521E">
            <w:pPr>
              <w:pStyle w:val="TableText0"/>
              <w:rPr>
                <w:lang w:val="en-AU"/>
              </w:rPr>
            </w:pPr>
            <w:r w:rsidRPr="000F3C8B">
              <w:rPr>
                <w:lang w:val="en-AU"/>
              </w:rPr>
              <w:t>14</w:t>
            </w:r>
          </w:p>
        </w:tc>
        <w:tc>
          <w:tcPr>
            <w:tcW w:w="1920" w:type="dxa"/>
          </w:tcPr>
          <w:p w:rsidR="00E61FB3" w:rsidRPr="000F3C8B" w:rsidRDefault="00E61FB3" w:rsidP="00CC521E">
            <w:pPr>
              <w:pStyle w:val="TableText0"/>
              <w:rPr>
                <w:lang w:val="en-AU"/>
              </w:rPr>
            </w:pPr>
            <w:r w:rsidRPr="000F3C8B">
              <w:rPr>
                <w:lang w:val="en-AU"/>
              </w:rPr>
              <w:t>6 months</w:t>
            </w:r>
          </w:p>
        </w:tc>
        <w:tc>
          <w:tcPr>
            <w:tcW w:w="1032" w:type="dxa"/>
          </w:tcPr>
          <w:p w:rsidR="00E61FB3" w:rsidRPr="000F3C8B" w:rsidRDefault="00E61FB3" w:rsidP="00CC521E">
            <w:pPr>
              <w:pStyle w:val="TableText0"/>
              <w:rPr>
                <w:lang w:val="en-AU"/>
              </w:rPr>
            </w:pPr>
            <w:r w:rsidRPr="000F3C8B">
              <w:rPr>
                <w:lang w:val="en-AU"/>
              </w:rPr>
              <w:t>NS</w:t>
            </w:r>
          </w:p>
        </w:tc>
      </w:tr>
      <w:tr w:rsidR="00E61FB3" w:rsidRPr="00BB3C05" w:rsidTr="0007443E">
        <w:trPr>
          <w:trHeight w:val="125"/>
        </w:trPr>
        <w:tc>
          <w:tcPr>
            <w:tcW w:w="1770" w:type="dxa"/>
          </w:tcPr>
          <w:p w:rsidR="00E61FB3" w:rsidRPr="000F3C8B" w:rsidRDefault="00E61FB3" w:rsidP="00CC521E">
            <w:pPr>
              <w:pStyle w:val="TableText0"/>
              <w:rPr>
                <w:lang w:val="en-AU"/>
              </w:rPr>
            </w:pPr>
            <w:r w:rsidRPr="000F3C8B">
              <w:rPr>
                <w:lang w:val="en-AU"/>
              </w:rPr>
              <w:t xml:space="preserve">Johnson </w:t>
            </w:r>
            <w:r w:rsidR="00C35A27" w:rsidRPr="000F3C8B">
              <w:rPr>
                <w:lang w:val="en-AU"/>
              </w:rPr>
              <w:t xml:space="preserve">et al </w:t>
            </w:r>
            <w:r w:rsidRPr="000F3C8B">
              <w:rPr>
                <w:lang w:val="en-AU"/>
              </w:rPr>
              <w:t>(2004)</w:t>
            </w:r>
          </w:p>
        </w:tc>
        <w:tc>
          <w:tcPr>
            <w:tcW w:w="992" w:type="dxa"/>
          </w:tcPr>
          <w:p w:rsidR="00E61FB3" w:rsidRPr="000F3C8B" w:rsidRDefault="00E61FB3" w:rsidP="00CC521E">
            <w:pPr>
              <w:pStyle w:val="TableText0"/>
              <w:rPr>
                <w:lang w:val="en-AU"/>
              </w:rPr>
            </w:pPr>
            <w:r w:rsidRPr="000F3C8B">
              <w:rPr>
                <w:lang w:val="en-AU"/>
              </w:rPr>
              <w:t>III-3</w:t>
            </w:r>
          </w:p>
        </w:tc>
        <w:tc>
          <w:tcPr>
            <w:tcW w:w="426" w:type="dxa"/>
          </w:tcPr>
          <w:p w:rsidR="00E61FB3" w:rsidRPr="000F3C8B" w:rsidRDefault="00E61FB3" w:rsidP="00CC521E">
            <w:pPr>
              <w:pStyle w:val="TableText0"/>
              <w:rPr>
                <w:lang w:val="en-AU"/>
              </w:rPr>
            </w:pPr>
            <w:r w:rsidRPr="000F3C8B">
              <w:rPr>
                <w:lang w:val="en-AU"/>
              </w:rPr>
              <w:t>18</w:t>
            </w:r>
          </w:p>
        </w:tc>
        <w:tc>
          <w:tcPr>
            <w:tcW w:w="1669" w:type="dxa"/>
          </w:tcPr>
          <w:p w:rsidR="00E61FB3" w:rsidRPr="000F3C8B" w:rsidRDefault="00E61FB3" w:rsidP="007C10F0">
            <w:pPr>
              <w:pStyle w:val="TableText0"/>
              <w:rPr>
                <w:lang w:val="en-AU"/>
              </w:rPr>
            </w:pPr>
            <w:r w:rsidRPr="000F3C8B">
              <w:rPr>
                <w:lang w:val="en-AU"/>
              </w:rPr>
              <w:t xml:space="preserve">92 days </w:t>
            </w:r>
          </w:p>
        </w:tc>
        <w:tc>
          <w:tcPr>
            <w:tcW w:w="600" w:type="dxa"/>
          </w:tcPr>
          <w:p w:rsidR="00E61FB3" w:rsidRPr="000F3C8B" w:rsidRDefault="00E61FB3" w:rsidP="00CC521E">
            <w:pPr>
              <w:pStyle w:val="TableText0"/>
              <w:rPr>
                <w:lang w:val="en-AU"/>
              </w:rPr>
            </w:pPr>
            <w:r w:rsidRPr="000F3C8B">
              <w:rPr>
                <w:lang w:val="en-AU"/>
              </w:rPr>
              <w:t>18</w:t>
            </w:r>
          </w:p>
        </w:tc>
        <w:tc>
          <w:tcPr>
            <w:tcW w:w="1920" w:type="dxa"/>
          </w:tcPr>
          <w:p w:rsidR="00E61FB3" w:rsidRPr="000F3C8B" w:rsidRDefault="00E61FB3" w:rsidP="00CC521E">
            <w:pPr>
              <w:pStyle w:val="TableText0"/>
              <w:rPr>
                <w:lang w:val="en-AU"/>
              </w:rPr>
            </w:pPr>
            <w:r w:rsidRPr="000F3C8B">
              <w:rPr>
                <w:lang w:val="en-AU"/>
              </w:rPr>
              <w:t>121 days (range 89-281)</w:t>
            </w:r>
          </w:p>
        </w:tc>
        <w:tc>
          <w:tcPr>
            <w:tcW w:w="1032" w:type="dxa"/>
          </w:tcPr>
          <w:p w:rsidR="00E61FB3" w:rsidRPr="000F3C8B" w:rsidRDefault="00E61FB3" w:rsidP="00CC521E">
            <w:pPr>
              <w:pStyle w:val="TableText0"/>
              <w:rPr>
                <w:lang w:val="en-AU"/>
              </w:rPr>
            </w:pPr>
            <w:r w:rsidRPr="000F3C8B">
              <w:rPr>
                <w:lang w:val="en-AU"/>
              </w:rPr>
              <w:t>0.5</w:t>
            </w:r>
          </w:p>
        </w:tc>
      </w:tr>
    </w:tbl>
    <w:p w:rsidR="00E61FB3" w:rsidRPr="00BB3C05" w:rsidRDefault="00E61FB3" w:rsidP="00CC521E">
      <w:pPr>
        <w:pStyle w:val="TableNotes"/>
      </w:pPr>
      <w:r w:rsidRPr="00BB3C05">
        <w:rPr>
          <w:lang w:eastAsia="en-US"/>
        </w:rPr>
        <w:t xml:space="preserve">NS: </w:t>
      </w:r>
      <w:r w:rsidR="00C35A27" w:rsidRPr="00BB3C05">
        <w:rPr>
          <w:lang w:eastAsia="en-US"/>
        </w:rPr>
        <w:t>N</w:t>
      </w:r>
      <w:r w:rsidRPr="00BB3C05">
        <w:rPr>
          <w:lang w:eastAsia="en-US"/>
        </w:rPr>
        <w:t xml:space="preserve">ot significant; SEMS: </w:t>
      </w:r>
      <w:r w:rsidR="00C35A27" w:rsidRPr="00BB3C05">
        <w:rPr>
          <w:lang w:eastAsia="en-US"/>
        </w:rPr>
        <w:t>S</w:t>
      </w:r>
      <w:r w:rsidRPr="00BB3C05">
        <w:rPr>
          <w:lang w:eastAsia="en-US"/>
        </w:rPr>
        <w:t>elf-expanding metallic stent.</w:t>
      </w:r>
    </w:p>
    <w:p w:rsidR="00E61FB3" w:rsidRPr="00BB3C05" w:rsidRDefault="00E61FB3" w:rsidP="00FC35F9">
      <w:pPr>
        <w:pStyle w:val="Heading3"/>
      </w:pPr>
      <w:bookmarkStart w:id="199" w:name="_Toc138754460"/>
      <w:r w:rsidRPr="00BB3C05">
        <w:t xml:space="preserve">Progression to surgery – </w:t>
      </w:r>
      <w:r w:rsidR="003617AD">
        <w:t>bridge to surgery</w:t>
      </w:r>
      <w:r w:rsidRPr="00BB3C05">
        <w:t xml:space="preserve"> </w:t>
      </w:r>
      <w:bookmarkEnd w:id="199"/>
      <w:r w:rsidRPr="00BB3C05">
        <w:t xml:space="preserve">treatment </w:t>
      </w:r>
    </w:p>
    <w:p w:rsidR="005E5FFA" w:rsidRPr="00E2422F" w:rsidRDefault="005E5FFA" w:rsidP="005E5FFA">
      <w:r w:rsidRPr="00BB3C05">
        <w:t xml:space="preserve">Three non-randomised comparative studies reported on outcomes related to progression to surgery in patients who received SEMS as a </w:t>
      </w:r>
      <w:r w:rsidR="003617AD">
        <w:t>bridge to surgery</w:t>
      </w:r>
      <w:r w:rsidRPr="00BB3C05">
        <w:t>. The study by Baik et al (2006) provided the most detailed information on this outcome, comparing outcomes of planned curative surgical procedures for patients receiving SEMS placement and emergency surgery with temporary stoma formation (see</w:t>
      </w:r>
      <w:r w:rsidR="000E6387">
        <w:t xml:space="preserve"> </w:t>
      </w:r>
      <w:r w:rsidR="00EC4C9D">
        <w:fldChar w:fldCharType="begin"/>
      </w:r>
      <w:r w:rsidR="00EC4C9D">
        <w:instrText xml:space="preserve"> REF _Ref324949205 \h </w:instrText>
      </w:r>
      <w:r w:rsidR="00EC4C9D">
        <w:fldChar w:fldCharType="separate"/>
      </w:r>
      <w:r w:rsidR="0071544A">
        <w:t xml:space="preserve">Table </w:t>
      </w:r>
      <w:r w:rsidR="0071544A">
        <w:rPr>
          <w:noProof/>
        </w:rPr>
        <w:t>45</w:t>
      </w:r>
      <w:r w:rsidR="00EC4C9D">
        <w:fldChar w:fldCharType="end"/>
      </w:r>
      <w:r w:rsidRPr="009E5C53">
        <w:t xml:space="preserve">). Patients who received </w:t>
      </w:r>
      <w:r w:rsidRPr="00E2422F">
        <w:t>SEMS placement were able to undergo planned surgery significantly sooner (</w:t>
      </w:r>
      <w:r w:rsidRPr="0007443E">
        <w:rPr>
          <w:i/>
        </w:rPr>
        <w:t>p</w:t>
      </w:r>
      <w:r w:rsidRPr="00E2422F">
        <w:t>=0.005) and required a shorter duration of hospital stay after planned surgery (</w:t>
      </w:r>
      <w:r w:rsidRPr="0007443E">
        <w:rPr>
          <w:i/>
        </w:rPr>
        <w:t>p</w:t>
      </w:r>
      <w:r w:rsidRPr="00E2422F">
        <w:t>=0.002) than those who initially underwent surgery with temporary stoma.</w:t>
      </w:r>
    </w:p>
    <w:p w:rsidR="005E5FFA" w:rsidRPr="00003831" w:rsidRDefault="005E5FFA" w:rsidP="005E5FFA">
      <w:r w:rsidRPr="00892811">
        <w:t>With regards to the types o</w:t>
      </w:r>
      <w:r w:rsidRPr="008978EE">
        <w:t>f planned surgery performed after the initial decompression procedure, at least four of the 18 patients (22.2</w:t>
      </w:r>
      <w:r w:rsidR="00581E14" w:rsidRPr="008978EE">
        <w:t>%</w:t>
      </w:r>
      <w:r w:rsidRPr="00A30BA9">
        <w:t xml:space="preserve">) who underwent SEMS placement subsequently required </w:t>
      </w:r>
      <w:r w:rsidR="00DF03CC">
        <w:t>multi-stage</w:t>
      </w:r>
      <w:r w:rsidRPr="00A30BA9">
        <w:t xml:space="preserve"> surgery (abdominoperineal resection, Hartmann’s procedure). It could not be defin</w:t>
      </w:r>
      <w:r w:rsidRPr="005646B6">
        <w:t xml:space="preserve">itively determined how many of the remaining 14 patients who underwent SEMS placement avoided </w:t>
      </w:r>
      <w:r w:rsidR="00DF03CC">
        <w:t>multi-stage</w:t>
      </w:r>
      <w:r w:rsidRPr="005646B6">
        <w:t xml:space="preserve"> surgery, as the authors did not state whether other planned surgeries performed (anterior resection, low anterior resection, left hemicolectomy) were </w:t>
      </w:r>
      <w:r w:rsidRPr="00003831">
        <w:t xml:space="preserve">conducted as single-stage or </w:t>
      </w:r>
      <w:r w:rsidR="00DF03CC">
        <w:t>multi-stage</w:t>
      </w:r>
      <w:r w:rsidRPr="00003831">
        <w:t xml:space="preserve"> procedures. No outcomes regarding the success of these planned procedures were reported.</w:t>
      </w:r>
    </w:p>
    <w:p w:rsidR="00E61FB3" w:rsidRPr="00965DBA" w:rsidRDefault="00CC521E" w:rsidP="00CC521E">
      <w:pPr>
        <w:pStyle w:val="Caption"/>
        <w:rPr>
          <w:lang w:eastAsia="en-US"/>
        </w:rPr>
      </w:pPr>
      <w:bookmarkStart w:id="200" w:name="_Ref324949205"/>
      <w:bookmarkStart w:id="201" w:name="_Toc327522089"/>
      <w:r>
        <w:lastRenderedPageBreak/>
        <w:t xml:space="preserve">Table </w:t>
      </w:r>
      <w:fldSimple w:instr=" SEQ Table \* ARABIC ">
        <w:r w:rsidR="0071544A">
          <w:rPr>
            <w:noProof/>
          </w:rPr>
          <w:t>45</w:t>
        </w:r>
      </w:fldSimple>
      <w:bookmarkEnd w:id="200"/>
      <w:r w:rsidR="00E61FB3" w:rsidRPr="00965DBA">
        <w:rPr>
          <w:lang w:eastAsia="en-US"/>
        </w:rPr>
        <w:tab/>
      </w:r>
      <w:r w:rsidR="003617AD">
        <w:rPr>
          <w:lang w:eastAsia="en-US"/>
        </w:rPr>
        <w:t>Bridge to surgery</w:t>
      </w:r>
      <w:r w:rsidR="00E61FB3" w:rsidRPr="00965DBA">
        <w:rPr>
          <w:lang w:eastAsia="en-US"/>
        </w:rPr>
        <w:t xml:space="preserve"> outcomes after SEMS placement and surgery with temporary stoma</w:t>
      </w:r>
      <w:bookmarkEnd w:id="201"/>
    </w:p>
    <w:tbl>
      <w:tblPr>
        <w:tblW w:w="8409" w:type="dxa"/>
        <w:tblInd w:w="720" w:type="dxa"/>
        <w:tblBorders>
          <w:top w:val="single" w:sz="12" w:space="0" w:color="000000"/>
          <w:bottom w:val="single" w:sz="12" w:space="0" w:color="000000"/>
        </w:tblBorders>
        <w:tblLayout w:type="fixed"/>
        <w:tblCellMar>
          <w:top w:w="28" w:type="dxa"/>
          <w:left w:w="57" w:type="dxa"/>
          <w:bottom w:w="28" w:type="dxa"/>
          <w:right w:w="57" w:type="dxa"/>
        </w:tblCellMar>
        <w:tblLook w:val="0000" w:firstRow="0" w:lastRow="0" w:firstColumn="0" w:lastColumn="0" w:noHBand="0" w:noVBand="0"/>
      </w:tblPr>
      <w:tblGrid>
        <w:gridCol w:w="2577"/>
        <w:gridCol w:w="2400"/>
        <w:gridCol w:w="2400"/>
        <w:gridCol w:w="1032"/>
      </w:tblGrid>
      <w:tr w:rsidR="00E61FB3" w:rsidRPr="00BB3C05" w:rsidTr="00E2212A">
        <w:trPr>
          <w:trHeight w:val="140"/>
        </w:trPr>
        <w:tc>
          <w:tcPr>
            <w:tcW w:w="2577" w:type="dxa"/>
            <w:tcBorders>
              <w:top w:val="single" w:sz="12" w:space="0" w:color="000000"/>
              <w:bottom w:val="single" w:sz="4" w:space="0" w:color="000000"/>
            </w:tcBorders>
          </w:tcPr>
          <w:p w:rsidR="00E61FB3" w:rsidRPr="00965DBA" w:rsidRDefault="00E61FB3" w:rsidP="007A79C3">
            <w:pPr>
              <w:pStyle w:val="TableHeading0"/>
            </w:pPr>
            <w:r w:rsidRPr="00965DBA">
              <w:t>Outcome</w:t>
            </w:r>
          </w:p>
        </w:tc>
        <w:tc>
          <w:tcPr>
            <w:tcW w:w="2400" w:type="dxa"/>
            <w:tcBorders>
              <w:top w:val="single" w:sz="12" w:space="0" w:color="000000"/>
              <w:bottom w:val="single" w:sz="4" w:space="0" w:color="000000"/>
            </w:tcBorders>
          </w:tcPr>
          <w:p w:rsidR="00E61FB3" w:rsidRPr="00965DBA" w:rsidRDefault="00E61FB3" w:rsidP="007A79C3">
            <w:pPr>
              <w:pStyle w:val="TableHeading0"/>
            </w:pPr>
            <w:r w:rsidRPr="00965DBA">
              <w:t>SEMS placement</w:t>
            </w:r>
          </w:p>
        </w:tc>
        <w:tc>
          <w:tcPr>
            <w:tcW w:w="2400" w:type="dxa"/>
            <w:tcBorders>
              <w:top w:val="single" w:sz="12" w:space="0" w:color="000000"/>
              <w:bottom w:val="single" w:sz="4" w:space="0" w:color="000000"/>
            </w:tcBorders>
          </w:tcPr>
          <w:p w:rsidR="00E61FB3" w:rsidRPr="00F13A5A" w:rsidRDefault="00E61FB3" w:rsidP="007A79C3">
            <w:pPr>
              <w:pStyle w:val="TableHeading0"/>
            </w:pPr>
            <w:r w:rsidRPr="00F13A5A">
              <w:t>Surgery</w:t>
            </w:r>
          </w:p>
        </w:tc>
        <w:tc>
          <w:tcPr>
            <w:tcW w:w="1032" w:type="dxa"/>
            <w:tcBorders>
              <w:top w:val="single" w:sz="12" w:space="0" w:color="000000"/>
              <w:bottom w:val="single" w:sz="4" w:space="0" w:color="000000"/>
            </w:tcBorders>
          </w:tcPr>
          <w:p w:rsidR="00E61FB3" w:rsidRPr="00BE3EA8" w:rsidRDefault="00E61FB3" w:rsidP="007A79C3">
            <w:pPr>
              <w:pStyle w:val="TableHeading0"/>
            </w:pPr>
            <w:r w:rsidRPr="0007443E">
              <w:rPr>
                <w:i/>
              </w:rPr>
              <w:t>p</w:t>
            </w:r>
            <w:r w:rsidRPr="00BE3EA8">
              <w:t>-value</w:t>
            </w:r>
          </w:p>
        </w:tc>
      </w:tr>
      <w:tr w:rsidR="00E61FB3" w:rsidRPr="00BB3C05" w:rsidTr="00E2212A">
        <w:trPr>
          <w:trHeight w:val="125"/>
        </w:trPr>
        <w:tc>
          <w:tcPr>
            <w:tcW w:w="2577" w:type="dxa"/>
            <w:tcBorders>
              <w:top w:val="single" w:sz="4" w:space="0" w:color="000000"/>
            </w:tcBorders>
          </w:tcPr>
          <w:p w:rsidR="00E61FB3" w:rsidRPr="000F3C8B" w:rsidRDefault="00E61FB3" w:rsidP="007A79C3">
            <w:pPr>
              <w:pStyle w:val="TableText0"/>
              <w:rPr>
                <w:lang w:val="en-AU"/>
              </w:rPr>
            </w:pPr>
            <w:r w:rsidRPr="000F3C8B">
              <w:rPr>
                <w:lang w:val="en-AU"/>
              </w:rPr>
              <w:t>Duration from decompression procedure to planned surgery (days)</w:t>
            </w:r>
          </w:p>
        </w:tc>
        <w:tc>
          <w:tcPr>
            <w:tcW w:w="2400" w:type="dxa"/>
            <w:tcBorders>
              <w:top w:val="single" w:sz="4" w:space="0" w:color="000000"/>
            </w:tcBorders>
            <w:vAlign w:val="center"/>
          </w:tcPr>
          <w:p w:rsidR="00E61FB3" w:rsidRPr="000F3C8B" w:rsidRDefault="00E61FB3" w:rsidP="007A79C3">
            <w:pPr>
              <w:pStyle w:val="TableText0"/>
              <w:rPr>
                <w:lang w:val="en-AU"/>
              </w:rPr>
            </w:pPr>
            <w:r w:rsidRPr="000F3C8B">
              <w:rPr>
                <w:lang w:val="en-AU"/>
              </w:rPr>
              <w:t>Median 7 (range 2-74)</w:t>
            </w:r>
          </w:p>
        </w:tc>
        <w:tc>
          <w:tcPr>
            <w:tcW w:w="2400" w:type="dxa"/>
            <w:tcBorders>
              <w:top w:val="single" w:sz="4" w:space="0" w:color="000000"/>
            </w:tcBorders>
            <w:vAlign w:val="center"/>
          </w:tcPr>
          <w:p w:rsidR="00E61FB3" w:rsidRPr="000F3C8B" w:rsidRDefault="00E61FB3" w:rsidP="007A79C3">
            <w:pPr>
              <w:pStyle w:val="TableText0"/>
              <w:rPr>
                <w:lang w:val="en-AU"/>
              </w:rPr>
            </w:pPr>
            <w:r w:rsidRPr="000F3C8B">
              <w:rPr>
                <w:lang w:val="en-AU"/>
              </w:rPr>
              <w:t>Median 17 (range 7-138)</w:t>
            </w:r>
          </w:p>
        </w:tc>
        <w:tc>
          <w:tcPr>
            <w:tcW w:w="1032" w:type="dxa"/>
            <w:tcBorders>
              <w:top w:val="single" w:sz="4" w:space="0" w:color="000000"/>
            </w:tcBorders>
            <w:vAlign w:val="center"/>
          </w:tcPr>
          <w:p w:rsidR="00E61FB3" w:rsidRPr="000F3C8B" w:rsidRDefault="00E61FB3" w:rsidP="007A79C3">
            <w:pPr>
              <w:pStyle w:val="TableText0"/>
              <w:rPr>
                <w:lang w:val="en-AU"/>
              </w:rPr>
            </w:pPr>
            <w:r w:rsidRPr="000F3C8B">
              <w:rPr>
                <w:lang w:val="en-AU"/>
              </w:rPr>
              <w:t>0.005</w:t>
            </w:r>
          </w:p>
        </w:tc>
      </w:tr>
      <w:tr w:rsidR="00E61FB3" w:rsidRPr="00BB3C05" w:rsidTr="00E2212A">
        <w:trPr>
          <w:trHeight w:val="125"/>
        </w:trPr>
        <w:tc>
          <w:tcPr>
            <w:tcW w:w="2577" w:type="dxa"/>
          </w:tcPr>
          <w:p w:rsidR="00E61FB3" w:rsidRPr="000F3C8B" w:rsidRDefault="00E61FB3" w:rsidP="007A79C3">
            <w:pPr>
              <w:pStyle w:val="TableText0"/>
              <w:rPr>
                <w:lang w:val="en-AU"/>
              </w:rPr>
            </w:pPr>
            <w:r w:rsidRPr="000F3C8B">
              <w:rPr>
                <w:lang w:val="en-AU"/>
              </w:rPr>
              <w:t>Duration of hospital stay after planned surgery (days)</w:t>
            </w:r>
          </w:p>
        </w:tc>
        <w:tc>
          <w:tcPr>
            <w:tcW w:w="2400" w:type="dxa"/>
            <w:vAlign w:val="center"/>
          </w:tcPr>
          <w:p w:rsidR="00E61FB3" w:rsidRPr="000F3C8B" w:rsidRDefault="00E61FB3" w:rsidP="007A79C3">
            <w:pPr>
              <w:pStyle w:val="TableText0"/>
              <w:rPr>
                <w:lang w:val="en-AU"/>
              </w:rPr>
            </w:pPr>
            <w:r w:rsidRPr="000F3C8B">
              <w:rPr>
                <w:lang w:val="en-AU"/>
              </w:rPr>
              <w:t>Median 11 (range 8-22)</w:t>
            </w:r>
          </w:p>
        </w:tc>
        <w:tc>
          <w:tcPr>
            <w:tcW w:w="2400" w:type="dxa"/>
            <w:vAlign w:val="center"/>
          </w:tcPr>
          <w:p w:rsidR="00E61FB3" w:rsidRPr="000F3C8B" w:rsidRDefault="00E61FB3" w:rsidP="007A79C3">
            <w:pPr>
              <w:pStyle w:val="TableText0"/>
              <w:rPr>
                <w:lang w:val="en-AU"/>
              </w:rPr>
            </w:pPr>
            <w:r w:rsidRPr="000F3C8B">
              <w:rPr>
                <w:lang w:val="en-AU"/>
              </w:rPr>
              <w:t>Median 16 (range 10-41)</w:t>
            </w:r>
          </w:p>
        </w:tc>
        <w:tc>
          <w:tcPr>
            <w:tcW w:w="1032" w:type="dxa"/>
            <w:vAlign w:val="center"/>
          </w:tcPr>
          <w:p w:rsidR="00E61FB3" w:rsidRPr="000F3C8B" w:rsidRDefault="00E61FB3" w:rsidP="007A79C3">
            <w:pPr>
              <w:pStyle w:val="TableText0"/>
              <w:rPr>
                <w:lang w:val="en-AU"/>
              </w:rPr>
            </w:pPr>
            <w:r w:rsidRPr="000F3C8B">
              <w:rPr>
                <w:lang w:val="en-AU"/>
              </w:rPr>
              <w:t>0.002</w:t>
            </w:r>
          </w:p>
        </w:tc>
      </w:tr>
      <w:tr w:rsidR="00E61FB3" w:rsidRPr="00BB3C05" w:rsidTr="00E2212A">
        <w:trPr>
          <w:trHeight w:val="630"/>
        </w:trPr>
        <w:tc>
          <w:tcPr>
            <w:tcW w:w="2577" w:type="dxa"/>
          </w:tcPr>
          <w:p w:rsidR="00E61FB3" w:rsidRPr="000F3C8B" w:rsidRDefault="00E61FB3" w:rsidP="007A79C3">
            <w:pPr>
              <w:pStyle w:val="TableText0"/>
              <w:rPr>
                <w:lang w:val="en-AU"/>
              </w:rPr>
            </w:pPr>
            <w:r w:rsidRPr="000F3C8B">
              <w:rPr>
                <w:lang w:val="en-AU"/>
              </w:rPr>
              <w:t>Planned surgeries performed after decompression procedure</w:t>
            </w:r>
          </w:p>
        </w:tc>
        <w:tc>
          <w:tcPr>
            <w:tcW w:w="2400" w:type="dxa"/>
          </w:tcPr>
          <w:p w:rsidR="00E61FB3" w:rsidRPr="000F3C8B" w:rsidRDefault="00E61FB3" w:rsidP="007A79C3">
            <w:pPr>
              <w:pStyle w:val="TableText0"/>
              <w:rPr>
                <w:lang w:val="en-AU"/>
              </w:rPr>
            </w:pPr>
            <w:r w:rsidRPr="000F3C8B">
              <w:rPr>
                <w:lang w:val="en-AU"/>
              </w:rPr>
              <w:t>Abdominoperineal resection (2)</w:t>
            </w:r>
          </w:p>
          <w:p w:rsidR="00E61FB3" w:rsidRPr="000F3C8B" w:rsidRDefault="00E61FB3" w:rsidP="007A79C3">
            <w:pPr>
              <w:pStyle w:val="TableText0"/>
              <w:rPr>
                <w:lang w:val="en-AU"/>
              </w:rPr>
            </w:pPr>
            <w:r w:rsidRPr="000F3C8B">
              <w:rPr>
                <w:lang w:val="en-AU"/>
              </w:rPr>
              <w:t>Anterior resection (5)</w:t>
            </w:r>
          </w:p>
          <w:p w:rsidR="00E61FB3" w:rsidRPr="000F3C8B" w:rsidRDefault="00E61FB3" w:rsidP="007A79C3">
            <w:pPr>
              <w:pStyle w:val="TableText0"/>
              <w:rPr>
                <w:lang w:val="en-AU"/>
              </w:rPr>
            </w:pPr>
            <w:r w:rsidRPr="000F3C8B">
              <w:rPr>
                <w:lang w:val="en-AU"/>
              </w:rPr>
              <w:t>Hartmann’s procedure (2)</w:t>
            </w:r>
          </w:p>
          <w:p w:rsidR="00E61FB3" w:rsidRPr="000F3C8B" w:rsidRDefault="00E61FB3" w:rsidP="007A79C3">
            <w:pPr>
              <w:pStyle w:val="TableText0"/>
              <w:rPr>
                <w:lang w:val="en-AU"/>
              </w:rPr>
            </w:pPr>
            <w:r w:rsidRPr="000F3C8B">
              <w:rPr>
                <w:lang w:val="en-AU"/>
              </w:rPr>
              <w:t>Low anterior resection (6)</w:t>
            </w:r>
          </w:p>
          <w:p w:rsidR="00E61FB3" w:rsidRPr="000F3C8B" w:rsidRDefault="00E61FB3" w:rsidP="007A79C3">
            <w:pPr>
              <w:pStyle w:val="TableText0"/>
              <w:rPr>
                <w:lang w:val="en-AU"/>
              </w:rPr>
            </w:pPr>
            <w:r w:rsidRPr="000F3C8B">
              <w:rPr>
                <w:lang w:val="en-AU"/>
              </w:rPr>
              <w:t>Left helicolectomy (3)</w:t>
            </w:r>
          </w:p>
        </w:tc>
        <w:tc>
          <w:tcPr>
            <w:tcW w:w="2400" w:type="dxa"/>
          </w:tcPr>
          <w:p w:rsidR="00E61FB3" w:rsidRPr="000F3C8B" w:rsidRDefault="00E61FB3" w:rsidP="007A79C3">
            <w:pPr>
              <w:pStyle w:val="TableText0"/>
              <w:rPr>
                <w:lang w:val="en-AU"/>
              </w:rPr>
            </w:pPr>
            <w:r w:rsidRPr="000F3C8B">
              <w:rPr>
                <w:lang w:val="en-AU"/>
              </w:rPr>
              <w:t>Abdominoperineal resection (5)</w:t>
            </w:r>
          </w:p>
          <w:p w:rsidR="00E61FB3" w:rsidRPr="000F3C8B" w:rsidRDefault="00E61FB3" w:rsidP="007A79C3">
            <w:pPr>
              <w:pStyle w:val="TableText0"/>
              <w:rPr>
                <w:lang w:val="en-AU"/>
              </w:rPr>
            </w:pPr>
            <w:r w:rsidRPr="000F3C8B">
              <w:rPr>
                <w:lang w:val="en-AU"/>
              </w:rPr>
              <w:t>Anterior resection (6)</w:t>
            </w:r>
          </w:p>
          <w:p w:rsidR="00E61FB3" w:rsidRPr="000F3C8B" w:rsidRDefault="00E61FB3" w:rsidP="007A79C3">
            <w:pPr>
              <w:pStyle w:val="TableText0"/>
              <w:rPr>
                <w:lang w:val="en-AU"/>
              </w:rPr>
            </w:pPr>
            <w:r w:rsidRPr="000F3C8B">
              <w:rPr>
                <w:lang w:val="en-AU"/>
              </w:rPr>
              <w:t>Hartmann’s procedure (0)</w:t>
            </w:r>
          </w:p>
          <w:p w:rsidR="00E61FB3" w:rsidRPr="000F3C8B" w:rsidRDefault="00E61FB3" w:rsidP="007A79C3">
            <w:pPr>
              <w:pStyle w:val="TableText0"/>
              <w:rPr>
                <w:lang w:val="en-AU"/>
              </w:rPr>
            </w:pPr>
            <w:r w:rsidRPr="000F3C8B">
              <w:rPr>
                <w:lang w:val="en-AU"/>
              </w:rPr>
              <w:t>Low anterior resection (7)</w:t>
            </w:r>
          </w:p>
          <w:p w:rsidR="00E61FB3" w:rsidRPr="000F3C8B" w:rsidRDefault="00E61FB3" w:rsidP="007A79C3">
            <w:pPr>
              <w:pStyle w:val="TableText0"/>
              <w:rPr>
                <w:lang w:val="en-AU"/>
              </w:rPr>
            </w:pPr>
            <w:r w:rsidRPr="000F3C8B">
              <w:rPr>
                <w:lang w:val="en-AU"/>
              </w:rPr>
              <w:t>Left helicolectomy (1)</w:t>
            </w:r>
          </w:p>
        </w:tc>
        <w:tc>
          <w:tcPr>
            <w:tcW w:w="1032" w:type="dxa"/>
            <w:vAlign w:val="center"/>
          </w:tcPr>
          <w:p w:rsidR="00E61FB3" w:rsidRPr="000F3C8B" w:rsidRDefault="00E61FB3" w:rsidP="007A79C3">
            <w:pPr>
              <w:pStyle w:val="TableText0"/>
              <w:rPr>
                <w:lang w:val="en-AU"/>
              </w:rPr>
            </w:pPr>
          </w:p>
          <w:p w:rsidR="00E61FB3" w:rsidRPr="000F3C8B" w:rsidRDefault="00E61FB3" w:rsidP="007A79C3">
            <w:pPr>
              <w:pStyle w:val="TableText0"/>
              <w:rPr>
                <w:lang w:val="en-AU"/>
              </w:rPr>
            </w:pPr>
            <w:r w:rsidRPr="000F3C8B">
              <w:rPr>
                <w:lang w:val="en-AU"/>
              </w:rPr>
              <w:t>NA</w:t>
            </w:r>
          </w:p>
        </w:tc>
      </w:tr>
    </w:tbl>
    <w:p w:rsidR="00E61FB3" w:rsidRPr="00BB3C05" w:rsidRDefault="00E61FB3" w:rsidP="007A79C3">
      <w:pPr>
        <w:pStyle w:val="TableNotes"/>
      </w:pPr>
      <w:r w:rsidRPr="00BB3C05">
        <w:rPr>
          <w:lang w:eastAsia="en-US"/>
        </w:rPr>
        <w:t xml:space="preserve">NA: </w:t>
      </w:r>
      <w:r w:rsidR="000E6387" w:rsidRPr="00BB3C05">
        <w:rPr>
          <w:lang w:eastAsia="en-US"/>
        </w:rPr>
        <w:t>N</w:t>
      </w:r>
      <w:r w:rsidRPr="00BB3C05">
        <w:rPr>
          <w:lang w:eastAsia="en-US"/>
        </w:rPr>
        <w:t xml:space="preserve">ot applicable; SEMS: </w:t>
      </w:r>
      <w:r w:rsidR="000E6387" w:rsidRPr="00BB3C05">
        <w:rPr>
          <w:lang w:eastAsia="en-US"/>
        </w:rPr>
        <w:t>S</w:t>
      </w:r>
      <w:r w:rsidRPr="00BB3C05">
        <w:rPr>
          <w:lang w:eastAsia="en-US"/>
        </w:rPr>
        <w:t>elf-expanding metallic stent.</w:t>
      </w:r>
      <w:r w:rsidRPr="00BB3C05">
        <w:rPr>
          <w:lang w:eastAsia="en-US"/>
        </w:rPr>
        <w:br/>
        <w:t>Source: Baik et al (2006).</w:t>
      </w:r>
    </w:p>
    <w:p w:rsidR="007B32E8" w:rsidRPr="00BB3C05" w:rsidRDefault="005E5FFA" w:rsidP="00F31BB9">
      <w:r w:rsidRPr="00BB3C05">
        <w:t xml:space="preserve">In the study by Varadarajulu et al (2011), six of the 12 patients enrolled received SEMS placement as a </w:t>
      </w:r>
      <w:r w:rsidR="003617AD">
        <w:t>bridge to surgery</w:t>
      </w:r>
      <w:r w:rsidRPr="00BB3C05">
        <w:t xml:space="preserve">. The authors stated that all six patients went on to receive elective single-stage operations for tumour resection, but did not provide any further details on the procedure. All patients in the comparative surgical group had undergone </w:t>
      </w:r>
      <w:r w:rsidR="00DF03CC">
        <w:t>multi-stage</w:t>
      </w:r>
      <w:r w:rsidRPr="00BB3C05">
        <w:t xml:space="preserve"> Hartmann’s procedure. In the study by Osman et al (2000), five of the 16 patients who received SEMS placement were enrolled with the intent of undergoing planned surgery at a later date. These patients were re-admitted four to six weeks after SEMS placement for curative anterior resection; however, the authors did not state whether these were performed as single-stage or </w:t>
      </w:r>
      <w:r w:rsidR="00DF03CC">
        <w:t>multi-stage</w:t>
      </w:r>
      <w:r w:rsidRPr="00BB3C05">
        <w:t xml:space="preserve"> procedures, and no outcomes were reported. All patients in the comparator group had undergone Hartmann’s procedure or defunctioning caecostomy.</w:t>
      </w:r>
    </w:p>
    <w:p w:rsidR="007634CB" w:rsidRPr="00BB3C05" w:rsidRDefault="007634CB" w:rsidP="007634CB">
      <w:pPr>
        <w:pStyle w:val="Heading2"/>
      </w:pPr>
      <w:bookmarkStart w:id="202" w:name="_Toc352924426"/>
      <w:r w:rsidRPr="00BB3C05">
        <w:t xml:space="preserve">Ongoing clinical </w:t>
      </w:r>
      <w:r w:rsidR="004E6820" w:rsidRPr="00BB3C05">
        <w:t>tr</w:t>
      </w:r>
      <w:r w:rsidR="004E6820">
        <w:t>ia</w:t>
      </w:r>
      <w:r w:rsidR="004E6820" w:rsidRPr="00BB3C05">
        <w:t>ls</w:t>
      </w:r>
      <w:bookmarkEnd w:id="202"/>
    </w:p>
    <w:p w:rsidR="007634CB" w:rsidRPr="00E2422F" w:rsidRDefault="007634CB" w:rsidP="007634CB">
      <w:r w:rsidRPr="00BB3C05">
        <w:t xml:space="preserve">Both clinicaltrail.gov and controlled-trials.com were searched on 22 November </w:t>
      </w:r>
      <w:r w:rsidR="007C10F0">
        <w:t xml:space="preserve">2011 </w:t>
      </w:r>
      <w:r w:rsidRPr="00BB3C05">
        <w:t xml:space="preserve">and a number of ongoing clinical trials focusing on the safety and effectiveness of stenting were identified </w:t>
      </w:r>
      <w:r w:rsidR="006139A8">
        <w:t xml:space="preserve">(Appendix </w:t>
      </w:r>
      <w:r w:rsidR="00F76B65">
        <w:t>E</w:t>
      </w:r>
      <w:r w:rsidR="006139A8">
        <w:t>)</w:t>
      </w:r>
      <w:r w:rsidRPr="009E5C53">
        <w:t>.</w:t>
      </w:r>
      <w:r w:rsidR="004E6820">
        <w:t xml:space="preserve"> </w:t>
      </w:r>
      <w:r w:rsidRPr="009E5C53">
        <w:t xml:space="preserve">It could not be guaranteed whether all nine studies are based on the patient population </w:t>
      </w:r>
      <w:r w:rsidR="009A3CF9">
        <w:t>of interest to our assessment</w:t>
      </w:r>
      <w:r w:rsidRPr="009E5C53">
        <w:t xml:space="preserve">, </w:t>
      </w:r>
      <w:r w:rsidR="009A3CF9">
        <w:t>and whether</w:t>
      </w:r>
      <w:r w:rsidRPr="009E5C53">
        <w:t xml:space="preserve"> the safety and effectiveness of stenting with patients who are</w:t>
      </w:r>
      <w:r w:rsidRPr="00E2422F">
        <w:t xml:space="preserve"> ineligible to receive </w:t>
      </w:r>
      <w:r w:rsidR="00511134">
        <w:t>single-stage</w:t>
      </w:r>
      <w:r w:rsidRPr="00E2422F">
        <w:t xml:space="preserve"> resection</w:t>
      </w:r>
      <w:r w:rsidR="009A3CF9">
        <w:t xml:space="preserve"> will be compared</w:t>
      </w:r>
      <w:r w:rsidRPr="00E2422F">
        <w:t xml:space="preserve">. Nevertheless most of these studies consider quality of life after the treatment as an effectiveness outcome, hence trying to address one of the major lacks in the present evidence base. </w:t>
      </w:r>
    </w:p>
    <w:p w:rsidR="007634CB" w:rsidRPr="00BB3C05" w:rsidRDefault="007634CB" w:rsidP="00B305B6">
      <w:pPr>
        <w:sectPr w:rsidR="007634CB" w:rsidRPr="00BB3C05" w:rsidSect="00A90770">
          <w:footerReference w:type="even" r:id="rId38"/>
          <w:footerReference w:type="default" r:id="rId39"/>
          <w:pgSz w:w="11906" w:h="16838"/>
          <w:pgMar w:top="1440" w:right="1440" w:bottom="1440" w:left="1440" w:header="720" w:footer="720" w:gutter="0"/>
          <w:paperSrc w:first="2" w:other="2"/>
          <w:cols w:space="720"/>
        </w:sectPr>
      </w:pPr>
    </w:p>
    <w:p w:rsidR="00986B15" w:rsidRPr="00BB3C05" w:rsidRDefault="00A277E4" w:rsidP="000E5C5C">
      <w:pPr>
        <w:pStyle w:val="Heading1"/>
      </w:pPr>
      <w:bookmarkStart w:id="203" w:name="_Toc214339180"/>
      <w:bookmarkStart w:id="204" w:name="_Toc352924427"/>
      <w:r w:rsidRPr="00BB3C05">
        <w:lastRenderedPageBreak/>
        <w:t>Other relevant considerations</w:t>
      </w:r>
      <w:bookmarkEnd w:id="203"/>
      <w:bookmarkEnd w:id="204"/>
    </w:p>
    <w:p w:rsidR="00AA1BBA" w:rsidRPr="00965DBA" w:rsidRDefault="00AA1BBA" w:rsidP="00FC35F9">
      <w:pPr>
        <w:rPr>
          <w:rFonts w:eastAsia="Calibri"/>
          <w:lang w:eastAsia="en-US"/>
        </w:rPr>
      </w:pPr>
      <w:bookmarkStart w:id="205" w:name="_Toc214339183"/>
      <w:r w:rsidRPr="00965DBA">
        <w:rPr>
          <w:rFonts w:eastAsia="Calibri"/>
          <w:lang w:eastAsia="en-US"/>
        </w:rPr>
        <w:t>The Colorectal Surgical Society of Australia and New Zealand (the applicant) made two comments on the protocol (</w:t>
      </w:r>
      <w:r w:rsidR="003213CE">
        <w:rPr>
          <w:rFonts w:eastAsia="Calibri"/>
          <w:lang w:eastAsia="en-US"/>
        </w:rPr>
        <w:t>decision analytical protocol</w:t>
      </w:r>
      <w:r w:rsidRPr="00965DBA">
        <w:rPr>
          <w:rFonts w:eastAsia="Calibri"/>
          <w:lang w:eastAsia="en-US"/>
        </w:rPr>
        <w:t>) of the present assessment</w:t>
      </w:r>
      <w:r w:rsidR="00560C7D">
        <w:rPr>
          <w:rFonts w:eastAsia="Calibri"/>
          <w:lang w:eastAsia="en-US"/>
        </w:rPr>
        <w:t>:</w:t>
      </w:r>
    </w:p>
    <w:p w:rsidR="00AA1BBA" w:rsidRPr="00965DBA" w:rsidRDefault="004E6820" w:rsidP="00FC35F9">
      <w:pPr>
        <w:numPr>
          <w:ilvl w:val="0"/>
          <w:numId w:val="29"/>
        </w:numPr>
        <w:rPr>
          <w:rFonts w:eastAsia="Calibri"/>
          <w:lang w:eastAsia="en-US"/>
        </w:rPr>
      </w:pPr>
      <w:r w:rsidRPr="00965DBA">
        <w:rPr>
          <w:rFonts w:eastAsia="Calibri"/>
          <w:lang w:eastAsia="en-US"/>
        </w:rPr>
        <w:t>Single</w:t>
      </w:r>
      <w:r>
        <w:rPr>
          <w:rFonts w:eastAsia="Calibri"/>
          <w:lang w:eastAsia="en-US"/>
        </w:rPr>
        <w:t>-</w:t>
      </w:r>
      <w:r w:rsidR="00AA1BBA" w:rsidRPr="00965DBA">
        <w:rPr>
          <w:rFonts w:eastAsia="Calibri"/>
          <w:lang w:eastAsia="en-US"/>
        </w:rPr>
        <w:t xml:space="preserve">stage resection and anastomosis is the preferred option </w:t>
      </w:r>
      <w:r>
        <w:rPr>
          <w:rFonts w:eastAsia="Calibri"/>
          <w:lang w:eastAsia="en-US"/>
        </w:rPr>
        <w:t>for</w:t>
      </w:r>
      <w:r w:rsidRPr="00965DBA">
        <w:rPr>
          <w:rFonts w:eastAsia="Calibri"/>
          <w:lang w:eastAsia="en-US"/>
        </w:rPr>
        <w:t xml:space="preserve"> </w:t>
      </w:r>
      <w:r w:rsidR="00AA1BBA" w:rsidRPr="00965DBA">
        <w:rPr>
          <w:rFonts w:eastAsia="Calibri"/>
          <w:lang w:eastAsia="en-US"/>
        </w:rPr>
        <w:t xml:space="preserve">management of </w:t>
      </w:r>
      <w:r w:rsidR="002B38BC" w:rsidRPr="00965DBA">
        <w:rPr>
          <w:rFonts w:eastAsia="Calibri"/>
          <w:lang w:eastAsia="en-US"/>
        </w:rPr>
        <w:t xml:space="preserve">the </w:t>
      </w:r>
      <w:r w:rsidR="00AA1BBA" w:rsidRPr="00965DBA">
        <w:rPr>
          <w:rFonts w:eastAsia="Calibri"/>
          <w:lang w:eastAsia="en-US"/>
        </w:rPr>
        <w:t>large bowel</w:t>
      </w:r>
      <w:r>
        <w:rPr>
          <w:rFonts w:eastAsia="Calibri"/>
          <w:lang w:eastAsia="en-US"/>
        </w:rPr>
        <w:t>;</w:t>
      </w:r>
      <w:r w:rsidRPr="00965DBA">
        <w:rPr>
          <w:rFonts w:eastAsia="Calibri"/>
          <w:lang w:eastAsia="en-US"/>
        </w:rPr>
        <w:t xml:space="preserve"> </w:t>
      </w:r>
      <w:r w:rsidR="00AA1BBA" w:rsidRPr="00965DBA">
        <w:rPr>
          <w:rFonts w:eastAsia="Calibri"/>
          <w:lang w:eastAsia="en-US"/>
        </w:rPr>
        <w:t>however</w:t>
      </w:r>
      <w:r>
        <w:rPr>
          <w:rFonts w:eastAsia="Calibri"/>
          <w:lang w:eastAsia="en-US"/>
        </w:rPr>
        <w:t>,</w:t>
      </w:r>
      <w:r w:rsidR="00AA1BBA" w:rsidRPr="00965DBA">
        <w:rPr>
          <w:rFonts w:eastAsia="Calibri"/>
          <w:lang w:eastAsia="en-US"/>
        </w:rPr>
        <w:t xml:space="preserve"> not all patients or tumours are candidates for this surgery. This may relate to patient comorbidity, tumour stage or size,</w:t>
      </w:r>
      <w:r>
        <w:rPr>
          <w:rFonts w:eastAsia="Calibri"/>
          <w:lang w:eastAsia="en-US"/>
        </w:rPr>
        <w:t xml:space="preserve"> or</w:t>
      </w:r>
      <w:r w:rsidR="00AA1BBA" w:rsidRPr="00965DBA">
        <w:rPr>
          <w:rFonts w:eastAsia="Calibri"/>
          <w:lang w:eastAsia="en-US"/>
        </w:rPr>
        <w:t xml:space="preserve"> surgeon experience. </w:t>
      </w:r>
      <w:r w:rsidRPr="00965DBA">
        <w:rPr>
          <w:rFonts w:eastAsia="Calibri"/>
          <w:lang w:eastAsia="en-US"/>
        </w:rPr>
        <w:t>Single</w:t>
      </w:r>
      <w:r>
        <w:rPr>
          <w:rFonts w:eastAsia="Calibri"/>
          <w:lang w:eastAsia="en-US"/>
        </w:rPr>
        <w:t>-</w:t>
      </w:r>
      <w:r w:rsidR="00AA1BBA" w:rsidRPr="00965DBA">
        <w:rPr>
          <w:rFonts w:eastAsia="Calibri"/>
          <w:lang w:eastAsia="en-US"/>
        </w:rPr>
        <w:t xml:space="preserve">stage resection requires greater surgical expertise (more than elective surgery) and morbidity is potentially greater.  </w:t>
      </w:r>
    </w:p>
    <w:p w:rsidR="00AA1BBA" w:rsidRPr="00965DBA" w:rsidRDefault="004E6820" w:rsidP="00FC35F9">
      <w:pPr>
        <w:numPr>
          <w:ilvl w:val="0"/>
          <w:numId w:val="29"/>
        </w:numPr>
        <w:rPr>
          <w:rFonts w:eastAsia="Calibri"/>
          <w:lang w:eastAsia="en-US"/>
        </w:rPr>
      </w:pPr>
      <w:r>
        <w:rPr>
          <w:rFonts w:eastAsia="Calibri"/>
          <w:lang w:eastAsia="en-US"/>
        </w:rPr>
        <w:t>The v</w:t>
      </w:r>
      <w:r w:rsidR="00AA1BBA" w:rsidRPr="00715D39">
        <w:rPr>
          <w:rFonts w:eastAsia="Calibri"/>
          <w:lang w:eastAsia="en-US"/>
        </w:rPr>
        <w:t>ast majority of bowel resections performed are in the setting of non-obstructing elective resection of bowel cancer (</w:t>
      </w:r>
      <w:r w:rsidR="00D85F0B">
        <w:rPr>
          <w:rFonts w:eastAsia="Calibri"/>
          <w:lang w:eastAsia="en-US"/>
        </w:rPr>
        <w:fldChar w:fldCharType="begin"/>
      </w:r>
      <w:r w:rsidR="00D85F0B">
        <w:rPr>
          <w:rFonts w:eastAsia="Calibri"/>
          <w:lang w:eastAsia="en-US"/>
        </w:rPr>
        <w:instrText xml:space="preserve"> REF _Ref324940584 \h </w:instrText>
      </w:r>
      <w:r w:rsidR="00D85F0B">
        <w:rPr>
          <w:rFonts w:eastAsia="Calibri"/>
          <w:lang w:eastAsia="en-US"/>
        </w:rPr>
      </w:r>
      <w:r w:rsidR="00D85F0B">
        <w:rPr>
          <w:rFonts w:eastAsia="Calibri"/>
          <w:lang w:eastAsia="en-US"/>
        </w:rPr>
        <w:fldChar w:fldCharType="separate"/>
      </w:r>
      <w:r w:rsidR="0071544A">
        <w:t xml:space="preserve">Table </w:t>
      </w:r>
      <w:r w:rsidR="0071544A">
        <w:rPr>
          <w:noProof/>
        </w:rPr>
        <w:t>18</w:t>
      </w:r>
      <w:r w:rsidR="00D85F0B">
        <w:rPr>
          <w:rFonts w:eastAsia="Calibri"/>
          <w:lang w:eastAsia="en-US"/>
        </w:rPr>
        <w:fldChar w:fldCharType="end"/>
      </w:r>
      <w:r w:rsidR="0027243C" w:rsidRPr="00965DBA">
        <w:rPr>
          <w:rFonts w:eastAsia="Calibri"/>
          <w:lang w:eastAsia="en-US"/>
        </w:rPr>
        <w:t xml:space="preserve">). These </w:t>
      </w:r>
      <w:r w:rsidR="00AA1BBA" w:rsidRPr="00965DBA">
        <w:rPr>
          <w:rFonts w:eastAsia="Calibri"/>
          <w:lang w:eastAsia="en-US"/>
        </w:rPr>
        <w:t>are the same item numbers used in the emergency setting and there is no way to determine from these figures the frequency with which resection is performed for acute or sub-acute obstruction (</w:t>
      </w:r>
      <w:r w:rsidR="00D85F0B">
        <w:rPr>
          <w:rFonts w:eastAsia="Calibri"/>
          <w:lang w:eastAsia="en-US"/>
        </w:rPr>
        <w:fldChar w:fldCharType="begin"/>
      </w:r>
      <w:r w:rsidR="00D85F0B">
        <w:rPr>
          <w:rFonts w:eastAsia="Calibri"/>
          <w:lang w:eastAsia="en-US"/>
        </w:rPr>
        <w:instrText xml:space="preserve"> REF _Ref324940682 \h </w:instrText>
      </w:r>
      <w:r w:rsidR="00D85F0B">
        <w:rPr>
          <w:rFonts w:eastAsia="Calibri"/>
          <w:lang w:eastAsia="en-US"/>
        </w:rPr>
      </w:r>
      <w:r w:rsidR="00D85F0B">
        <w:rPr>
          <w:rFonts w:eastAsia="Calibri"/>
          <w:lang w:eastAsia="en-US"/>
        </w:rPr>
        <w:fldChar w:fldCharType="separate"/>
      </w:r>
      <w:r w:rsidR="0071544A">
        <w:t xml:space="preserve">Table </w:t>
      </w:r>
      <w:r w:rsidR="0071544A">
        <w:rPr>
          <w:noProof/>
        </w:rPr>
        <w:t>19</w:t>
      </w:r>
      <w:r w:rsidR="00D85F0B">
        <w:rPr>
          <w:rFonts w:eastAsia="Calibri"/>
          <w:lang w:eastAsia="en-US"/>
        </w:rPr>
        <w:fldChar w:fldCharType="end"/>
      </w:r>
      <w:r w:rsidR="00D85F0B">
        <w:rPr>
          <w:rFonts w:eastAsia="Calibri"/>
          <w:lang w:eastAsia="en-US"/>
        </w:rPr>
        <w:t>).</w:t>
      </w:r>
      <w:r w:rsidR="00AA1BBA" w:rsidRPr="00965DBA">
        <w:rPr>
          <w:rFonts w:eastAsia="Calibri"/>
          <w:lang w:eastAsia="en-US"/>
        </w:rPr>
        <w:t xml:space="preserve"> </w:t>
      </w:r>
    </w:p>
    <w:p w:rsidR="00AA1BBA" w:rsidRPr="00965DBA" w:rsidRDefault="00AA1BBA" w:rsidP="00FC35F9">
      <w:pPr>
        <w:rPr>
          <w:rFonts w:eastAsia="Calibri"/>
          <w:lang w:eastAsia="en-US"/>
        </w:rPr>
      </w:pPr>
      <w:r w:rsidRPr="00965DBA">
        <w:rPr>
          <w:rFonts w:eastAsia="Calibri"/>
          <w:lang w:eastAsia="en-US"/>
        </w:rPr>
        <w:t xml:space="preserve">The clinical need calculations relevant to the Australian context </w:t>
      </w:r>
      <w:r w:rsidR="002B38BC" w:rsidRPr="00965DBA">
        <w:rPr>
          <w:rFonts w:eastAsia="Calibri"/>
          <w:lang w:eastAsia="en-US"/>
        </w:rPr>
        <w:t>are</w:t>
      </w:r>
      <w:r w:rsidRPr="00965DBA">
        <w:rPr>
          <w:rFonts w:eastAsia="Calibri"/>
          <w:lang w:eastAsia="en-US"/>
        </w:rPr>
        <w:t xml:space="preserve"> vastly based on the </w:t>
      </w:r>
      <w:r w:rsidR="0027243C" w:rsidRPr="00965DBA">
        <w:rPr>
          <w:rFonts w:eastAsia="Calibri"/>
          <w:lang w:eastAsia="en-US"/>
        </w:rPr>
        <w:t>applicants’</w:t>
      </w:r>
      <w:r w:rsidRPr="00965DBA">
        <w:rPr>
          <w:rFonts w:eastAsia="Calibri"/>
          <w:lang w:eastAsia="en-US"/>
        </w:rPr>
        <w:t xml:space="preserve"> assumptions and statistical records, which the evaluators of this assessment have not been able to support with the resources available.  </w:t>
      </w:r>
    </w:p>
    <w:p w:rsidR="00AB68D3" w:rsidRPr="00E2422F" w:rsidRDefault="00AB68D3" w:rsidP="00E44F80">
      <w:pPr>
        <w:pStyle w:val="Heading1"/>
      </w:pPr>
      <w:bookmarkStart w:id="206" w:name="_Toc352924428"/>
      <w:r w:rsidRPr="009E5C53">
        <w:lastRenderedPageBreak/>
        <w:t>What are the economic considerations?</w:t>
      </w:r>
      <w:bookmarkEnd w:id="205"/>
      <w:bookmarkEnd w:id="206"/>
      <w:r w:rsidRPr="009E5C53">
        <w:t xml:space="preserve"> </w:t>
      </w:r>
    </w:p>
    <w:p w:rsidR="00F71B25" w:rsidRDefault="00F71B25" w:rsidP="00F71B25">
      <w:r>
        <w:t xml:space="preserve">Economic evaluation of new </w:t>
      </w:r>
      <w:r w:rsidR="00065DCF">
        <w:t>healthcare</w:t>
      </w:r>
      <w:r>
        <w:t xml:space="preserve"> technologies is important when determining whether the new initiative offers additional benefits and at what cost. Economic evaluations are able to determine whether the new initiative is dominated by (or dominates) the existing technology, such that the costs are higher (lower) and the effectiveness is less (greater). Economic evaluation is particularly important where the new initiative offers health benefits at additional costs. Within a constrained </w:t>
      </w:r>
      <w:r w:rsidR="00065DCF">
        <w:t>healthcare</w:t>
      </w:r>
      <w:r>
        <w:t xml:space="preserve"> budget, determining the additional cost that would be paid for a given health gain is important when ascertaining whether such incremental costs represent value for money.</w:t>
      </w:r>
    </w:p>
    <w:p w:rsidR="00A967A5" w:rsidRDefault="00F71B25" w:rsidP="00F71B25">
      <w:r>
        <w:t xml:space="preserve">The usual process for an economic evaluation is first to determine the incremental effectiveness, which is the additional benefits associated with the new technology relative to current practice. The second step is to determine the incremental costs, which is the difference in costs between the new initiative and current practice. Finally the incremental cost-effectiveness ratio (ICER) can be calculated using the following ratio: </w:t>
      </w:r>
    </w:p>
    <w:p w:rsidR="00F71B25" w:rsidRDefault="00516B5D" w:rsidP="00A75144">
      <w:pPr>
        <w:ind w:left="1854" w:firstLine="414"/>
      </w:pPr>
      <w:r>
        <w:rPr>
          <w:noProof/>
        </w:rPr>
        <mc:AlternateContent>
          <mc:Choice Requires="wpg">
            <w:drawing>
              <wp:inline distT="0" distB="0" distL="0" distR="0">
                <wp:extent cx="2926080" cy="541020"/>
                <wp:effectExtent l="0" t="0" r="7620" b="0"/>
                <wp:docPr id="7" name="Group 1766" descr="he incremental cost-effectiveness ratio (ICER) can be calculated using the following ratio:" title="he incremental cost-effectiveness ratio (ICER) can be calculated using the following rati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541020"/>
                          <a:chOff x="4687" y="1159"/>
                          <a:chExt cx="4608" cy="852"/>
                        </a:xfrm>
                      </wpg:grpSpPr>
                      <wps:wsp>
                        <wps:cNvPr id="10" name="Text Box 1767"/>
                        <wps:cNvSpPr txBox="1">
                          <a:spLocks noChangeArrowheads="1"/>
                        </wps:cNvSpPr>
                        <wps:spPr bwMode="auto">
                          <a:xfrm>
                            <a:off x="5697" y="1159"/>
                            <a:ext cx="2889"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2F" w:rsidRPr="00A967A5" w:rsidRDefault="0042762F" w:rsidP="00A967A5">
                              <w:pPr>
                                <w:rPr>
                                  <w:rFonts w:eastAsia="Calibri"/>
                                  <w:i/>
                                </w:rPr>
                              </w:pPr>
                              <w:r>
                                <w:rPr>
                                  <w:i/>
                                </w:rPr>
                                <w:t xml:space="preserve">Cost </w:t>
                              </w:r>
                              <w:r>
                                <w:rPr>
                                  <w:i/>
                                  <w:vertAlign w:val="subscript"/>
                                </w:rPr>
                                <w:t>New</w:t>
                              </w:r>
                              <w:r>
                                <w:rPr>
                                  <w:i/>
                                </w:rPr>
                                <w:t xml:space="preserve"> – Cost </w:t>
                              </w:r>
                              <w:r>
                                <w:rPr>
                                  <w:i/>
                                  <w:vertAlign w:val="subscript"/>
                                </w:rPr>
                                <w:t>Comparator</w:t>
                              </w:r>
                            </w:p>
                          </w:txbxContent>
                        </wps:txbx>
                        <wps:bodyPr rot="0" vert="horz" wrap="none" lIns="91440" tIns="45720" rIns="91440" bIns="45720" anchor="t" anchorCtr="0" upright="1">
                          <a:noAutofit/>
                        </wps:bodyPr>
                      </wps:wsp>
                      <wps:wsp>
                        <wps:cNvPr id="14" name="Text Box 1768"/>
                        <wps:cNvSpPr txBox="1">
                          <a:spLocks noChangeArrowheads="1"/>
                        </wps:cNvSpPr>
                        <wps:spPr bwMode="auto">
                          <a:xfrm>
                            <a:off x="4687" y="1313"/>
                            <a:ext cx="1174"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2F" w:rsidRPr="00A967A5" w:rsidRDefault="0042762F" w:rsidP="00A967A5">
                              <w:pPr>
                                <w:ind w:left="0"/>
                                <w:rPr>
                                  <w:rFonts w:eastAsia="Calibri"/>
                                  <w:noProof/>
                                </w:rPr>
                              </w:pPr>
                              <w:r>
                                <w:rPr>
                                  <w:i/>
                                </w:rPr>
                                <w:t>ICER =</w:t>
                              </w:r>
                              <w:r w:rsidRPr="00903A6E">
                                <w:rPr>
                                  <w:i/>
                                </w:rPr>
                                <w:t xml:space="preserve"> </w:t>
                              </w:r>
                            </w:p>
                          </w:txbxContent>
                        </wps:txbx>
                        <wps:bodyPr rot="0" vert="horz" wrap="square" lIns="91440" tIns="45720" rIns="91440" bIns="45720" anchor="t" anchorCtr="0" upright="1">
                          <a:noAutofit/>
                        </wps:bodyPr>
                      </wps:wsp>
                      <wps:wsp>
                        <wps:cNvPr id="15" name="Text Box 1769"/>
                        <wps:cNvSpPr txBox="1">
                          <a:spLocks noChangeArrowheads="1"/>
                        </wps:cNvSpPr>
                        <wps:spPr bwMode="auto">
                          <a:xfrm>
                            <a:off x="5559" y="1584"/>
                            <a:ext cx="3736"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62F" w:rsidRPr="00A967A5" w:rsidRDefault="0042762F" w:rsidP="00A967A5">
                              <w:pPr>
                                <w:ind w:left="0"/>
                                <w:rPr>
                                  <w:rFonts w:eastAsia="Calibri"/>
                                  <w:i/>
                                </w:rPr>
                              </w:pPr>
                              <w:r>
                                <w:rPr>
                                  <w:i/>
                                </w:rPr>
                                <w:t xml:space="preserve">Effectiveness </w:t>
                              </w:r>
                              <w:r>
                                <w:rPr>
                                  <w:i/>
                                  <w:vertAlign w:val="subscript"/>
                                </w:rPr>
                                <w:t>New</w:t>
                              </w:r>
                              <w:r>
                                <w:rPr>
                                  <w:i/>
                                </w:rPr>
                                <w:t xml:space="preserve"> – Effectiveness </w:t>
                              </w:r>
                              <w:r>
                                <w:rPr>
                                  <w:i/>
                                  <w:vertAlign w:val="subscript"/>
                                </w:rPr>
                                <w:t>Comparator</w:t>
                              </w:r>
                            </w:p>
                          </w:txbxContent>
                        </wps:txbx>
                        <wps:bodyPr rot="0" vert="horz" wrap="square" lIns="91440" tIns="45720" rIns="91440" bIns="45720" anchor="t" anchorCtr="0" upright="1">
                          <a:noAutofit/>
                        </wps:bodyPr>
                      </wps:wsp>
                      <wps:wsp>
                        <wps:cNvPr id="16" name="AutoShape 1770"/>
                        <wps:cNvCnPr>
                          <a:cxnSpLocks noChangeShapeType="1"/>
                        </wps:cNvCnPr>
                        <wps:spPr bwMode="auto">
                          <a:xfrm>
                            <a:off x="5743" y="1579"/>
                            <a:ext cx="3301" cy="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66" o:spid="_x0000_s1371" alt="Title: he incremental cost-effectiveness ratio (ICER) can be calculated using the following ratio: - Description: he incremental cost-effectiveness ratio (ICER) can be calculated using the following ratio:" style="width:230.4pt;height:42.6pt;mso-position-horizontal-relative:char;mso-position-vertical-relative:line" coordorigin="4687,1159" coordsize="460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">
                <v:shape id="Text Box 1767" o:spid="_x0000_s1372" type="#_x0000_t202" style="position:absolute;left:5697;top:1159;width:288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ALnMIA&#10;AADbAAAADwAAAGRycy9kb3ducmV2LnhtbESPQWsCMRCF70L/Q5hCb5ptQZHVKGIRCuJBK3gdknGz&#10;uJlsN6mm/75zKPQ2w3vz3jfLdQmdutOQ2sgGXicVKGIbXcuNgfPnbjwHlTKywy4yGfihBOvV02iJ&#10;tYsPPtL9lBslIZxqNOBz7mutk/UUME1iTyzaNQ4Bs6xDo92ADwkPnX6rqpkO2LI0eOxp68neTt/B&#10;wBe9HzaX6dnaXZnuD9a7/bw4Y16ey2YBKlPJ/+a/6w8n+EIvv8gA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8AucwgAAANsAAAAPAAAAAAAAAAAAAAAAAJgCAABkcnMvZG93&#10;bnJldi54bWxQSwUGAAAAAAQABAD1AAAAhwMAAAAA&#10;" stroked="f">
                  <v:textbox>
                    <w:txbxContent>
                      <w:p w:rsidR="0042762F" w:rsidRPr="00A967A5" w:rsidRDefault="0042762F" w:rsidP="00A967A5">
                        <w:pPr>
                          <w:rPr>
                            <w:rFonts w:eastAsia="Calibri"/>
                            <w:i/>
                          </w:rPr>
                        </w:pPr>
                        <w:r>
                          <w:rPr>
                            <w:i/>
                          </w:rPr>
                          <w:t xml:space="preserve">Cost </w:t>
                        </w:r>
                        <w:r>
                          <w:rPr>
                            <w:i/>
                            <w:vertAlign w:val="subscript"/>
                          </w:rPr>
                          <w:t>New</w:t>
                        </w:r>
                        <w:r>
                          <w:rPr>
                            <w:i/>
                          </w:rPr>
                          <w:t xml:space="preserve"> – Cost </w:t>
                        </w:r>
                        <w:r>
                          <w:rPr>
                            <w:i/>
                            <w:vertAlign w:val="subscript"/>
                          </w:rPr>
                          <w:t>Comparator</w:t>
                        </w:r>
                      </w:p>
                    </w:txbxContent>
                  </v:textbox>
                </v:shape>
                <v:shape id="Text Box 1768" o:spid="_x0000_s1373" type="#_x0000_t202" style="position:absolute;left:4687;top:1313;width:1174;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42762F" w:rsidRPr="00A967A5" w:rsidRDefault="0042762F" w:rsidP="00A967A5">
                        <w:pPr>
                          <w:ind w:left="0"/>
                          <w:rPr>
                            <w:rFonts w:eastAsia="Calibri"/>
                            <w:noProof/>
                          </w:rPr>
                        </w:pPr>
                        <w:r>
                          <w:rPr>
                            <w:i/>
                          </w:rPr>
                          <w:t>ICER =</w:t>
                        </w:r>
                        <w:r w:rsidRPr="00903A6E">
                          <w:rPr>
                            <w:i/>
                          </w:rPr>
                          <w:t xml:space="preserve"> </w:t>
                        </w:r>
                      </w:p>
                    </w:txbxContent>
                  </v:textbox>
                </v:shape>
                <v:shape id="Text Box 1769" o:spid="_x0000_s1374" type="#_x0000_t202" style="position:absolute;left:5559;top:1584;width:3736;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42762F" w:rsidRPr="00A967A5" w:rsidRDefault="0042762F" w:rsidP="00A967A5">
                        <w:pPr>
                          <w:ind w:left="0"/>
                          <w:rPr>
                            <w:rFonts w:eastAsia="Calibri"/>
                            <w:i/>
                          </w:rPr>
                        </w:pPr>
                        <w:r>
                          <w:rPr>
                            <w:i/>
                          </w:rPr>
                          <w:t xml:space="preserve">Effectiveness </w:t>
                        </w:r>
                        <w:r>
                          <w:rPr>
                            <w:i/>
                            <w:vertAlign w:val="subscript"/>
                          </w:rPr>
                          <w:t>New</w:t>
                        </w:r>
                        <w:r>
                          <w:rPr>
                            <w:i/>
                          </w:rPr>
                          <w:t xml:space="preserve"> – Effectiveness </w:t>
                        </w:r>
                        <w:r>
                          <w:rPr>
                            <w:i/>
                            <w:vertAlign w:val="subscript"/>
                          </w:rPr>
                          <w:t>Comparator</w:t>
                        </w:r>
                      </w:p>
                    </w:txbxContent>
                  </v:textbox>
                </v:shape>
                <v:shapetype id="_x0000_t32" coordsize="21600,21600" o:spt="32" o:oned="t" path="m,l21600,21600e" filled="f">
                  <v:path arrowok="t" fillok="f" o:connecttype="none"/>
                  <o:lock v:ext="edit" shapetype="t"/>
                </v:shapetype>
                <v:shape id="AutoShape 1770" o:spid="_x0000_s1375" type="#_x0000_t32" style="position:absolute;left:5743;top:1579;width:3301;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w10:anchorlock/>
              </v:group>
            </w:pict>
          </mc:Fallback>
        </mc:AlternateContent>
      </w:r>
    </w:p>
    <w:p w:rsidR="00F71B25" w:rsidRDefault="00F71B25" w:rsidP="00F71B25">
      <w:r>
        <w:t xml:space="preserve">To allow comparison of effectiveness across interventions and/or across settings, it is preferable for an economic evaluation to take the form of a cost-utility analysis. This analysis generates an ICER as described which can then be compared to a threshold, or range of thresholds, to determine whether the health system should invest in the new technology. The most common generic outcome measure is the quality-adjusted life year (QALY). This is a measure of effectiveness which combines morbidity and mortality dimensions into one composite measure of outcome. The use of cost-utility analysis, while preferable to disease-specific outcome measure, is reliant on the existence of appropriate published data. </w:t>
      </w:r>
    </w:p>
    <w:p w:rsidR="00F71B25" w:rsidRDefault="00F71B25" w:rsidP="00F71B25">
      <w:r>
        <w:t>Where the new technology demonstrates equal effectiveness to the existing technology (ie it is non-inferior) then a cost-minimisation approach is warranted.</w:t>
      </w:r>
    </w:p>
    <w:p w:rsidR="00F71B25" w:rsidRDefault="00F71B25" w:rsidP="00F71B25">
      <w:pPr>
        <w:pStyle w:val="Heading2"/>
      </w:pPr>
      <w:bookmarkStart w:id="207" w:name="_Toc352924429"/>
      <w:r>
        <w:t>Objective</w:t>
      </w:r>
      <w:bookmarkEnd w:id="207"/>
    </w:p>
    <w:p w:rsidR="00F71B25" w:rsidRDefault="00F71B25" w:rsidP="00F71B25">
      <w:r>
        <w:t xml:space="preserve">The objective of this section is to conduct an economic evaluation of SEMS insertion for the management of malignant bowel obstructions. SEMS are indicated for four patient populations, all of which are not eligible for </w:t>
      </w:r>
      <w:r w:rsidR="00511134">
        <w:t>single-stage</w:t>
      </w:r>
      <w:r>
        <w:t xml:space="preserve"> resection:</w:t>
      </w:r>
    </w:p>
    <w:p w:rsidR="00F71B25" w:rsidRDefault="00490DEB" w:rsidP="0007443E">
      <w:pPr>
        <w:numPr>
          <w:ilvl w:val="0"/>
          <w:numId w:val="52"/>
        </w:numPr>
        <w:ind w:left="1134" w:hanging="425"/>
      </w:pPr>
      <w:r>
        <w:t>p</w:t>
      </w:r>
      <w:r w:rsidR="00F71B25">
        <w:t xml:space="preserve">atients with large bowel obstruction (strictures or stenosis) of an unknown diagnosis </w:t>
      </w:r>
      <w:r>
        <w:t xml:space="preserve">who are </w:t>
      </w:r>
      <w:r w:rsidR="00F71B25">
        <w:t xml:space="preserve">medically fit for </w:t>
      </w:r>
      <w:r w:rsidR="00DF03CC">
        <w:t>multi-stage</w:t>
      </w:r>
      <w:r w:rsidR="00F71B25">
        <w:t xml:space="preserve"> surgery</w:t>
      </w:r>
      <w:r>
        <w:t>;</w:t>
      </w:r>
    </w:p>
    <w:p w:rsidR="00F71B25" w:rsidRDefault="00490DEB" w:rsidP="0007443E">
      <w:pPr>
        <w:numPr>
          <w:ilvl w:val="0"/>
          <w:numId w:val="52"/>
        </w:numPr>
        <w:ind w:left="1134" w:hanging="425"/>
      </w:pPr>
      <w:r>
        <w:t>p</w:t>
      </w:r>
      <w:r w:rsidR="00F71B25">
        <w:t xml:space="preserve">atients with large bowel obstruction (strictures or stenosis) of an unknown diagnosis </w:t>
      </w:r>
      <w:r>
        <w:t xml:space="preserve">who are </w:t>
      </w:r>
      <w:r w:rsidR="00F71B25">
        <w:t xml:space="preserve">medically unfit for </w:t>
      </w:r>
      <w:r w:rsidR="00DF03CC">
        <w:t>multi-stage</w:t>
      </w:r>
      <w:r w:rsidR="00F71B25">
        <w:t xml:space="preserve"> surgery</w:t>
      </w:r>
      <w:r>
        <w:t>;</w:t>
      </w:r>
      <w:r w:rsidR="00F71B25">
        <w:t xml:space="preserve"> </w:t>
      </w:r>
    </w:p>
    <w:p w:rsidR="00F71B25" w:rsidRDefault="00490DEB" w:rsidP="0007443E">
      <w:pPr>
        <w:numPr>
          <w:ilvl w:val="0"/>
          <w:numId w:val="52"/>
        </w:numPr>
        <w:ind w:left="1134" w:hanging="425"/>
      </w:pPr>
      <w:r>
        <w:t>p</w:t>
      </w:r>
      <w:r w:rsidR="00F71B25">
        <w:t>atients with large bowel obstruction (strictures or stenosis) cause</w:t>
      </w:r>
      <w:r>
        <w:t>d</w:t>
      </w:r>
      <w:r w:rsidR="00F71B25">
        <w:t xml:space="preserve"> by colorectal cancer or cancer of an organ adjacent to the bowel </w:t>
      </w:r>
      <w:r>
        <w:t xml:space="preserve">who are </w:t>
      </w:r>
      <w:r w:rsidR="00F71B25">
        <w:t xml:space="preserve">medically fit for </w:t>
      </w:r>
      <w:r w:rsidR="00DF03CC">
        <w:t>multi-stage</w:t>
      </w:r>
      <w:r w:rsidR="00F71B25">
        <w:t xml:space="preserve"> surgery</w:t>
      </w:r>
      <w:r>
        <w:t>;</w:t>
      </w:r>
    </w:p>
    <w:p w:rsidR="00F71B25" w:rsidRDefault="00490DEB" w:rsidP="0007443E">
      <w:pPr>
        <w:numPr>
          <w:ilvl w:val="0"/>
          <w:numId w:val="52"/>
        </w:numPr>
        <w:ind w:left="1134" w:hanging="425"/>
      </w:pPr>
      <w:proofErr w:type="gramStart"/>
      <w:r>
        <w:lastRenderedPageBreak/>
        <w:t>p</w:t>
      </w:r>
      <w:r w:rsidR="00F71B25">
        <w:t>atients</w:t>
      </w:r>
      <w:proofErr w:type="gramEnd"/>
      <w:r w:rsidR="00F71B25">
        <w:t xml:space="preserve"> with large bowel obstruction (strictures or stenosis) cause</w:t>
      </w:r>
      <w:r>
        <w:t>d</w:t>
      </w:r>
      <w:r w:rsidR="00F71B25">
        <w:t xml:space="preserve"> by colorectal cancer or cancer of an organ adjacent to the bowel </w:t>
      </w:r>
      <w:r>
        <w:t xml:space="preserve">who are </w:t>
      </w:r>
      <w:r w:rsidR="00F71B25">
        <w:t xml:space="preserve">medically unfit for </w:t>
      </w:r>
      <w:r w:rsidR="00DF03CC">
        <w:t>multi-stage</w:t>
      </w:r>
      <w:r w:rsidR="00F71B25">
        <w:t xml:space="preserve"> surgery. </w:t>
      </w:r>
    </w:p>
    <w:p w:rsidR="00F71B25" w:rsidRDefault="00F71B25" w:rsidP="00F71B25">
      <w:r>
        <w:t>The overwhelming majority of the published literature was based on patients with a confirmed colorectal cancer. Therefore</w:t>
      </w:r>
      <w:r w:rsidR="00490DEB">
        <w:t>,</w:t>
      </w:r>
      <w:r>
        <w:t xml:space="preserve"> in terms of economics and cost-effectiveness, patients with </w:t>
      </w:r>
      <w:r w:rsidR="00490DEB">
        <w:t xml:space="preserve">an </w:t>
      </w:r>
      <w:r>
        <w:t>unknown diagnosis of cancer who presented with colorectal obstruction are assumed to be equivalent to the pat</w:t>
      </w:r>
      <w:r w:rsidR="004277E1">
        <w:t>ients with pre-diagnosed cancer</w:t>
      </w:r>
      <w:r>
        <w:t>. The appropria</w:t>
      </w:r>
      <w:r w:rsidR="00EC4C9D">
        <w:t xml:space="preserve">te comparators are listed in </w:t>
      </w:r>
      <w:r w:rsidR="00EC4C9D">
        <w:fldChar w:fldCharType="begin"/>
      </w:r>
      <w:r w:rsidR="00EC4C9D">
        <w:instrText xml:space="preserve"> REF _Ref324949282 \h </w:instrText>
      </w:r>
      <w:r w:rsidR="00EC4C9D">
        <w:fldChar w:fldCharType="separate"/>
      </w:r>
      <w:r w:rsidR="0071544A">
        <w:t xml:space="preserve">Table </w:t>
      </w:r>
      <w:r w:rsidR="0071544A">
        <w:rPr>
          <w:noProof/>
        </w:rPr>
        <w:t>46</w:t>
      </w:r>
      <w:r w:rsidR="00EC4C9D">
        <w:fldChar w:fldCharType="end"/>
      </w:r>
      <w:r>
        <w:t xml:space="preserve">. </w:t>
      </w:r>
    </w:p>
    <w:p w:rsidR="00F71B25" w:rsidRDefault="00EC4C9D" w:rsidP="00EC4C9D">
      <w:pPr>
        <w:pStyle w:val="Caption"/>
      </w:pPr>
      <w:bookmarkStart w:id="208" w:name="_Ref324949282"/>
      <w:bookmarkStart w:id="209" w:name="_Toc327522090"/>
      <w:r>
        <w:t xml:space="preserve">Table </w:t>
      </w:r>
      <w:fldSimple w:instr=" SEQ Table \* ARABIC ">
        <w:r w:rsidR="0071544A">
          <w:rPr>
            <w:noProof/>
          </w:rPr>
          <w:t>46</w:t>
        </w:r>
      </w:fldSimple>
      <w:bookmarkEnd w:id="208"/>
      <w:r w:rsidR="00F71B25">
        <w:tab/>
        <w:t>Appropriate comparators relevant to patient populations</w:t>
      </w:r>
      <w:bookmarkEnd w:id="209"/>
      <w:r w:rsidR="00F71B25">
        <w:t xml:space="preserve"> </w:t>
      </w:r>
    </w:p>
    <w:tbl>
      <w:tblPr>
        <w:tblW w:w="0" w:type="auto"/>
        <w:tblInd w:w="720" w:type="dxa"/>
        <w:tblBorders>
          <w:top w:val="single" w:sz="12" w:space="0" w:color="auto"/>
          <w:bottom w:val="single" w:sz="12" w:space="0" w:color="auto"/>
        </w:tblBorders>
        <w:tblLook w:val="04A0" w:firstRow="1" w:lastRow="0" w:firstColumn="1" w:lastColumn="0" w:noHBand="0" w:noVBand="1"/>
      </w:tblPr>
      <w:tblGrid>
        <w:gridCol w:w="4111"/>
        <w:gridCol w:w="4111"/>
      </w:tblGrid>
      <w:tr w:rsidR="00F71B25" w:rsidTr="00C5538A">
        <w:tc>
          <w:tcPr>
            <w:tcW w:w="4111" w:type="dxa"/>
            <w:tcBorders>
              <w:top w:val="single" w:sz="12" w:space="0" w:color="auto"/>
              <w:bottom w:val="single" w:sz="4" w:space="0" w:color="auto"/>
            </w:tcBorders>
            <w:shd w:val="clear" w:color="auto" w:fill="auto"/>
          </w:tcPr>
          <w:p w:rsidR="00F71B25" w:rsidRDefault="00F71B25" w:rsidP="004277E1">
            <w:pPr>
              <w:pStyle w:val="TableHeading0"/>
            </w:pPr>
            <w:r w:rsidRPr="00F71B25">
              <w:t>Patient population</w:t>
            </w:r>
          </w:p>
        </w:tc>
        <w:tc>
          <w:tcPr>
            <w:tcW w:w="4111" w:type="dxa"/>
            <w:tcBorders>
              <w:top w:val="single" w:sz="12" w:space="0" w:color="auto"/>
              <w:bottom w:val="single" w:sz="4" w:space="0" w:color="auto"/>
            </w:tcBorders>
            <w:shd w:val="clear" w:color="auto" w:fill="auto"/>
          </w:tcPr>
          <w:p w:rsidR="00F71B25" w:rsidRDefault="00F71B25" w:rsidP="004277E1">
            <w:pPr>
              <w:pStyle w:val="TableHeading0"/>
            </w:pPr>
            <w:r w:rsidRPr="00F71B25">
              <w:t>Comparator</w:t>
            </w:r>
          </w:p>
        </w:tc>
      </w:tr>
      <w:tr w:rsidR="00F71B25" w:rsidTr="00C5538A">
        <w:tc>
          <w:tcPr>
            <w:tcW w:w="4111" w:type="dxa"/>
            <w:tcBorders>
              <w:top w:val="single" w:sz="4" w:space="0" w:color="auto"/>
            </w:tcBorders>
            <w:shd w:val="clear" w:color="auto" w:fill="auto"/>
          </w:tcPr>
          <w:p w:rsidR="00F71B25" w:rsidRPr="000F3C8B" w:rsidRDefault="004277E1" w:rsidP="00F71B25">
            <w:pPr>
              <w:pStyle w:val="TableText0"/>
              <w:rPr>
                <w:lang w:val="en-AU"/>
              </w:rPr>
            </w:pPr>
            <w:r w:rsidRPr="000F3C8B">
              <w:rPr>
                <w:lang w:val="en-AU"/>
              </w:rPr>
              <w:t xml:space="preserve">Patients medically fit for </w:t>
            </w:r>
            <w:r w:rsidR="00DF03CC" w:rsidRPr="000F3C8B">
              <w:rPr>
                <w:lang w:val="en-AU"/>
              </w:rPr>
              <w:t>multi-stage</w:t>
            </w:r>
            <w:r w:rsidRPr="000F3C8B">
              <w:rPr>
                <w:lang w:val="en-AU"/>
              </w:rPr>
              <w:t xml:space="preserve"> surgery (with or without pre-diagnosed cancer)</w:t>
            </w:r>
          </w:p>
        </w:tc>
        <w:tc>
          <w:tcPr>
            <w:tcW w:w="4111" w:type="dxa"/>
            <w:tcBorders>
              <w:top w:val="single" w:sz="4" w:space="0" w:color="auto"/>
            </w:tcBorders>
            <w:shd w:val="clear" w:color="auto" w:fill="auto"/>
          </w:tcPr>
          <w:p w:rsidR="00F71B25" w:rsidRPr="000F3C8B" w:rsidRDefault="00B07A38" w:rsidP="00F71B25">
            <w:pPr>
              <w:pStyle w:val="TableText0"/>
              <w:rPr>
                <w:lang w:val="en-AU"/>
              </w:rPr>
            </w:pPr>
            <w:r w:rsidRPr="000F3C8B">
              <w:rPr>
                <w:lang w:val="en-AU"/>
              </w:rPr>
              <w:t>M</w:t>
            </w:r>
            <w:r w:rsidR="00DF03CC" w:rsidRPr="000F3C8B">
              <w:rPr>
                <w:lang w:val="en-AU"/>
              </w:rPr>
              <w:t>ulti-stage</w:t>
            </w:r>
            <w:r w:rsidR="004277E1" w:rsidRPr="000F3C8B">
              <w:rPr>
                <w:lang w:val="en-AU"/>
              </w:rPr>
              <w:t xml:space="preserve"> surgical management, which mainly includes colostomy and Hartmann’s resection</w:t>
            </w:r>
          </w:p>
        </w:tc>
      </w:tr>
      <w:tr w:rsidR="00F71B25" w:rsidTr="00C5538A">
        <w:tc>
          <w:tcPr>
            <w:tcW w:w="4111" w:type="dxa"/>
            <w:shd w:val="clear" w:color="auto" w:fill="auto"/>
          </w:tcPr>
          <w:p w:rsidR="00F71B25" w:rsidRPr="000F3C8B" w:rsidRDefault="004277E1" w:rsidP="00F71B25">
            <w:pPr>
              <w:pStyle w:val="TableText0"/>
              <w:rPr>
                <w:lang w:val="en-AU"/>
              </w:rPr>
            </w:pPr>
            <w:r w:rsidRPr="000F3C8B">
              <w:rPr>
                <w:lang w:val="en-AU"/>
              </w:rPr>
              <w:t xml:space="preserve">Patients medically unfit for </w:t>
            </w:r>
            <w:r w:rsidR="00DF03CC" w:rsidRPr="000F3C8B">
              <w:rPr>
                <w:lang w:val="en-AU"/>
              </w:rPr>
              <w:t>multi-stage</w:t>
            </w:r>
            <w:r w:rsidRPr="000F3C8B">
              <w:rPr>
                <w:lang w:val="en-AU"/>
              </w:rPr>
              <w:t xml:space="preserve"> surgery (with or without pre-diagnosed cancer)</w:t>
            </w:r>
          </w:p>
        </w:tc>
        <w:tc>
          <w:tcPr>
            <w:tcW w:w="4111" w:type="dxa"/>
            <w:shd w:val="clear" w:color="auto" w:fill="auto"/>
          </w:tcPr>
          <w:p w:rsidR="00F71B25" w:rsidRPr="000F3C8B" w:rsidRDefault="00B07A38" w:rsidP="00F71B25">
            <w:pPr>
              <w:pStyle w:val="TableText0"/>
              <w:rPr>
                <w:lang w:val="en-AU"/>
              </w:rPr>
            </w:pPr>
            <w:r w:rsidRPr="000F3C8B">
              <w:rPr>
                <w:lang w:val="en-AU"/>
              </w:rPr>
              <w:t>B</w:t>
            </w:r>
            <w:r w:rsidR="004277E1" w:rsidRPr="000F3C8B">
              <w:rPr>
                <w:lang w:val="en-AU"/>
              </w:rPr>
              <w:t>est supportive care  which includes palliation, ongoing medical management, chemotherapy and/or radiotherapy</w:t>
            </w:r>
          </w:p>
        </w:tc>
      </w:tr>
    </w:tbl>
    <w:p w:rsidR="00F71B25" w:rsidRDefault="00F71B25" w:rsidP="00F71B25">
      <w:pPr>
        <w:pStyle w:val="TableText0"/>
      </w:pPr>
    </w:p>
    <w:p w:rsidR="00F71B25" w:rsidRDefault="00F71B25" w:rsidP="004277E1">
      <w:r>
        <w:t xml:space="preserve">SEMS could be used as </w:t>
      </w:r>
      <w:r w:rsidR="003617AD">
        <w:t>bridge to surgery</w:t>
      </w:r>
      <w:r>
        <w:t xml:space="preserve"> or for palliation to avoid emergency resection of the obstructed colon in patients who suffer from cancer. Patients who are medically fit for </w:t>
      </w:r>
      <w:r w:rsidR="00DF03CC">
        <w:t>multi-stage</w:t>
      </w:r>
      <w:r>
        <w:t xml:space="preserve"> surgery could receive a SEMS as a bridge to elective surgery as well as for palliative purposes. Patients who are unfit for </w:t>
      </w:r>
      <w:r w:rsidR="00DF03CC">
        <w:t>multi-stage</w:t>
      </w:r>
      <w:r>
        <w:t xml:space="preserve"> surgery who are at the terminal stage of their cancer are more likely to receive a SEMS for palliation. </w:t>
      </w:r>
    </w:p>
    <w:p w:rsidR="00F71B25" w:rsidRDefault="00F71B25" w:rsidP="004277E1">
      <w:pPr>
        <w:pStyle w:val="Heading2"/>
      </w:pPr>
      <w:bookmarkStart w:id="210" w:name="_Toc352924430"/>
      <w:r>
        <w:t>Search strategies</w:t>
      </w:r>
      <w:bookmarkEnd w:id="210"/>
    </w:p>
    <w:p w:rsidR="00F71B25" w:rsidRDefault="00F71B25" w:rsidP="004277E1">
      <w:r>
        <w:t xml:space="preserve">Any study investigating the use of SEMS for the management of malignant large bowel obstructions was systematically identified </w:t>
      </w:r>
      <w:r w:rsidR="00B07A38">
        <w:t xml:space="preserve">(See </w:t>
      </w:r>
      <w:r>
        <w:t>‘</w:t>
      </w:r>
      <w:r w:rsidR="00B07A38">
        <w:t>A</w:t>
      </w:r>
      <w:r>
        <w:t>pproach to assessment’</w:t>
      </w:r>
      <w:r w:rsidR="00B07A38">
        <w:t>)</w:t>
      </w:r>
      <w:r>
        <w:t xml:space="preserve">. </w:t>
      </w:r>
    </w:p>
    <w:p w:rsidR="00F71B25" w:rsidRDefault="00F71B25" w:rsidP="004277E1">
      <w:r>
        <w:t>Peer-reviewed literature was searched in PubMed, EMBASE, CINAHL, The Cochrane Library and CRD databases. Additionally web-based search engines, such as ‘Google’ and ‘Google scholar’ were also searched to identify relevant economic studies. New search terms ‘Cost$’ or ‘Econ$’ were added to the previously used search strategy (</w:t>
      </w:r>
      <w:r w:rsidR="006F654A">
        <w:t xml:space="preserve">See </w:t>
      </w:r>
      <w:r w:rsidR="00D85F0B">
        <w:fldChar w:fldCharType="begin"/>
      </w:r>
      <w:r w:rsidR="00D85F0B">
        <w:instrText xml:space="preserve"> REF _Ref326934138 \h </w:instrText>
      </w:r>
      <w:r w:rsidR="00D85F0B">
        <w:fldChar w:fldCharType="separate"/>
      </w:r>
      <w:r w:rsidR="0071544A">
        <w:t xml:space="preserve">Table </w:t>
      </w:r>
      <w:r w:rsidR="0071544A">
        <w:rPr>
          <w:noProof/>
        </w:rPr>
        <w:t>20</w:t>
      </w:r>
      <w:r w:rsidR="00D85F0B">
        <w:fldChar w:fldCharType="end"/>
      </w:r>
      <w:r w:rsidR="008D3530">
        <w:t xml:space="preserve"> </w:t>
      </w:r>
      <w:r>
        <w:t>and</w:t>
      </w:r>
      <w:r w:rsidR="006139A8">
        <w:t xml:space="preserve"> Appendix </w:t>
      </w:r>
      <w:r w:rsidR="00F76B65">
        <w:t>B</w:t>
      </w:r>
      <w:r>
        <w:t>) to identify any cost-effectiveness analyses.</w:t>
      </w:r>
    </w:p>
    <w:p w:rsidR="00F71B25" w:rsidRDefault="00F71B25" w:rsidP="004277E1">
      <w:r>
        <w:t xml:space="preserve">The bibliographies of all included publications were hand-searched for any relevant references that may have been missed by the database search. A comprehensive description </w:t>
      </w:r>
      <w:r w:rsidR="00B07A38">
        <w:t xml:space="preserve">of the </w:t>
      </w:r>
      <w:r>
        <w:t>search strategy was provided earlier (</w:t>
      </w:r>
      <w:r w:rsidR="00B07A38">
        <w:t>See</w:t>
      </w:r>
      <w:r>
        <w:t xml:space="preserve"> ‘</w:t>
      </w:r>
      <w:r w:rsidR="00B07A38">
        <w:t>R</w:t>
      </w:r>
      <w:r>
        <w:t xml:space="preserve">eview of literature’). </w:t>
      </w:r>
    </w:p>
    <w:p w:rsidR="00F71B25" w:rsidRDefault="00F71B25" w:rsidP="004277E1">
      <w:pPr>
        <w:pStyle w:val="Heading2"/>
      </w:pPr>
      <w:bookmarkStart w:id="211" w:name="_Toc352924431"/>
      <w:r>
        <w:t>Background – evidence of cost-effectiveness</w:t>
      </w:r>
      <w:bookmarkEnd w:id="211"/>
    </w:p>
    <w:p w:rsidR="00F71B25" w:rsidRDefault="00F71B25" w:rsidP="004277E1">
      <w:r>
        <w:t xml:space="preserve">Eight studies were identified addressing the cost-effectiveness of colonic SEMS in the management of malignant colonic obstructions. The inclusion criteria determined a priori for assessing </w:t>
      </w:r>
      <w:r w:rsidR="00B07A38">
        <w:t xml:space="preserve">the </w:t>
      </w:r>
      <w:r>
        <w:t xml:space="preserve">economic analyses of SEMS insertion </w:t>
      </w:r>
      <w:r w:rsidR="00B07A38">
        <w:t xml:space="preserve">are </w:t>
      </w:r>
      <w:r>
        <w:t>outlined in</w:t>
      </w:r>
      <w:r w:rsidR="00B07A38">
        <w:t xml:space="preserve"> </w:t>
      </w:r>
      <w:r w:rsidR="00EC4C9D">
        <w:fldChar w:fldCharType="begin"/>
      </w:r>
      <w:r w:rsidR="00EC4C9D">
        <w:instrText xml:space="preserve"> REF _Ref324949345 \h </w:instrText>
      </w:r>
      <w:r w:rsidR="00EC4C9D">
        <w:fldChar w:fldCharType="separate"/>
      </w:r>
      <w:r w:rsidR="0071544A">
        <w:t xml:space="preserve">Table </w:t>
      </w:r>
      <w:r w:rsidR="0071544A">
        <w:rPr>
          <w:noProof/>
        </w:rPr>
        <w:t>47</w:t>
      </w:r>
      <w:r w:rsidR="00EC4C9D">
        <w:fldChar w:fldCharType="end"/>
      </w:r>
      <w:r>
        <w:t>.</w:t>
      </w:r>
    </w:p>
    <w:p w:rsidR="00F71B25" w:rsidRDefault="00EC4C9D" w:rsidP="00EC4C9D">
      <w:pPr>
        <w:pStyle w:val="Caption"/>
      </w:pPr>
      <w:bookmarkStart w:id="212" w:name="_Ref324949345"/>
      <w:bookmarkStart w:id="213" w:name="_Toc327522091"/>
      <w:r>
        <w:lastRenderedPageBreak/>
        <w:t xml:space="preserve">Table </w:t>
      </w:r>
      <w:fldSimple w:instr=" SEQ Table \* ARABIC ">
        <w:r w:rsidR="0071544A">
          <w:rPr>
            <w:noProof/>
          </w:rPr>
          <w:t>47</w:t>
        </w:r>
      </w:fldSimple>
      <w:bookmarkEnd w:id="212"/>
      <w:r w:rsidR="00F71B25">
        <w:tab/>
        <w:t>Criteria for selecting studies to assess the cost-effectiveness of colonic SEMS in patients with a colorectal obstruction, stricture or stenosis</w:t>
      </w:r>
      <w:bookmarkEnd w:id="213"/>
    </w:p>
    <w:tbl>
      <w:tblPr>
        <w:tblW w:w="0" w:type="auto"/>
        <w:tblInd w:w="720" w:type="dxa"/>
        <w:tblBorders>
          <w:top w:val="single" w:sz="12" w:space="0" w:color="auto"/>
          <w:bottom w:val="single" w:sz="12" w:space="0" w:color="auto"/>
          <w:insideH w:val="single" w:sz="4" w:space="0" w:color="auto"/>
        </w:tblBorders>
        <w:tblLook w:val="04A0" w:firstRow="1" w:lastRow="0" w:firstColumn="1" w:lastColumn="0" w:noHBand="0" w:noVBand="1"/>
      </w:tblPr>
      <w:tblGrid>
        <w:gridCol w:w="1608"/>
        <w:gridCol w:w="6794"/>
      </w:tblGrid>
      <w:tr w:rsidR="004277E1" w:rsidTr="00C5538A">
        <w:tc>
          <w:tcPr>
            <w:tcW w:w="1608" w:type="dxa"/>
            <w:shd w:val="clear" w:color="auto" w:fill="auto"/>
          </w:tcPr>
          <w:p w:rsidR="004277E1" w:rsidRDefault="004277E1" w:rsidP="00D71BDC">
            <w:pPr>
              <w:pStyle w:val="TableHeading"/>
            </w:pPr>
            <w:r w:rsidRPr="004277E1">
              <w:t>Selection criteria</w:t>
            </w:r>
          </w:p>
        </w:tc>
        <w:tc>
          <w:tcPr>
            <w:tcW w:w="6794" w:type="dxa"/>
            <w:shd w:val="clear" w:color="auto" w:fill="auto"/>
          </w:tcPr>
          <w:p w:rsidR="004277E1" w:rsidRDefault="004277E1" w:rsidP="00D71BDC">
            <w:pPr>
              <w:pStyle w:val="TableHeading"/>
            </w:pPr>
            <w:r w:rsidRPr="004277E1">
              <w:t>Inclusion criteria</w:t>
            </w:r>
          </w:p>
        </w:tc>
      </w:tr>
      <w:tr w:rsidR="004277E1" w:rsidTr="00C5538A">
        <w:tc>
          <w:tcPr>
            <w:tcW w:w="1608" w:type="dxa"/>
            <w:tcBorders>
              <w:bottom w:val="nil"/>
            </w:tcBorders>
            <w:shd w:val="clear" w:color="auto" w:fill="auto"/>
          </w:tcPr>
          <w:p w:rsidR="004277E1" w:rsidRPr="000F3C8B" w:rsidRDefault="004277E1" w:rsidP="00D71BDC">
            <w:pPr>
              <w:pStyle w:val="TableText0"/>
              <w:rPr>
                <w:lang w:val="en-AU"/>
              </w:rPr>
            </w:pPr>
            <w:r w:rsidRPr="000F3C8B">
              <w:rPr>
                <w:lang w:val="en-AU"/>
              </w:rPr>
              <w:t>Population</w:t>
            </w:r>
          </w:p>
        </w:tc>
        <w:tc>
          <w:tcPr>
            <w:tcW w:w="6794" w:type="dxa"/>
            <w:tcBorders>
              <w:bottom w:val="nil"/>
            </w:tcBorders>
            <w:shd w:val="clear" w:color="auto" w:fill="auto"/>
          </w:tcPr>
          <w:p w:rsidR="004277E1" w:rsidRPr="000F3C8B" w:rsidRDefault="004277E1" w:rsidP="00D71BDC">
            <w:pPr>
              <w:pStyle w:val="TableText0"/>
              <w:rPr>
                <w:lang w:val="en-AU"/>
              </w:rPr>
            </w:pPr>
            <w:r w:rsidRPr="000F3C8B">
              <w:rPr>
                <w:lang w:val="en-AU"/>
              </w:rPr>
              <w:t xml:space="preserve">Patients (&gt;17 years) with an unknown cancer diagnosis, medically fit for </w:t>
            </w:r>
            <w:r w:rsidR="00DF03CC" w:rsidRPr="000F3C8B">
              <w:rPr>
                <w:lang w:val="en-AU"/>
              </w:rPr>
              <w:t>multi-stage</w:t>
            </w:r>
            <w:r w:rsidRPr="000F3C8B">
              <w:rPr>
                <w:lang w:val="en-AU"/>
              </w:rPr>
              <w:t xml:space="preserve"> surgery.</w:t>
            </w:r>
          </w:p>
          <w:p w:rsidR="004277E1" w:rsidRPr="000F3C8B" w:rsidRDefault="004277E1" w:rsidP="00D71BDC">
            <w:pPr>
              <w:pStyle w:val="TableText0"/>
              <w:rPr>
                <w:lang w:val="en-AU"/>
              </w:rPr>
            </w:pPr>
            <w:r w:rsidRPr="000F3C8B">
              <w:rPr>
                <w:lang w:val="en-AU"/>
              </w:rPr>
              <w:t xml:space="preserve">Patients (&gt;17 years) with an unknown cancer diagnosis, medically unfit for </w:t>
            </w:r>
            <w:r w:rsidR="00DF03CC" w:rsidRPr="000F3C8B">
              <w:rPr>
                <w:lang w:val="en-AU"/>
              </w:rPr>
              <w:t>multi-stage</w:t>
            </w:r>
            <w:r w:rsidRPr="000F3C8B">
              <w:rPr>
                <w:lang w:val="en-AU"/>
              </w:rPr>
              <w:t xml:space="preserve"> surgery </w:t>
            </w:r>
          </w:p>
          <w:p w:rsidR="004277E1" w:rsidRPr="000F3C8B" w:rsidRDefault="004277E1" w:rsidP="00D71BDC">
            <w:pPr>
              <w:pStyle w:val="TableText0"/>
              <w:rPr>
                <w:lang w:val="en-AU"/>
              </w:rPr>
            </w:pPr>
            <w:r w:rsidRPr="000F3C8B">
              <w:rPr>
                <w:lang w:val="en-AU"/>
              </w:rPr>
              <w:t xml:space="preserve">Patients (&gt;17 years) known to have pre-diagnosed cancer, medically fit for </w:t>
            </w:r>
            <w:r w:rsidR="00DF03CC" w:rsidRPr="000F3C8B">
              <w:rPr>
                <w:lang w:val="en-AU"/>
              </w:rPr>
              <w:t>multi-stage</w:t>
            </w:r>
            <w:r w:rsidRPr="000F3C8B">
              <w:rPr>
                <w:lang w:val="en-AU"/>
              </w:rPr>
              <w:t xml:space="preserve"> surgery.</w:t>
            </w:r>
          </w:p>
          <w:p w:rsidR="004277E1" w:rsidRPr="000F3C8B" w:rsidRDefault="004277E1" w:rsidP="00D71BDC">
            <w:pPr>
              <w:pStyle w:val="TableText0"/>
              <w:rPr>
                <w:lang w:val="en-AU"/>
              </w:rPr>
            </w:pPr>
            <w:r w:rsidRPr="000F3C8B">
              <w:rPr>
                <w:lang w:val="en-AU"/>
              </w:rPr>
              <w:t xml:space="preserve">Patients (&gt;17 years) known to have pre-diagnosed cancer, medically unfit for </w:t>
            </w:r>
            <w:r w:rsidR="00DF03CC" w:rsidRPr="000F3C8B">
              <w:rPr>
                <w:lang w:val="en-AU"/>
              </w:rPr>
              <w:t>multi-stage</w:t>
            </w:r>
            <w:r w:rsidRPr="000F3C8B">
              <w:rPr>
                <w:lang w:val="en-AU"/>
              </w:rPr>
              <w:t xml:space="preserve"> surgery</w:t>
            </w:r>
          </w:p>
        </w:tc>
      </w:tr>
      <w:tr w:rsidR="004277E1" w:rsidTr="00C5538A">
        <w:tc>
          <w:tcPr>
            <w:tcW w:w="1608"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Intervention</w:t>
            </w:r>
          </w:p>
        </w:tc>
        <w:tc>
          <w:tcPr>
            <w:tcW w:w="6794"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 xml:space="preserve">SEMS insertion (as a </w:t>
            </w:r>
            <w:r w:rsidR="003617AD" w:rsidRPr="000F3C8B">
              <w:rPr>
                <w:lang w:val="en-AU"/>
              </w:rPr>
              <w:t>bridge to surgery</w:t>
            </w:r>
            <w:r w:rsidRPr="000F3C8B">
              <w:rPr>
                <w:lang w:val="en-AU"/>
              </w:rPr>
              <w:t xml:space="preserve"> or a palliative intervention)</w:t>
            </w:r>
          </w:p>
        </w:tc>
      </w:tr>
      <w:tr w:rsidR="004277E1" w:rsidTr="00C5538A">
        <w:tc>
          <w:tcPr>
            <w:tcW w:w="1608"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Comparator(s)</w:t>
            </w:r>
          </w:p>
        </w:tc>
        <w:tc>
          <w:tcPr>
            <w:tcW w:w="6794"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1.</w:t>
            </w:r>
            <w:r w:rsidR="00DF03CC" w:rsidRPr="000F3C8B">
              <w:rPr>
                <w:lang w:val="en-AU"/>
              </w:rPr>
              <w:t>Multi-stage</w:t>
            </w:r>
            <w:r w:rsidRPr="000F3C8B">
              <w:rPr>
                <w:lang w:val="en-AU"/>
              </w:rPr>
              <w:t xml:space="preserve"> surgery – colostomy (stoma creation), Hartmann’s resection</w:t>
            </w:r>
          </w:p>
          <w:p w:rsidR="004277E1" w:rsidRPr="000F3C8B" w:rsidRDefault="004277E1" w:rsidP="00D71BDC">
            <w:pPr>
              <w:pStyle w:val="TableText0"/>
              <w:rPr>
                <w:lang w:val="en-AU"/>
              </w:rPr>
            </w:pPr>
            <w:r w:rsidRPr="000F3C8B">
              <w:rPr>
                <w:lang w:val="en-AU"/>
              </w:rPr>
              <w:t>2.Best supportive care</w:t>
            </w:r>
          </w:p>
        </w:tc>
      </w:tr>
      <w:tr w:rsidR="004277E1" w:rsidTr="00C5538A">
        <w:tc>
          <w:tcPr>
            <w:tcW w:w="1608"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Outcomes</w:t>
            </w:r>
          </w:p>
        </w:tc>
        <w:tc>
          <w:tcPr>
            <w:tcW w:w="6794"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Total average cost</w:t>
            </w:r>
          </w:p>
          <w:p w:rsidR="004277E1" w:rsidRPr="000F3C8B" w:rsidRDefault="004277E1" w:rsidP="00D71BDC">
            <w:pPr>
              <w:pStyle w:val="TableText0"/>
              <w:rPr>
                <w:lang w:val="en-AU"/>
              </w:rPr>
            </w:pPr>
            <w:r w:rsidRPr="000F3C8B">
              <w:rPr>
                <w:lang w:val="en-AU"/>
              </w:rPr>
              <w:t>Cost per relevant health outcome (eg LYG, QALY)</w:t>
            </w:r>
          </w:p>
        </w:tc>
      </w:tr>
      <w:tr w:rsidR="004277E1" w:rsidTr="00C5538A">
        <w:tc>
          <w:tcPr>
            <w:tcW w:w="1608"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Publication type</w:t>
            </w:r>
          </w:p>
        </w:tc>
        <w:tc>
          <w:tcPr>
            <w:tcW w:w="6794" w:type="dxa"/>
            <w:tcBorders>
              <w:top w:val="nil"/>
              <w:bottom w:val="nil"/>
            </w:tcBorders>
            <w:shd w:val="clear" w:color="auto" w:fill="auto"/>
          </w:tcPr>
          <w:p w:rsidR="004277E1" w:rsidRPr="000F3C8B" w:rsidRDefault="004277E1" w:rsidP="00D71BDC">
            <w:pPr>
              <w:pStyle w:val="TableText0"/>
              <w:rPr>
                <w:lang w:val="en-AU"/>
              </w:rPr>
            </w:pPr>
            <w:r w:rsidRPr="000F3C8B">
              <w:rPr>
                <w:lang w:val="en-AU"/>
              </w:rPr>
              <w:t>Cost studies, cost-effectiveness studies, cost-utility studies</w:t>
            </w:r>
          </w:p>
        </w:tc>
      </w:tr>
      <w:tr w:rsidR="004277E1" w:rsidTr="00C5538A">
        <w:tc>
          <w:tcPr>
            <w:tcW w:w="1608" w:type="dxa"/>
            <w:tcBorders>
              <w:top w:val="nil"/>
            </w:tcBorders>
            <w:shd w:val="clear" w:color="auto" w:fill="auto"/>
          </w:tcPr>
          <w:p w:rsidR="004277E1" w:rsidRPr="000F3C8B" w:rsidRDefault="004277E1" w:rsidP="00D71BDC">
            <w:pPr>
              <w:pStyle w:val="TableText0"/>
              <w:rPr>
                <w:lang w:val="en-AU"/>
              </w:rPr>
            </w:pPr>
            <w:r w:rsidRPr="000F3C8B">
              <w:rPr>
                <w:lang w:val="en-AU"/>
              </w:rPr>
              <w:t>Language</w:t>
            </w:r>
          </w:p>
        </w:tc>
        <w:tc>
          <w:tcPr>
            <w:tcW w:w="6794" w:type="dxa"/>
            <w:tcBorders>
              <w:top w:val="nil"/>
            </w:tcBorders>
            <w:shd w:val="clear" w:color="auto" w:fill="auto"/>
          </w:tcPr>
          <w:p w:rsidR="004277E1" w:rsidRPr="000F3C8B" w:rsidRDefault="004277E1" w:rsidP="00D71BDC">
            <w:pPr>
              <w:pStyle w:val="TableText0"/>
              <w:rPr>
                <w:lang w:val="en-AU"/>
              </w:rPr>
            </w:pPr>
            <w:r w:rsidRPr="000F3C8B">
              <w:rPr>
                <w:lang w:val="en-AU"/>
              </w:rPr>
              <w:t>English language articles only.</w:t>
            </w:r>
          </w:p>
        </w:tc>
      </w:tr>
    </w:tbl>
    <w:p w:rsidR="00F71B25" w:rsidRDefault="00C93E70" w:rsidP="0007443E">
      <w:pPr>
        <w:pStyle w:val="TableNotes"/>
      </w:pPr>
      <w:r>
        <w:t xml:space="preserve">LYG: </w:t>
      </w:r>
      <w:r w:rsidR="00A967A5">
        <w:rPr>
          <w:lang w:val="en-AU"/>
        </w:rPr>
        <w:t>Life year gained</w:t>
      </w:r>
      <w:r>
        <w:t>; QALY: Quality-adjusted life year.</w:t>
      </w:r>
    </w:p>
    <w:p w:rsidR="00F71B25" w:rsidRDefault="00F71B25" w:rsidP="00524485">
      <w:pPr>
        <w:pStyle w:val="Heading3"/>
      </w:pPr>
      <w:r>
        <w:t>Decision analytic models of cost-effectiveness</w:t>
      </w:r>
    </w:p>
    <w:p w:rsidR="00F71B25" w:rsidRDefault="00F71B25" w:rsidP="00D71BDC">
      <w:r>
        <w:t>The following cost-effectiveness studies were identified</w:t>
      </w:r>
      <w:r w:rsidR="00D71BDC">
        <w:t>:</w:t>
      </w:r>
    </w:p>
    <w:p w:rsidR="00F71B25" w:rsidRDefault="00F71B25" w:rsidP="00D71BDC">
      <w:r>
        <w:t>•</w:t>
      </w:r>
      <w:r>
        <w:tab/>
        <w:t xml:space="preserve">Targownik et al (2004) noted that colonic stent insertion followed by elective surgery </w:t>
      </w:r>
      <w:r w:rsidR="00C93E70">
        <w:t>(</w:t>
      </w:r>
      <w:r>
        <w:t>SEMS as</w:t>
      </w:r>
      <w:r w:rsidR="00C93E70">
        <w:t xml:space="preserve"> a</w:t>
      </w:r>
      <w:r>
        <w:t xml:space="preserve"> </w:t>
      </w:r>
      <w:r w:rsidR="003617AD">
        <w:t>bridge to surgery</w:t>
      </w:r>
      <w:r w:rsidR="008A00E9">
        <w:t>)</w:t>
      </w:r>
      <w:r>
        <w:t xml:space="preserve"> was more effective and less costly than emergency surgical resection followed by diversion (Hartmann’s procedure) or anastomosis. SEMS insertion resulted in fewer operative procedures per patient, reduction in stoma creation rate and lower procedure related mortality. Overall, colonic stenting was associated with a lower mean cost per patient (US$45,709 vs US$49,941). </w:t>
      </w:r>
    </w:p>
    <w:p w:rsidR="00F71B25" w:rsidRDefault="00F71B25" w:rsidP="00D71BDC">
      <w:r>
        <w:t>•</w:t>
      </w:r>
      <w:r>
        <w:tab/>
        <w:t>Singh et al (2006) noted that SEMS insertion followed by elective surgery and reanastomosis resulted in fewer total operative procedures, lower mortality rate and the likelihood of requiring a permanent stoma. Colonic SEMS insertion was less costly than emergency surgery, creation of a colostomy or primary anastomosis but more costly than emergency diverting colostomy followed by elective surgery and reanastomosis. The resulting ICERs of colonic stenting versus diverting colostomy followed by elective surgery and reanastomosis were CAN$1,415 to prevent a stoma and CAN$1,516 to prevent an additional death.</w:t>
      </w:r>
    </w:p>
    <w:p w:rsidR="00F71B25" w:rsidRDefault="00F71B25" w:rsidP="00D71BDC">
      <w:r>
        <w:t>•</w:t>
      </w:r>
      <w:r>
        <w:tab/>
        <w:t>Govindarajan et al (2007), using a Markov chain Monte Carlo model</w:t>
      </w:r>
      <w:r w:rsidR="000D42A1">
        <w:t>,</w:t>
      </w:r>
      <w:r>
        <w:t xml:space="preserve"> found that colonic SEMS insertion was more effective (9.2 quality adjusted life months benefit) and less costly (CA</w:t>
      </w:r>
      <w:r w:rsidR="000D42A1">
        <w:t>N</w:t>
      </w:r>
      <w:r>
        <w:t>$3,763) than emergency surgery. The results were driven by the rate of stenting</w:t>
      </w:r>
      <w:r w:rsidR="000D42A1">
        <w:t>-</w:t>
      </w:r>
      <w:r>
        <w:t>related complications and the surgical mortality.</w:t>
      </w:r>
    </w:p>
    <w:p w:rsidR="00F71B25" w:rsidRDefault="00F71B25" w:rsidP="00D71BDC">
      <w:pPr>
        <w:pStyle w:val="Heading3"/>
      </w:pPr>
      <w:r>
        <w:t>Costing studies</w:t>
      </w:r>
    </w:p>
    <w:p w:rsidR="00F71B25" w:rsidRDefault="00F71B25" w:rsidP="00D71BDC">
      <w:r>
        <w:t>The following costing studies were identified:</w:t>
      </w:r>
    </w:p>
    <w:p w:rsidR="00F71B25" w:rsidRDefault="00F71B25" w:rsidP="00D71BDC">
      <w:r>
        <w:t>•</w:t>
      </w:r>
      <w:r>
        <w:tab/>
        <w:t xml:space="preserve">Binkert et al (1998) noted that stenting cost 29 per cent less than surgical treatment, due to shorter hospitalisation. </w:t>
      </w:r>
    </w:p>
    <w:p w:rsidR="00F71B25" w:rsidRDefault="00F71B25" w:rsidP="00D71BDC">
      <w:r>
        <w:t>•</w:t>
      </w:r>
      <w:r>
        <w:tab/>
        <w:t xml:space="preserve">Xinopoulous et al (2004) stated </w:t>
      </w:r>
      <w:r w:rsidR="000D42A1">
        <w:t xml:space="preserve">that </w:t>
      </w:r>
      <w:r>
        <w:t xml:space="preserve">the average cost of SEMS insertion was marginally more expensive than colostomy (€2,224 vs €2,092). Although the SEMS itself </w:t>
      </w:r>
      <w:r>
        <w:lastRenderedPageBreak/>
        <w:t xml:space="preserve">was costly, the overall costs were offset due to shorter hospitalisation and the overall simplicity of the stenting procedure. </w:t>
      </w:r>
    </w:p>
    <w:p w:rsidR="00F71B25" w:rsidRDefault="00F71B25" w:rsidP="00D71BDC">
      <w:r>
        <w:t>•</w:t>
      </w:r>
      <w:r>
        <w:tab/>
        <w:t xml:space="preserve">The Technology Assessment Unit of The McGill University Health Centre found that the costs of SEMS insertion compared to colostomy for palliation were equivalent (CAN$3,064 and CAN$2,991). This trend was maintained when a SEMS </w:t>
      </w:r>
      <w:r w:rsidR="000D42A1">
        <w:t>wa</w:t>
      </w:r>
      <w:r>
        <w:t xml:space="preserve">s used as a </w:t>
      </w:r>
      <w:r w:rsidR="003617AD">
        <w:t>bridge to surgery</w:t>
      </w:r>
      <w:r>
        <w:t xml:space="preserve"> (CAN$2,872 and CAN$2,992).</w:t>
      </w:r>
    </w:p>
    <w:p w:rsidR="00F71B25" w:rsidRDefault="00F71B25" w:rsidP="00D71BDC">
      <w:pPr>
        <w:pStyle w:val="Heading3"/>
      </w:pPr>
      <w:r>
        <w:t>Retrospective claims study</w:t>
      </w:r>
    </w:p>
    <w:p w:rsidR="00F71B25" w:rsidRDefault="00F71B25" w:rsidP="00D71BDC">
      <w:r>
        <w:t>The following retrospective costs analyses were identified:</w:t>
      </w:r>
    </w:p>
    <w:p w:rsidR="00F71B25" w:rsidRDefault="00F71B25" w:rsidP="00D71BDC">
      <w:r>
        <w:t>•</w:t>
      </w:r>
      <w:r>
        <w:tab/>
        <w:t>Osman et al (2000) retrospectively compared a group of patients who were managed with SEMS with an unselected group of patients managed by surgical decompression. The use of stents resulted in a significant reduction in hospital stay compared to colostomy (2.5 days vs 13.5 days). This resulted in an average savings of £1760 per patient receiving a SEMS. For those patients who proceeded to either a post-stent resection or Hartmann’s operation, the mean net savings was £685 per patient.</w:t>
      </w:r>
    </w:p>
    <w:p w:rsidR="00F71B25" w:rsidRDefault="00F71B25" w:rsidP="00D71BDC">
      <w:r>
        <w:t>•</w:t>
      </w:r>
      <w:r>
        <w:tab/>
        <w:t xml:space="preserve">Varadarajulu et al (2011) demonstrated that the mean hospital costs </w:t>
      </w:r>
      <w:r w:rsidR="00E75998">
        <w:t xml:space="preserve">were less </w:t>
      </w:r>
      <w:r>
        <w:t xml:space="preserve">for the SEMS cohort </w:t>
      </w:r>
      <w:r w:rsidR="00E75998">
        <w:t>than for</w:t>
      </w:r>
      <w:r>
        <w:t xml:space="preserve"> the colostomy group (US$21,771 vs US$33,383). Additionally, the total length of hospital stay from admission to discharge was </w:t>
      </w:r>
      <w:r w:rsidR="00E75998">
        <w:t xml:space="preserve">eight </w:t>
      </w:r>
      <w:r>
        <w:t xml:space="preserve">days for the SEMS group and 12 days for the colostomy group. </w:t>
      </w:r>
    </w:p>
    <w:p w:rsidR="00F71B25" w:rsidRDefault="00F71B25" w:rsidP="00D71BDC">
      <w:r>
        <w:t>In summary, the published literature demonstrate</w:t>
      </w:r>
      <w:r w:rsidR="00E75998">
        <w:t>d</w:t>
      </w:r>
      <w:r>
        <w:t xml:space="preserve"> that the use of colonic SEMS to treat malignant bowel obstruction </w:t>
      </w:r>
      <w:r w:rsidR="00E75998">
        <w:t>wa</w:t>
      </w:r>
      <w:r>
        <w:t xml:space="preserve">s usually a cost saving compared to colostomy or Hartmann’s procedure. The main differences in </w:t>
      </w:r>
      <w:r w:rsidR="00065DCF">
        <w:t>healthcare</w:t>
      </w:r>
      <w:r>
        <w:t xml:space="preserve"> cost are largely driven by length of hospital stay, which is significantly shorter in patients receiving colonic stents. In addition, there is some evidence to suggest that SEMS insertion is more effective, in terms of gains in quality of life. </w:t>
      </w:r>
    </w:p>
    <w:p w:rsidR="00F71B25" w:rsidRDefault="00F71B25" w:rsidP="00524485">
      <w:pPr>
        <w:pStyle w:val="Heading2"/>
      </w:pPr>
      <w:bookmarkStart w:id="214" w:name="_Toc352924432"/>
      <w:r>
        <w:t>Rationale for cost-effectiveness analysis</w:t>
      </w:r>
      <w:bookmarkEnd w:id="214"/>
      <w:r>
        <w:t xml:space="preserve"> </w:t>
      </w:r>
    </w:p>
    <w:p w:rsidR="00F71B25" w:rsidRDefault="00F71B25" w:rsidP="00524485">
      <w:pPr>
        <w:pStyle w:val="Heading3"/>
      </w:pPr>
      <w:r>
        <w:t xml:space="preserve">Patients medically fit for </w:t>
      </w:r>
      <w:r w:rsidR="00DF03CC">
        <w:t>multi-stage</w:t>
      </w:r>
      <w:r>
        <w:t xml:space="preserve"> surgery</w:t>
      </w:r>
    </w:p>
    <w:p w:rsidR="00F71B25" w:rsidRDefault="00F71B25" w:rsidP="00D71BDC">
      <w:r>
        <w:t>There is limited evidence pertaining to patients with an unknown diagnosis</w:t>
      </w:r>
      <w:r w:rsidR="00E75998">
        <w:t>;</w:t>
      </w:r>
      <w:r>
        <w:t xml:space="preserve"> therefore</w:t>
      </w:r>
      <w:r w:rsidR="00E75998">
        <w:t>,</w:t>
      </w:r>
      <w:r>
        <w:t xml:space="preserve"> it is assumed that those with an unknown or known diagnosis would have the same treatment pathway. Consequently these populations are not dealt with separately in the analysis. The populations considered medically fit for surgery will be costed in two distinct groups:</w:t>
      </w:r>
    </w:p>
    <w:p w:rsidR="00F71B25" w:rsidRDefault="00F71B25" w:rsidP="00D71BDC">
      <w:r>
        <w:t>•</w:t>
      </w:r>
      <w:r>
        <w:tab/>
        <w:t>SEMS compared to palliative colostomy, in patients where SEMS is used as a palliative option</w:t>
      </w:r>
      <w:r w:rsidR="00E75998">
        <w:t>;</w:t>
      </w:r>
    </w:p>
    <w:p w:rsidR="00F71B25" w:rsidRDefault="00F71B25" w:rsidP="00D71BDC">
      <w:r>
        <w:t>•</w:t>
      </w:r>
      <w:r>
        <w:tab/>
        <w:t xml:space="preserve">SEMS compared to </w:t>
      </w:r>
      <w:r w:rsidR="00DF03CC">
        <w:t>multi-stage</w:t>
      </w:r>
      <w:r>
        <w:t xml:space="preserve">d surgery (which includes colostomy or Hartmann’s procedure) in patients where SEMS is used as a </w:t>
      </w:r>
      <w:r w:rsidR="003617AD">
        <w:t>bridge to surgery</w:t>
      </w:r>
      <w:r>
        <w:t>.</w:t>
      </w:r>
    </w:p>
    <w:p w:rsidR="00F71B25" w:rsidRDefault="00F71B25" w:rsidP="00D71BDC">
      <w:r>
        <w:t xml:space="preserve">Two RCTs compared SEMS to colostomy </w:t>
      </w:r>
      <w:r w:rsidR="006D43B0">
        <w:t xml:space="preserve">as </w:t>
      </w:r>
      <w:r>
        <w:t>discussed in the preceding section on efficacy and safety</w:t>
      </w:r>
      <w:r w:rsidR="006D43B0">
        <w:t>. Data from these studies were used for the economic</w:t>
      </w:r>
      <w:r>
        <w:t xml:space="preserve"> analysis</w:t>
      </w:r>
      <w:r w:rsidR="006D43B0">
        <w:t xml:space="preserve">. </w:t>
      </w:r>
      <w:r>
        <w:t xml:space="preserve">In both RCTs, only patients who had incurable (unresectable) malignant colonic obstructions were included. The only significant differences between SEMS and </w:t>
      </w:r>
      <w:r w:rsidR="00DF03CC">
        <w:t>multi-stage</w:t>
      </w:r>
      <w:r>
        <w:t xml:space="preserve"> surgical </w:t>
      </w:r>
      <w:r>
        <w:lastRenderedPageBreak/>
        <w:t>groups were</w:t>
      </w:r>
      <w:r w:rsidR="00CA66E8">
        <w:t>:</w:t>
      </w:r>
      <w:r>
        <w:t xml:space="preserve"> length of hospital stay, operation time and number of complications following the procedure.</w:t>
      </w:r>
    </w:p>
    <w:p w:rsidR="00F71B25" w:rsidRDefault="00F71B25" w:rsidP="00D71BDC">
      <w:r>
        <w:t xml:space="preserve">For patients </w:t>
      </w:r>
      <w:r w:rsidR="00E75FF2">
        <w:t xml:space="preserve">who were </w:t>
      </w:r>
      <w:r>
        <w:t xml:space="preserve">medically fit for surgery, there </w:t>
      </w:r>
      <w:r w:rsidR="00CA66E8">
        <w:t>wa</w:t>
      </w:r>
      <w:r>
        <w:t xml:space="preserve">s a lack of comparative evidence for SEMS as </w:t>
      </w:r>
      <w:r w:rsidR="00CA66E8">
        <w:t xml:space="preserve">a </w:t>
      </w:r>
      <w:r w:rsidR="003617AD">
        <w:t>bridge to surgery</w:t>
      </w:r>
      <w:r>
        <w:t xml:space="preserve"> compared to </w:t>
      </w:r>
      <w:r w:rsidR="00DF03CC">
        <w:t>multi-stage</w:t>
      </w:r>
      <w:r>
        <w:t xml:space="preserve"> surgery using randomised controlled trials. Therefore a cost-utility analysis was conducted using data extracted from systematic reviews of case-series studies. </w:t>
      </w:r>
    </w:p>
    <w:p w:rsidR="00F71B25" w:rsidRDefault="00F71B25" w:rsidP="00524485">
      <w:pPr>
        <w:pStyle w:val="Heading3"/>
      </w:pPr>
      <w:r>
        <w:t xml:space="preserve">Patients medically unfit for </w:t>
      </w:r>
      <w:r w:rsidR="00DF03CC">
        <w:t>multi-stage</w:t>
      </w:r>
      <w:r>
        <w:t xml:space="preserve"> surgery</w:t>
      </w:r>
    </w:p>
    <w:p w:rsidR="00F71B25" w:rsidRDefault="00F71B25" w:rsidP="00524485">
      <w:r>
        <w:t xml:space="preserve">There was insufficient published evidence regarding patients who </w:t>
      </w:r>
      <w:r w:rsidR="00E75FF2">
        <w:t xml:space="preserve">were </w:t>
      </w:r>
      <w:r>
        <w:t xml:space="preserve">unfit for </w:t>
      </w:r>
      <w:r w:rsidR="00DF03CC">
        <w:t>multi-stage</w:t>
      </w:r>
      <w:r>
        <w:t xml:space="preserve"> surgery. Therefore</w:t>
      </w:r>
      <w:r w:rsidR="00E75FF2">
        <w:t>,</w:t>
      </w:r>
      <w:r>
        <w:t xml:space="preserve"> for the purposes of the economic evaluation, the incremental cost of treating these patients with SEMS compared to palliation alone was estimated. The palliation alone assumed to resemble best supportive care in this instance.   </w:t>
      </w:r>
    </w:p>
    <w:p w:rsidR="00F71B25" w:rsidRDefault="00F71B25" w:rsidP="00524485">
      <w:pPr>
        <w:pStyle w:val="Heading2"/>
      </w:pPr>
      <w:bookmarkStart w:id="215" w:name="_Toc352924433"/>
      <w:r>
        <w:t>Estimate of costs</w:t>
      </w:r>
      <w:bookmarkEnd w:id="215"/>
    </w:p>
    <w:p w:rsidR="00F71B25" w:rsidRDefault="00F71B25" w:rsidP="00524485">
      <w:r>
        <w:t>The estimated costs of SEMS and colostomy were taken from a number of sources. These included: the MBS, Australian Refined Diagnostic Related Group (AR-DRG) (version 5.1 round 13 – Private and Public), manufacturer’s costs and the average charged Medicare fee. Resource use and MBS item numbers were determined with the aid of expert clinical advice.</w:t>
      </w:r>
    </w:p>
    <w:p w:rsidR="00F71B25" w:rsidRDefault="00F71B25" w:rsidP="00524485">
      <w:r>
        <w:t>Costs were estimated from the perspective of the Australian society</w:t>
      </w:r>
      <w:r w:rsidR="00E75FF2">
        <w:t>;</w:t>
      </w:r>
      <w:r>
        <w:t xml:space="preserve"> however</w:t>
      </w:r>
      <w:r w:rsidR="00E75FF2">
        <w:t>,</w:t>
      </w:r>
      <w:r>
        <w:t xml:space="preserve"> patient’s travel costs or costs associated with loss of/or reduction in productivity were not included. </w:t>
      </w:r>
    </w:p>
    <w:p w:rsidR="00F71B25" w:rsidRDefault="00F71B25" w:rsidP="00524485">
      <w:pPr>
        <w:pStyle w:val="Heading3"/>
      </w:pPr>
      <w:r>
        <w:t>MBS items</w:t>
      </w:r>
    </w:p>
    <w:p w:rsidR="00F71B25" w:rsidRDefault="00F71B25" w:rsidP="00524485">
      <w:r>
        <w:t>The MBS item fees, which represent the Australian Government contribution to each procedure, were obtained from MBS online (</w:t>
      </w:r>
      <w:r w:rsidR="006F654A">
        <w:t xml:space="preserve">See </w:t>
      </w:r>
      <w:r w:rsidR="00280A83">
        <w:fldChar w:fldCharType="begin"/>
      </w:r>
      <w:r w:rsidR="00280A83">
        <w:instrText xml:space="preserve"> REF _Ref324949443 \h </w:instrText>
      </w:r>
      <w:r w:rsidR="00280A83">
        <w:fldChar w:fldCharType="separate"/>
      </w:r>
      <w:r w:rsidR="0071544A">
        <w:t xml:space="preserve">Table </w:t>
      </w:r>
      <w:r w:rsidR="0071544A">
        <w:rPr>
          <w:noProof/>
        </w:rPr>
        <w:t>48</w:t>
      </w:r>
      <w:r w:rsidR="00280A83">
        <w:fldChar w:fldCharType="end"/>
      </w:r>
      <w:r>
        <w:t xml:space="preserve">). The patient receives a reimbursement of 75 per cent of the schedule fee for inpatient services and 85 per cent for outpatient services. Consequently the benefit amount and not the full Medicare schedule fee were used in the model. Using the full fee would double count some of the co-payment contribution. </w:t>
      </w:r>
    </w:p>
    <w:p w:rsidR="00F71B25" w:rsidRDefault="00F71B25" w:rsidP="00524485">
      <w:pPr>
        <w:pStyle w:val="Heading3"/>
      </w:pPr>
      <w:r>
        <w:t>Average co-payments</w:t>
      </w:r>
    </w:p>
    <w:p w:rsidR="00F71B25" w:rsidRDefault="00F71B25" w:rsidP="00524485">
      <w:r>
        <w:t>Average co-payments were provided by the Department of Health and Ageing</w:t>
      </w:r>
      <w:r w:rsidR="00280A83">
        <w:t xml:space="preserve"> (</w:t>
      </w:r>
      <w:r w:rsidR="006F654A">
        <w:t xml:space="preserve">See </w:t>
      </w:r>
      <w:r w:rsidR="00280A83">
        <w:fldChar w:fldCharType="begin"/>
      </w:r>
      <w:r w:rsidR="00280A83">
        <w:instrText xml:space="preserve"> REF _Ref324949443 \h </w:instrText>
      </w:r>
      <w:r w:rsidR="00280A83">
        <w:fldChar w:fldCharType="separate"/>
      </w:r>
      <w:r w:rsidR="0071544A">
        <w:t xml:space="preserve">Table </w:t>
      </w:r>
      <w:r w:rsidR="0071544A">
        <w:rPr>
          <w:noProof/>
        </w:rPr>
        <w:t>48</w:t>
      </w:r>
      <w:r w:rsidR="00280A83">
        <w:fldChar w:fldCharType="end"/>
      </w:r>
      <w:r w:rsidR="00280A83">
        <w:t>)</w:t>
      </w:r>
      <w:r>
        <w:t>. The co-payment component is calculated as the MBS fee charged minus the MBS benefit paid plus any additional specialist fees. The co-payment may not be the exact patient contribution, since it may also include some insurance contribution (up to 25% of the MBS fee). To avoid double counting, the 25 per cent insurance contribution is not included as a separate cost. The co-payments are calculated as averages of all procedures claimed under the item number. Consequently, there may be a degree of heterogeneity</w:t>
      </w:r>
      <w:r w:rsidR="00E75FF2">
        <w:t>;</w:t>
      </w:r>
      <w:r>
        <w:t xml:space="preserve"> therefore</w:t>
      </w:r>
      <w:r w:rsidR="00E75FF2">
        <w:t>,</w:t>
      </w:r>
      <w:r>
        <w:t xml:space="preserve"> the accuracy of the co-payment is dependent on the other procedures that are also claimed under the same item number.</w:t>
      </w:r>
    </w:p>
    <w:p w:rsidR="00981064" w:rsidRPr="00C605D6" w:rsidRDefault="00280A83" w:rsidP="00280A83">
      <w:pPr>
        <w:pStyle w:val="Caption"/>
      </w:pPr>
      <w:bookmarkStart w:id="216" w:name="_Ref324949443"/>
      <w:bookmarkStart w:id="217" w:name="_Toc327522092"/>
      <w:r>
        <w:lastRenderedPageBreak/>
        <w:t xml:space="preserve">Table </w:t>
      </w:r>
      <w:fldSimple w:instr=" SEQ Table \* ARABIC ">
        <w:r w:rsidR="0071544A">
          <w:rPr>
            <w:noProof/>
          </w:rPr>
          <w:t>48</w:t>
        </w:r>
      </w:fldSimple>
      <w:bookmarkEnd w:id="216"/>
      <w:r w:rsidR="00981064" w:rsidRPr="00C605D6">
        <w:tab/>
        <w:t>MBS item numbers, fees and co-payments</w:t>
      </w:r>
      <w:bookmarkEnd w:id="217"/>
    </w:p>
    <w:tbl>
      <w:tblPr>
        <w:tblW w:w="8222" w:type="dxa"/>
        <w:tblInd w:w="720" w:type="dxa"/>
        <w:tblBorders>
          <w:top w:val="single" w:sz="12" w:space="0" w:color="auto"/>
          <w:bottom w:val="single" w:sz="12" w:space="0" w:color="auto"/>
        </w:tblBorders>
        <w:tblLook w:val="00A0" w:firstRow="1" w:lastRow="0" w:firstColumn="1" w:lastColumn="0" w:noHBand="0" w:noVBand="0"/>
      </w:tblPr>
      <w:tblGrid>
        <w:gridCol w:w="3827"/>
        <w:gridCol w:w="687"/>
        <w:gridCol w:w="1054"/>
        <w:gridCol w:w="1350"/>
        <w:gridCol w:w="1304"/>
      </w:tblGrid>
      <w:tr w:rsidR="00981064" w:rsidRPr="00C605D6" w:rsidTr="00C5538A">
        <w:trPr>
          <w:trHeight w:val="227"/>
        </w:trPr>
        <w:tc>
          <w:tcPr>
            <w:tcW w:w="3827" w:type="dxa"/>
            <w:tcBorders>
              <w:top w:val="single" w:sz="12" w:space="0" w:color="auto"/>
              <w:bottom w:val="single" w:sz="4" w:space="0" w:color="auto"/>
            </w:tcBorders>
            <w:noWrap/>
            <w:vAlign w:val="bottom"/>
          </w:tcPr>
          <w:p w:rsidR="00981064" w:rsidRPr="00C605D6" w:rsidRDefault="00981064" w:rsidP="00981064">
            <w:pPr>
              <w:pStyle w:val="TableHeading0"/>
            </w:pPr>
            <w:r w:rsidRPr="00C605D6">
              <w:t>MBS item</w:t>
            </w:r>
          </w:p>
        </w:tc>
        <w:tc>
          <w:tcPr>
            <w:tcW w:w="687" w:type="dxa"/>
            <w:tcBorders>
              <w:top w:val="single" w:sz="12" w:space="0" w:color="auto"/>
              <w:bottom w:val="single" w:sz="4" w:space="0" w:color="auto"/>
            </w:tcBorders>
            <w:noWrap/>
            <w:vAlign w:val="bottom"/>
          </w:tcPr>
          <w:p w:rsidR="00981064" w:rsidRPr="00C605D6" w:rsidRDefault="00981064" w:rsidP="00AC313E">
            <w:pPr>
              <w:pStyle w:val="TableHeading0"/>
              <w:jc w:val="right"/>
            </w:pPr>
            <w:r w:rsidRPr="00C605D6">
              <w:t>Item#</w:t>
            </w:r>
          </w:p>
        </w:tc>
        <w:tc>
          <w:tcPr>
            <w:tcW w:w="1054" w:type="dxa"/>
            <w:tcBorders>
              <w:top w:val="single" w:sz="12" w:space="0" w:color="auto"/>
              <w:bottom w:val="single" w:sz="4" w:space="0" w:color="auto"/>
            </w:tcBorders>
            <w:noWrap/>
            <w:vAlign w:val="bottom"/>
          </w:tcPr>
          <w:p w:rsidR="00981064" w:rsidRPr="00C605D6" w:rsidRDefault="00981064" w:rsidP="00AC313E">
            <w:pPr>
              <w:pStyle w:val="TableHeading0"/>
              <w:jc w:val="right"/>
            </w:pPr>
            <w:r w:rsidRPr="00C605D6">
              <w:t>MBS fee</w:t>
            </w:r>
          </w:p>
        </w:tc>
        <w:tc>
          <w:tcPr>
            <w:tcW w:w="1350" w:type="dxa"/>
            <w:tcBorders>
              <w:top w:val="single" w:sz="12" w:space="0" w:color="auto"/>
              <w:bottom w:val="single" w:sz="4" w:space="0" w:color="auto"/>
            </w:tcBorders>
            <w:noWrap/>
            <w:vAlign w:val="bottom"/>
          </w:tcPr>
          <w:p w:rsidR="00981064" w:rsidRPr="00C605D6" w:rsidRDefault="00981064" w:rsidP="00C5538A">
            <w:pPr>
              <w:pStyle w:val="TableHeading0"/>
              <w:jc w:val="right"/>
            </w:pPr>
            <w:r w:rsidRPr="00C605D6">
              <w:t>MBS benefit</w:t>
            </w:r>
            <w:r w:rsidR="00C5538A" w:rsidRPr="00C5538A">
              <w:rPr>
                <w:vertAlign w:val="superscript"/>
              </w:rPr>
              <w:t>a</w:t>
            </w:r>
          </w:p>
        </w:tc>
        <w:tc>
          <w:tcPr>
            <w:tcW w:w="1304" w:type="dxa"/>
            <w:tcBorders>
              <w:top w:val="single" w:sz="12" w:space="0" w:color="auto"/>
              <w:bottom w:val="single" w:sz="4" w:space="0" w:color="auto"/>
            </w:tcBorders>
            <w:noWrap/>
            <w:vAlign w:val="bottom"/>
          </w:tcPr>
          <w:p w:rsidR="00981064" w:rsidRPr="00C605D6" w:rsidRDefault="00981064" w:rsidP="00AC313E">
            <w:pPr>
              <w:pStyle w:val="TableHeading0"/>
              <w:jc w:val="right"/>
            </w:pPr>
            <w:r w:rsidRPr="00C605D6">
              <w:t>Co-payment</w:t>
            </w:r>
          </w:p>
        </w:tc>
      </w:tr>
      <w:tr w:rsidR="00981064" w:rsidRPr="00C605D6" w:rsidTr="00C5538A">
        <w:trPr>
          <w:trHeight w:val="227"/>
        </w:trPr>
        <w:tc>
          <w:tcPr>
            <w:tcW w:w="3827" w:type="dxa"/>
            <w:tcBorders>
              <w:top w:val="single" w:sz="4" w:space="0" w:color="auto"/>
            </w:tcBorders>
            <w:noWrap/>
            <w:vAlign w:val="bottom"/>
          </w:tcPr>
          <w:p w:rsidR="00981064" w:rsidRPr="00C605D6" w:rsidRDefault="00383CB5" w:rsidP="00884714">
            <w:pPr>
              <w:pStyle w:val="TableText0"/>
              <w:rPr>
                <w:lang w:val="en-US"/>
              </w:rPr>
            </w:pPr>
            <w:r w:rsidRPr="00C605D6">
              <w:rPr>
                <w:lang w:val="en-US"/>
              </w:rPr>
              <w:t>Specialist consultation</w:t>
            </w:r>
          </w:p>
        </w:tc>
        <w:tc>
          <w:tcPr>
            <w:tcW w:w="687" w:type="dxa"/>
            <w:tcBorders>
              <w:top w:val="single" w:sz="4" w:space="0" w:color="auto"/>
            </w:tcBorders>
            <w:noWrap/>
            <w:vAlign w:val="bottom"/>
          </w:tcPr>
          <w:p w:rsidR="00981064" w:rsidRPr="00C605D6" w:rsidRDefault="00981064" w:rsidP="00AC313E">
            <w:pPr>
              <w:pStyle w:val="TableText0"/>
              <w:jc w:val="right"/>
              <w:rPr>
                <w:lang w:val="en-US"/>
              </w:rPr>
            </w:pPr>
            <w:r w:rsidRPr="00C605D6">
              <w:rPr>
                <w:lang w:val="en-US"/>
              </w:rPr>
              <w:t>104</w:t>
            </w:r>
          </w:p>
        </w:tc>
        <w:tc>
          <w:tcPr>
            <w:tcW w:w="1054" w:type="dxa"/>
            <w:tcBorders>
              <w:top w:val="single" w:sz="4" w:space="0" w:color="auto"/>
            </w:tcBorders>
            <w:noWrap/>
            <w:vAlign w:val="bottom"/>
          </w:tcPr>
          <w:p w:rsidR="00981064" w:rsidRPr="00C605D6" w:rsidRDefault="00981064" w:rsidP="00AC313E">
            <w:pPr>
              <w:pStyle w:val="TableText0"/>
              <w:jc w:val="right"/>
              <w:rPr>
                <w:lang w:val="en-US"/>
              </w:rPr>
            </w:pPr>
            <w:r w:rsidRPr="00C605D6">
              <w:rPr>
                <w:lang w:val="en-US"/>
              </w:rPr>
              <w:t>$84</w:t>
            </w:r>
          </w:p>
        </w:tc>
        <w:tc>
          <w:tcPr>
            <w:tcW w:w="1350" w:type="dxa"/>
            <w:tcBorders>
              <w:top w:val="single" w:sz="4" w:space="0" w:color="auto"/>
            </w:tcBorders>
            <w:noWrap/>
            <w:vAlign w:val="bottom"/>
          </w:tcPr>
          <w:p w:rsidR="00981064" w:rsidRPr="00C605D6" w:rsidRDefault="00981064" w:rsidP="00AC313E">
            <w:pPr>
              <w:pStyle w:val="TableText0"/>
              <w:jc w:val="right"/>
              <w:rPr>
                <w:lang w:val="en-US"/>
              </w:rPr>
            </w:pPr>
            <w:r w:rsidRPr="00C605D6">
              <w:rPr>
                <w:lang w:val="en-US"/>
              </w:rPr>
              <w:t>$71</w:t>
            </w:r>
          </w:p>
        </w:tc>
        <w:tc>
          <w:tcPr>
            <w:tcW w:w="1304" w:type="dxa"/>
            <w:tcBorders>
              <w:top w:val="single" w:sz="4" w:space="0" w:color="auto"/>
            </w:tcBorders>
            <w:noWrap/>
            <w:vAlign w:val="bottom"/>
          </w:tcPr>
          <w:p w:rsidR="00981064" w:rsidRPr="00C605D6" w:rsidRDefault="00981064" w:rsidP="00AC313E">
            <w:pPr>
              <w:pStyle w:val="TableText0"/>
              <w:jc w:val="right"/>
              <w:rPr>
                <w:lang w:val="en-US"/>
              </w:rPr>
            </w:pPr>
            <w:r w:rsidRPr="00C605D6">
              <w:rPr>
                <w:lang w:val="en-US"/>
              </w:rPr>
              <w:t>$68</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Subsequent specialist consultation</w:t>
            </w:r>
          </w:p>
        </w:tc>
        <w:tc>
          <w:tcPr>
            <w:tcW w:w="687" w:type="dxa"/>
            <w:noWrap/>
            <w:vAlign w:val="bottom"/>
          </w:tcPr>
          <w:p w:rsidR="00981064" w:rsidRPr="00C605D6" w:rsidRDefault="00981064" w:rsidP="00AC313E">
            <w:pPr>
              <w:pStyle w:val="TableText0"/>
              <w:jc w:val="right"/>
              <w:rPr>
                <w:lang w:val="en-US"/>
              </w:rPr>
            </w:pPr>
            <w:r w:rsidRPr="00C605D6">
              <w:rPr>
                <w:lang w:val="en-US"/>
              </w:rPr>
              <w:t>105</w:t>
            </w:r>
          </w:p>
        </w:tc>
        <w:tc>
          <w:tcPr>
            <w:tcW w:w="1054" w:type="dxa"/>
            <w:noWrap/>
            <w:vAlign w:val="bottom"/>
          </w:tcPr>
          <w:p w:rsidR="00981064" w:rsidRPr="00C605D6" w:rsidRDefault="00981064" w:rsidP="00AC313E">
            <w:pPr>
              <w:pStyle w:val="TableText0"/>
              <w:jc w:val="right"/>
              <w:rPr>
                <w:lang w:val="en-US"/>
              </w:rPr>
            </w:pPr>
            <w:r w:rsidRPr="00C605D6">
              <w:rPr>
                <w:lang w:val="en-US"/>
              </w:rPr>
              <w:t>$42</w:t>
            </w:r>
          </w:p>
        </w:tc>
        <w:tc>
          <w:tcPr>
            <w:tcW w:w="1350" w:type="dxa"/>
            <w:noWrap/>
            <w:vAlign w:val="bottom"/>
          </w:tcPr>
          <w:p w:rsidR="00981064" w:rsidRPr="00C605D6" w:rsidRDefault="00981064" w:rsidP="00AC313E">
            <w:pPr>
              <w:pStyle w:val="TableText0"/>
              <w:jc w:val="right"/>
              <w:rPr>
                <w:lang w:val="en-US"/>
              </w:rPr>
            </w:pPr>
            <w:r w:rsidRPr="00C605D6">
              <w:rPr>
                <w:lang w:val="en-US"/>
              </w:rPr>
              <w:t>$36</w:t>
            </w:r>
          </w:p>
        </w:tc>
        <w:tc>
          <w:tcPr>
            <w:tcW w:w="1304" w:type="dxa"/>
            <w:noWrap/>
            <w:vAlign w:val="bottom"/>
          </w:tcPr>
          <w:p w:rsidR="00981064" w:rsidRPr="00C605D6" w:rsidRDefault="00981064" w:rsidP="00AC313E">
            <w:pPr>
              <w:pStyle w:val="TableText0"/>
              <w:jc w:val="right"/>
              <w:rPr>
                <w:lang w:val="en-US"/>
              </w:rPr>
            </w:pPr>
            <w:r w:rsidRPr="00C605D6">
              <w:rPr>
                <w:lang w:val="en-US"/>
              </w:rPr>
              <w:t>$37</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Consultant attendance</w:t>
            </w:r>
          </w:p>
        </w:tc>
        <w:tc>
          <w:tcPr>
            <w:tcW w:w="687" w:type="dxa"/>
            <w:noWrap/>
            <w:vAlign w:val="bottom"/>
          </w:tcPr>
          <w:p w:rsidR="00981064" w:rsidRPr="00C605D6" w:rsidRDefault="00981064" w:rsidP="00AC313E">
            <w:pPr>
              <w:pStyle w:val="TableText0"/>
              <w:jc w:val="right"/>
              <w:rPr>
                <w:lang w:val="en-US"/>
              </w:rPr>
            </w:pPr>
            <w:r w:rsidRPr="00C605D6">
              <w:rPr>
                <w:lang w:val="en-US"/>
              </w:rPr>
              <w:t>110</w:t>
            </w:r>
          </w:p>
        </w:tc>
        <w:tc>
          <w:tcPr>
            <w:tcW w:w="1054" w:type="dxa"/>
            <w:noWrap/>
            <w:vAlign w:val="bottom"/>
          </w:tcPr>
          <w:p w:rsidR="00981064" w:rsidRPr="00C605D6" w:rsidRDefault="00981064" w:rsidP="00AC313E">
            <w:pPr>
              <w:pStyle w:val="TableText0"/>
              <w:jc w:val="right"/>
              <w:rPr>
                <w:lang w:val="en-US"/>
              </w:rPr>
            </w:pPr>
            <w:r w:rsidRPr="00C605D6">
              <w:rPr>
                <w:lang w:val="en-US"/>
              </w:rPr>
              <w:t>$148</w:t>
            </w:r>
          </w:p>
        </w:tc>
        <w:tc>
          <w:tcPr>
            <w:tcW w:w="1350" w:type="dxa"/>
            <w:noWrap/>
            <w:vAlign w:val="bottom"/>
          </w:tcPr>
          <w:p w:rsidR="00981064" w:rsidRPr="00C605D6" w:rsidRDefault="00981064" w:rsidP="00AC313E">
            <w:pPr>
              <w:pStyle w:val="TableText0"/>
              <w:jc w:val="right"/>
              <w:rPr>
                <w:lang w:val="en-US"/>
              </w:rPr>
            </w:pPr>
            <w:r w:rsidRPr="00C605D6">
              <w:rPr>
                <w:lang w:val="en-US"/>
              </w:rPr>
              <w:t>$126</w:t>
            </w:r>
          </w:p>
        </w:tc>
        <w:tc>
          <w:tcPr>
            <w:tcW w:w="1304" w:type="dxa"/>
            <w:noWrap/>
            <w:vAlign w:val="bottom"/>
          </w:tcPr>
          <w:p w:rsidR="00981064" w:rsidRPr="00C605D6" w:rsidRDefault="00981064" w:rsidP="00AC313E">
            <w:pPr>
              <w:pStyle w:val="TableText0"/>
              <w:jc w:val="right"/>
              <w:rPr>
                <w:lang w:val="en-US"/>
              </w:rPr>
            </w:pPr>
            <w:r w:rsidRPr="00C605D6">
              <w:rPr>
                <w:lang w:val="en-US"/>
              </w:rPr>
              <w:t>$67</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Subsequent consultant attendance</w:t>
            </w:r>
          </w:p>
        </w:tc>
        <w:tc>
          <w:tcPr>
            <w:tcW w:w="687" w:type="dxa"/>
            <w:noWrap/>
            <w:vAlign w:val="bottom"/>
          </w:tcPr>
          <w:p w:rsidR="00981064" w:rsidRPr="00C605D6" w:rsidRDefault="00981064" w:rsidP="00AC313E">
            <w:pPr>
              <w:pStyle w:val="TableText0"/>
              <w:jc w:val="right"/>
              <w:rPr>
                <w:lang w:val="en-US"/>
              </w:rPr>
            </w:pPr>
            <w:r w:rsidRPr="00C605D6">
              <w:rPr>
                <w:lang w:val="en-US"/>
              </w:rPr>
              <w:t>116</w:t>
            </w:r>
          </w:p>
        </w:tc>
        <w:tc>
          <w:tcPr>
            <w:tcW w:w="1054" w:type="dxa"/>
            <w:noWrap/>
            <w:vAlign w:val="bottom"/>
          </w:tcPr>
          <w:p w:rsidR="00981064" w:rsidRPr="00C605D6" w:rsidRDefault="00981064" w:rsidP="00AC313E">
            <w:pPr>
              <w:pStyle w:val="TableText0"/>
              <w:jc w:val="right"/>
              <w:rPr>
                <w:lang w:val="en-US"/>
              </w:rPr>
            </w:pPr>
            <w:r w:rsidRPr="00C605D6">
              <w:rPr>
                <w:lang w:val="en-US"/>
              </w:rPr>
              <w:t>$74</w:t>
            </w:r>
          </w:p>
        </w:tc>
        <w:tc>
          <w:tcPr>
            <w:tcW w:w="1350" w:type="dxa"/>
            <w:noWrap/>
            <w:vAlign w:val="bottom"/>
          </w:tcPr>
          <w:p w:rsidR="00981064" w:rsidRPr="00C605D6" w:rsidRDefault="00981064" w:rsidP="00AC313E">
            <w:pPr>
              <w:pStyle w:val="TableText0"/>
              <w:jc w:val="right"/>
              <w:rPr>
                <w:lang w:val="en-US"/>
              </w:rPr>
            </w:pPr>
            <w:r w:rsidRPr="00C605D6">
              <w:rPr>
                <w:lang w:val="en-US"/>
              </w:rPr>
              <w:t>$63</w:t>
            </w:r>
          </w:p>
        </w:tc>
        <w:tc>
          <w:tcPr>
            <w:tcW w:w="1304" w:type="dxa"/>
            <w:noWrap/>
            <w:vAlign w:val="bottom"/>
          </w:tcPr>
          <w:p w:rsidR="00981064" w:rsidRPr="00C605D6" w:rsidRDefault="00981064" w:rsidP="00AC313E">
            <w:pPr>
              <w:pStyle w:val="TableText0"/>
              <w:jc w:val="right"/>
              <w:rPr>
                <w:lang w:val="en-US"/>
              </w:rPr>
            </w:pPr>
            <w:r w:rsidRPr="00C605D6">
              <w:rPr>
                <w:lang w:val="en-US"/>
              </w:rPr>
              <w:t>$34</w:t>
            </w:r>
          </w:p>
        </w:tc>
      </w:tr>
      <w:tr w:rsidR="00981064" w:rsidRPr="00C605D6" w:rsidTr="00C5538A">
        <w:trPr>
          <w:trHeight w:val="227"/>
        </w:trPr>
        <w:tc>
          <w:tcPr>
            <w:tcW w:w="3827" w:type="dxa"/>
            <w:noWrap/>
            <w:vAlign w:val="bottom"/>
          </w:tcPr>
          <w:p w:rsidR="00981064" w:rsidRPr="00C605D6" w:rsidRDefault="00383CB5" w:rsidP="008D3530">
            <w:pPr>
              <w:pStyle w:val="TableText0"/>
              <w:rPr>
                <w:lang w:val="en-US"/>
              </w:rPr>
            </w:pPr>
            <w:r>
              <w:rPr>
                <w:lang w:val="en-US"/>
              </w:rPr>
              <w:t>Colostomy/</w:t>
            </w:r>
            <w:r w:rsidRPr="00C605D6">
              <w:rPr>
                <w:lang w:val="en-US"/>
              </w:rPr>
              <w:t xml:space="preserve">laparotomy </w:t>
            </w:r>
          </w:p>
        </w:tc>
        <w:tc>
          <w:tcPr>
            <w:tcW w:w="687" w:type="dxa"/>
            <w:noWrap/>
            <w:vAlign w:val="bottom"/>
          </w:tcPr>
          <w:p w:rsidR="00981064" w:rsidRPr="00C605D6" w:rsidRDefault="00981064" w:rsidP="00AC313E">
            <w:pPr>
              <w:pStyle w:val="TableText0"/>
              <w:jc w:val="right"/>
              <w:rPr>
                <w:lang w:val="en-US"/>
              </w:rPr>
            </w:pPr>
            <w:r w:rsidRPr="00C605D6">
              <w:rPr>
                <w:lang w:val="en-US"/>
              </w:rPr>
              <w:t>30375</w:t>
            </w:r>
          </w:p>
        </w:tc>
        <w:tc>
          <w:tcPr>
            <w:tcW w:w="1054" w:type="dxa"/>
            <w:noWrap/>
            <w:vAlign w:val="bottom"/>
          </w:tcPr>
          <w:p w:rsidR="00981064" w:rsidRPr="00C605D6" w:rsidRDefault="00981064" w:rsidP="00AC313E">
            <w:pPr>
              <w:pStyle w:val="TableText0"/>
              <w:jc w:val="right"/>
              <w:rPr>
                <w:lang w:val="en-US"/>
              </w:rPr>
            </w:pPr>
            <w:r w:rsidRPr="00C605D6">
              <w:rPr>
                <w:lang w:val="en-US"/>
              </w:rPr>
              <w:t>$512</w:t>
            </w:r>
          </w:p>
        </w:tc>
        <w:tc>
          <w:tcPr>
            <w:tcW w:w="1350" w:type="dxa"/>
            <w:noWrap/>
            <w:vAlign w:val="bottom"/>
          </w:tcPr>
          <w:p w:rsidR="00981064" w:rsidRPr="00C605D6" w:rsidRDefault="00981064" w:rsidP="00AC313E">
            <w:pPr>
              <w:pStyle w:val="TableText0"/>
              <w:jc w:val="right"/>
              <w:rPr>
                <w:lang w:val="en-US"/>
              </w:rPr>
            </w:pPr>
            <w:r w:rsidRPr="00C605D6">
              <w:rPr>
                <w:lang w:val="en-US"/>
              </w:rPr>
              <w:t>$384</w:t>
            </w:r>
          </w:p>
        </w:tc>
        <w:tc>
          <w:tcPr>
            <w:tcW w:w="1304" w:type="dxa"/>
            <w:noWrap/>
            <w:vAlign w:val="bottom"/>
          </w:tcPr>
          <w:p w:rsidR="00981064" w:rsidRPr="00C605D6" w:rsidRDefault="00981064" w:rsidP="00AC313E">
            <w:pPr>
              <w:pStyle w:val="TableText0"/>
              <w:jc w:val="right"/>
              <w:rPr>
                <w:lang w:val="en-US"/>
              </w:rPr>
            </w:pPr>
            <w:r w:rsidRPr="00C605D6">
              <w:rPr>
                <w:lang w:val="en-US"/>
              </w:rPr>
              <w:t>$217</w:t>
            </w:r>
          </w:p>
        </w:tc>
      </w:tr>
      <w:tr w:rsidR="00981064" w:rsidRPr="00C605D6" w:rsidTr="00C5538A">
        <w:trPr>
          <w:trHeight w:val="227"/>
        </w:trPr>
        <w:tc>
          <w:tcPr>
            <w:tcW w:w="3827" w:type="dxa"/>
            <w:noWrap/>
            <w:vAlign w:val="bottom"/>
          </w:tcPr>
          <w:p w:rsidR="00981064" w:rsidRPr="00C605D6" w:rsidRDefault="00383CB5" w:rsidP="006D43B0">
            <w:pPr>
              <w:pStyle w:val="TableText0"/>
              <w:rPr>
                <w:lang w:val="en-US"/>
              </w:rPr>
            </w:pPr>
            <w:r w:rsidRPr="00C605D6">
              <w:rPr>
                <w:lang w:val="en-US"/>
              </w:rPr>
              <w:t xml:space="preserve">Resection with anastomosis </w:t>
            </w:r>
          </w:p>
        </w:tc>
        <w:tc>
          <w:tcPr>
            <w:tcW w:w="687" w:type="dxa"/>
            <w:noWrap/>
            <w:vAlign w:val="bottom"/>
          </w:tcPr>
          <w:p w:rsidR="00981064" w:rsidRPr="00C605D6" w:rsidRDefault="00981064" w:rsidP="00AC313E">
            <w:pPr>
              <w:pStyle w:val="TableText0"/>
              <w:jc w:val="right"/>
              <w:rPr>
                <w:lang w:val="en-US"/>
              </w:rPr>
            </w:pPr>
            <w:r w:rsidRPr="00C605D6">
              <w:rPr>
                <w:lang w:val="en-US"/>
              </w:rPr>
              <w:t>32024</w:t>
            </w:r>
          </w:p>
        </w:tc>
        <w:tc>
          <w:tcPr>
            <w:tcW w:w="1054" w:type="dxa"/>
            <w:noWrap/>
            <w:vAlign w:val="bottom"/>
          </w:tcPr>
          <w:p w:rsidR="00981064" w:rsidRPr="00C605D6" w:rsidRDefault="00981064" w:rsidP="00AC313E">
            <w:pPr>
              <w:pStyle w:val="TableText0"/>
              <w:jc w:val="right"/>
              <w:rPr>
                <w:lang w:val="en-US"/>
              </w:rPr>
            </w:pPr>
            <w:r w:rsidRPr="00C605D6">
              <w:rPr>
                <w:lang w:val="en-US"/>
              </w:rPr>
              <w:t>$1,339</w:t>
            </w:r>
          </w:p>
        </w:tc>
        <w:tc>
          <w:tcPr>
            <w:tcW w:w="1350" w:type="dxa"/>
            <w:noWrap/>
            <w:vAlign w:val="bottom"/>
          </w:tcPr>
          <w:p w:rsidR="00981064" w:rsidRPr="00C605D6" w:rsidRDefault="00981064" w:rsidP="00AC313E">
            <w:pPr>
              <w:pStyle w:val="TableText0"/>
              <w:jc w:val="right"/>
              <w:rPr>
                <w:lang w:val="en-US"/>
              </w:rPr>
            </w:pPr>
            <w:r w:rsidRPr="00C605D6">
              <w:rPr>
                <w:lang w:val="en-US"/>
              </w:rPr>
              <w:t>$1,004</w:t>
            </w:r>
          </w:p>
        </w:tc>
        <w:tc>
          <w:tcPr>
            <w:tcW w:w="1304" w:type="dxa"/>
            <w:noWrap/>
            <w:vAlign w:val="bottom"/>
          </w:tcPr>
          <w:p w:rsidR="00981064" w:rsidRPr="00C605D6" w:rsidRDefault="00981064" w:rsidP="00AC313E">
            <w:pPr>
              <w:pStyle w:val="TableText0"/>
              <w:jc w:val="right"/>
              <w:rPr>
                <w:lang w:val="en-US"/>
              </w:rPr>
            </w:pPr>
            <w:r w:rsidRPr="00C605D6">
              <w:rPr>
                <w:lang w:val="en-US"/>
              </w:rPr>
              <w:t>$977</w:t>
            </w:r>
          </w:p>
        </w:tc>
      </w:tr>
      <w:tr w:rsidR="00981064" w:rsidRPr="00C605D6" w:rsidTr="00C5538A">
        <w:trPr>
          <w:trHeight w:val="227"/>
        </w:trPr>
        <w:tc>
          <w:tcPr>
            <w:tcW w:w="3827" w:type="dxa"/>
            <w:noWrap/>
            <w:vAlign w:val="bottom"/>
          </w:tcPr>
          <w:p w:rsidR="00981064" w:rsidRPr="00C605D6" w:rsidRDefault="00383CB5" w:rsidP="006D43B0">
            <w:pPr>
              <w:pStyle w:val="TableText0"/>
              <w:rPr>
                <w:lang w:val="en-US"/>
              </w:rPr>
            </w:pPr>
            <w:r w:rsidRPr="00C605D6">
              <w:rPr>
                <w:lang w:val="en-US"/>
              </w:rPr>
              <w:t xml:space="preserve">Rectosigmoidectomy </w:t>
            </w:r>
          </w:p>
        </w:tc>
        <w:tc>
          <w:tcPr>
            <w:tcW w:w="687" w:type="dxa"/>
            <w:noWrap/>
            <w:vAlign w:val="bottom"/>
          </w:tcPr>
          <w:p w:rsidR="00981064" w:rsidRPr="00C605D6" w:rsidRDefault="00981064" w:rsidP="00AC313E">
            <w:pPr>
              <w:pStyle w:val="TableText0"/>
              <w:jc w:val="right"/>
              <w:rPr>
                <w:lang w:val="en-US"/>
              </w:rPr>
            </w:pPr>
            <w:r w:rsidRPr="00C605D6">
              <w:rPr>
                <w:lang w:val="en-US"/>
              </w:rPr>
              <w:t>32030</w:t>
            </w:r>
          </w:p>
        </w:tc>
        <w:tc>
          <w:tcPr>
            <w:tcW w:w="1054" w:type="dxa"/>
            <w:noWrap/>
            <w:vAlign w:val="bottom"/>
          </w:tcPr>
          <w:p w:rsidR="00981064" w:rsidRPr="00C605D6" w:rsidRDefault="00981064" w:rsidP="00AC313E">
            <w:pPr>
              <w:pStyle w:val="TableText0"/>
              <w:jc w:val="right"/>
              <w:rPr>
                <w:lang w:val="en-US"/>
              </w:rPr>
            </w:pPr>
            <w:r w:rsidRPr="00C605D6">
              <w:rPr>
                <w:lang w:val="en-US"/>
              </w:rPr>
              <w:t>$1,012</w:t>
            </w:r>
          </w:p>
        </w:tc>
        <w:tc>
          <w:tcPr>
            <w:tcW w:w="1350" w:type="dxa"/>
            <w:noWrap/>
            <w:vAlign w:val="bottom"/>
          </w:tcPr>
          <w:p w:rsidR="00981064" w:rsidRPr="00C605D6" w:rsidRDefault="00981064" w:rsidP="00AC313E">
            <w:pPr>
              <w:pStyle w:val="TableText0"/>
              <w:jc w:val="right"/>
              <w:rPr>
                <w:lang w:val="en-US"/>
              </w:rPr>
            </w:pPr>
            <w:r w:rsidRPr="00C605D6">
              <w:rPr>
                <w:lang w:val="en-US"/>
              </w:rPr>
              <w:t>$759</w:t>
            </w:r>
          </w:p>
        </w:tc>
        <w:tc>
          <w:tcPr>
            <w:tcW w:w="1304" w:type="dxa"/>
            <w:noWrap/>
            <w:vAlign w:val="bottom"/>
          </w:tcPr>
          <w:p w:rsidR="00981064" w:rsidRPr="00C605D6" w:rsidRDefault="00981064" w:rsidP="00AC313E">
            <w:pPr>
              <w:pStyle w:val="TableText0"/>
              <w:jc w:val="right"/>
              <w:rPr>
                <w:lang w:val="en-US"/>
              </w:rPr>
            </w:pPr>
            <w:r w:rsidRPr="00C605D6">
              <w:rPr>
                <w:lang w:val="en-US"/>
              </w:rPr>
              <w:t>$579</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Restoration of bowel</w:t>
            </w:r>
          </w:p>
        </w:tc>
        <w:tc>
          <w:tcPr>
            <w:tcW w:w="687" w:type="dxa"/>
            <w:noWrap/>
            <w:vAlign w:val="bottom"/>
          </w:tcPr>
          <w:p w:rsidR="00981064" w:rsidRPr="00C605D6" w:rsidRDefault="00981064" w:rsidP="00AC313E">
            <w:pPr>
              <w:pStyle w:val="TableText0"/>
              <w:jc w:val="right"/>
              <w:rPr>
                <w:lang w:val="en-US"/>
              </w:rPr>
            </w:pPr>
            <w:r w:rsidRPr="00C605D6">
              <w:rPr>
                <w:lang w:val="en-US"/>
              </w:rPr>
              <w:t>32033</w:t>
            </w:r>
          </w:p>
        </w:tc>
        <w:tc>
          <w:tcPr>
            <w:tcW w:w="1054" w:type="dxa"/>
            <w:noWrap/>
            <w:vAlign w:val="bottom"/>
          </w:tcPr>
          <w:p w:rsidR="00981064" w:rsidRPr="00C605D6" w:rsidRDefault="00981064" w:rsidP="00AC313E">
            <w:pPr>
              <w:pStyle w:val="TableText0"/>
              <w:jc w:val="right"/>
              <w:rPr>
                <w:lang w:val="en-US"/>
              </w:rPr>
            </w:pPr>
            <w:r w:rsidRPr="00C605D6">
              <w:rPr>
                <w:lang w:val="en-US"/>
              </w:rPr>
              <w:t>$1,479</w:t>
            </w:r>
          </w:p>
        </w:tc>
        <w:tc>
          <w:tcPr>
            <w:tcW w:w="1350" w:type="dxa"/>
            <w:noWrap/>
            <w:vAlign w:val="bottom"/>
          </w:tcPr>
          <w:p w:rsidR="00981064" w:rsidRPr="00C605D6" w:rsidRDefault="00981064" w:rsidP="00AC313E">
            <w:pPr>
              <w:pStyle w:val="TableText0"/>
              <w:jc w:val="right"/>
              <w:rPr>
                <w:lang w:val="en-US"/>
              </w:rPr>
            </w:pPr>
            <w:r w:rsidRPr="00C605D6">
              <w:rPr>
                <w:lang w:val="en-US"/>
              </w:rPr>
              <w:t>$1,110</w:t>
            </w:r>
          </w:p>
        </w:tc>
        <w:tc>
          <w:tcPr>
            <w:tcW w:w="1304" w:type="dxa"/>
            <w:noWrap/>
            <w:vAlign w:val="bottom"/>
          </w:tcPr>
          <w:p w:rsidR="00981064" w:rsidRPr="00C605D6" w:rsidRDefault="00981064" w:rsidP="00AC313E">
            <w:pPr>
              <w:pStyle w:val="TableText0"/>
              <w:jc w:val="right"/>
              <w:rPr>
                <w:lang w:val="en-US"/>
              </w:rPr>
            </w:pPr>
            <w:r w:rsidRPr="00C605D6">
              <w:rPr>
                <w:lang w:val="en-US"/>
              </w:rPr>
              <w:t>$946</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Resection with primary anastomosis</w:t>
            </w:r>
          </w:p>
        </w:tc>
        <w:tc>
          <w:tcPr>
            <w:tcW w:w="687" w:type="dxa"/>
            <w:noWrap/>
            <w:vAlign w:val="bottom"/>
          </w:tcPr>
          <w:p w:rsidR="00981064" w:rsidRPr="00C605D6" w:rsidRDefault="00981064" w:rsidP="00AC313E">
            <w:pPr>
              <w:pStyle w:val="TableText0"/>
              <w:jc w:val="right"/>
              <w:rPr>
                <w:lang w:val="en-US"/>
              </w:rPr>
            </w:pPr>
            <w:r w:rsidRPr="00C605D6">
              <w:rPr>
                <w:lang w:val="en-US"/>
              </w:rPr>
              <w:t>32025</w:t>
            </w:r>
          </w:p>
        </w:tc>
        <w:tc>
          <w:tcPr>
            <w:tcW w:w="1054" w:type="dxa"/>
            <w:noWrap/>
            <w:vAlign w:val="bottom"/>
          </w:tcPr>
          <w:p w:rsidR="00981064" w:rsidRPr="00C605D6" w:rsidRDefault="00981064" w:rsidP="00AC313E">
            <w:pPr>
              <w:pStyle w:val="TableText0"/>
              <w:jc w:val="right"/>
              <w:rPr>
                <w:lang w:val="en-US"/>
              </w:rPr>
            </w:pPr>
            <w:r w:rsidRPr="00C605D6">
              <w:rPr>
                <w:lang w:val="en-US"/>
              </w:rPr>
              <w:t>$1,791</w:t>
            </w:r>
          </w:p>
        </w:tc>
        <w:tc>
          <w:tcPr>
            <w:tcW w:w="1350" w:type="dxa"/>
            <w:noWrap/>
            <w:vAlign w:val="bottom"/>
          </w:tcPr>
          <w:p w:rsidR="00981064" w:rsidRPr="00C605D6" w:rsidRDefault="00981064" w:rsidP="00AC313E">
            <w:pPr>
              <w:pStyle w:val="TableText0"/>
              <w:jc w:val="right"/>
              <w:rPr>
                <w:lang w:val="en-US"/>
              </w:rPr>
            </w:pPr>
            <w:r w:rsidRPr="00C605D6">
              <w:rPr>
                <w:lang w:val="en-US"/>
              </w:rPr>
              <w:t>$1,343</w:t>
            </w:r>
          </w:p>
        </w:tc>
        <w:tc>
          <w:tcPr>
            <w:tcW w:w="1304" w:type="dxa"/>
            <w:noWrap/>
            <w:vAlign w:val="bottom"/>
          </w:tcPr>
          <w:p w:rsidR="00981064" w:rsidRPr="00C605D6" w:rsidRDefault="00981064" w:rsidP="00AC313E">
            <w:pPr>
              <w:pStyle w:val="TableText0"/>
              <w:jc w:val="right"/>
              <w:rPr>
                <w:lang w:val="en-US"/>
              </w:rPr>
            </w:pPr>
            <w:r w:rsidRPr="00C605D6">
              <w:rPr>
                <w:lang w:val="en-US"/>
              </w:rPr>
              <w:t>$1,292</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Fibreoptic colonoscopy</w:t>
            </w:r>
          </w:p>
        </w:tc>
        <w:tc>
          <w:tcPr>
            <w:tcW w:w="687" w:type="dxa"/>
            <w:noWrap/>
            <w:vAlign w:val="bottom"/>
          </w:tcPr>
          <w:p w:rsidR="00981064" w:rsidRPr="00C605D6" w:rsidRDefault="00981064" w:rsidP="00AC313E">
            <w:pPr>
              <w:pStyle w:val="TableText0"/>
              <w:jc w:val="right"/>
              <w:rPr>
                <w:lang w:val="en-US"/>
              </w:rPr>
            </w:pPr>
            <w:r w:rsidRPr="00C605D6">
              <w:rPr>
                <w:lang w:val="en-US"/>
              </w:rPr>
              <w:t>32090</w:t>
            </w:r>
          </w:p>
        </w:tc>
        <w:tc>
          <w:tcPr>
            <w:tcW w:w="1054" w:type="dxa"/>
            <w:noWrap/>
            <w:vAlign w:val="bottom"/>
          </w:tcPr>
          <w:p w:rsidR="00981064" w:rsidRPr="00C605D6" w:rsidRDefault="00981064" w:rsidP="00AC313E">
            <w:pPr>
              <w:pStyle w:val="TableText0"/>
              <w:jc w:val="right"/>
              <w:rPr>
                <w:lang w:val="en-US"/>
              </w:rPr>
            </w:pPr>
            <w:r w:rsidRPr="00C605D6">
              <w:rPr>
                <w:lang w:val="en-US"/>
              </w:rPr>
              <w:t>$328</w:t>
            </w:r>
          </w:p>
        </w:tc>
        <w:tc>
          <w:tcPr>
            <w:tcW w:w="1350" w:type="dxa"/>
            <w:noWrap/>
            <w:vAlign w:val="bottom"/>
          </w:tcPr>
          <w:p w:rsidR="00981064" w:rsidRPr="00C605D6" w:rsidRDefault="00981064" w:rsidP="00AC313E">
            <w:pPr>
              <w:pStyle w:val="TableText0"/>
              <w:jc w:val="right"/>
              <w:rPr>
                <w:lang w:val="en-US"/>
              </w:rPr>
            </w:pPr>
            <w:r w:rsidRPr="00C605D6">
              <w:rPr>
                <w:lang w:val="en-US"/>
              </w:rPr>
              <w:t>$246</w:t>
            </w:r>
          </w:p>
        </w:tc>
        <w:tc>
          <w:tcPr>
            <w:tcW w:w="1304" w:type="dxa"/>
            <w:noWrap/>
            <w:vAlign w:val="bottom"/>
          </w:tcPr>
          <w:p w:rsidR="00981064" w:rsidRPr="00C605D6" w:rsidRDefault="00981064" w:rsidP="00AC313E">
            <w:pPr>
              <w:pStyle w:val="TableText0"/>
              <w:jc w:val="right"/>
              <w:rPr>
                <w:lang w:val="en-US"/>
              </w:rPr>
            </w:pPr>
            <w:r w:rsidRPr="00C605D6">
              <w:rPr>
                <w:lang w:val="en-US"/>
              </w:rPr>
              <w:t>$198</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Fluoroscopy with general anaesthesia</w:t>
            </w:r>
          </w:p>
        </w:tc>
        <w:tc>
          <w:tcPr>
            <w:tcW w:w="687" w:type="dxa"/>
            <w:noWrap/>
            <w:vAlign w:val="bottom"/>
          </w:tcPr>
          <w:p w:rsidR="00981064" w:rsidRPr="00C605D6" w:rsidRDefault="00981064" w:rsidP="00AC313E">
            <w:pPr>
              <w:pStyle w:val="TableText0"/>
              <w:jc w:val="right"/>
              <w:rPr>
                <w:lang w:val="en-US"/>
              </w:rPr>
            </w:pPr>
            <w:r w:rsidRPr="00C605D6">
              <w:rPr>
                <w:lang w:val="en-US"/>
              </w:rPr>
              <w:t>60500</w:t>
            </w:r>
          </w:p>
        </w:tc>
        <w:tc>
          <w:tcPr>
            <w:tcW w:w="1054" w:type="dxa"/>
            <w:noWrap/>
            <w:vAlign w:val="bottom"/>
          </w:tcPr>
          <w:p w:rsidR="00981064" w:rsidRPr="00C605D6" w:rsidRDefault="00981064" w:rsidP="00AC313E">
            <w:pPr>
              <w:pStyle w:val="TableText0"/>
              <w:jc w:val="right"/>
              <w:rPr>
                <w:lang w:val="en-US"/>
              </w:rPr>
            </w:pPr>
            <w:r w:rsidRPr="00C605D6">
              <w:rPr>
                <w:lang w:val="en-US"/>
              </w:rPr>
              <w:t>$43.40</w:t>
            </w:r>
          </w:p>
        </w:tc>
        <w:tc>
          <w:tcPr>
            <w:tcW w:w="1350" w:type="dxa"/>
            <w:noWrap/>
            <w:vAlign w:val="bottom"/>
          </w:tcPr>
          <w:p w:rsidR="00981064" w:rsidRPr="00C605D6" w:rsidRDefault="00981064" w:rsidP="00AC313E">
            <w:pPr>
              <w:pStyle w:val="TableText0"/>
              <w:jc w:val="right"/>
              <w:rPr>
                <w:lang w:val="en-US"/>
              </w:rPr>
            </w:pPr>
            <w:r w:rsidRPr="00C605D6">
              <w:rPr>
                <w:lang w:val="en-US"/>
              </w:rPr>
              <w:t>$32.55</w:t>
            </w:r>
          </w:p>
        </w:tc>
        <w:tc>
          <w:tcPr>
            <w:tcW w:w="1304" w:type="dxa"/>
            <w:noWrap/>
            <w:vAlign w:val="bottom"/>
          </w:tcPr>
          <w:p w:rsidR="00981064" w:rsidRPr="00C605D6" w:rsidRDefault="00981064" w:rsidP="00AC313E">
            <w:pPr>
              <w:pStyle w:val="TableText0"/>
              <w:jc w:val="right"/>
              <w:rPr>
                <w:lang w:val="en-US"/>
              </w:rPr>
            </w:pPr>
            <w:r w:rsidRPr="00C605D6">
              <w:rPr>
                <w:lang w:val="en-US"/>
              </w:rPr>
              <w:t>$12</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Fluoroscopy without general anaesthesia</w:t>
            </w:r>
          </w:p>
        </w:tc>
        <w:tc>
          <w:tcPr>
            <w:tcW w:w="687" w:type="dxa"/>
            <w:noWrap/>
            <w:vAlign w:val="bottom"/>
          </w:tcPr>
          <w:p w:rsidR="00981064" w:rsidRPr="00C605D6" w:rsidRDefault="00981064" w:rsidP="00AC313E">
            <w:pPr>
              <w:pStyle w:val="TableText0"/>
              <w:jc w:val="right"/>
              <w:rPr>
                <w:lang w:val="en-US"/>
              </w:rPr>
            </w:pPr>
            <w:r w:rsidRPr="00C605D6">
              <w:rPr>
                <w:lang w:val="en-US"/>
              </w:rPr>
              <w:t>60503</w:t>
            </w:r>
          </w:p>
        </w:tc>
        <w:tc>
          <w:tcPr>
            <w:tcW w:w="1054" w:type="dxa"/>
            <w:noWrap/>
            <w:vAlign w:val="bottom"/>
          </w:tcPr>
          <w:p w:rsidR="00981064" w:rsidRPr="00C605D6" w:rsidRDefault="00981064" w:rsidP="00AC313E">
            <w:pPr>
              <w:pStyle w:val="TableText0"/>
              <w:jc w:val="right"/>
              <w:rPr>
                <w:lang w:val="en-US"/>
              </w:rPr>
            </w:pPr>
            <w:r w:rsidRPr="00C605D6">
              <w:rPr>
                <w:lang w:val="en-US"/>
              </w:rPr>
              <w:t>$30</w:t>
            </w:r>
          </w:p>
        </w:tc>
        <w:tc>
          <w:tcPr>
            <w:tcW w:w="1350" w:type="dxa"/>
            <w:noWrap/>
            <w:vAlign w:val="bottom"/>
          </w:tcPr>
          <w:p w:rsidR="00981064" w:rsidRPr="00C605D6" w:rsidRDefault="00981064" w:rsidP="00AC313E">
            <w:pPr>
              <w:pStyle w:val="TableText0"/>
              <w:jc w:val="right"/>
              <w:rPr>
                <w:lang w:val="en-US"/>
              </w:rPr>
            </w:pPr>
            <w:r w:rsidRPr="00C605D6">
              <w:rPr>
                <w:lang w:val="en-US"/>
              </w:rPr>
              <w:t>$22</w:t>
            </w:r>
          </w:p>
        </w:tc>
        <w:tc>
          <w:tcPr>
            <w:tcW w:w="1304" w:type="dxa"/>
            <w:noWrap/>
            <w:vAlign w:val="bottom"/>
          </w:tcPr>
          <w:p w:rsidR="00981064" w:rsidRPr="00C605D6" w:rsidRDefault="00981064" w:rsidP="00AC313E">
            <w:pPr>
              <w:pStyle w:val="TableText0"/>
              <w:jc w:val="right"/>
              <w:rPr>
                <w:lang w:val="en-US"/>
              </w:rPr>
            </w:pPr>
            <w:r w:rsidRPr="00C605D6">
              <w:rPr>
                <w:lang w:val="en-US"/>
              </w:rPr>
              <w:t>$24</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Plain abdominal radiography</w:t>
            </w:r>
          </w:p>
        </w:tc>
        <w:tc>
          <w:tcPr>
            <w:tcW w:w="687" w:type="dxa"/>
            <w:noWrap/>
            <w:vAlign w:val="bottom"/>
          </w:tcPr>
          <w:p w:rsidR="00981064" w:rsidRPr="00C605D6" w:rsidRDefault="00981064" w:rsidP="00AC313E">
            <w:pPr>
              <w:pStyle w:val="TableText0"/>
              <w:jc w:val="right"/>
              <w:rPr>
                <w:lang w:val="en-US"/>
              </w:rPr>
            </w:pPr>
            <w:r w:rsidRPr="00C605D6">
              <w:rPr>
                <w:lang w:val="en-US"/>
              </w:rPr>
              <w:t>58900</w:t>
            </w:r>
          </w:p>
        </w:tc>
        <w:tc>
          <w:tcPr>
            <w:tcW w:w="1054" w:type="dxa"/>
            <w:noWrap/>
            <w:vAlign w:val="bottom"/>
          </w:tcPr>
          <w:p w:rsidR="00981064" w:rsidRPr="00C605D6" w:rsidRDefault="00981064" w:rsidP="00AC313E">
            <w:pPr>
              <w:pStyle w:val="TableText0"/>
              <w:jc w:val="right"/>
              <w:rPr>
                <w:lang w:val="en-US"/>
              </w:rPr>
            </w:pPr>
            <w:r w:rsidRPr="00C605D6">
              <w:rPr>
                <w:lang w:val="en-US"/>
              </w:rPr>
              <w:t>$36</w:t>
            </w:r>
          </w:p>
        </w:tc>
        <w:tc>
          <w:tcPr>
            <w:tcW w:w="1350" w:type="dxa"/>
            <w:noWrap/>
            <w:vAlign w:val="bottom"/>
          </w:tcPr>
          <w:p w:rsidR="00981064" w:rsidRPr="00C605D6" w:rsidRDefault="00981064" w:rsidP="00AC313E">
            <w:pPr>
              <w:pStyle w:val="TableText0"/>
              <w:jc w:val="right"/>
              <w:rPr>
                <w:lang w:val="en-US"/>
              </w:rPr>
            </w:pPr>
            <w:r w:rsidRPr="00C605D6">
              <w:rPr>
                <w:lang w:val="en-US"/>
              </w:rPr>
              <w:t>$27</w:t>
            </w:r>
          </w:p>
        </w:tc>
        <w:tc>
          <w:tcPr>
            <w:tcW w:w="1304" w:type="dxa"/>
            <w:noWrap/>
            <w:vAlign w:val="bottom"/>
          </w:tcPr>
          <w:p w:rsidR="00981064" w:rsidRPr="00C605D6" w:rsidRDefault="00981064" w:rsidP="00AC313E">
            <w:pPr>
              <w:pStyle w:val="TableText0"/>
              <w:jc w:val="right"/>
              <w:rPr>
                <w:lang w:val="en-US"/>
              </w:rPr>
            </w:pPr>
            <w:r w:rsidRPr="00C605D6">
              <w:rPr>
                <w:lang w:val="en-US"/>
              </w:rPr>
              <w:t>$12</w:t>
            </w:r>
          </w:p>
        </w:tc>
      </w:tr>
      <w:tr w:rsidR="00981064" w:rsidRPr="00C605D6" w:rsidTr="00C5538A">
        <w:trPr>
          <w:trHeight w:val="227"/>
        </w:trPr>
        <w:tc>
          <w:tcPr>
            <w:tcW w:w="3827" w:type="dxa"/>
            <w:noWrap/>
            <w:vAlign w:val="bottom"/>
          </w:tcPr>
          <w:p w:rsidR="00981064" w:rsidRPr="00C605D6" w:rsidRDefault="00987ADE" w:rsidP="00987ADE">
            <w:pPr>
              <w:pStyle w:val="TableText0"/>
              <w:rPr>
                <w:lang w:val="en-US"/>
              </w:rPr>
            </w:pPr>
            <w:r w:rsidRPr="00C605D6">
              <w:rPr>
                <w:lang w:val="en-US"/>
              </w:rPr>
              <w:t>C</w:t>
            </w:r>
            <w:r>
              <w:rPr>
                <w:lang w:val="en-US"/>
              </w:rPr>
              <w:t>T</w:t>
            </w:r>
            <w:r w:rsidRPr="00C605D6">
              <w:rPr>
                <w:lang w:val="en-US"/>
              </w:rPr>
              <w:t xml:space="preserve"> </w:t>
            </w:r>
            <w:r w:rsidR="00383CB5" w:rsidRPr="00C605D6">
              <w:rPr>
                <w:lang w:val="en-US"/>
              </w:rPr>
              <w:t>scan</w:t>
            </w:r>
          </w:p>
        </w:tc>
        <w:tc>
          <w:tcPr>
            <w:tcW w:w="687" w:type="dxa"/>
            <w:noWrap/>
            <w:vAlign w:val="bottom"/>
          </w:tcPr>
          <w:p w:rsidR="00981064" w:rsidRPr="00C605D6" w:rsidRDefault="00981064" w:rsidP="00AC313E">
            <w:pPr>
              <w:pStyle w:val="TableText0"/>
              <w:jc w:val="right"/>
              <w:rPr>
                <w:lang w:val="en-US"/>
              </w:rPr>
            </w:pPr>
            <w:r w:rsidRPr="00C605D6">
              <w:rPr>
                <w:lang w:val="en-US"/>
              </w:rPr>
              <w:t>56507</w:t>
            </w:r>
          </w:p>
        </w:tc>
        <w:tc>
          <w:tcPr>
            <w:tcW w:w="1054" w:type="dxa"/>
            <w:noWrap/>
            <w:vAlign w:val="bottom"/>
          </w:tcPr>
          <w:p w:rsidR="00981064" w:rsidRPr="00C605D6" w:rsidRDefault="00981064" w:rsidP="00AC313E">
            <w:pPr>
              <w:pStyle w:val="TableText0"/>
              <w:jc w:val="right"/>
              <w:rPr>
                <w:lang w:val="en-US"/>
              </w:rPr>
            </w:pPr>
            <w:r w:rsidRPr="00C605D6">
              <w:rPr>
                <w:lang w:val="en-US"/>
              </w:rPr>
              <w:t>$480</w:t>
            </w:r>
          </w:p>
        </w:tc>
        <w:tc>
          <w:tcPr>
            <w:tcW w:w="1350" w:type="dxa"/>
            <w:noWrap/>
            <w:vAlign w:val="bottom"/>
          </w:tcPr>
          <w:p w:rsidR="00981064" w:rsidRPr="00C605D6" w:rsidRDefault="00981064" w:rsidP="00AC313E">
            <w:pPr>
              <w:pStyle w:val="TableText0"/>
              <w:jc w:val="right"/>
              <w:rPr>
                <w:lang w:val="en-US"/>
              </w:rPr>
            </w:pPr>
            <w:r w:rsidRPr="00C605D6">
              <w:rPr>
                <w:lang w:val="en-US"/>
              </w:rPr>
              <w:t>$360</w:t>
            </w:r>
          </w:p>
        </w:tc>
        <w:tc>
          <w:tcPr>
            <w:tcW w:w="1304" w:type="dxa"/>
            <w:noWrap/>
            <w:vAlign w:val="bottom"/>
          </w:tcPr>
          <w:p w:rsidR="00981064" w:rsidRPr="00C605D6" w:rsidRDefault="00981064" w:rsidP="00AC313E">
            <w:pPr>
              <w:pStyle w:val="TableText0"/>
              <w:jc w:val="right"/>
              <w:rPr>
                <w:lang w:val="en-US"/>
              </w:rPr>
            </w:pPr>
            <w:r w:rsidRPr="00C605D6">
              <w:rPr>
                <w:lang w:val="en-US"/>
              </w:rPr>
              <w:t>$197</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Opaque enema</w:t>
            </w:r>
          </w:p>
        </w:tc>
        <w:tc>
          <w:tcPr>
            <w:tcW w:w="687" w:type="dxa"/>
            <w:noWrap/>
            <w:vAlign w:val="bottom"/>
          </w:tcPr>
          <w:p w:rsidR="00981064" w:rsidRPr="00C605D6" w:rsidRDefault="00981064" w:rsidP="00AC313E">
            <w:pPr>
              <w:pStyle w:val="TableText0"/>
              <w:jc w:val="right"/>
              <w:rPr>
                <w:lang w:val="en-US"/>
              </w:rPr>
            </w:pPr>
            <w:r w:rsidRPr="00C605D6">
              <w:rPr>
                <w:lang w:val="en-US"/>
              </w:rPr>
              <w:t>58921</w:t>
            </w:r>
          </w:p>
        </w:tc>
        <w:tc>
          <w:tcPr>
            <w:tcW w:w="1054" w:type="dxa"/>
            <w:noWrap/>
            <w:vAlign w:val="bottom"/>
          </w:tcPr>
          <w:p w:rsidR="00981064" w:rsidRPr="00C605D6" w:rsidRDefault="00981064" w:rsidP="00AC313E">
            <w:pPr>
              <w:pStyle w:val="TableText0"/>
              <w:jc w:val="right"/>
              <w:rPr>
                <w:lang w:val="en-US"/>
              </w:rPr>
            </w:pPr>
            <w:r w:rsidRPr="00C605D6">
              <w:rPr>
                <w:lang w:val="en-US"/>
              </w:rPr>
              <w:t>$135</w:t>
            </w:r>
          </w:p>
        </w:tc>
        <w:tc>
          <w:tcPr>
            <w:tcW w:w="1350" w:type="dxa"/>
            <w:noWrap/>
            <w:vAlign w:val="bottom"/>
          </w:tcPr>
          <w:p w:rsidR="00981064" w:rsidRPr="00C605D6" w:rsidRDefault="00981064" w:rsidP="00AC313E">
            <w:pPr>
              <w:pStyle w:val="TableText0"/>
              <w:jc w:val="right"/>
              <w:rPr>
                <w:lang w:val="en-US"/>
              </w:rPr>
            </w:pPr>
            <w:r w:rsidRPr="00C605D6">
              <w:rPr>
                <w:lang w:val="en-US"/>
              </w:rPr>
              <w:t>$101</w:t>
            </w:r>
          </w:p>
        </w:tc>
        <w:tc>
          <w:tcPr>
            <w:tcW w:w="1304" w:type="dxa"/>
            <w:noWrap/>
            <w:vAlign w:val="bottom"/>
          </w:tcPr>
          <w:p w:rsidR="00981064" w:rsidRPr="00C605D6" w:rsidRDefault="00981064" w:rsidP="00AC313E">
            <w:pPr>
              <w:pStyle w:val="TableText0"/>
              <w:jc w:val="right"/>
              <w:rPr>
                <w:lang w:val="en-US"/>
              </w:rPr>
            </w:pPr>
            <w:r w:rsidRPr="00C605D6">
              <w:rPr>
                <w:lang w:val="en-US"/>
              </w:rPr>
              <w:t>$71</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Full blood count</w:t>
            </w:r>
          </w:p>
        </w:tc>
        <w:tc>
          <w:tcPr>
            <w:tcW w:w="687" w:type="dxa"/>
            <w:noWrap/>
            <w:vAlign w:val="bottom"/>
          </w:tcPr>
          <w:p w:rsidR="00981064" w:rsidRPr="00C605D6" w:rsidRDefault="00981064" w:rsidP="00AC313E">
            <w:pPr>
              <w:pStyle w:val="TableText0"/>
              <w:jc w:val="right"/>
              <w:rPr>
                <w:lang w:val="en-US"/>
              </w:rPr>
            </w:pPr>
            <w:r w:rsidRPr="00C605D6">
              <w:rPr>
                <w:lang w:val="en-US"/>
              </w:rPr>
              <w:t>65070</w:t>
            </w:r>
          </w:p>
        </w:tc>
        <w:tc>
          <w:tcPr>
            <w:tcW w:w="1054" w:type="dxa"/>
            <w:noWrap/>
            <w:vAlign w:val="bottom"/>
          </w:tcPr>
          <w:p w:rsidR="00981064" w:rsidRPr="00C605D6" w:rsidRDefault="00981064" w:rsidP="00AC313E">
            <w:pPr>
              <w:pStyle w:val="TableText0"/>
              <w:jc w:val="right"/>
              <w:rPr>
                <w:lang w:val="en-US"/>
              </w:rPr>
            </w:pPr>
            <w:r w:rsidRPr="00C605D6">
              <w:rPr>
                <w:lang w:val="en-US"/>
              </w:rPr>
              <w:t>$17</w:t>
            </w:r>
          </w:p>
        </w:tc>
        <w:tc>
          <w:tcPr>
            <w:tcW w:w="1350" w:type="dxa"/>
            <w:noWrap/>
            <w:vAlign w:val="bottom"/>
          </w:tcPr>
          <w:p w:rsidR="00981064" w:rsidRPr="00C605D6" w:rsidRDefault="00981064" w:rsidP="00AC313E">
            <w:pPr>
              <w:pStyle w:val="TableText0"/>
              <w:jc w:val="right"/>
              <w:rPr>
                <w:lang w:val="en-US"/>
              </w:rPr>
            </w:pPr>
            <w:r w:rsidRPr="00C605D6">
              <w:rPr>
                <w:lang w:val="en-US"/>
              </w:rPr>
              <w:t>$13</w:t>
            </w:r>
          </w:p>
        </w:tc>
        <w:tc>
          <w:tcPr>
            <w:tcW w:w="1304" w:type="dxa"/>
            <w:noWrap/>
            <w:vAlign w:val="bottom"/>
          </w:tcPr>
          <w:p w:rsidR="00981064" w:rsidRPr="00C605D6" w:rsidRDefault="00981064" w:rsidP="00AC313E">
            <w:pPr>
              <w:pStyle w:val="TableText0"/>
              <w:jc w:val="right"/>
              <w:rPr>
                <w:lang w:val="en-US"/>
              </w:rPr>
            </w:pPr>
            <w:r w:rsidRPr="00C605D6">
              <w:rPr>
                <w:lang w:val="en-US"/>
              </w:rPr>
              <w:t>$7</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Electrolyte count</w:t>
            </w:r>
          </w:p>
        </w:tc>
        <w:tc>
          <w:tcPr>
            <w:tcW w:w="687" w:type="dxa"/>
            <w:noWrap/>
            <w:vAlign w:val="bottom"/>
          </w:tcPr>
          <w:p w:rsidR="00981064" w:rsidRPr="00C605D6" w:rsidRDefault="00981064" w:rsidP="00AC313E">
            <w:pPr>
              <w:pStyle w:val="TableText0"/>
              <w:jc w:val="right"/>
              <w:rPr>
                <w:lang w:val="en-US"/>
              </w:rPr>
            </w:pPr>
            <w:r w:rsidRPr="00C605D6">
              <w:rPr>
                <w:lang w:val="en-US"/>
              </w:rPr>
              <w:t>66512</w:t>
            </w:r>
          </w:p>
        </w:tc>
        <w:tc>
          <w:tcPr>
            <w:tcW w:w="1054" w:type="dxa"/>
            <w:noWrap/>
            <w:vAlign w:val="bottom"/>
          </w:tcPr>
          <w:p w:rsidR="00981064" w:rsidRPr="00C605D6" w:rsidRDefault="00981064" w:rsidP="00AC313E">
            <w:pPr>
              <w:pStyle w:val="TableText0"/>
              <w:jc w:val="right"/>
              <w:rPr>
                <w:lang w:val="en-US"/>
              </w:rPr>
            </w:pPr>
            <w:r w:rsidRPr="00C605D6">
              <w:rPr>
                <w:lang w:val="en-US"/>
              </w:rPr>
              <w:t>$18</w:t>
            </w:r>
          </w:p>
        </w:tc>
        <w:tc>
          <w:tcPr>
            <w:tcW w:w="1350" w:type="dxa"/>
            <w:noWrap/>
            <w:vAlign w:val="bottom"/>
          </w:tcPr>
          <w:p w:rsidR="00981064" w:rsidRPr="00C605D6" w:rsidRDefault="00981064" w:rsidP="00AC313E">
            <w:pPr>
              <w:pStyle w:val="TableText0"/>
              <w:jc w:val="right"/>
              <w:rPr>
                <w:lang w:val="en-US"/>
              </w:rPr>
            </w:pPr>
            <w:r w:rsidRPr="00C605D6">
              <w:rPr>
                <w:lang w:val="en-US"/>
              </w:rPr>
              <w:t>$13</w:t>
            </w:r>
          </w:p>
        </w:tc>
        <w:tc>
          <w:tcPr>
            <w:tcW w:w="1304" w:type="dxa"/>
            <w:noWrap/>
            <w:vAlign w:val="bottom"/>
          </w:tcPr>
          <w:p w:rsidR="00981064" w:rsidRPr="00C605D6" w:rsidRDefault="00981064" w:rsidP="00AC313E">
            <w:pPr>
              <w:pStyle w:val="TableText0"/>
              <w:jc w:val="right"/>
              <w:rPr>
                <w:lang w:val="en-US"/>
              </w:rPr>
            </w:pPr>
            <w:r w:rsidRPr="00C605D6">
              <w:rPr>
                <w:lang w:val="en-US"/>
              </w:rPr>
              <w:t>$8</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Pre-anaesthesia consultation</w:t>
            </w:r>
          </w:p>
        </w:tc>
        <w:tc>
          <w:tcPr>
            <w:tcW w:w="687" w:type="dxa"/>
            <w:noWrap/>
            <w:vAlign w:val="bottom"/>
          </w:tcPr>
          <w:p w:rsidR="00981064" w:rsidRPr="00C605D6" w:rsidRDefault="00981064" w:rsidP="00AC313E">
            <w:pPr>
              <w:pStyle w:val="TableText0"/>
              <w:jc w:val="right"/>
              <w:rPr>
                <w:lang w:val="en-US"/>
              </w:rPr>
            </w:pPr>
            <w:r w:rsidRPr="00C605D6">
              <w:rPr>
                <w:lang w:val="en-US"/>
              </w:rPr>
              <w:t>17610</w:t>
            </w:r>
          </w:p>
        </w:tc>
        <w:tc>
          <w:tcPr>
            <w:tcW w:w="1054" w:type="dxa"/>
            <w:noWrap/>
            <w:vAlign w:val="bottom"/>
          </w:tcPr>
          <w:p w:rsidR="00981064" w:rsidRPr="00C605D6" w:rsidRDefault="00981064" w:rsidP="00AC313E">
            <w:pPr>
              <w:pStyle w:val="TableText0"/>
              <w:jc w:val="right"/>
              <w:rPr>
                <w:lang w:val="en-US"/>
              </w:rPr>
            </w:pPr>
            <w:r w:rsidRPr="00C605D6">
              <w:rPr>
                <w:lang w:val="en-US"/>
              </w:rPr>
              <w:t>$42</w:t>
            </w:r>
          </w:p>
        </w:tc>
        <w:tc>
          <w:tcPr>
            <w:tcW w:w="1350" w:type="dxa"/>
            <w:noWrap/>
            <w:vAlign w:val="bottom"/>
          </w:tcPr>
          <w:p w:rsidR="00981064" w:rsidRPr="00C605D6" w:rsidRDefault="00981064" w:rsidP="00AC313E">
            <w:pPr>
              <w:pStyle w:val="TableText0"/>
              <w:jc w:val="right"/>
              <w:rPr>
                <w:lang w:val="en-US"/>
              </w:rPr>
            </w:pPr>
            <w:r w:rsidRPr="00C605D6">
              <w:rPr>
                <w:lang w:val="en-US"/>
              </w:rPr>
              <w:t>$32</w:t>
            </w:r>
          </w:p>
        </w:tc>
        <w:tc>
          <w:tcPr>
            <w:tcW w:w="1304" w:type="dxa"/>
            <w:noWrap/>
            <w:vAlign w:val="bottom"/>
          </w:tcPr>
          <w:p w:rsidR="00981064" w:rsidRPr="00C605D6" w:rsidRDefault="00981064" w:rsidP="00AC313E">
            <w:pPr>
              <w:pStyle w:val="TableText0"/>
              <w:jc w:val="right"/>
              <w:rPr>
                <w:lang w:val="en-US"/>
              </w:rPr>
            </w:pPr>
            <w:r w:rsidRPr="00C605D6">
              <w:rPr>
                <w:lang w:val="en-US"/>
              </w:rPr>
              <w:t>$44</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Initiation of anaesthesia for bowel resection</w:t>
            </w:r>
          </w:p>
        </w:tc>
        <w:tc>
          <w:tcPr>
            <w:tcW w:w="687" w:type="dxa"/>
            <w:noWrap/>
            <w:vAlign w:val="bottom"/>
          </w:tcPr>
          <w:p w:rsidR="00981064" w:rsidRPr="00C605D6" w:rsidRDefault="00981064" w:rsidP="00AC313E">
            <w:pPr>
              <w:pStyle w:val="TableText0"/>
              <w:jc w:val="right"/>
              <w:rPr>
                <w:lang w:val="en-US"/>
              </w:rPr>
            </w:pPr>
            <w:r w:rsidRPr="00C605D6">
              <w:rPr>
                <w:lang w:val="en-US"/>
              </w:rPr>
              <w:t>20841</w:t>
            </w:r>
          </w:p>
        </w:tc>
        <w:tc>
          <w:tcPr>
            <w:tcW w:w="1054" w:type="dxa"/>
            <w:noWrap/>
            <w:vAlign w:val="bottom"/>
          </w:tcPr>
          <w:p w:rsidR="00981064" w:rsidRPr="00C605D6" w:rsidRDefault="00981064" w:rsidP="00AC313E">
            <w:pPr>
              <w:pStyle w:val="TableText0"/>
              <w:jc w:val="right"/>
              <w:rPr>
                <w:lang w:val="en-US"/>
              </w:rPr>
            </w:pPr>
            <w:r w:rsidRPr="00C605D6">
              <w:rPr>
                <w:lang w:val="en-US"/>
              </w:rPr>
              <w:t>$156</w:t>
            </w:r>
          </w:p>
        </w:tc>
        <w:tc>
          <w:tcPr>
            <w:tcW w:w="1350" w:type="dxa"/>
            <w:noWrap/>
            <w:vAlign w:val="bottom"/>
          </w:tcPr>
          <w:p w:rsidR="00981064" w:rsidRPr="00C605D6" w:rsidRDefault="00981064" w:rsidP="00AC313E">
            <w:pPr>
              <w:pStyle w:val="TableText0"/>
              <w:jc w:val="right"/>
              <w:rPr>
                <w:lang w:val="en-US"/>
              </w:rPr>
            </w:pPr>
            <w:r w:rsidRPr="00C605D6">
              <w:rPr>
                <w:lang w:val="en-US"/>
              </w:rPr>
              <w:t>$117</w:t>
            </w:r>
          </w:p>
        </w:tc>
        <w:tc>
          <w:tcPr>
            <w:tcW w:w="1304" w:type="dxa"/>
            <w:noWrap/>
            <w:vAlign w:val="bottom"/>
          </w:tcPr>
          <w:p w:rsidR="00981064" w:rsidRPr="00C605D6" w:rsidRDefault="00981064" w:rsidP="00AC313E">
            <w:pPr>
              <w:pStyle w:val="TableText0"/>
              <w:jc w:val="right"/>
              <w:rPr>
                <w:lang w:val="en-US"/>
              </w:rPr>
            </w:pPr>
            <w:r w:rsidRPr="00C605D6">
              <w:rPr>
                <w:lang w:val="en-US"/>
              </w:rPr>
              <w:t>$501</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Initiation of anaesthesia for laparoscopic procedures</w:t>
            </w:r>
          </w:p>
        </w:tc>
        <w:tc>
          <w:tcPr>
            <w:tcW w:w="687" w:type="dxa"/>
            <w:noWrap/>
            <w:vAlign w:val="bottom"/>
          </w:tcPr>
          <w:p w:rsidR="00981064" w:rsidRPr="00C605D6" w:rsidRDefault="00981064" w:rsidP="00AC313E">
            <w:pPr>
              <w:pStyle w:val="TableText0"/>
              <w:jc w:val="right"/>
              <w:rPr>
                <w:lang w:val="en-US"/>
              </w:rPr>
            </w:pPr>
            <w:r w:rsidRPr="00C605D6">
              <w:rPr>
                <w:lang w:val="en-US"/>
              </w:rPr>
              <w:t>20806</w:t>
            </w:r>
          </w:p>
        </w:tc>
        <w:tc>
          <w:tcPr>
            <w:tcW w:w="1054" w:type="dxa"/>
            <w:noWrap/>
            <w:vAlign w:val="bottom"/>
          </w:tcPr>
          <w:p w:rsidR="00981064" w:rsidRPr="00C605D6" w:rsidRDefault="00981064" w:rsidP="00AC313E">
            <w:pPr>
              <w:pStyle w:val="TableText0"/>
              <w:jc w:val="right"/>
              <w:rPr>
                <w:lang w:val="en-US"/>
              </w:rPr>
            </w:pPr>
            <w:r w:rsidRPr="00C605D6">
              <w:rPr>
                <w:lang w:val="en-US"/>
              </w:rPr>
              <w:t>$136</w:t>
            </w:r>
          </w:p>
        </w:tc>
        <w:tc>
          <w:tcPr>
            <w:tcW w:w="1350" w:type="dxa"/>
            <w:noWrap/>
            <w:vAlign w:val="bottom"/>
          </w:tcPr>
          <w:p w:rsidR="00981064" w:rsidRPr="00C605D6" w:rsidRDefault="00981064" w:rsidP="00AC313E">
            <w:pPr>
              <w:pStyle w:val="TableText0"/>
              <w:jc w:val="right"/>
              <w:rPr>
                <w:lang w:val="en-US"/>
              </w:rPr>
            </w:pPr>
            <w:r w:rsidRPr="00C605D6">
              <w:rPr>
                <w:lang w:val="en-US"/>
              </w:rPr>
              <w:t>$102</w:t>
            </w:r>
          </w:p>
        </w:tc>
        <w:tc>
          <w:tcPr>
            <w:tcW w:w="1304" w:type="dxa"/>
            <w:noWrap/>
            <w:vAlign w:val="bottom"/>
          </w:tcPr>
          <w:p w:rsidR="00981064" w:rsidRPr="00C605D6" w:rsidRDefault="00981064" w:rsidP="00AC313E">
            <w:pPr>
              <w:pStyle w:val="TableText0"/>
              <w:jc w:val="right"/>
              <w:rPr>
                <w:lang w:val="en-US"/>
              </w:rPr>
            </w:pPr>
            <w:r w:rsidRPr="00C605D6">
              <w:rPr>
                <w:lang w:val="en-US"/>
              </w:rPr>
              <w:t>$341</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Initiation of anaesthesia for lower intestinal endoscopic procedures</w:t>
            </w:r>
          </w:p>
        </w:tc>
        <w:tc>
          <w:tcPr>
            <w:tcW w:w="687" w:type="dxa"/>
            <w:noWrap/>
            <w:vAlign w:val="bottom"/>
          </w:tcPr>
          <w:p w:rsidR="00981064" w:rsidRPr="00C605D6" w:rsidRDefault="00981064" w:rsidP="00AC313E">
            <w:pPr>
              <w:pStyle w:val="TableText0"/>
              <w:jc w:val="right"/>
              <w:rPr>
                <w:lang w:val="en-US"/>
              </w:rPr>
            </w:pPr>
            <w:r w:rsidRPr="00C605D6">
              <w:rPr>
                <w:lang w:val="en-US"/>
              </w:rPr>
              <w:t>20810</w:t>
            </w:r>
          </w:p>
        </w:tc>
        <w:tc>
          <w:tcPr>
            <w:tcW w:w="1054" w:type="dxa"/>
            <w:noWrap/>
            <w:vAlign w:val="bottom"/>
          </w:tcPr>
          <w:p w:rsidR="00981064" w:rsidRPr="00C605D6" w:rsidRDefault="00981064" w:rsidP="00AC313E">
            <w:pPr>
              <w:pStyle w:val="TableText0"/>
              <w:jc w:val="right"/>
              <w:rPr>
                <w:lang w:val="en-US"/>
              </w:rPr>
            </w:pPr>
            <w:r w:rsidRPr="00C605D6">
              <w:rPr>
                <w:lang w:val="en-US"/>
              </w:rPr>
              <w:t>$78</w:t>
            </w:r>
          </w:p>
        </w:tc>
        <w:tc>
          <w:tcPr>
            <w:tcW w:w="1350" w:type="dxa"/>
            <w:noWrap/>
            <w:vAlign w:val="bottom"/>
          </w:tcPr>
          <w:p w:rsidR="00981064" w:rsidRPr="00C605D6" w:rsidRDefault="00981064" w:rsidP="00AC313E">
            <w:pPr>
              <w:pStyle w:val="TableText0"/>
              <w:jc w:val="right"/>
              <w:rPr>
                <w:lang w:val="en-US"/>
              </w:rPr>
            </w:pPr>
            <w:r w:rsidRPr="00C605D6">
              <w:rPr>
                <w:lang w:val="en-US"/>
              </w:rPr>
              <w:t>$58</w:t>
            </w:r>
          </w:p>
        </w:tc>
        <w:tc>
          <w:tcPr>
            <w:tcW w:w="1304" w:type="dxa"/>
            <w:noWrap/>
            <w:vAlign w:val="bottom"/>
          </w:tcPr>
          <w:p w:rsidR="00981064" w:rsidRPr="00C605D6" w:rsidRDefault="00981064" w:rsidP="00AC313E">
            <w:pPr>
              <w:pStyle w:val="TableText0"/>
              <w:jc w:val="right"/>
              <w:rPr>
                <w:lang w:val="en-US"/>
              </w:rPr>
            </w:pPr>
            <w:r w:rsidRPr="00C605D6">
              <w:rPr>
                <w:lang w:val="en-US"/>
              </w:rPr>
              <w:t>$120</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Initiation of anaesthesia for fluoroscopy</w:t>
            </w:r>
          </w:p>
        </w:tc>
        <w:tc>
          <w:tcPr>
            <w:tcW w:w="687" w:type="dxa"/>
            <w:noWrap/>
            <w:vAlign w:val="bottom"/>
          </w:tcPr>
          <w:p w:rsidR="00981064" w:rsidRPr="00C605D6" w:rsidRDefault="00981064" w:rsidP="00AC313E">
            <w:pPr>
              <w:pStyle w:val="TableText0"/>
              <w:jc w:val="right"/>
              <w:rPr>
                <w:lang w:val="en-US"/>
              </w:rPr>
            </w:pPr>
            <w:r w:rsidRPr="00C605D6">
              <w:rPr>
                <w:lang w:val="en-US"/>
              </w:rPr>
              <w:t>21926</w:t>
            </w:r>
          </w:p>
        </w:tc>
        <w:tc>
          <w:tcPr>
            <w:tcW w:w="1054" w:type="dxa"/>
            <w:noWrap/>
            <w:vAlign w:val="bottom"/>
          </w:tcPr>
          <w:p w:rsidR="00981064" w:rsidRPr="00C605D6" w:rsidRDefault="00981064" w:rsidP="00AC313E">
            <w:pPr>
              <w:pStyle w:val="TableText0"/>
              <w:jc w:val="right"/>
              <w:rPr>
                <w:lang w:val="en-US"/>
              </w:rPr>
            </w:pPr>
            <w:r w:rsidRPr="00C605D6">
              <w:rPr>
                <w:lang w:val="en-US"/>
              </w:rPr>
              <w:t>$97</w:t>
            </w:r>
          </w:p>
        </w:tc>
        <w:tc>
          <w:tcPr>
            <w:tcW w:w="1350" w:type="dxa"/>
            <w:noWrap/>
            <w:vAlign w:val="bottom"/>
          </w:tcPr>
          <w:p w:rsidR="00981064" w:rsidRPr="00C605D6" w:rsidRDefault="00981064" w:rsidP="00AC313E">
            <w:pPr>
              <w:pStyle w:val="TableText0"/>
              <w:jc w:val="right"/>
              <w:rPr>
                <w:lang w:val="en-US"/>
              </w:rPr>
            </w:pPr>
            <w:r w:rsidRPr="00C605D6">
              <w:rPr>
                <w:lang w:val="en-US"/>
              </w:rPr>
              <w:t>$73</w:t>
            </w:r>
          </w:p>
        </w:tc>
        <w:tc>
          <w:tcPr>
            <w:tcW w:w="1304" w:type="dxa"/>
            <w:noWrap/>
            <w:vAlign w:val="bottom"/>
          </w:tcPr>
          <w:p w:rsidR="00981064" w:rsidRPr="00C605D6" w:rsidRDefault="00981064" w:rsidP="00AC313E">
            <w:pPr>
              <w:pStyle w:val="TableText0"/>
              <w:jc w:val="right"/>
              <w:rPr>
                <w:lang w:val="en-US"/>
              </w:rPr>
            </w:pPr>
            <w:r w:rsidRPr="00C605D6">
              <w:rPr>
                <w:lang w:val="en-US"/>
              </w:rPr>
              <w:t>$209</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Assistance - fee &lt; 547.90</w:t>
            </w:r>
          </w:p>
        </w:tc>
        <w:tc>
          <w:tcPr>
            <w:tcW w:w="687" w:type="dxa"/>
            <w:noWrap/>
            <w:vAlign w:val="bottom"/>
          </w:tcPr>
          <w:p w:rsidR="00981064" w:rsidRPr="00C605D6" w:rsidRDefault="00981064" w:rsidP="00AC313E">
            <w:pPr>
              <w:pStyle w:val="TableText0"/>
              <w:jc w:val="right"/>
              <w:rPr>
                <w:lang w:val="en-US"/>
              </w:rPr>
            </w:pPr>
            <w:r w:rsidRPr="00C605D6">
              <w:rPr>
                <w:lang w:val="en-US"/>
              </w:rPr>
              <w:t>51300</w:t>
            </w:r>
          </w:p>
        </w:tc>
        <w:tc>
          <w:tcPr>
            <w:tcW w:w="1054" w:type="dxa"/>
            <w:noWrap/>
            <w:vAlign w:val="bottom"/>
          </w:tcPr>
          <w:p w:rsidR="00981064" w:rsidRPr="00C605D6" w:rsidRDefault="00981064" w:rsidP="00AC313E">
            <w:pPr>
              <w:pStyle w:val="TableText0"/>
              <w:jc w:val="right"/>
              <w:rPr>
                <w:lang w:val="en-US"/>
              </w:rPr>
            </w:pPr>
            <w:r w:rsidRPr="00C605D6">
              <w:rPr>
                <w:lang w:val="en-US"/>
              </w:rPr>
              <w:t>$85</w:t>
            </w:r>
          </w:p>
        </w:tc>
        <w:tc>
          <w:tcPr>
            <w:tcW w:w="1350" w:type="dxa"/>
            <w:noWrap/>
            <w:vAlign w:val="bottom"/>
          </w:tcPr>
          <w:p w:rsidR="00981064" w:rsidRPr="00C605D6" w:rsidRDefault="00981064" w:rsidP="00AC313E">
            <w:pPr>
              <w:pStyle w:val="TableText0"/>
              <w:jc w:val="right"/>
              <w:rPr>
                <w:lang w:val="en-US"/>
              </w:rPr>
            </w:pPr>
            <w:r w:rsidRPr="00C605D6">
              <w:rPr>
                <w:lang w:val="en-US"/>
              </w:rPr>
              <w:t>$64</w:t>
            </w:r>
          </w:p>
        </w:tc>
        <w:tc>
          <w:tcPr>
            <w:tcW w:w="1304" w:type="dxa"/>
            <w:noWrap/>
            <w:vAlign w:val="bottom"/>
          </w:tcPr>
          <w:p w:rsidR="00981064" w:rsidRPr="00C605D6" w:rsidRDefault="00981064" w:rsidP="00AC313E">
            <w:pPr>
              <w:pStyle w:val="TableText0"/>
              <w:jc w:val="right"/>
              <w:rPr>
                <w:lang w:val="en-US"/>
              </w:rPr>
            </w:pPr>
            <w:r w:rsidRPr="00C605D6">
              <w:rPr>
                <w:lang w:val="en-US"/>
              </w:rPr>
              <w:t>$64</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Assistance - fee &gt; 547.90</w:t>
            </w:r>
          </w:p>
        </w:tc>
        <w:tc>
          <w:tcPr>
            <w:tcW w:w="687" w:type="dxa"/>
            <w:noWrap/>
            <w:vAlign w:val="bottom"/>
          </w:tcPr>
          <w:p w:rsidR="00981064" w:rsidRPr="00C605D6" w:rsidRDefault="00981064" w:rsidP="00AC313E">
            <w:pPr>
              <w:pStyle w:val="TableText0"/>
              <w:jc w:val="right"/>
              <w:rPr>
                <w:lang w:val="en-US"/>
              </w:rPr>
            </w:pPr>
            <w:r w:rsidRPr="00C605D6">
              <w:rPr>
                <w:lang w:val="en-US"/>
              </w:rPr>
              <w:t>51303</w:t>
            </w:r>
          </w:p>
        </w:tc>
        <w:tc>
          <w:tcPr>
            <w:tcW w:w="1054" w:type="dxa"/>
            <w:noWrap/>
            <w:vAlign w:val="bottom"/>
          </w:tcPr>
          <w:p w:rsidR="00981064" w:rsidRPr="00C605D6" w:rsidRDefault="00981064" w:rsidP="00AC313E">
            <w:pPr>
              <w:pStyle w:val="TableText0"/>
              <w:jc w:val="right"/>
              <w:rPr>
                <w:lang w:val="en-US"/>
              </w:rPr>
            </w:pPr>
            <w:r w:rsidRPr="00C605D6">
              <w:rPr>
                <w:lang w:val="en-US"/>
              </w:rPr>
              <w:t>$0</w:t>
            </w:r>
          </w:p>
        </w:tc>
        <w:tc>
          <w:tcPr>
            <w:tcW w:w="1350" w:type="dxa"/>
            <w:noWrap/>
            <w:vAlign w:val="bottom"/>
          </w:tcPr>
          <w:p w:rsidR="00981064" w:rsidRPr="00C605D6" w:rsidRDefault="00981064" w:rsidP="00AC313E">
            <w:pPr>
              <w:pStyle w:val="TableText0"/>
              <w:jc w:val="right"/>
              <w:rPr>
                <w:lang w:val="en-US"/>
              </w:rPr>
            </w:pPr>
            <w:r w:rsidRPr="00C605D6">
              <w:rPr>
                <w:lang w:val="en-US"/>
              </w:rPr>
              <w:t>$0</w:t>
            </w:r>
          </w:p>
        </w:tc>
        <w:tc>
          <w:tcPr>
            <w:tcW w:w="1304" w:type="dxa"/>
            <w:noWrap/>
            <w:vAlign w:val="bottom"/>
          </w:tcPr>
          <w:p w:rsidR="00981064" w:rsidRPr="00C605D6" w:rsidRDefault="00981064" w:rsidP="00AC313E">
            <w:pPr>
              <w:pStyle w:val="TableText0"/>
              <w:jc w:val="right"/>
              <w:rPr>
                <w:lang w:val="en-US"/>
              </w:rPr>
            </w:pPr>
            <w:r w:rsidRPr="00C605D6">
              <w:rPr>
                <w:lang w:val="en-US"/>
              </w:rPr>
              <w:t>$198</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Anaesthesia  1:56 to 2:00 hours</w:t>
            </w:r>
          </w:p>
        </w:tc>
        <w:tc>
          <w:tcPr>
            <w:tcW w:w="687" w:type="dxa"/>
            <w:noWrap/>
            <w:vAlign w:val="bottom"/>
          </w:tcPr>
          <w:p w:rsidR="00981064" w:rsidRPr="00C605D6" w:rsidRDefault="00981064" w:rsidP="00AC313E">
            <w:pPr>
              <w:pStyle w:val="TableText0"/>
              <w:jc w:val="right"/>
              <w:rPr>
                <w:lang w:val="en-US"/>
              </w:rPr>
            </w:pPr>
            <w:r w:rsidRPr="00C605D6">
              <w:rPr>
                <w:lang w:val="en-US"/>
              </w:rPr>
              <w:t>23083</w:t>
            </w:r>
          </w:p>
        </w:tc>
        <w:tc>
          <w:tcPr>
            <w:tcW w:w="1054" w:type="dxa"/>
            <w:noWrap/>
            <w:vAlign w:val="bottom"/>
          </w:tcPr>
          <w:p w:rsidR="00981064" w:rsidRPr="00C605D6" w:rsidRDefault="00981064" w:rsidP="00AC313E">
            <w:pPr>
              <w:pStyle w:val="TableText0"/>
              <w:jc w:val="right"/>
              <w:rPr>
                <w:lang w:val="en-US"/>
              </w:rPr>
            </w:pPr>
            <w:r w:rsidRPr="00C605D6">
              <w:rPr>
                <w:lang w:val="en-US"/>
              </w:rPr>
              <w:t>$156</w:t>
            </w:r>
          </w:p>
        </w:tc>
        <w:tc>
          <w:tcPr>
            <w:tcW w:w="1350" w:type="dxa"/>
            <w:noWrap/>
            <w:vAlign w:val="bottom"/>
          </w:tcPr>
          <w:p w:rsidR="00981064" w:rsidRPr="00C605D6" w:rsidRDefault="00981064" w:rsidP="00AC313E">
            <w:pPr>
              <w:pStyle w:val="TableText0"/>
              <w:jc w:val="right"/>
              <w:rPr>
                <w:lang w:val="en-US"/>
              </w:rPr>
            </w:pPr>
            <w:r w:rsidRPr="00C605D6">
              <w:rPr>
                <w:lang w:val="en-US"/>
              </w:rPr>
              <w:t>$117</w:t>
            </w:r>
          </w:p>
        </w:tc>
        <w:tc>
          <w:tcPr>
            <w:tcW w:w="1304" w:type="dxa"/>
            <w:noWrap/>
            <w:vAlign w:val="bottom"/>
          </w:tcPr>
          <w:p w:rsidR="00981064" w:rsidRPr="00C5538A" w:rsidRDefault="00C5538A" w:rsidP="00C5538A">
            <w:pPr>
              <w:pStyle w:val="TableText0"/>
              <w:jc w:val="right"/>
              <w:rPr>
                <w:vertAlign w:val="superscript"/>
                <w:lang w:val="en-US"/>
              </w:rPr>
            </w:pPr>
            <w:r>
              <w:rPr>
                <w:lang w:val="en-US"/>
              </w:rPr>
              <w:t>NA</w:t>
            </w:r>
            <w:r w:rsidRPr="00C5538A">
              <w:rPr>
                <w:vertAlign w:val="superscript"/>
                <w:lang w:val="en-US"/>
              </w:rPr>
              <w:t>b</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Anaesthesia  1:11 to 1:15 hours</w:t>
            </w:r>
          </w:p>
        </w:tc>
        <w:tc>
          <w:tcPr>
            <w:tcW w:w="687" w:type="dxa"/>
            <w:noWrap/>
            <w:vAlign w:val="bottom"/>
          </w:tcPr>
          <w:p w:rsidR="00981064" w:rsidRPr="00C605D6" w:rsidRDefault="00981064" w:rsidP="00AC313E">
            <w:pPr>
              <w:pStyle w:val="TableText0"/>
              <w:jc w:val="right"/>
              <w:rPr>
                <w:lang w:val="en-US"/>
              </w:rPr>
            </w:pPr>
            <w:r w:rsidRPr="00C605D6">
              <w:rPr>
                <w:lang w:val="en-US"/>
              </w:rPr>
              <w:t>23053</w:t>
            </w:r>
          </w:p>
        </w:tc>
        <w:tc>
          <w:tcPr>
            <w:tcW w:w="1054" w:type="dxa"/>
            <w:noWrap/>
            <w:vAlign w:val="bottom"/>
          </w:tcPr>
          <w:p w:rsidR="00981064" w:rsidRPr="00C605D6" w:rsidRDefault="00981064" w:rsidP="00AC313E">
            <w:pPr>
              <w:pStyle w:val="TableText0"/>
              <w:jc w:val="right"/>
              <w:rPr>
                <w:lang w:val="en-US"/>
              </w:rPr>
            </w:pPr>
            <w:r w:rsidRPr="00C605D6">
              <w:rPr>
                <w:lang w:val="en-US"/>
              </w:rPr>
              <w:t>$97</w:t>
            </w:r>
          </w:p>
        </w:tc>
        <w:tc>
          <w:tcPr>
            <w:tcW w:w="1350" w:type="dxa"/>
            <w:noWrap/>
            <w:vAlign w:val="bottom"/>
          </w:tcPr>
          <w:p w:rsidR="00981064" w:rsidRPr="00C605D6" w:rsidRDefault="00981064" w:rsidP="00AC313E">
            <w:pPr>
              <w:pStyle w:val="TableText0"/>
              <w:jc w:val="right"/>
              <w:rPr>
                <w:lang w:val="en-US"/>
              </w:rPr>
            </w:pPr>
            <w:r w:rsidRPr="00C605D6">
              <w:rPr>
                <w:lang w:val="en-US"/>
              </w:rPr>
              <w:t>$73</w:t>
            </w:r>
          </w:p>
        </w:tc>
        <w:tc>
          <w:tcPr>
            <w:tcW w:w="1304" w:type="dxa"/>
            <w:noWrap/>
            <w:vAlign w:val="bottom"/>
          </w:tcPr>
          <w:p w:rsidR="00981064" w:rsidRPr="00C5538A" w:rsidDel="00AC7A58" w:rsidRDefault="00C5538A" w:rsidP="00C5538A">
            <w:pPr>
              <w:pStyle w:val="TableText0"/>
              <w:jc w:val="right"/>
              <w:rPr>
                <w:vertAlign w:val="superscript"/>
                <w:lang w:val="en-US"/>
              </w:rPr>
            </w:pPr>
            <w:r>
              <w:rPr>
                <w:lang w:val="en-US"/>
              </w:rPr>
              <w:t>NA</w:t>
            </w:r>
            <w:r w:rsidRPr="00C5538A">
              <w:rPr>
                <w:vertAlign w:val="superscript"/>
                <w:lang w:val="en-US"/>
              </w:rPr>
              <w:t>b</w:t>
            </w:r>
          </w:p>
        </w:tc>
      </w:tr>
      <w:tr w:rsidR="00981064" w:rsidRPr="00C605D6" w:rsidTr="00C5538A">
        <w:trPr>
          <w:trHeight w:val="227"/>
        </w:trPr>
        <w:tc>
          <w:tcPr>
            <w:tcW w:w="3827" w:type="dxa"/>
            <w:noWrap/>
            <w:vAlign w:val="bottom"/>
          </w:tcPr>
          <w:p w:rsidR="00981064" w:rsidRPr="00C605D6" w:rsidRDefault="00383CB5" w:rsidP="00884714">
            <w:pPr>
              <w:pStyle w:val="TableText0"/>
              <w:rPr>
                <w:lang w:val="en-US"/>
              </w:rPr>
            </w:pPr>
            <w:r w:rsidRPr="00C605D6">
              <w:rPr>
                <w:lang w:val="en-US"/>
              </w:rPr>
              <w:t>Anaesthesia  56 min to 1:00 hour</w:t>
            </w:r>
          </w:p>
        </w:tc>
        <w:tc>
          <w:tcPr>
            <w:tcW w:w="687" w:type="dxa"/>
            <w:noWrap/>
            <w:vAlign w:val="bottom"/>
          </w:tcPr>
          <w:p w:rsidR="00981064" w:rsidRPr="00C605D6" w:rsidRDefault="00981064" w:rsidP="00AC313E">
            <w:pPr>
              <w:pStyle w:val="TableText0"/>
              <w:jc w:val="right"/>
              <w:rPr>
                <w:lang w:val="en-US"/>
              </w:rPr>
            </w:pPr>
            <w:r w:rsidRPr="00C605D6">
              <w:rPr>
                <w:lang w:val="en-US"/>
              </w:rPr>
              <w:t>23043</w:t>
            </w:r>
          </w:p>
        </w:tc>
        <w:tc>
          <w:tcPr>
            <w:tcW w:w="1054" w:type="dxa"/>
            <w:noWrap/>
            <w:vAlign w:val="bottom"/>
          </w:tcPr>
          <w:p w:rsidR="00981064" w:rsidRPr="00C605D6" w:rsidRDefault="00981064" w:rsidP="00AC313E">
            <w:pPr>
              <w:pStyle w:val="TableText0"/>
              <w:jc w:val="right"/>
              <w:rPr>
                <w:lang w:val="en-US"/>
              </w:rPr>
            </w:pPr>
            <w:r w:rsidRPr="00C605D6">
              <w:rPr>
                <w:lang w:val="en-US"/>
              </w:rPr>
              <w:t>$78</w:t>
            </w:r>
          </w:p>
        </w:tc>
        <w:tc>
          <w:tcPr>
            <w:tcW w:w="1350" w:type="dxa"/>
            <w:noWrap/>
            <w:vAlign w:val="bottom"/>
          </w:tcPr>
          <w:p w:rsidR="00981064" w:rsidRPr="00C605D6" w:rsidRDefault="00981064" w:rsidP="00AC313E">
            <w:pPr>
              <w:pStyle w:val="TableText0"/>
              <w:jc w:val="right"/>
              <w:rPr>
                <w:lang w:val="en-US"/>
              </w:rPr>
            </w:pPr>
            <w:r w:rsidRPr="00C605D6">
              <w:rPr>
                <w:lang w:val="en-US"/>
              </w:rPr>
              <w:t>$58</w:t>
            </w:r>
          </w:p>
        </w:tc>
        <w:tc>
          <w:tcPr>
            <w:tcW w:w="1304" w:type="dxa"/>
            <w:noWrap/>
            <w:vAlign w:val="bottom"/>
          </w:tcPr>
          <w:p w:rsidR="00981064" w:rsidRPr="00C5538A" w:rsidRDefault="00C5538A" w:rsidP="00AC313E">
            <w:pPr>
              <w:pStyle w:val="TableText0"/>
              <w:jc w:val="right"/>
              <w:rPr>
                <w:vertAlign w:val="superscript"/>
                <w:lang w:val="en-US"/>
              </w:rPr>
            </w:pPr>
            <w:r>
              <w:rPr>
                <w:lang w:val="en-US"/>
              </w:rPr>
              <w:t>NA</w:t>
            </w:r>
            <w:r w:rsidRPr="00C5538A">
              <w:rPr>
                <w:vertAlign w:val="superscript"/>
                <w:lang w:val="en-US"/>
              </w:rPr>
              <w:t>b</w:t>
            </w:r>
          </w:p>
        </w:tc>
      </w:tr>
      <w:tr w:rsidR="00981064" w:rsidRPr="00C605D6" w:rsidTr="00C5538A">
        <w:trPr>
          <w:trHeight w:val="227"/>
        </w:trPr>
        <w:tc>
          <w:tcPr>
            <w:tcW w:w="3827" w:type="dxa"/>
            <w:noWrap/>
            <w:vAlign w:val="bottom"/>
          </w:tcPr>
          <w:p w:rsidR="00981064" w:rsidRPr="00C605D6" w:rsidRDefault="00987ADE" w:rsidP="00884714">
            <w:pPr>
              <w:pStyle w:val="TableText0"/>
              <w:rPr>
                <w:lang w:val="en-US"/>
              </w:rPr>
            </w:pPr>
            <w:r w:rsidRPr="00C605D6">
              <w:rPr>
                <w:lang w:val="en-US"/>
              </w:rPr>
              <w:t xml:space="preserve">ICU </w:t>
            </w:r>
            <w:r w:rsidR="00383CB5" w:rsidRPr="00C605D6">
              <w:rPr>
                <w:lang w:val="en-US"/>
              </w:rPr>
              <w:t>attendance (first day)</w:t>
            </w:r>
          </w:p>
        </w:tc>
        <w:tc>
          <w:tcPr>
            <w:tcW w:w="687" w:type="dxa"/>
            <w:noWrap/>
            <w:vAlign w:val="bottom"/>
          </w:tcPr>
          <w:p w:rsidR="00981064" w:rsidRPr="00C605D6" w:rsidRDefault="00981064" w:rsidP="00AC313E">
            <w:pPr>
              <w:pStyle w:val="TableText0"/>
              <w:jc w:val="right"/>
              <w:rPr>
                <w:lang w:val="en-US"/>
              </w:rPr>
            </w:pPr>
            <w:r w:rsidRPr="00C605D6">
              <w:rPr>
                <w:lang w:val="en-US"/>
              </w:rPr>
              <w:t>13870</w:t>
            </w:r>
          </w:p>
        </w:tc>
        <w:tc>
          <w:tcPr>
            <w:tcW w:w="1054" w:type="dxa"/>
            <w:noWrap/>
            <w:vAlign w:val="bottom"/>
          </w:tcPr>
          <w:p w:rsidR="00981064" w:rsidRPr="00C605D6" w:rsidRDefault="00981064" w:rsidP="00AC313E">
            <w:pPr>
              <w:pStyle w:val="TableText0"/>
              <w:jc w:val="right"/>
              <w:rPr>
                <w:lang w:val="en-US"/>
              </w:rPr>
            </w:pPr>
            <w:r w:rsidRPr="00C605D6">
              <w:rPr>
                <w:lang w:val="en-US"/>
              </w:rPr>
              <w:t>$355</w:t>
            </w:r>
          </w:p>
        </w:tc>
        <w:tc>
          <w:tcPr>
            <w:tcW w:w="1350" w:type="dxa"/>
            <w:noWrap/>
            <w:vAlign w:val="bottom"/>
          </w:tcPr>
          <w:p w:rsidR="00981064" w:rsidRPr="00C605D6" w:rsidRDefault="00981064" w:rsidP="00AC313E">
            <w:pPr>
              <w:pStyle w:val="TableText0"/>
              <w:jc w:val="right"/>
              <w:rPr>
                <w:lang w:val="en-US"/>
              </w:rPr>
            </w:pPr>
            <w:r w:rsidRPr="00C605D6">
              <w:rPr>
                <w:lang w:val="en-US"/>
              </w:rPr>
              <w:t>$267</w:t>
            </w:r>
          </w:p>
        </w:tc>
        <w:tc>
          <w:tcPr>
            <w:tcW w:w="1304" w:type="dxa"/>
            <w:noWrap/>
            <w:vAlign w:val="bottom"/>
          </w:tcPr>
          <w:p w:rsidR="00981064" w:rsidRPr="00C605D6" w:rsidRDefault="00981064" w:rsidP="00AC313E">
            <w:pPr>
              <w:pStyle w:val="TableText0"/>
              <w:jc w:val="right"/>
              <w:rPr>
                <w:lang w:val="en-US"/>
              </w:rPr>
            </w:pPr>
            <w:r w:rsidRPr="00C605D6">
              <w:rPr>
                <w:lang w:val="en-US"/>
              </w:rPr>
              <w:t>$153</w:t>
            </w:r>
          </w:p>
        </w:tc>
      </w:tr>
      <w:tr w:rsidR="00981064" w:rsidRPr="00C605D6" w:rsidTr="00C5538A">
        <w:trPr>
          <w:trHeight w:val="227"/>
        </w:trPr>
        <w:tc>
          <w:tcPr>
            <w:tcW w:w="3827" w:type="dxa"/>
            <w:noWrap/>
            <w:vAlign w:val="bottom"/>
          </w:tcPr>
          <w:p w:rsidR="00981064" w:rsidRPr="00C605D6" w:rsidRDefault="00987ADE" w:rsidP="00884714">
            <w:pPr>
              <w:pStyle w:val="TableText0"/>
              <w:rPr>
                <w:lang w:val="en-US"/>
              </w:rPr>
            </w:pPr>
            <w:r w:rsidRPr="00C605D6">
              <w:rPr>
                <w:lang w:val="en-US"/>
              </w:rPr>
              <w:t>ICU</w:t>
            </w:r>
            <w:r w:rsidR="00383CB5" w:rsidRPr="00C605D6">
              <w:rPr>
                <w:lang w:val="en-US"/>
              </w:rPr>
              <w:t xml:space="preserve"> attendance </w:t>
            </w:r>
          </w:p>
        </w:tc>
        <w:tc>
          <w:tcPr>
            <w:tcW w:w="687" w:type="dxa"/>
            <w:noWrap/>
            <w:vAlign w:val="bottom"/>
          </w:tcPr>
          <w:p w:rsidR="00981064" w:rsidRPr="00C605D6" w:rsidRDefault="00981064" w:rsidP="00AC313E">
            <w:pPr>
              <w:pStyle w:val="TableText0"/>
              <w:jc w:val="right"/>
              <w:rPr>
                <w:lang w:val="en-US"/>
              </w:rPr>
            </w:pPr>
            <w:r w:rsidRPr="00C605D6">
              <w:rPr>
                <w:lang w:val="en-US"/>
              </w:rPr>
              <w:t>13873</w:t>
            </w:r>
          </w:p>
        </w:tc>
        <w:tc>
          <w:tcPr>
            <w:tcW w:w="1054" w:type="dxa"/>
            <w:noWrap/>
            <w:vAlign w:val="bottom"/>
          </w:tcPr>
          <w:p w:rsidR="00981064" w:rsidRPr="00C605D6" w:rsidRDefault="00981064" w:rsidP="00AC313E">
            <w:pPr>
              <w:pStyle w:val="TableText0"/>
              <w:jc w:val="right"/>
              <w:rPr>
                <w:lang w:val="en-US"/>
              </w:rPr>
            </w:pPr>
            <w:r w:rsidRPr="00C605D6">
              <w:rPr>
                <w:lang w:val="en-US"/>
              </w:rPr>
              <w:t>$264</w:t>
            </w:r>
          </w:p>
        </w:tc>
        <w:tc>
          <w:tcPr>
            <w:tcW w:w="1350" w:type="dxa"/>
            <w:noWrap/>
            <w:vAlign w:val="bottom"/>
          </w:tcPr>
          <w:p w:rsidR="00981064" w:rsidRPr="00C605D6" w:rsidRDefault="00981064" w:rsidP="00AC313E">
            <w:pPr>
              <w:pStyle w:val="TableText0"/>
              <w:jc w:val="right"/>
              <w:rPr>
                <w:lang w:val="en-US"/>
              </w:rPr>
            </w:pPr>
            <w:r w:rsidRPr="00C605D6">
              <w:rPr>
                <w:lang w:val="en-US"/>
              </w:rPr>
              <w:t>$198</w:t>
            </w:r>
          </w:p>
        </w:tc>
        <w:tc>
          <w:tcPr>
            <w:tcW w:w="1304" w:type="dxa"/>
            <w:noWrap/>
            <w:vAlign w:val="bottom"/>
          </w:tcPr>
          <w:p w:rsidR="00981064" w:rsidRPr="00C605D6" w:rsidRDefault="00981064" w:rsidP="00AC313E">
            <w:pPr>
              <w:pStyle w:val="TableText0"/>
              <w:jc w:val="right"/>
              <w:rPr>
                <w:lang w:val="en-US"/>
              </w:rPr>
            </w:pPr>
            <w:r w:rsidRPr="00C605D6">
              <w:rPr>
                <w:lang w:val="en-US"/>
              </w:rPr>
              <w:t>$106</w:t>
            </w:r>
          </w:p>
        </w:tc>
      </w:tr>
    </w:tbl>
    <w:p w:rsidR="00987ADE" w:rsidRDefault="00C5538A" w:rsidP="00884714">
      <w:pPr>
        <w:pStyle w:val="TableNotes"/>
        <w:rPr>
          <w:lang w:val="en-US" w:eastAsia="en-US"/>
        </w:rPr>
      </w:pPr>
      <w:r>
        <w:rPr>
          <w:lang w:val="en-US" w:eastAsia="en-US"/>
        </w:rPr>
        <w:t xml:space="preserve">ICU: Intensive Care Unit; </w:t>
      </w:r>
      <w:r w:rsidR="00987ADE">
        <w:rPr>
          <w:lang w:val="en-US" w:eastAsia="en-US"/>
        </w:rPr>
        <w:t>M</w:t>
      </w:r>
      <w:r>
        <w:rPr>
          <w:lang w:val="en-US" w:eastAsia="en-US"/>
        </w:rPr>
        <w:t xml:space="preserve">BS: Medicare Benefits Schedule; </w:t>
      </w:r>
      <w:r>
        <w:rPr>
          <w:lang w:val="en-US"/>
        </w:rPr>
        <w:t>NA: not available</w:t>
      </w:r>
    </w:p>
    <w:p w:rsidR="00981064" w:rsidRPr="00C605D6" w:rsidRDefault="00C5538A" w:rsidP="00884714">
      <w:pPr>
        <w:pStyle w:val="TableNotes"/>
        <w:rPr>
          <w:lang w:val="en-US" w:eastAsia="en-US"/>
        </w:rPr>
      </w:pPr>
      <w:proofErr w:type="gramStart"/>
      <w:r>
        <w:rPr>
          <w:lang w:val="en-US" w:eastAsia="en-US"/>
        </w:rPr>
        <w:t>a</w:t>
      </w:r>
      <w:r w:rsidR="00981064" w:rsidRPr="00C605D6">
        <w:rPr>
          <w:lang w:val="en-US" w:eastAsia="en-US"/>
        </w:rPr>
        <w:t xml:space="preserve"> </w:t>
      </w:r>
      <w:r>
        <w:rPr>
          <w:lang w:val="en-US" w:eastAsia="en-US"/>
        </w:rPr>
        <w:t xml:space="preserve"> </w:t>
      </w:r>
      <w:r w:rsidR="00981064" w:rsidRPr="00C605D6">
        <w:rPr>
          <w:lang w:val="en-US" w:eastAsia="en-US"/>
        </w:rPr>
        <w:t>All</w:t>
      </w:r>
      <w:proofErr w:type="gramEnd"/>
      <w:r w:rsidR="00981064" w:rsidRPr="00C605D6">
        <w:rPr>
          <w:lang w:val="en-US" w:eastAsia="en-US"/>
        </w:rPr>
        <w:t xml:space="preserve"> procedures are undertaken as inpatient procedures with 75% of the scheduled fee reimbursab</w:t>
      </w:r>
      <w:r w:rsidR="00987ADE">
        <w:rPr>
          <w:lang w:val="en-US" w:eastAsia="en-US"/>
        </w:rPr>
        <w:t>le, with the exception of items</w:t>
      </w:r>
      <w:r w:rsidR="00981064" w:rsidRPr="00C605D6">
        <w:rPr>
          <w:lang w:val="en-US" w:eastAsia="en-US"/>
        </w:rPr>
        <w:t xml:space="preserve"> 104, 105, 110, 116 which are undertaken in an outpatient setting with 85% of the scheduled fee reimbursable.</w:t>
      </w:r>
      <w:r w:rsidR="00981064" w:rsidRPr="00C605D6">
        <w:rPr>
          <w:lang w:val="en-US" w:eastAsia="en-US"/>
        </w:rPr>
        <w:br/>
      </w:r>
      <w:proofErr w:type="gramStart"/>
      <w:r>
        <w:rPr>
          <w:lang w:val="en-US" w:eastAsia="en-US"/>
        </w:rPr>
        <w:t>b</w:t>
      </w:r>
      <w:r w:rsidR="00981064" w:rsidRPr="00C605D6">
        <w:rPr>
          <w:lang w:val="en-US" w:eastAsia="en-US"/>
        </w:rPr>
        <w:t xml:space="preserve"> </w:t>
      </w:r>
      <w:r>
        <w:rPr>
          <w:lang w:val="en-US" w:eastAsia="en-US"/>
        </w:rPr>
        <w:t xml:space="preserve"> </w:t>
      </w:r>
      <w:r w:rsidR="00981064" w:rsidRPr="00C605D6">
        <w:rPr>
          <w:lang w:val="en-US" w:eastAsia="en-US"/>
        </w:rPr>
        <w:t>There</w:t>
      </w:r>
      <w:proofErr w:type="gramEnd"/>
      <w:r w:rsidR="00981064" w:rsidRPr="00C605D6">
        <w:rPr>
          <w:lang w:val="en-US" w:eastAsia="en-US"/>
        </w:rPr>
        <w:t xml:space="preserve"> are no available data for MBS codes pertaining to anesthesia time blocks</w:t>
      </w:r>
      <w:r w:rsidR="00987ADE">
        <w:rPr>
          <w:lang w:val="en-US" w:eastAsia="en-US"/>
        </w:rPr>
        <w:t>.</w:t>
      </w:r>
    </w:p>
    <w:p w:rsidR="00F71B25" w:rsidRDefault="00F71B25" w:rsidP="00981064">
      <w:pPr>
        <w:pStyle w:val="Heading3"/>
      </w:pPr>
      <w:r>
        <w:t>Cost of pre-operative treatment</w:t>
      </w:r>
    </w:p>
    <w:p w:rsidR="00F71B25" w:rsidRDefault="00F71B25" w:rsidP="00981064">
      <w:r>
        <w:t xml:space="preserve">The estimated average cost of </w:t>
      </w:r>
      <w:r w:rsidR="00987ADE">
        <w:t>pre-operative</w:t>
      </w:r>
      <w:r>
        <w:t xml:space="preserve"> treatment for SEMS, colostomy and Hartmann’s procedure are presented in</w:t>
      </w:r>
      <w:r w:rsidR="00280A83">
        <w:t xml:space="preserve"> </w:t>
      </w:r>
      <w:r w:rsidR="00280A83">
        <w:fldChar w:fldCharType="begin"/>
      </w:r>
      <w:r w:rsidR="00280A83">
        <w:instrText xml:space="preserve"> REF _Ref324949519 \h </w:instrText>
      </w:r>
      <w:r w:rsidR="00280A83">
        <w:fldChar w:fldCharType="separate"/>
      </w:r>
      <w:r w:rsidR="0071544A">
        <w:t xml:space="preserve">Table </w:t>
      </w:r>
      <w:r w:rsidR="0071544A">
        <w:rPr>
          <w:noProof/>
        </w:rPr>
        <w:t>49</w:t>
      </w:r>
      <w:r w:rsidR="00280A83">
        <w:fldChar w:fldCharType="end"/>
      </w:r>
      <w:r>
        <w:t xml:space="preserve">. The </w:t>
      </w:r>
      <w:r w:rsidR="00987ADE">
        <w:t>pre-operative</w:t>
      </w:r>
      <w:r>
        <w:t xml:space="preserve"> procedures are assumed to be identical for all three procedures. Overall pre-operative treatment is expected to cost $1,683 per patient ($963 MBS contribution).</w:t>
      </w:r>
    </w:p>
    <w:p w:rsidR="00981064" w:rsidRPr="00C605D6" w:rsidRDefault="00280A83" w:rsidP="00280A83">
      <w:pPr>
        <w:pStyle w:val="Caption"/>
      </w:pPr>
      <w:bookmarkStart w:id="218" w:name="_Ref324949519"/>
      <w:bookmarkStart w:id="219" w:name="_Toc327522093"/>
      <w:r>
        <w:lastRenderedPageBreak/>
        <w:t xml:space="preserve">Table </w:t>
      </w:r>
      <w:fldSimple w:instr=" SEQ Table \* ARABIC ">
        <w:r w:rsidR="0071544A">
          <w:rPr>
            <w:noProof/>
          </w:rPr>
          <w:t>49</w:t>
        </w:r>
      </w:fldSimple>
      <w:bookmarkEnd w:id="218"/>
      <w:r w:rsidR="00981064" w:rsidRPr="00C605D6">
        <w:tab/>
        <w:t>Pre-operative treatment costs</w:t>
      </w:r>
      <w:bookmarkEnd w:id="219"/>
      <w:r w:rsidR="00981064" w:rsidRPr="00C605D6">
        <w:t xml:space="preserve"> </w:t>
      </w:r>
    </w:p>
    <w:tbl>
      <w:tblPr>
        <w:tblW w:w="6803" w:type="dxa"/>
        <w:tblInd w:w="720" w:type="dxa"/>
        <w:tblBorders>
          <w:top w:val="single" w:sz="12" w:space="0" w:color="auto"/>
          <w:bottom w:val="single" w:sz="12" w:space="0" w:color="auto"/>
        </w:tblBorders>
        <w:tblLook w:val="00A0" w:firstRow="1" w:lastRow="0" w:firstColumn="1" w:lastColumn="0" w:noHBand="0" w:noVBand="0"/>
      </w:tblPr>
      <w:tblGrid>
        <w:gridCol w:w="2507"/>
        <w:gridCol w:w="1319"/>
        <w:gridCol w:w="993"/>
        <w:gridCol w:w="992"/>
        <w:gridCol w:w="992"/>
      </w:tblGrid>
      <w:tr w:rsidR="00981064" w:rsidRPr="00C605D6" w:rsidTr="000F7AAA">
        <w:trPr>
          <w:trHeight w:val="227"/>
        </w:trPr>
        <w:tc>
          <w:tcPr>
            <w:tcW w:w="2507" w:type="dxa"/>
            <w:tcBorders>
              <w:top w:val="single" w:sz="12" w:space="0" w:color="auto"/>
              <w:bottom w:val="single" w:sz="4" w:space="0" w:color="auto"/>
            </w:tcBorders>
            <w:shd w:val="clear" w:color="000000" w:fill="FFFFFF"/>
            <w:noWrap/>
            <w:vAlign w:val="bottom"/>
          </w:tcPr>
          <w:p w:rsidR="00981064" w:rsidRPr="00C605D6" w:rsidRDefault="00981064" w:rsidP="00884714">
            <w:pPr>
              <w:pStyle w:val="TableHeading0"/>
            </w:pPr>
          </w:p>
        </w:tc>
        <w:tc>
          <w:tcPr>
            <w:tcW w:w="1319" w:type="dxa"/>
            <w:tcBorders>
              <w:top w:val="single" w:sz="12" w:space="0" w:color="auto"/>
              <w:bottom w:val="single" w:sz="4" w:space="0" w:color="auto"/>
            </w:tcBorders>
            <w:shd w:val="clear" w:color="000000" w:fill="FFFFFF"/>
            <w:noWrap/>
            <w:vAlign w:val="bottom"/>
          </w:tcPr>
          <w:p w:rsidR="00981064" w:rsidRPr="00C605D6" w:rsidRDefault="00981064" w:rsidP="00AC313E">
            <w:pPr>
              <w:pStyle w:val="TableHeading0"/>
              <w:jc w:val="right"/>
            </w:pPr>
            <w:r w:rsidRPr="00C605D6">
              <w:t>MBS codes</w:t>
            </w:r>
          </w:p>
        </w:tc>
        <w:tc>
          <w:tcPr>
            <w:tcW w:w="993" w:type="dxa"/>
            <w:tcBorders>
              <w:top w:val="single" w:sz="12" w:space="0" w:color="auto"/>
              <w:bottom w:val="single" w:sz="4" w:space="0" w:color="auto"/>
            </w:tcBorders>
            <w:shd w:val="clear" w:color="000000" w:fill="FFFFFF"/>
            <w:noWrap/>
            <w:vAlign w:val="bottom"/>
          </w:tcPr>
          <w:p w:rsidR="00981064" w:rsidRPr="00C605D6" w:rsidRDefault="00981064" w:rsidP="00AC313E">
            <w:pPr>
              <w:pStyle w:val="TableHeading0"/>
              <w:jc w:val="right"/>
            </w:pPr>
            <w:r w:rsidRPr="00C605D6">
              <w:t>Costs</w:t>
            </w:r>
          </w:p>
        </w:tc>
        <w:tc>
          <w:tcPr>
            <w:tcW w:w="992" w:type="dxa"/>
            <w:tcBorders>
              <w:top w:val="single" w:sz="12" w:space="0" w:color="auto"/>
              <w:bottom w:val="single" w:sz="4" w:space="0" w:color="auto"/>
            </w:tcBorders>
            <w:shd w:val="clear" w:color="000000" w:fill="FFFFFF"/>
            <w:noWrap/>
            <w:vAlign w:val="bottom"/>
          </w:tcPr>
          <w:p w:rsidR="00981064" w:rsidRPr="00C605D6" w:rsidRDefault="00981064" w:rsidP="00AC313E">
            <w:pPr>
              <w:pStyle w:val="TableHeading0"/>
              <w:jc w:val="right"/>
            </w:pPr>
            <w:r w:rsidRPr="00C605D6">
              <w:t xml:space="preserve">Units </w:t>
            </w:r>
          </w:p>
        </w:tc>
        <w:tc>
          <w:tcPr>
            <w:tcW w:w="992" w:type="dxa"/>
            <w:tcBorders>
              <w:top w:val="single" w:sz="12" w:space="0" w:color="auto"/>
              <w:bottom w:val="single" w:sz="4" w:space="0" w:color="auto"/>
            </w:tcBorders>
            <w:shd w:val="clear" w:color="000000" w:fill="FFFFFF"/>
            <w:noWrap/>
            <w:vAlign w:val="bottom"/>
          </w:tcPr>
          <w:p w:rsidR="00981064" w:rsidRPr="00C605D6" w:rsidRDefault="00981064" w:rsidP="00AC313E">
            <w:pPr>
              <w:pStyle w:val="TableHeading0"/>
              <w:jc w:val="right"/>
            </w:pPr>
            <w:r w:rsidRPr="00C605D6">
              <w:t>Total</w:t>
            </w:r>
          </w:p>
        </w:tc>
      </w:tr>
      <w:tr w:rsidR="00981064" w:rsidRPr="00C605D6" w:rsidTr="000F7AAA">
        <w:trPr>
          <w:trHeight w:val="227"/>
        </w:trPr>
        <w:tc>
          <w:tcPr>
            <w:tcW w:w="2507" w:type="dxa"/>
            <w:tcBorders>
              <w:top w:val="single" w:sz="4" w:space="0" w:color="auto"/>
            </w:tcBorders>
            <w:shd w:val="clear" w:color="000000" w:fill="FFFFFF"/>
            <w:noWrap/>
            <w:vAlign w:val="bottom"/>
          </w:tcPr>
          <w:p w:rsidR="00981064" w:rsidRPr="00C605D6" w:rsidRDefault="00981064" w:rsidP="00884714">
            <w:pPr>
              <w:pStyle w:val="TableText"/>
              <w:rPr>
                <w:lang w:val="en-US" w:eastAsia="en-US"/>
              </w:rPr>
            </w:pPr>
            <w:r w:rsidRPr="00C605D6">
              <w:rPr>
                <w:lang w:val="en-US" w:eastAsia="en-US"/>
              </w:rPr>
              <w:t>Colonoscopy</w:t>
            </w:r>
          </w:p>
        </w:tc>
        <w:tc>
          <w:tcPr>
            <w:tcW w:w="1319" w:type="dxa"/>
            <w:tcBorders>
              <w:top w:val="single" w:sz="4" w:space="0" w:color="auto"/>
            </w:tcBorders>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32090</w:t>
            </w:r>
          </w:p>
        </w:tc>
        <w:tc>
          <w:tcPr>
            <w:tcW w:w="993" w:type="dxa"/>
            <w:tcBorders>
              <w:top w:val="single" w:sz="4" w:space="0" w:color="auto"/>
            </w:tcBorders>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$246</w:t>
            </w:r>
          </w:p>
        </w:tc>
        <w:tc>
          <w:tcPr>
            <w:tcW w:w="992" w:type="dxa"/>
            <w:tcBorders>
              <w:top w:val="single" w:sz="4" w:space="0" w:color="auto"/>
            </w:tcBorders>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tcBorders>
              <w:top w:val="single" w:sz="4" w:space="0" w:color="auto"/>
            </w:tcBorders>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$246</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   MBS 32090 co-payment</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32090</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$198</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$198</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Plain abdominal x-ray</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58903</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$36</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$36</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   MBS 58903 co-payment</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58903</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$22</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$22</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CT scan of abdomen and pelvis</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56507</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$360</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$360</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   MBS 56507 co-payment</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56507</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$197</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$197</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Barium </w:t>
            </w:r>
            <w:r w:rsidR="00987ADE">
              <w:rPr>
                <w:lang w:val="en-US" w:eastAsia="en-US"/>
              </w:rPr>
              <w:t>s</w:t>
            </w:r>
            <w:r w:rsidRPr="00C605D6">
              <w:rPr>
                <w:lang w:val="en-US" w:eastAsia="en-US"/>
              </w:rPr>
              <w:t>wallow/enema</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58921</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$101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$101</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   MBS 58921 co-payment</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58921</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$71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$71</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Pre-anaesthesia consultation</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17610</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$32</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$32</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   MBS 17610 co-payment</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17610</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$44</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$44</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Initiation of anaesthesia (4 units)</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20810</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   MBS 20810 co-payment</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20810</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$120</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$120</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Anaesthesia - 56 min to 1:00 hour</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23043</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$58</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Surgery consultation</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104</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$71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$71</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lang w:val="en-US" w:eastAsia="en-US"/>
              </w:rPr>
            </w:pPr>
            <w:r w:rsidRPr="00C605D6">
              <w:rPr>
                <w:lang w:val="en-US" w:eastAsia="en-US"/>
              </w:rPr>
              <w:t xml:space="preserve">   MBS 104 co-payment</w:t>
            </w:r>
          </w:p>
        </w:tc>
        <w:tc>
          <w:tcPr>
            <w:tcW w:w="1319"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104</w:t>
            </w:r>
          </w:p>
        </w:tc>
        <w:tc>
          <w:tcPr>
            <w:tcW w:w="993"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$68</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1</w:t>
            </w: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$68</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b/>
                <w:bCs/>
                <w:lang w:val="en-US" w:eastAsia="en-US"/>
              </w:rPr>
            </w:pPr>
            <w:r w:rsidRPr="00C605D6">
              <w:rPr>
                <w:b/>
                <w:bCs/>
                <w:lang w:val="en-US" w:eastAsia="en-US"/>
              </w:rPr>
              <w:t>Total consumables</w:t>
            </w:r>
          </w:p>
        </w:tc>
        <w:tc>
          <w:tcPr>
            <w:tcW w:w="1319" w:type="dxa"/>
            <w:shd w:val="clear" w:color="000000" w:fill="FFFFFF"/>
            <w:noWrap/>
            <w:vAlign w:val="bottom"/>
          </w:tcPr>
          <w:p w:rsidR="00981064" w:rsidRPr="00C605D6" w:rsidRDefault="00981064" w:rsidP="00AC313E">
            <w:pPr>
              <w:pStyle w:val="TableText"/>
              <w:jc w:val="right"/>
              <w:rPr>
                <w:b/>
                <w:bCs/>
                <w:lang w:val="en-US" w:eastAsia="en-US"/>
              </w:rPr>
            </w:pPr>
          </w:p>
        </w:tc>
        <w:tc>
          <w:tcPr>
            <w:tcW w:w="993" w:type="dxa"/>
            <w:shd w:val="clear" w:color="000000" w:fill="FFFFFF"/>
            <w:noWrap/>
            <w:vAlign w:val="bottom"/>
          </w:tcPr>
          <w:p w:rsidR="00981064" w:rsidRPr="00C605D6" w:rsidRDefault="00981064" w:rsidP="00AC313E">
            <w:pPr>
              <w:pStyle w:val="TableText"/>
              <w:jc w:val="right"/>
              <w:rPr>
                <w:lang w:val="en-US" w:eastAsia="en-US"/>
              </w:rPr>
            </w:pPr>
          </w:p>
        </w:tc>
        <w:tc>
          <w:tcPr>
            <w:tcW w:w="992" w:type="dxa"/>
            <w:shd w:val="clear" w:color="000000" w:fill="FFFFFF"/>
            <w:noWrap/>
            <w:vAlign w:val="bottom"/>
          </w:tcPr>
          <w:p w:rsidR="00981064" w:rsidRPr="00C605D6" w:rsidRDefault="00981064" w:rsidP="00AC313E">
            <w:pPr>
              <w:pStyle w:val="TableText"/>
              <w:jc w:val="right"/>
              <w:rPr>
                <w:lang w:val="en-US" w:eastAsia="en-US"/>
              </w:rPr>
            </w:pP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$0</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b/>
                <w:bCs/>
                <w:lang w:val="en-US" w:eastAsia="en-US"/>
              </w:rPr>
            </w:pPr>
            <w:r w:rsidRPr="00C605D6">
              <w:rPr>
                <w:b/>
                <w:bCs/>
                <w:lang w:val="en-US" w:eastAsia="en-US"/>
              </w:rPr>
              <w:t>Total MBS fees</w:t>
            </w:r>
          </w:p>
        </w:tc>
        <w:tc>
          <w:tcPr>
            <w:tcW w:w="1319" w:type="dxa"/>
            <w:shd w:val="clear" w:color="000000" w:fill="FFFFFF"/>
            <w:noWrap/>
            <w:vAlign w:val="bottom"/>
          </w:tcPr>
          <w:p w:rsidR="00981064" w:rsidRPr="00C605D6" w:rsidRDefault="00981064" w:rsidP="00AC313E">
            <w:pPr>
              <w:pStyle w:val="TableText"/>
              <w:jc w:val="right"/>
              <w:rPr>
                <w:b/>
                <w:bCs/>
                <w:lang w:val="en-US" w:eastAsia="en-US"/>
              </w:rPr>
            </w:pPr>
          </w:p>
        </w:tc>
        <w:tc>
          <w:tcPr>
            <w:tcW w:w="993" w:type="dxa"/>
            <w:shd w:val="clear" w:color="000000" w:fill="FFFFFF"/>
            <w:noWrap/>
            <w:vAlign w:val="bottom"/>
          </w:tcPr>
          <w:p w:rsidR="00981064" w:rsidRPr="00C605D6" w:rsidRDefault="00981064" w:rsidP="00AC313E">
            <w:pPr>
              <w:pStyle w:val="TableText"/>
              <w:jc w:val="right"/>
              <w:rPr>
                <w:lang w:val="en-US" w:eastAsia="en-US"/>
              </w:rPr>
            </w:pPr>
          </w:p>
        </w:tc>
        <w:tc>
          <w:tcPr>
            <w:tcW w:w="992" w:type="dxa"/>
            <w:shd w:val="clear" w:color="000000" w:fill="FFFFFF"/>
            <w:noWrap/>
            <w:vAlign w:val="bottom"/>
          </w:tcPr>
          <w:p w:rsidR="00981064" w:rsidRPr="00C605D6" w:rsidRDefault="00981064" w:rsidP="00AC313E">
            <w:pPr>
              <w:pStyle w:val="TableText"/>
              <w:jc w:val="right"/>
              <w:rPr>
                <w:lang w:val="en-US" w:eastAsia="en-US"/>
              </w:rPr>
            </w:pP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$963</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b/>
                <w:bCs/>
                <w:lang w:val="en-US" w:eastAsia="en-US"/>
              </w:rPr>
            </w:pPr>
            <w:r w:rsidRPr="00C605D6">
              <w:rPr>
                <w:b/>
                <w:bCs/>
                <w:lang w:val="en-US" w:eastAsia="en-US"/>
              </w:rPr>
              <w:t xml:space="preserve">Total </w:t>
            </w:r>
            <w:r w:rsidR="004D408A">
              <w:rPr>
                <w:b/>
                <w:lang w:eastAsia="en-US"/>
              </w:rPr>
              <w:t>patient/</w:t>
            </w:r>
            <w:r w:rsidRPr="00C605D6">
              <w:rPr>
                <w:b/>
                <w:lang w:eastAsia="en-US"/>
              </w:rPr>
              <w:t>insurer costs</w:t>
            </w:r>
          </w:p>
        </w:tc>
        <w:tc>
          <w:tcPr>
            <w:tcW w:w="1319" w:type="dxa"/>
            <w:shd w:val="clear" w:color="000000" w:fill="FFFFFF"/>
            <w:noWrap/>
            <w:vAlign w:val="bottom"/>
          </w:tcPr>
          <w:p w:rsidR="00981064" w:rsidRPr="00C605D6" w:rsidRDefault="00981064" w:rsidP="00AC313E">
            <w:pPr>
              <w:pStyle w:val="TableText"/>
              <w:jc w:val="right"/>
              <w:rPr>
                <w:b/>
                <w:bCs/>
                <w:lang w:val="en-US" w:eastAsia="en-US"/>
              </w:rPr>
            </w:pPr>
          </w:p>
        </w:tc>
        <w:tc>
          <w:tcPr>
            <w:tcW w:w="993" w:type="dxa"/>
            <w:shd w:val="clear" w:color="000000" w:fill="FFFFFF"/>
            <w:noWrap/>
            <w:vAlign w:val="bottom"/>
          </w:tcPr>
          <w:p w:rsidR="00981064" w:rsidRPr="00C605D6" w:rsidRDefault="00981064" w:rsidP="00AC313E">
            <w:pPr>
              <w:pStyle w:val="TableText"/>
              <w:jc w:val="right"/>
              <w:rPr>
                <w:lang w:val="en-US" w:eastAsia="en-US"/>
              </w:rPr>
            </w:pPr>
          </w:p>
        </w:tc>
        <w:tc>
          <w:tcPr>
            <w:tcW w:w="992" w:type="dxa"/>
            <w:shd w:val="clear" w:color="000000" w:fill="FFFFFF"/>
            <w:noWrap/>
            <w:vAlign w:val="bottom"/>
          </w:tcPr>
          <w:p w:rsidR="00981064" w:rsidRPr="00C605D6" w:rsidRDefault="00981064" w:rsidP="00AC313E">
            <w:pPr>
              <w:pStyle w:val="TableText"/>
              <w:jc w:val="right"/>
              <w:rPr>
                <w:lang w:val="en-US" w:eastAsia="en-US"/>
              </w:rPr>
            </w:pPr>
          </w:p>
        </w:tc>
        <w:tc>
          <w:tcPr>
            <w:tcW w:w="992" w:type="dxa"/>
            <w:shd w:val="clear" w:color="000000" w:fill="FFFFFF"/>
            <w:noWrap/>
            <w:vAlign w:val="bottom"/>
          </w:tcPr>
          <w:p w:rsidR="00981064" w:rsidRPr="00C605D6" w:rsidRDefault="00981064" w:rsidP="00AC313E">
            <w:pPr>
              <w:pStyle w:val="TableText"/>
              <w:jc w:val="right"/>
              <w:rPr>
                <w:lang w:val="en-US" w:eastAsia="en-US"/>
              </w:rPr>
            </w:pPr>
            <w:r w:rsidRPr="00C605D6">
              <w:rPr>
                <w:lang w:val="en-US" w:eastAsia="en-US"/>
              </w:rPr>
              <w:t>$719</w:t>
            </w:r>
          </w:p>
        </w:tc>
      </w:tr>
      <w:tr w:rsidR="00981064" w:rsidRPr="00C605D6" w:rsidTr="000F7AAA">
        <w:trPr>
          <w:trHeight w:val="227"/>
        </w:trPr>
        <w:tc>
          <w:tcPr>
            <w:tcW w:w="2507" w:type="dxa"/>
            <w:shd w:val="clear" w:color="000000" w:fill="FFFFFF"/>
            <w:noWrap/>
            <w:vAlign w:val="bottom"/>
          </w:tcPr>
          <w:p w:rsidR="00981064" w:rsidRPr="00C605D6" w:rsidRDefault="00981064" w:rsidP="00884714">
            <w:pPr>
              <w:pStyle w:val="TableText"/>
              <w:rPr>
                <w:b/>
                <w:bCs/>
                <w:lang w:val="en-US" w:eastAsia="en-US"/>
              </w:rPr>
            </w:pPr>
            <w:r w:rsidRPr="00C605D6">
              <w:rPr>
                <w:b/>
                <w:bCs/>
                <w:lang w:val="en-US" w:eastAsia="en-US"/>
              </w:rPr>
              <w:t xml:space="preserve">Total </w:t>
            </w:r>
            <w:r w:rsidR="00987ADE">
              <w:rPr>
                <w:b/>
                <w:bCs/>
                <w:lang w:val="en-US" w:eastAsia="en-US"/>
              </w:rPr>
              <w:t>c</w:t>
            </w:r>
            <w:r w:rsidRPr="00C605D6">
              <w:rPr>
                <w:b/>
                <w:bCs/>
                <w:lang w:val="en-US" w:eastAsia="en-US"/>
              </w:rPr>
              <w:t>ost</w:t>
            </w:r>
          </w:p>
        </w:tc>
        <w:tc>
          <w:tcPr>
            <w:tcW w:w="1319" w:type="dxa"/>
            <w:shd w:val="clear" w:color="000000" w:fill="FFFFFF"/>
            <w:noWrap/>
            <w:vAlign w:val="bottom"/>
          </w:tcPr>
          <w:p w:rsidR="00981064" w:rsidRPr="00C605D6" w:rsidRDefault="00981064" w:rsidP="00AC313E">
            <w:pPr>
              <w:pStyle w:val="TableText"/>
              <w:jc w:val="right"/>
              <w:rPr>
                <w:b/>
                <w:bCs/>
                <w:lang w:val="en-US" w:eastAsia="en-US"/>
              </w:rPr>
            </w:pPr>
          </w:p>
        </w:tc>
        <w:tc>
          <w:tcPr>
            <w:tcW w:w="993" w:type="dxa"/>
            <w:shd w:val="clear" w:color="000000" w:fill="FFFFFF"/>
            <w:noWrap/>
            <w:vAlign w:val="bottom"/>
          </w:tcPr>
          <w:p w:rsidR="00981064" w:rsidRPr="00C605D6" w:rsidRDefault="00981064" w:rsidP="00AC313E">
            <w:pPr>
              <w:pStyle w:val="TableText"/>
              <w:jc w:val="right"/>
              <w:rPr>
                <w:b/>
                <w:bCs/>
                <w:lang w:val="en-US" w:eastAsia="en-US"/>
              </w:rPr>
            </w:pPr>
          </w:p>
        </w:tc>
        <w:tc>
          <w:tcPr>
            <w:tcW w:w="992" w:type="dxa"/>
            <w:shd w:val="clear" w:color="000000" w:fill="FFFFFF"/>
            <w:noWrap/>
            <w:vAlign w:val="bottom"/>
          </w:tcPr>
          <w:p w:rsidR="00981064" w:rsidRPr="00C605D6" w:rsidRDefault="00981064" w:rsidP="00AC313E">
            <w:pPr>
              <w:pStyle w:val="TableText"/>
              <w:jc w:val="right"/>
              <w:rPr>
                <w:b/>
                <w:bCs/>
                <w:lang w:val="en-US" w:eastAsia="en-US"/>
              </w:rPr>
            </w:pPr>
          </w:p>
        </w:tc>
        <w:tc>
          <w:tcPr>
            <w:tcW w:w="992" w:type="dxa"/>
            <w:shd w:val="clear" w:color="000000" w:fill="FFFFFF"/>
            <w:noWrap/>
            <w:vAlign w:val="bottom"/>
          </w:tcPr>
          <w:p w:rsidR="00981064" w:rsidRPr="00C605D6" w:rsidRDefault="00981064" w:rsidP="00987ADE">
            <w:pPr>
              <w:pStyle w:val="TableText"/>
              <w:jc w:val="right"/>
              <w:rPr>
                <w:b/>
                <w:bCs/>
                <w:lang w:val="en-US" w:eastAsia="en-US"/>
              </w:rPr>
            </w:pPr>
            <w:r w:rsidRPr="00C605D6">
              <w:rPr>
                <w:b/>
                <w:bCs/>
                <w:lang w:val="en-US" w:eastAsia="en-US"/>
              </w:rPr>
              <w:t>$1,</w:t>
            </w:r>
            <w:r w:rsidR="00987ADE" w:rsidRPr="00C605D6">
              <w:rPr>
                <w:b/>
                <w:bCs/>
                <w:lang w:val="en-US" w:eastAsia="en-US"/>
              </w:rPr>
              <w:t>68</w:t>
            </w:r>
            <w:r w:rsidR="00987ADE">
              <w:rPr>
                <w:b/>
                <w:bCs/>
                <w:lang w:val="en-US" w:eastAsia="en-US"/>
              </w:rPr>
              <w:t>2</w:t>
            </w:r>
          </w:p>
        </w:tc>
      </w:tr>
    </w:tbl>
    <w:p w:rsidR="00981064" w:rsidRPr="00C605D6" w:rsidRDefault="00FB5D61" w:rsidP="0007443E">
      <w:pPr>
        <w:pStyle w:val="TableNotes"/>
      </w:pPr>
      <w:r>
        <w:t>MBS: Medicare Benefits Schedule.</w:t>
      </w:r>
    </w:p>
    <w:p w:rsidR="00F71B25" w:rsidRDefault="00F71B25" w:rsidP="00884714">
      <w:pPr>
        <w:pStyle w:val="Heading3"/>
      </w:pPr>
      <w:r>
        <w:t>Cost of SEMS procedure</w:t>
      </w:r>
    </w:p>
    <w:p w:rsidR="00F71B25" w:rsidRDefault="00F71B25" w:rsidP="00884714">
      <w:r>
        <w:t>The cost</w:t>
      </w:r>
      <w:r w:rsidR="00FB5D61">
        <w:t>s</w:t>
      </w:r>
      <w:r>
        <w:t xml:space="preserve"> associated with the insertion of the SEMS are summarised in</w:t>
      </w:r>
      <w:r w:rsidR="00FB5D61">
        <w:t xml:space="preserve"> </w:t>
      </w:r>
      <w:r w:rsidR="00280A83">
        <w:fldChar w:fldCharType="begin"/>
      </w:r>
      <w:r w:rsidR="00280A83">
        <w:instrText xml:space="preserve"> REF _Ref324949549 \h </w:instrText>
      </w:r>
      <w:r w:rsidR="00280A83">
        <w:fldChar w:fldCharType="separate"/>
      </w:r>
      <w:r w:rsidR="0071544A">
        <w:t xml:space="preserve">Table </w:t>
      </w:r>
      <w:r w:rsidR="0071544A">
        <w:rPr>
          <w:noProof/>
        </w:rPr>
        <w:t>50</w:t>
      </w:r>
      <w:r w:rsidR="00280A83">
        <w:fldChar w:fldCharType="end"/>
      </w:r>
      <w:r>
        <w:t>. The average cost of the theatre was taken from AR-DRG G05B (minor small and large bowel</w:t>
      </w:r>
      <w:r w:rsidR="00FB5D61">
        <w:t xml:space="preserve"> </w:t>
      </w:r>
      <w:r>
        <w:t>procedures without complications). The insertion procedure is expected to cost $5,968 ($3,535 of which is consumables, largely the cost of the SEMS). The proposed MBS fee was provided by the applicant ($650).The co-payment was estimated to be 25 per cent of the MBS fee in the base case analysis. Higher co-payment fees are tested in the sensitivity analysis.</w:t>
      </w:r>
    </w:p>
    <w:p w:rsidR="00884714" w:rsidRPr="00C605D6" w:rsidRDefault="00280A83" w:rsidP="00280A83">
      <w:pPr>
        <w:pStyle w:val="Caption"/>
      </w:pPr>
      <w:bookmarkStart w:id="220" w:name="_Ref324949549"/>
      <w:bookmarkStart w:id="221" w:name="_Toc327522094"/>
      <w:r>
        <w:lastRenderedPageBreak/>
        <w:t xml:space="preserve">Table </w:t>
      </w:r>
      <w:fldSimple w:instr=" SEQ Table \* ARABIC ">
        <w:r w:rsidR="0071544A">
          <w:rPr>
            <w:noProof/>
          </w:rPr>
          <w:t>50</w:t>
        </w:r>
      </w:fldSimple>
      <w:bookmarkEnd w:id="220"/>
      <w:r w:rsidR="00884714" w:rsidRPr="00C605D6">
        <w:tab/>
        <w:t xml:space="preserve">Cost of SEMS </w:t>
      </w:r>
      <w:r w:rsidR="00884714">
        <w:t>insertion</w:t>
      </w:r>
      <w:bookmarkEnd w:id="221"/>
      <w:r w:rsidR="00884714" w:rsidRPr="00C605D6">
        <w:t xml:space="preserve"> </w:t>
      </w:r>
    </w:p>
    <w:tbl>
      <w:tblPr>
        <w:tblW w:w="6804" w:type="dxa"/>
        <w:tblInd w:w="720" w:type="dxa"/>
        <w:tblBorders>
          <w:top w:val="single" w:sz="12" w:space="0" w:color="auto"/>
          <w:bottom w:val="single" w:sz="12" w:space="0" w:color="auto"/>
        </w:tblBorders>
        <w:tblLook w:val="00A0" w:firstRow="1" w:lastRow="0" w:firstColumn="1" w:lastColumn="0" w:noHBand="0" w:noVBand="0"/>
      </w:tblPr>
      <w:tblGrid>
        <w:gridCol w:w="3348"/>
        <w:gridCol w:w="720"/>
        <w:gridCol w:w="990"/>
        <w:gridCol w:w="753"/>
        <w:gridCol w:w="993"/>
      </w:tblGrid>
      <w:tr w:rsidR="00884714" w:rsidRPr="00C605D6" w:rsidTr="00C5538A">
        <w:trPr>
          <w:cantSplit/>
          <w:trHeight w:val="227"/>
        </w:trPr>
        <w:tc>
          <w:tcPr>
            <w:tcW w:w="3348" w:type="dxa"/>
            <w:tcBorders>
              <w:top w:val="single" w:sz="12" w:space="0" w:color="auto"/>
              <w:bottom w:val="single" w:sz="4" w:space="0" w:color="auto"/>
            </w:tcBorders>
            <w:shd w:val="clear" w:color="000000" w:fill="FFFFFF"/>
            <w:noWrap/>
            <w:vAlign w:val="bottom"/>
          </w:tcPr>
          <w:p w:rsidR="00884714" w:rsidRDefault="00884714" w:rsidP="00C5538A">
            <w:pPr>
              <w:keepNext/>
              <w:spacing w:after="0"/>
              <w:ind w:left="0"/>
              <w:rPr>
                <w:rFonts w:ascii="Arial Narrow" w:hAnsi="Arial Narrow"/>
                <w:b/>
                <w:bCs/>
                <w:color w:val="000000"/>
                <w:sz w:val="18"/>
                <w:szCs w:val="18"/>
                <w:lang w:val="en-US" w:eastAsia="en-US"/>
              </w:rPr>
            </w:pPr>
          </w:p>
          <w:p w:rsidR="00C80B75" w:rsidRPr="00C605D6" w:rsidRDefault="00C80B75" w:rsidP="00C5538A">
            <w:pPr>
              <w:keepNext/>
              <w:spacing w:after="0"/>
              <w:ind w:left="0"/>
              <w:rPr>
                <w:rFonts w:ascii="Arial Narrow" w:hAnsi="Arial Narrow"/>
                <w:b/>
                <w:bCs/>
                <w:color w:val="000000"/>
                <w:sz w:val="18"/>
                <w:szCs w:val="18"/>
                <w:lang w:val="en-US" w:eastAsia="en-US"/>
              </w:rPr>
            </w:pPr>
          </w:p>
        </w:tc>
        <w:tc>
          <w:tcPr>
            <w:tcW w:w="720" w:type="dxa"/>
            <w:tcBorders>
              <w:top w:val="single" w:sz="12" w:space="0" w:color="auto"/>
              <w:bottom w:val="single" w:sz="4" w:space="0" w:color="auto"/>
            </w:tcBorders>
            <w:shd w:val="clear" w:color="000000" w:fill="FFFFFF"/>
            <w:noWrap/>
            <w:vAlign w:val="bottom"/>
          </w:tcPr>
          <w:p w:rsidR="00884714" w:rsidRPr="00C605D6" w:rsidRDefault="00884714" w:rsidP="00C5538A">
            <w:pPr>
              <w:pStyle w:val="TableHeading0"/>
              <w:jc w:val="right"/>
            </w:pPr>
            <w:r w:rsidRPr="00C605D6">
              <w:t>MBS code</w:t>
            </w:r>
          </w:p>
        </w:tc>
        <w:tc>
          <w:tcPr>
            <w:tcW w:w="990" w:type="dxa"/>
            <w:tcBorders>
              <w:top w:val="single" w:sz="12" w:space="0" w:color="auto"/>
              <w:bottom w:val="single" w:sz="4" w:space="0" w:color="auto"/>
            </w:tcBorders>
            <w:shd w:val="clear" w:color="000000" w:fill="FFFFFF"/>
            <w:noWrap/>
            <w:vAlign w:val="bottom"/>
          </w:tcPr>
          <w:p w:rsidR="00884714" w:rsidRPr="00C605D6" w:rsidRDefault="00884714" w:rsidP="00C5538A">
            <w:pPr>
              <w:pStyle w:val="TableHeading0"/>
              <w:jc w:val="right"/>
            </w:pPr>
            <w:r w:rsidRPr="00C605D6">
              <w:t>Costs</w:t>
            </w:r>
          </w:p>
        </w:tc>
        <w:tc>
          <w:tcPr>
            <w:tcW w:w="753" w:type="dxa"/>
            <w:tcBorders>
              <w:top w:val="single" w:sz="12" w:space="0" w:color="auto"/>
              <w:bottom w:val="single" w:sz="4" w:space="0" w:color="auto"/>
            </w:tcBorders>
            <w:shd w:val="clear" w:color="000000" w:fill="FFFFFF"/>
            <w:noWrap/>
            <w:vAlign w:val="bottom"/>
          </w:tcPr>
          <w:p w:rsidR="00884714" w:rsidRPr="00C605D6" w:rsidRDefault="00884714" w:rsidP="00C5538A">
            <w:pPr>
              <w:pStyle w:val="TableHeading0"/>
              <w:jc w:val="right"/>
            </w:pPr>
            <w:r w:rsidRPr="00C605D6">
              <w:t xml:space="preserve">Units </w:t>
            </w:r>
          </w:p>
        </w:tc>
        <w:tc>
          <w:tcPr>
            <w:tcW w:w="993" w:type="dxa"/>
            <w:tcBorders>
              <w:top w:val="single" w:sz="12" w:space="0" w:color="auto"/>
              <w:bottom w:val="single" w:sz="4" w:space="0" w:color="auto"/>
            </w:tcBorders>
            <w:shd w:val="clear" w:color="000000" w:fill="FFFFFF"/>
            <w:noWrap/>
            <w:vAlign w:val="bottom"/>
          </w:tcPr>
          <w:p w:rsidR="00884714" w:rsidRPr="00C605D6" w:rsidRDefault="00884714" w:rsidP="00C5538A">
            <w:pPr>
              <w:pStyle w:val="TableHeading0"/>
              <w:jc w:val="right"/>
            </w:pPr>
            <w:r w:rsidRPr="00C605D6">
              <w:t>Total</w:t>
            </w:r>
          </w:p>
        </w:tc>
      </w:tr>
      <w:tr w:rsidR="00884714" w:rsidRPr="00C605D6" w:rsidTr="00C5538A">
        <w:trPr>
          <w:cantSplit/>
          <w:trHeight w:val="227"/>
        </w:trPr>
        <w:tc>
          <w:tcPr>
            <w:tcW w:w="3348" w:type="dxa"/>
            <w:tcBorders>
              <w:top w:val="single" w:sz="4" w:space="0" w:color="auto"/>
            </w:tcBorders>
            <w:shd w:val="clear" w:color="000000" w:fill="FFFFFF"/>
            <w:noWrap/>
            <w:vAlign w:val="bottom"/>
          </w:tcPr>
          <w:p w:rsidR="00884714" w:rsidRPr="00C605D6" w:rsidRDefault="00884714" w:rsidP="00C5538A">
            <w:pPr>
              <w:pStyle w:val="TableHeading"/>
              <w:rPr>
                <w:lang w:val="en-US" w:eastAsia="en-US"/>
              </w:rPr>
            </w:pPr>
            <w:r w:rsidRPr="00C605D6">
              <w:rPr>
                <w:lang w:val="en-US" w:eastAsia="en-US"/>
              </w:rPr>
              <w:t>Equipment</w:t>
            </w:r>
          </w:p>
        </w:tc>
        <w:tc>
          <w:tcPr>
            <w:tcW w:w="720" w:type="dxa"/>
            <w:tcBorders>
              <w:top w:val="single" w:sz="4" w:space="0" w:color="auto"/>
            </w:tcBorders>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990" w:type="dxa"/>
            <w:tcBorders>
              <w:top w:val="single" w:sz="4" w:space="0" w:color="auto"/>
            </w:tcBorders>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753" w:type="dxa"/>
            <w:tcBorders>
              <w:top w:val="single" w:sz="4" w:space="0" w:color="auto"/>
            </w:tcBorders>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p>
        </w:tc>
        <w:tc>
          <w:tcPr>
            <w:tcW w:w="993" w:type="dxa"/>
            <w:tcBorders>
              <w:top w:val="single" w:sz="4" w:space="0" w:color="auto"/>
            </w:tcBorders>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Stent (prostheses list - BS071)</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$3,060</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$3,060</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Contrast liquids</w:t>
            </w:r>
            <w:r w:rsidR="00C5538A" w:rsidRPr="00C5538A">
              <w:rPr>
                <w:vertAlign w:val="superscript"/>
                <w:lang w:val="en-US"/>
              </w:rPr>
              <w:t>a</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$25</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$25</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Guide wire</w:t>
            </w:r>
            <w:r w:rsidR="00C5538A" w:rsidRPr="00C5538A">
              <w:rPr>
                <w:vertAlign w:val="superscript"/>
                <w:lang w:val="en-US"/>
              </w:rPr>
              <w:t>a</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$375</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$375</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Cannula/ catheter</w:t>
            </w:r>
            <w:r w:rsidR="00C5538A" w:rsidRPr="00C5538A">
              <w:rPr>
                <w:vertAlign w:val="superscript"/>
                <w:lang w:val="en-US"/>
              </w:rPr>
              <w:t>a</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$75</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$75</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Heading"/>
              <w:rPr>
                <w:lang w:val="en-US" w:eastAsia="en-US"/>
              </w:rPr>
            </w:pPr>
            <w:r w:rsidRPr="00C605D6">
              <w:rPr>
                <w:lang w:val="en-US" w:eastAsia="en-US"/>
              </w:rPr>
              <w:t>Operation</w:t>
            </w:r>
          </w:p>
        </w:tc>
        <w:tc>
          <w:tcPr>
            <w:tcW w:w="720" w:type="dxa"/>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990" w:type="dxa"/>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753" w:type="dxa"/>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p>
        </w:tc>
        <w:tc>
          <w:tcPr>
            <w:tcW w:w="993" w:type="dxa"/>
            <w:shd w:val="clear" w:color="000000" w:fill="FFFFFF"/>
            <w:noWrap/>
            <w:vAlign w:val="bottom"/>
          </w:tcPr>
          <w:p w:rsidR="00884714" w:rsidRPr="00C605D6" w:rsidRDefault="00884714" w:rsidP="00C553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Insertion of stent (proposed MBS fee at 75%)</w:t>
            </w:r>
          </w:p>
        </w:tc>
        <w:tc>
          <w:tcPr>
            <w:tcW w:w="720" w:type="dxa"/>
            <w:shd w:val="clear" w:color="000000" w:fill="FFFFFF"/>
            <w:noWrap/>
            <w:vAlign w:val="bottom"/>
          </w:tcPr>
          <w:p w:rsidR="00884714" w:rsidRPr="00C605D6" w:rsidRDefault="00884714" w:rsidP="00C5538A">
            <w:pPr>
              <w:pStyle w:val="TableText0"/>
              <w:jc w:val="right"/>
              <w:rPr>
                <w:color w:val="FFFFFF"/>
                <w:lang w:val="en-US"/>
              </w:rPr>
            </w:pPr>
            <w:r w:rsidRPr="00C605D6">
              <w:rPr>
                <w:color w:val="FFFFFF"/>
                <w:lang w:val="en-US"/>
              </w:rPr>
              <w:t>1</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$488</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$488</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 xml:space="preserve">   Estimated MBS co-payment (25% fee)</w:t>
            </w:r>
          </w:p>
        </w:tc>
        <w:tc>
          <w:tcPr>
            <w:tcW w:w="720" w:type="dxa"/>
            <w:shd w:val="clear" w:color="000000" w:fill="FFFFFF"/>
            <w:noWrap/>
            <w:vAlign w:val="bottom"/>
          </w:tcPr>
          <w:p w:rsidR="00884714" w:rsidRPr="00C605D6" w:rsidRDefault="00884714" w:rsidP="00C5538A">
            <w:pPr>
              <w:pStyle w:val="TableText0"/>
              <w:jc w:val="right"/>
              <w:rPr>
                <w:color w:val="FFFFFF"/>
                <w:lang w:val="en-US"/>
              </w:rPr>
            </w:pPr>
            <w:r w:rsidRPr="00C605D6">
              <w:rPr>
                <w:color w:val="FFFFFF"/>
                <w:lang w:val="en-US"/>
              </w:rPr>
              <w:t>1</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$163</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$163</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Fluoroscopy</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60503</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$22</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$22</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 xml:space="preserve">   MBS 60503 co-payment</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60503</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$24</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$24</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 xml:space="preserve">Initiation of </w:t>
            </w:r>
            <w:r w:rsidR="001A2FFC" w:rsidRPr="00C605D6">
              <w:rPr>
                <w:lang w:val="en-US"/>
              </w:rPr>
              <w:t>a</w:t>
            </w:r>
            <w:r w:rsidRPr="00C605D6">
              <w:rPr>
                <w:lang w:val="en-US"/>
              </w:rPr>
              <w:t>naesthesia (5 units)</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21926</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$73</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$73</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 xml:space="preserve">   MBS 21926 copayment</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21926</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$209</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$209</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Anaesthesia - 1:11 to 1:15 hours</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23053</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$73</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$73</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Assistance with insertion of stent</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51303</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$98</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$98</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 xml:space="preserve">    MBS 51303 co-payment</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51303</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$198</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$198</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lang w:val="en-US"/>
              </w:rPr>
            </w:pPr>
            <w:r w:rsidRPr="00C605D6">
              <w:rPr>
                <w:lang w:val="en-US"/>
              </w:rPr>
              <w:t>Theatre  (AR-DRG G05B)</w:t>
            </w:r>
          </w:p>
        </w:tc>
        <w:tc>
          <w:tcPr>
            <w:tcW w:w="720" w:type="dxa"/>
            <w:shd w:val="clear" w:color="000000" w:fill="FFFFFF"/>
            <w:noWrap/>
            <w:vAlign w:val="bottom"/>
          </w:tcPr>
          <w:p w:rsidR="00884714" w:rsidRPr="00C605D6" w:rsidRDefault="00884714" w:rsidP="00C5538A">
            <w:pPr>
              <w:pStyle w:val="TableText0"/>
              <w:jc w:val="right"/>
              <w:rPr>
                <w:lang w:val="en-US"/>
              </w:rPr>
            </w:pPr>
            <w:r w:rsidRPr="00C605D6">
              <w:rPr>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$1,087</w:t>
            </w:r>
          </w:p>
        </w:tc>
        <w:tc>
          <w:tcPr>
            <w:tcW w:w="75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w:t>
            </w: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$1,087</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b/>
                <w:bCs/>
                <w:lang w:val="en-US"/>
              </w:rPr>
            </w:pPr>
            <w:r w:rsidRPr="00C605D6">
              <w:rPr>
                <w:b/>
                <w:bCs/>
                <w:lang w:val="en-US"/>
              </w:rPr>
              <w:t>Total consumables</w:t>
            </w:r>
          </w:p>
        </w:tc>
        <w:tc>
          <w:tcPr>
            <w:tcW w:w="720" w:type="dxa"/>
            <w:shd w:val="clear" w:color="000000" w:fill="FFFFFF"/>
            <w:noWrap/>
            <w:vAlign w:val="bottom"/>
          </w:tcPr>
          <w:p w:rsidR="00884714" w:rsidRPr="00C605D6" w:rsidRDefault="00884714" w:rsidP="00C5538A">
            <w:pPr>
              <w:pStyle w:val="TableText0"/>
              <w:jc w:val="right"/>
              <w:rPr>
                <w:b/>
                <w:bCs/>
                <w:lang w:val="en-US"/>
              </w:rPr>
            </w:pPr>
            <w:r w:rsidRPr="00C605D6">
              <w:rPr>
                <w:b/>
                <w:bCs/>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 </w:t>
            </w:r>
          </w:p>
        </w:tc>
        <w:tc>
          <w:tcPr>
            <w:tcW w:w="753" w:type="dxa"/>
            <w:shd w:val="clear" w:color="000000" w:fill="FFFFFF"/>
            <w:noWrap/>
            <w:vAlign w:val="bottom"/>
          </w:tcPr>
          <w:p w:rsidR="00884714" w:rsidRPr="00C605D6" w:rsidRDefault="00884714" w:rsidP="00C5538A">
            <w:pPr>
              <w:pStyle w:val="TableText0"/>
              <w:jc w:val="right"/>
              <w:rPr>
                <w:color w:val="000000"/>
                <w:lang w:val="en-US"/>
              </w:rPr>
            </w:pP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$3,535</w:t>
            </w:r>
          </w:p>
        </w:tc>
      </w:tr>
      <w:tr w:rsidR="00884714" w:rsidRPr="00C605D6" w:rsidTr="00C5538A">
        <w:trPr>
          <w:cantSplit/>
          <w:trHeight w:val="227"/>
        </w:trPr>
        <w:tc>
          <w:tcPr>
            <w:tcW w:w="3348" w:type="dxa"/>
            <w:shd w:val="clear" w:color="000000" w:fill="FFFFFF"/>
            <w:noWrap/>
            <w:vAlign w:val="center"/>
          </w:tcPr>
          <w:p w:rsidR="00884714" w:rsidRPr="00C605D6" w:rsidRDefault="00632797" w:rsidP="00C5538A">
            <w:pPr>
              <w:pStyle w:val="TableText0"/>
              <w:rPr>
                <w:b/>
                <w:bCs/>
                <w:lang w:val="en-US"/>
              </w:rPr>
            </w:pPr>
            <w:r>
              <w:rPr>
                <w:b/>
                <w:bCs/>
                <w:lang w:val="en-US"/>
              </w:rPr>
              <w:t xml:space="preserve">Total MBS </w:t>
            </w:r>
            <w:r w:rsidR="00884714" w:rsidRPr="00C605D6">
              <w:rPr>
                <w:b/>
                <w:bCs/>
                <w:lang w:val="en-US"/>
              </w:rPr>
              <w:t>fees</w:t>
            </w:r>
          </w:p>
        </w:tc>
        <w:tc>
          <w:tcPr>
            <w:tcW w:w="720" w:type="dxa"/>
            <w:shd w:val="clear" w:color="000000" w:fill="FFFFFF"/>
            <w:noWrap/>
            <w:vAlign w:val="center"/>
          </w:tcPr>
          <w:p w:rsidR="00884714" w:rsidRPr="00C605D6" w:rsidRDefault="00884714" w:rsidP="00C5538A">
            <w:pPr>
              <w:pStyle w:val="TableText0"/>
              <w:jc w:val="right"/>
              <w:rPr>
                <w:b/>
                <w:bCs/>
                <w:lang w:val="en-US"/>
              </w:rPr>
            </w:pPr>
            <w:r w:rsidRPr="00C605D6">
              <w:rPr>
                <w:b/>
                <w:bCs/>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 </w:t>
            </w:r>
          </w:p>
        </w:tc>
        <w:tc>
          <w:tcPr>
            <w:tcW w:w="753" w:type="dxa"/>
            <w:shd w:val="clear" w:color="000000" w:fill="FFFFFF"/>
            <w:noWrap/>
            <w:vAlign w:val="bottom"/>
          </w:tcPr>
          <w:p w:rsidR="00884714" w:rsidRPr="00C605D6" w:rsidRDefault="00884714" w:rsidP="00C5538A">
            <w:pPr>
              <w:pStyle w:val="TableText0"/>
              <w:jc w:val="right"/>
              <w:rPr>
                <w:color w:val="000000"/>
                <w:lang w:val="en-US"/>
              </w:rPr>
            </w:pP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$1,840</w:t>
            </w:r>
          </w:p>
        </w:tc>
      </w:tr>
      <w:tr w:rsidR="00884714" w:rsidRPr="00C605D6" w:rsidTr="00C5538A">
        <w:trPr>
          <w:cantSplit/>
          <w:trHeight w:val="227"/>
        </w:trPr>
        <w:tc>
          <w:tcPr>
            <w:tcW w:w="3348" w:type="dxa"/>
            <w:shd w:val="clear" w:color="000000" w:fill="FFFFFF"/>
            <w:noWrap/>
            <w:vAlign w:val="bottom"/>
          </w:tcPr>
          <w:p w:rsidR="00884714" w:rsidRPr="00C605D6" w:rsidRDefault="00884714" w:rsidP="00C5538A">
            <w:pPr>
              <w:pStyle w:val="TableText0"/>
              <w:rPr>
                <w:b/>
                <w:bCs/>
                <w:lang w:val="en-US"/>
              </w:rPr>
            </w:pPr>
            <w:r w:rsidRPr="00C605D6">
              <w:rPr>
                <w:b/>
                <w:bCs/>
                <w:lang w:val="en-US"/>
              </w:rPr>
              <w:t xml:space="preserve">Total </w:t>
            </w:r>
            <w:r w:rsidR="004D408A" w:rsidRPr="000F3C8B">
              <w:rPr>
                <w:b/>
                <w:color w:val="000000"/>
                <w:lang w:val="en-AU"/>
              </w:rPr>
              <w:t>patient/</w:t>
            </w:r>
            <w:r w:rsidRPr="000F3C8B">
              <w:rPr>
                <w:b/>
                <w:color w:val="000000"/>
                <w:lang w:val="en-AU"/>
              </w:rPr>
              <w:t>insurer costs</w:t>
            </w:r>
          </w:p>
        </w:tc>
        <w:tc>
          <w:tcPr>
            <w:tcW w:w="720" w:type="dxa"/>
            <w:shd w:val="clear" w:color="000000" w:fill="FFFFFF"/>
            <w:noWrap/>
            <w:vAlign w:val="bottom"/>
          </w:tcPr>
          <w:p w:rsidR="00884714" w:rsidRPr="00C605D6" w:rsidRDefault="00884714" w:rsidP="00C5538A">
            <w:pPr>
              <w:pStyle w:val="TableText0"/>
              <w:jc w:val="right"/>
              <w:rPr>
                <w:b/>
                <w:bCs/>
                <w:lang w:val="en-US"/>
              </w:rPr>
            </w:pPr>
            <w:r w:rsidRPr="00C605D6">
              <w:rPr>
                <w:b/>
                <w:bCs/>
                <w:lang w:val="en-US"/>
              </w:rPr>
              <w:t> </w:t>
            </w:r>
          </w:p>
        </w:tc>
        <w:tc>
          <w:tcPr>
            <w:tcW w:w="990"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 </w:t>
            </w:r>
          </w:p>
        </w:tc>
        <w:tc>
          <w:tcPr>
            <w:tcW w:w="753" w:type="dxa"/>
            <w:shd w:val="clear" w:color="000000" w:fill="FFFFFF"/>
            <w:noWrap/>
            <w:vAlign w:val="bottom"/>
          </w:tcPr>
          <w:p w:rsidR="00884714" w:rsidRPr="00C605D6" w:rsidRDefault="00884714" w:rsidP="00C5538A">
            <w:pPr>
              <w:pStyle w:val="TableText0"/>
              <w:jc w:val="right"/>
              <w:rPr>
                <w:color w:val="000000"/>
                <w:lang w:val="en-US"/>
              </w:rPr>
            </w:pPr>
          </w:p>
        </w:tc>
        <w:tc>
          <w:tcPr>
            <w:tcW w:w="993" w:type="dxa"/>
            <w:shd w:val="clear" w:color="000000" w:fill="FFFFFF"/>
            <w:noWrap/>
            <w:vAlign w:val="bottom"/>
          </w:tcPr>
          <w:p w:rsidR="00884714" w:rsidRPr="00C605D6" w:rsidRDefault="00884714" w:rsidP="00C5538A">
            <w:pPr>
              <w:pStyle w:val="TableText0"/>
              <w:jc w:val="right"/>
              <w:rPr>
                <w:color w:val="000000"/>
                <w:lang w:val="en-US"/>
              </w:rPr>
            </w:pPr>
            <w:r w:rsidRPr="00C605D6">
              <w:rPr>
                <w:color w:val="000000"/>
                <w:lang w:val="en-US"/>
              </w:rPr>
              <w:t>$593</w:t>
            </w:r>
          </w:p>
        </w:tc>
      </w:tr>
      <w:tr w:rsidR="003319D6" w:rsidRPr="00C605D6" w:rsidTr="00C5538A">
        <w:trPr>
          <w:cantSplit/>
          <w:trHeight w:val="410"/>
        </w:trPr>
        <w:tc>
          <w:tcPr>
            <w:tcW w:w="3348" w:type="dxa"/>
            <w:shd w:val="clear" w:color="000000" w:fill="FFFFFF"/>
            <w:noWrap/>
            <w:vAlign w:val="bottom"/>
          </w:tcPr>
          <w:p w:rsidR="00884714" w:rsidRPr="00C605D6" w:rsidRDefault="00884714" w:rsidP="00C5538A">
            <w:pPr>
              <w:pStyle w:val="TableText0"/>
              <w:rPr>
                <w:b/>
                <w:bCs/>
                <w:color w:val="000000"/>
                <w:lang w:val="en-US"/>
              </w:rPr>
            </w:pPr>
            <w:r w:rsidRPr="00C605D6">
              <w:rPr>
                <w:b/>
                <w:bCs/>
                <w:color w:val="000000"/>
                <w:lang w:val="en-US"/>
              </w:rPr>
              <w:t xml:space="preserve">Total </w:t>
            </w:r>
            <w:r w:rsidR="001A2FFC" w:rsidRPr="00C605D6">
              <w:rPr>
                <w:b/>
                <w:bCs/>
                <w:color w:val="000000"/>
                <w:lang w:val="en-US"/>
              </w:rPr>
              <w:t>c</w:t>
            </w:r>
            <w:r w:rsidRPr="00C605D6">
              <w:rPr>
                <w:b/>
                <w:bCs/>
                <w:color w:val="000000"/>
                <w:lang w:val="en-US"/>
              </w:rPr>
              <w:t>ost</w:t>
            </w:r>
          </w:p>
        </w:tc>
        <w:tc>
          <w:tcPr>
            <w:tcW w:w="720" w:type="dxa"/>
            <w:shd w:val="clear" w:color="000000" w:fill="FFFFFF"/>
            <w:noWrap/>
            <w:vAlign w:val="bottom"/>
          </w:tcPr>
          <w:p w:rsidR="00884714" w:rsidRPr="00C605D6" w:rsidRDefault="00884714" w:rsidP="00C5538A">
            <w:pPr>
              <w:pStyle w:val="TableText0"/>
              <w:jc w:val="right"/>
              <w:rPr>
                <w:b/>
                <w:bCs/>
                <w:color w:val="000000"/>
                <w:lang w:val="en-US"/>
              </w:rPr>
            </w:pPr>
            <w:r w:rsidRPr="00C605D6">
              <w:rPr>
                <w:b/>
                <w:bCs/>
                <w:color w:val="000000"/>
                <w:lang w:val="en-US"/>
              </w:rPr>
              <w:t> </w:t>
            </w:r>
          </w:p>
        </w:tc>
        <w:tc>
          <w:tcPr>
            <w:tcW w:w="990" w:type="dxa"/>
            <w:shd w:val="clear" w:color="000000" w:fill="FFFFFF"/>
            <w:noWrap/>
            <w:vAlign w:val="bottom"/>
          </w:tcPr>
          <w:p w:rsidR="00884714" w:rsidRPr="00C605D6" w:rsidRDefault="00884714" w:rsidP="00C5538A">
            <w:pPr>
              <w:pStyle w:val="TableText0"/>
              <w:jc w:val="right"/>
              <w:rPr>
                <w:b/>
                <w:bCs/>
                <w:color w:val="000000"/>
                <w:lang w:val="en-US"/>
              </w:rPr>
            </w:pPr>
            <w:r w:rsidRPr="00C605D6">
              <w:rPr>
                <w:b/>
                <w:bCs/>
                <w:color w:val="000000"/>
                <w:lang w:val="en-US"/>
              </w:rPr>
              <w:t> </w:t>
            </w:r>
          </w:p>
        </w:tc>
        <w:tc>
          <w:tcPr>
            <w:tcW w:w="753" w:type="dxa"/>
            <w:shd w:val="clear" w:color="000000" w:fill="FFFFFF"/>
            <w:noWrap/>
            <w:vAlign w:val="bottom"/>
          </w:tcPr>
          <w:p w:rsidR="00884714" w:rsidRPr="00C605D6" w:rsidRDefault="00884714" w:rsidP="00C5538A">
            <w:pPr>
              <w:pStyle w:val="TableText0"/>
              <w:jc w:val="right"/>
              <w:rPr>
                <w:b/>
                <w:bCs/>
                <w:color w:val="000000"/>
                <w:lang w:val="en-US"/>
              </w:rPr>
            </w:pPr>
          </w:p>
        </w:tc>
        <w:tc>
          <w:tcPr>
            <w:tcW w:w="993" w:type="dxa"/>
            <w:shd w:val="clear" w:color="000000" w:fill="FFFFFF"/>
            <w:noWrap/>
            <w:vAlign w:val="bottom"/>
          </w:tcPr>
          <w:p w:rsidR="00884714" w:rsidRPr="00C605D6" w:rsidRDefault="00884714" w:rsidP="00C5538A">
            <w:pPr>
              <w:pStyle w:val="TableText0"/>
              <w:jc w:val="right"/>
              <w:rPr>
                <w:b/>
                <w:bCs/>
                <w:color w:val="000000"/>
                <w:lang w:val="en-US"/>
              </w:rPr>
            </w:pPr>
            <w:r w:rsidRPr="00C605D6">
              <w:rPr>
                <w:b/>
                <w:bCs/>
                <w:color w:val="000000"/>
                <w:lang w:val="en-US"/>
              </w:rPr>
              <w:t>$5,968</w:t>
            </w:r>
          </w:p>
        </w:tc>
      </w:tr>
    </w:tbl>
    <w:p w:rsidR="006D43B0" w:rsidRDefault="00C5538A" w:rsidP="0007443E">
      <w:pPr>
        <w:pStyle w:val="TableNotes"/>
        <w:rPr>
          <w:b/>
          <w:bCs/>
          <w:szCs w:val="16"/>
          <w:lang w:val="en-US"/>
        </w:rPr>
      </w:pPr>
      <w:proofErr w:type="gramStart"/>
      <w:r>
        <w:rPr>
          <w:szCs w:val="16"/>
          <w:lang w:val="en-AU"/>
        </w:rPr>
        <w:t xml:space="preserve">a  </w:t>
      </w:r>
      <w:r w:rsidR="006D43B0" w:rsidRPr="006D43B0">
        <w:rPr>
          <w:szCs w:val="16"/>
          <w:lang w:val="en-AU"/>
        </w:rPr>
        <w:t>Based</w:t>
      </w:r>
      <w:proofErr w:type="gramEnd"/>
      <w:r w:rsidR="006D43B0" w:rsidRPr="006D43B0">
        <w:rPr>
          <w:szCs w:val="16"/>
          <w:lang w:val="en-AU"/>
        </w:rPr>
        <w:t xml:space="preserve"> on expert advice, </w:t>
      </w:r>
      <w:r w:rsidR="006D43B0">
        <w:rPr>
          <w:bCs/>
          <w:szCs w:val="16"/>
          <w:lang w:val="en-US"/>
        </w:rPr>
        <w:t>‘</w:t>
      </w:r>
      <w:r w:rsidR="006D43B0" w:rsidRPr="00E80977">
        <w:rPr>
          <w:bCs/>
          <w:szCs w:val="16"/>
          <w:lang w:val="en-US"/>
        </w:rPr>
        <w:t>Contrast liquids, guidewires and catheters are used to aid stent placement. A guidewire is inserted initially for stent placement t</w:t>
      </w:r>
      <w:r w:rsidR="006D43B0" w:rsidRPr="006D43B0">
        <w:rPr>
          <w:bCs/>
          <w:szCs w:val="16"/>
          <w:lang w:val="en-US"/>
        </w:rPr>
        <w:t xml:space="preserve">hen a catheter is </w:t>
      </w:r>
      <w:r w:rsidR="006D43B0" w:rsidRPr="00E80977">
        <w:rPr>
          <w:bCs/>
          <w:szCs w:val="16"/>
          <w:lang w:val="en-US"/>
        </w:rPr>
        <w:t>placed over the guidewire.</w:t>
      </w:r>
      <w:r w:rsidR="006D43B0">
        <w:rPr>
          <w:bCs/>
          <w:szCs w:val="16"/>
          <w:lang w:val="en-US"/>
        </w:rPr>
        <w:t xml:space="preserve"> </w:t>
      </w:r>
      <w:r w:rsidR="006D43B0" w:rsidRPr="006D43B0">
        <w:rPr>
          <w:bCs/>
          <w:szCs w:val="16"/>
          <w:lang w:val="en-US"/>
        </w:rPr>
        <w:t xml:space="preserve">The </w:t>
      </w:r>
      <w:r w:rsidR="006D43B0" w:rsidRPr="00E80977">
        <w:rPr>
          <w:bCs/>
          <w:szCs w:val="16"/>
          <w:lang w:val="en-US"/>
        </w:rPr>
        <w:t>contrast liquids are used to monitor the placement by x-ray</w:t>
      </w:r>
      <w:r w:rsidR="006D43B0">
        <w:rPr>
          <w:bCs/>
          <w:szCs w:val="16"/>
          <w:lang w:val="en-US"/>
        </w:rPr>
        <w:t>’.</w:t>
      </w:r>
    </w:p>
    <w:p w:rsidR="00C33DE2" w:rsidRDefault="000F7AAA" w:rsidP="006D43B0">
      <w:pPr>
        <w:pStyle w:val="TableNotes"/>
        <w:rPr>
          <w:szCs w:val="16"/>
          <w:lang w:val="en-AU"/>
        </w:rPr>
      </w:pPr>
      <w:r w:rsidRPr="006D43B0">
        <w:rPr>
          <w:szCs w:val="16"/>
        </w:rPr>
        <w:t>AR-DRG: Australian Refined Diagnostic Related Group</w:t>
      </w:r>
      <w:r>
        <w:rPr>
          <w:szCs w:val="16"/>
          <w:lang w:val="en-AU"/>
        </w:rPr>
        <w:t xml:space="preserve">; </w:t>
      </w:r>
      <w:r w:rsidR="001A2FFC" w:rsidRPr="006D43B0">
        <w:rPr>
          <w:szCs w:val="16"/>
        </w:rPr>
        <w:t>MBS: Medicare Benefits Schedule</w:t>
      </w:r>
      <w:r>
        <w:rPr>
          <w:szCs w:val="16"/>
          <w:lang w:val="en-AU"/>
        </w:rPr>
        <w:t>.</w:t>
      </w:r>
    </w:p>
    <w:p w:rsidR="006D43B0" w:rsidRPr="00E80977" w:rsidRDefault="00C33DE2" w:rsidP="006D43B0">
      <w:pPr>
        <w:pStyle w:val="TableNotes"/>
        <w:rPr>
          <w:szCs w:val="16"/>
          <w:lang w:val="en-AU"/>
        </w:rPr>
      </w:pPr>
      <w:r>
        <w:rPr>
          <w:szCs w:val="16"/>
          <w:lang w:val="en-AU"/>
        </w:rPr>
        <w:t>Note</w:t>
      </w:r>
      <w:r w:rsidR="00951C3D">
        <w:rPr>
          <w:szCs w:val="16"/>
          <w:lang w:val="en-AU"/>
        </w:rPr>
        <w:t>: N</w:t>
      </w:r>
      <w:r w:rsidR="006D43B0" w:rsidRPr="00E80977">
        <w:rPr>
          <w:szCs w:val="16"/>
          <w:lang w:val="en-AU" w:eastAsia="en-AU"/>
        </w:rPr>
        <w:t xml:space="preserve">umbers may not </w:t>
      </w:r>
      <w:r w:rsidR="00C5538A">
        <w:rPr>
          <w:szCs w:val="16"/>
          <w:lang w:val="en-AU" w:eastAsia="en-AU"/>
        </w:rPr>
        <w:t>sum to total</w:t>
      </w:r>
      <w:r w:rsidR="006D43B0" w:rsidRPr="00E80977">
        <w:rPr>
          <w:szCs w:val="16"/>
          <w:lang w:val="en-AU" w:eastAsia="en-AU"/>
        </w:rPr>
        <w:t xml:space="preserve"> due to rounding</w:t>
      </w:r>
      <w:r w:rsidR="00E80977">
        <w:rPr>
          <w:szCs w:val="16"/>
          <w:lang w:val="en-AU" w:eastAsia="en-AU"/>
        </w:rPr>
        <w:t>.</w:t>
      </w:r>
    </w:p>
    <w:p w:rsidR="00F71B25" w:rsidRDefault="00F71B25" w:rsidP="00884714">
      <w:pPr>
        <w:pStyle w:val="Heading3"/>
      </w:pPr>
      <w:r>
        <w:t>Cost of colostomy</w:t>
      </w:r>
    </w:p>
    <w:p w:rsidR="00280A83" w:rsidRDefault="00F71B25" w:rsidP="00884714">
      <w:r>
        <w:t>The costs associated with stoma creation (colostomy) are presented in</w:t>
      </w:r>
      <w:r w:rsidR="00280A83">
        <w:t xml:space="preserve"> </w:t>
      </w:r>
      <w:r w:rsidR="00280A83">
        <w:fldChar w:fldCharType="begin"/>
      </w:r>
      <w:r w:rsidR="00280A83">
        <w:instrText xml:space="preserve"> REF _Ref324949605 \h </w:instrText>
      </w:r>
      <w:r w:rsidR="00280A83">
        <w:fldChar w:fldCharType="separate"/>
      </w:r>
      <w:r w:rsidR="0071544A">
        <w:t xml:space="preserve">Table </w:t>
      </w:r>
      <w:r w:rsidR="0071544A">
        <w:rPr>
          <w:noProof/>
        </w:rPr>
        <w:t>51</w:t>
      </w:r>
      <w:r w:rsidR="00280A83">
        <w:fldChar w:fldCharType="end"/>
      </w:r>
      <w:r>
        <w:t>. Surgical theatre costs for colostomy are estimated from AR-DRG G02B (major small and large bowel procedures without complications).</w:t>
      </w:r>
    </w:p>
    <w:p w:rsidR="00884714" w:rsidRPr="00C605D6" w:rsidRDefault="00280A83" w:rsidP="00280A83">
      <w:pPr>
        <w:pStyle w:val="Caption"/>
      </w:pPr>
      <w:r>
        <w:br w:type="page"/>
      </w:r>
      <w:bookmarkStart w:id="222" w:name="_Ref324949605"/>
      <w:bookmarkStart w:id="223" w:name="_Toc327522095"/>
      <w:r>
        <w:lastRenderedPageBreak/>
        <w:t xml:space="preserve">Table </w:t>
      </w:r>
      <w:fldSimple w:instr=" SEQ Table \* ARABIC ">
        <w:r w:rsidR="0071544A">
          <w:rPr>
            <w:noProof/>
          </w:rPr>
          <w:t>51</w:t>
        </w:r>
      </w:fldSimple>
      <w:bookmarkEnd w:id="222"/>
      <w:r w:rsidR="00884714" w:rsidRPr="00C605D6">
        <w:tab/>
        <w:t>Cost of colostomy</w:t>
      </w:r>
      <w:bookmarkEnd w:id="223"/>
      <w:r w:rsidR="00884714" w:rsidRPr="00C605D6">
        <w:t xml:space="preserve"> </w:t>
      </w:r>
    </w:p>
    <w:tbl>
      <w:tblPr>
        <w:tblW w:w="7044" w:type="dxa"/>
        <w:tblInd w:w="720" w:type="dxa"/>
        <w:tblBorders>
          <w:top w:val="single" w:sz="12" w:space="0" w:color="auto"/>
          <w:bottom w:val="single" w:sz="12" w:space="0" w:color="auto"/>
        </w:tblBorders>
        <w:tblLayout w:type="fixed"/>
        <w:tblLook w:val="00A0" w:firstRow="1" w:lastRow="0" w:firstColumn="1" w:lastColumn="0" w:noHBand="0" w:noVBand="0"/>
      </w:tblPr>
      <w:tblGrid>
        <w:gridCol w:w="2841"/>
        <w:gridCol w:w="1046"/>
        <w:gridCol w:w="1052"/>
        <w:gridCol w:w="1052"/>
        <w:gridCol w:w="1053"/>
      </w:tblGrid>
      <w:tr w:rsidR="00884714" w:rsidRPr="00C605D6" w:rsidTr="000F7AAA">
        <w:trPr>
          <w:trHeight w:val="315"/>
        </w:trPr>
        <w:tc>
          <w:tcPr>
            <w:tcW w:w="2841" w:type="dxa"/>
            <w:tcBorders>
              <w:top w:val="single" w:sz="12" w:space="0" w:color="auto"/>
              <w:bottom w:val="single" w:sz="4" w:space="0" w:color="auto"/>
            </w:tcBorders>
            <w:shd w:val="clear" w:color="000000" w:fill="FFFFFF"/>
            <w:noWrap/>
            <w:vAlign w:val="bottom"/>
          </w:tcPr>
          <w:p w:rsidR="00884714" w:rsidRPr="00C605D6" w:rsidRDefault="00884714" w:rsidP="00275F6A">
            <w:pPr>
              <w:spacing w:after="0"/>
              <w:ind w:left="0"/>
              <w:rPr>
                <w:rFonts w:ascii="Arial Narrow" w:hAnsi="Arial Narrow"/>
                <w:b/>
                <w:bCs/>
                <w:color w:val="000000"/>
                <w:sz w:val="18"/>
                <w:szCs w:val="18"/>
                <w:lang w:val="en-US" w:eastAsia="en-US"/>
              </w:rPr>
            </w:pPr>
          </w:p>
        </w:tc>
        <w:tc>
          <w:tcPr>
            <w:tcW w:w="1046" w:type="dxa"/>
            <w:tcBorders>
              <w:top w:val="single" w:sz="12" w:space="0" w:color="auto"/>
              <w:bottom w:val="single" w:sz="4" w:space="0" w:color="auto"/>
            </w:tcBorders>
            <w:shd w:val="clear" w:color="000000" w:fill="FFFFFF"/>
            <w:noWrap/>
            <w:vAlign w:val="bottom"/>
          </w:tcPr>
          <w:p w:rsidR="00884714" w:rsidRPr="00C605D6" w:rsidRDefault="00884714" w:rsidP="00E52FB3">
            <w:pPr>
              <w:pStyle w:val="TableHeading0"/>
              <w:jc w:val="right"/>
            </w:pPr>
            <w:r w:rsidRPr="00C605D6">
              <w:t>MBS code</w:t>
            </w:r>
          </w:p>
        </w:tc>
        <w:tc>
          <w:tcPr>
            <w:tcW w:w="1052" w:type="dxa"/>
            <w:tcBorders>
              <w:top w:val="single" w:sz="12" w:space="0" w:color="auto"/>
              <w:bottom w:val="single" w:sz="4" w:space="0" w:color="auto"/>
            </w:tcBorders>
            <w:shd w:val="clear" w:color="000000" w:fill="FFFFFF"/>
            <w:noWrap/>
            <w:vAlign w:val="bottom"/>
          </w:tcPr>
          <w:p w:rsidR="00884714" w:rsidRPr="00C605D6" w:rsidRDefault="00884714" w:rsidP="00E52FB3">
            <w:pPr>
              <w:pStyle w:val="TableHeading0"/>
              <w:jc w:val="right"/>
            </w:pPr>
            <w:r w:rsidRPr="00C605D6">
              <w:t>Costs</w:t>
            </w:r>
          </w:p>
        </w:tc>
        <w:tc>
          <w:tcPr>
            <w:tcW w:w="1052" w:type="dxa"/>
            <w:tcBorders>
              <w:top w:val="single" w:sz="12" w:space="0" w:color="auto"/>
              <w:bottom w:val="single" w:sz="4" w:space="0" w:color="auto"/>
            </w:tcBorders>
            <w:shd w:val="clear" w:color="000000" w:fill="FFFFFF"/>
            <w:noWrap/>
            <w:vAlign w:val="bottom"/>
          </w:tcPr>
          <w:p w:rsidR="00884714" w:rsidRPr="00C605D6" w:rsidRDefault="00884714" w:rsidP="00E52FB3">
            <w:pPr>
              <w:pStyle w:val="TableHeading0"/>
              <w:jc w:val="right"/>
            </w:pPr>
            <w:r w:rsidRPr="00C605D6">
              <w:t xml:space="preserve">Units </w:t>
            </w:r>
          </w:p>
        </w:tc>
        <w:tc>
          <w:tcPr>
            <w:tcW w:w="1053" w:type="dxa"/>
            <w:tcBorders>
              <w:top w:val="single" w:sz="12" w:space="0" w:color="auto"/>
              <w:bottom w:val="single" w:sz="4" w:space="0" w:color="auto"/>
            </w:tcBorders>
            <w:shd w:val="clear" w:color="000000" w:fill="FFFFFF"/>
            <w:noWrap/>
            <w:vAlign w:val="bottom"/>
          </w:tcPr>
          <w:p w:rsidR="00884714" w:rsidRPr="00C605D6" w:rsidRDefault="00884714" w:rsidP="00E52FB3">
            <w:pPr>
              <w:pStyle w:val="TableHeading0"/>
              <w:jc w:val="right"/>
            </w:pPr>
            <w:r w:rsidRPr="00C605D6">
              <w:t>Total</w:t>
            </w:r>
          </w:p>
        </w:tc>
      </w:tr>
      <w:tr w:rsidR="00884714" w:rsidRPr="00C605D6" w:rsidTr="000F7AAA">
        <w:trPr>
          <w:trHeight w:val="227"/>
        </w:trPr>
        <w:tc>
          <w:tcPr>
            <w:tcW w:w="2841" w:type="dxa"/>
            <w:tcBorders>
              <w:top w:val="single" w:sz="4" w:space="0" w:color="auto"/>
            </w:tcBorders>
            <w:shd w:val="clear" w:color="000000" w:fill="FFFFFF"/>
            <w:noWrap/>
            <w:vAlign w:val="bottom"/>
          </w:tcPr>
          <w:p w:rsidR="00884714" w:rsidRPr="00E80977" w:rsidRDefault="00884714" w:rsidP="00C80B75">
            <w:pPr>
              <w:pStyle w:val="TableHeading0"/>
              <w:rPr>
                <w:rFonts w:ascii="Arial Narrow" w:hAnsi="Arial Narrow"/>
              </w:rPr>
            </w:pPr>
            <w:r w:rsidRPr="00E80977">
              <w:rPr>
                <w:rFonts w:ascii="Arial Narrow" w:hAnsi="Arial Narrow"/>
              </w:rPr>
              <w:t>Equipment</w:t>
            </w:r>
          </w:p>
        </w:tc>
        <w:tc>
          <w:tcPr>
            <w:tcW w:w="1046" w:type="dxa"/>
            <w:tcBorders>
              <w:top w:val="single" w:sz="4" w:space="0" w:color="auto"/>
            </w:tcBorders>
            <w:shd w:val="clear" w:color="000000" w:fill="FFFFFF"/>
            <w:noWrap/>
            <w:vAlign w:val="bottom"/>
          </w:tcPr>
          <w:p w:rsidR="00884714" w:rsidRPr="00C605D6" w:rsidRDefault="00884714" w:rsidP="00E52FB3">
            <w:pPr>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1052" w:type="dxa"/>
            <w:tcBorders>
              <w:top w:val="single" w:sz="4" w:space="0" w:color="auto"/>
            </w:tcBorders>
            <w:shd w:val="clear" w:color="000000" w:fill="FFFFFF"/>
            <w:noWrap/>
            <w:vAlign w:val="bottom"/>
          </w:tcPr>
          <w:p w:rsidR="00884714" w:rsidRPr="00C605D6" w:rsidRDefault="00884714"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052" w:type="dxa"/>
            <w:tcBorders>
              <w:top w:val="single" w:sz="4" w:space="0" w:color="auto"/>
            </w:tcBorders>
            <w:shd w:val="clear" w:color="000000" w:fill="FFFFFF"/>
            <w:noWrap/>
            <w:vAlign w:val="bottom"/>
          </w:tcPr>
          <w:p w:rsidR="00884714" w:rsidRPr="00C605D6" w:rsidRDefault="00884714" w:rsidP="00E52FB3">
            <w:pPr>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1053" w:type="dxa"/>
            <w:tcBorders>
              <w:top w:val="single" w:sz="4" w:space="0" w:color="auto"/>
            </w:tcBorders>
            <w:shd w:val="clear" w:color="000000" w:fill="FFFFFF"/>
            <w:noWrap/>
            <w:vAlign w:val="bottom"/>
          </w:tcPr>
          <w:p w:rsidR="00884714" w:rsidRPr="00C605D6" w:rsidRDefault="00884714"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Single use stoma bags</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$5</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$5</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Heading"/>
              <w:rPr>
                <w:lang w:val="en-US" w:eastAsia="en-US"/>
              </w:rPr>
            </w:pPr>
            <w:r w:rsidRPr="00C605D6">
              <w:rPr>
                <w:lang w:val="en-US" w:eastAsia="en-US"/>
              </w:rPr>
              <w:t>Operational</w:t>
            </w:r>
          </w:p>
        </w:tc>
        <w:tc>
          <w:tcPr>
            <w:tcW w:w="1046" w:type="dxa"/>
            <w:shd w:val="clear" w:color="000000" w:fill="FFFFFF"/>
            <w:noWrap/>
            <w:vAlign w:val="bottom"/>
          </w:tcPr>
          <w:p w:rsidR="00884714" w:rsidRPr="00C605D6" w:rsidRDefault="00884714" w:rsidP="00E52FB3">
            <w:pPr>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1052" w:type="dxa"/>
            <w:shd w:val="clear" w:color="000000" w:fill="FFFFFF"/>
            <w:noWrap/>
            <w:vAlign w:val="bottom"/>
          </w:tcPr>
          <w:p w:rsidR="00884714" w:rsidRPr="00C605D6" w:rsidRDefault="00884714"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052" w:type="dxa"/>
            <w:shd w:val="clear" w:color="000000" w:fill="FFFFFF"/>
            <w:noWrap/>
            <w:vAlign w:val="bottom"/>
          </w:tcPr>
          <w:p w:rsidR="00884714" w:rsidRPr="00C605D6" w:rsidRDefault="00884714" w:rsidP="00E52FB3">
            <w:pPr>
              <w:spacing w:after="0"/>
              <w:ind w:left="0"/>
              <w:jc w:val="right"/>
              <w:rPr>
                <w:rFonts w:ascii="Arial Narrow" w:hAnsi="Arial Narrow"/>
                <w:b/>
                <w:bCs/>
                <w:color w:val="000000"/>
                <w:sz w:val="18"/>
                <w:szCs w:val="18"/>
                <w:lang w:val="en-US" w:eastAsia="en-US"/>
              </w:rPr>
            </w:pPr>
          </w:p>
        </w:tc>
        <w:tc>
          <w:tcPr>
            <w:tcW w:w="1053" w:type="dxa"/>
            <w:shd w:val="clear" w:color="000000" w:fill="FFFFFF"/>
            <w:noWrap/>
            <w:vAlign w:val="bottom"/>
          </w:tcPr>
          <w:p w:rsidR="00884714" w:rsidRPr="00C605D6" w:rsidRDefault="00884714"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Colostomy procedure</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30375</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$384</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$384</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 xml:space="preserve">   MBS 30375 co-payment</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30375</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$217</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$217</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 xml:space="preserve">Initiation of </w:t>
            </w:r>
            <w:r w:rsidR="003319D6" w:rsidRPr="00C605D6">
              <w:rPr>
                <w:lang w:val="en-US"/>
              </w:rPr>
              <w:t>a</w:t>
            </w:r>
            <w:r w:rsidRPr="00C605D6">
              <w:rPr>
                <w:lang w:val="en-US"/>
              </w:rPr>
              <w:t>naesthesia</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20841</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$117</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$117</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 xml:space="preserve">   MBS 20841 co-payment</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20841</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$501</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$501</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Anaesthesia -1:56 to 2:00 hours</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23083</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$117</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$117</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Assistance</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51300</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$64</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$64</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 xml:space="preserve">   MBS 51300 co-payment</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51300</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$64</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$64</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lang w:val="en-US"/>
              </w:rPr>
            </w:pPr>
            <w:r w:rsidRPr="00C605D6">
              <w:rPr>
                <w:lang w:val="en-US"/>
              </w:rPr>
              <w:t>Theatre (AR-DRG G02B)</w:t>
            </w:r>
          </w:p>
        </w:tc>
        <w:tc>
          <w:tcPr>
            <w:tcW w:w="1046" w:type="dxa"/>
            <w:shd w:val="clear" w:color="000000" w:fill="FFFFFF"/>
            <w:noWrap/>
            <w:vAlign w:val="bottom"/>
          </w:tcPr>
          <w:p w:rsidR="00884714" w:rsidRPr="00C605D6" w:rsidRDefault="00884714" w:rsidP="00E52FB3">
            <w:pPr>
              <w:pStyle w:val="TableText0"/>
              <w:jc w:val="right"/>
              <w:rPr>
                <w:lang w:val="en-US"/>
              </w:rPr>
            </w:pPr>
            <w:r w:rsidRPr="00C605D6">
              <w:rPr>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$1,679</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$1,679</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b/>
                <w:bCs/>
                <w:lang w:val="en-US"/>
              </w:rPr>
            </w:pPr>
            <w:r w:rsidRPr="00C605D6">
              <w:rPr>
                <w:b/>
                <w:bCs/>
                <w:lang w:val="en-US"/>
              </w:rPr>
              <w:t>Total consumables</w:t>
            </w:r>
          </w:p>
        </w:tc>
        <w:tc>
          <w:tcPr>
            <w:tcW w:w="1046" w:type="dxa"/>
            <w:shd w:val="clear" w:color="000000" w:fill="FFFFFF"/>
            <w:noWrap/>
            <w:vAlign w:val="bottom"/>
          </w:tcPr>
          <w:p w:rsidR="00884714" w:rsidRPr="00C605D6" w:rsidRDefault="00884714" w:rsidP="00E52FB3">
            <w:pPr>
              <w:pStyle w:val="TableText0"/>
              <w:jc w:val="right"/>
              <w:rPr>
                <w:b/>
                <w:bCs/>
                <w:lang w:val="en-US"/>
              </w:rPr>
            </w:pPr>
            <w:r w:rsidRPr="00C605D6">
              <w:rPr>
                <w:b/>
                <w:bCs/>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$5</w:t>
            </w:r>
          </w:p>
        </w:tc>
      </w:tr>
      <w:tr w:rsidR="00884714" w:rsidRPr="00C605D6" w:rsidTr="000F7AAA">
        <w:trPr>
          <w:trHeight w:val="227"/>
        </w:trPr>
        <w:tc>
          <w:tcPr>
            <w:tcW w:w="2841" w:type="dxa"/>
            <w:shd w:val="clear" w:color="000000" w:fill="FFFFFF"/>
            <w:noWrap/>
            <w:vAlign w:val="center"/>
          </w:tcPr>
          <w:p w:rsidR="00884714" w:rsidRPr="00C605D6" w:rsidRDefault="00884714" w:rsidP="00C80B75">
            <w:pPr>
              <w:pStyle w:val="TableText0"/>
              <w:rPr>
                <w:b/>
                <w:bCs/>
                <w:lang w:val="en-US"/>
              </w:rPr>
            </w:pPr>
            <w:r w:rsidRPr="00C605D6">
              <w:rPr>
                <w:b/>
                <w:bCs/>
                <w:lang w:val="en-US"/>
              </w:rPr>
              <w:t>Total MBS fees</w:t>
            </w:r>
          </w:p>
        </w:tc>
        <w:tc>
          <w:tcPr>
            <w:tcW w:w="1046" w:type="dxa"/>
            <w:shd w:val="clear" w:color="000000" w:fill="FFFFFF"/>
            <w:noWrap/>
            <w:vAlign w:val="center"/>
          </w:tcPr>
          <w:p w:rsidR="00884714" w:rsidRPr="00C605D6" w:rsidRDefault="00884714" w:rsidP="00E52FB3">
            <w:pPr>
              <w:pStyle w:val="TableText0"/>
              <w:jc w:val="right"/>
              <w:rPr>
                <w:b/>
                <w:bCs/>
                <w:lang w:val="en-US"/>
              </w:rPr>
            </w:pPr>
            <w:r w:rsidRPr="00C605D6">
              <w:rPr>
                <w:b/>
                <w:bCs/>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$2,360</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b/>
                <w:bCs/>
                <w:lang w:val="en-US"/>
              </w:rPr>
            </w:pPr>
            <w:r w:rsidRPr="00C605D6">
              <w:rPr>
                <w:b/>
                <w:bCs/>
                <w:lang w:val="en-US"/>
              </w:rPr>
              <w:t xml:space="preserve">Total </w:t>
            </w:r>
            <w:r w:rsidR="004D408A" w:rsidRPr="000F3C8B">
              <w:rPr>
                <w:b/>
                <w:color w:val="000000"/>
                <w:lang w:val="en-AU"/>
              </w:rPr>
              <w:t>patient/</w:t>
            </w:r>
            <w:r w:rsidRPr="0007443E">
              <w:rPr>
                <w:b/>
                <w:color w:val="000000"/>
                <w:lang w:val="en-AU"/>
              </w:rPr>
              <w:t>insurer costs</w:t>
            </w:r>
          </w:p>
        </w:tc>
        <w:tc>
          <w:tcPr>
            <w:tcW w:w="1046" w:type="dxa"/>
            <w:shd w:val="clear" w:color="000000" w:fill="FFFFFF"/>
            <w:noWrap/>
            <w:vAlign w:val="bottom"/>
          </w:tcPr>
          <w:p w:rsidR="00884714" w:rsidRPr="00C605D6" w:rsidRDefault="00884714" w:rsidP="00E52FB3">
            <w:pPr>
              <w:pStyle w:val="TableText0"/>
              <w:jc w:val="right"/>
              <w:rPr>
                <w:b/>
                <w:bCs/>
                <w:lang w:val="en-US"/>
              </w:rPr>
            </w:pPr>
            <w:r w:rsidRPr="00C605D6">
              <w:rPr>
                <w:b/>
                <w:bCs/>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 </w:t>
            </w:r>
          </w:p>
        </w:tc>
        <w:tc>
          <w:tcPr>
            <w:tcW w:w="1052" w:type="dxa"/>
            <w:shd w:val="clear" w:color="000000" w:fill="FFFFFF"/>
            <w:noWrap/>
            <w:vAlign w:val="bottom"/>
          </w:tcPr>
          <w:p w:rsidR="00884714" w:rsidRPr="00C605D6" w:rsidRDefault="00884714" w:rsidP="00E52FB3">
            <w:pPr>
              <w:pStyle w:val="TableText0"/>
              <w:jc w:val="right"/>
              <w:rPr>
                <w:color w:val="000000"/>
                <w:lang w:val="en-US"/>
              </w:rPr>
            </w:pPr>
          </w:p>
        </w:tc>
        <w:tc>
          <w:tcPr>
            <w:tcW w:w="1053" w:type="dxa"/>
            <w:shd w:val="clear" w:color="000000" w:fill="FFFFFF"/>
            <w:noWrap/>
            <w:vAlign w:val="bottom"/>
          </w:tcPr>
          <w:p w:rsidR="00884714" w:rsidRPr="00C605D6" w:rsidRDefault="00884714" w:rsidP="00E52FB3">
            <w:pPr>
              <w:pStyle w:val="TableText0"/>
              <w:jc w:val="right"/>
              <w:rPr>
                <w:color w:val="000000"/>
                <w:lang w:val="en-US"/>
              </w:rPr>
            </w:pPr>
            <w:r w:rsidRPr="00C605D6">
              <w:rPr>
                <w:color w:val="000000"/>
                <w:lang w:val="en-US"/>
              </w:rPr>
              <w:t>$781</w:t>
            </w:r>
          </w:p>
        </w:tc>
      </w:tr>
      <w:tr w:rsidR="00884714" w:rsidRPr="00C605D6" w:rsidTr="000F7AAA">
        <w:trPr>
          <w:trHeight w:val="227"/>
        </w:trPr>
        <w:tc>
          <w:tcPr>
            <w:tcW w:w="2841" w:type="dxa"/>
            <w:shd w:val="clear" w:color="000000" w:fill="FFFFFF"/>
            <w:noWrap/>
            <w:vAlign w:val="bottom"/>
          </w:tcPr>
          <w:p w:rsidR="00884714" w:rsidRPr="00C605D6" w:rsidRDefault="00884714" w:rsidP="00C80B75">
            <w:pPr>
              <w:pStyle w:val="TableText0"/>
              <w:rPr>
                <w:b/>
                <w:bCs/>
                <w:color w:val="000000"/>
                <w:lang w:val="en-US"/>
              </w:rPr>
            </w:pPr>
            <w:r w:rsidRPr="00C605D6">
              <w:rPr>
                <w:b/>
                <w:bCs/>
                <w:color w:val="000000"/>
                <w:lang w:val="en-US"/>
              </w:rPr>
              <w:t xml:space="preserve">Total </w:t>
            </w:r>
            <w:r w:rsidR="003319D6" w:rsidRPr="00C605D6">
              <w:rPr>
                <w:b/>
                <w:bCs/>
                <w:color w:val="000000"/>
                <w:lang w:val="en-US"/>
              </w:rPr>
              <w:t>c</w:t>
            </w:r>
            <w:r w:rsidRPr="00C605D6">
              <w:rPr>
                <w:b/>
                <w:bCs/>
                <w:color w:val="000000"/>
                <w:lang w:val="en-US"/>
              </w:rPr>
              <w:t>ost</w:t>
            </w:r>
          </w:p>
        </w:tc>
        <w:tc>
          <w:tcPr>
            <w:tcW w:w="1046" w:type="dxa"/>
            <w:shd w:val="clear" w:color="000000" w:fill="FFFFFF"/>
            <w:noWrap/>
            <w:vAlign w:val="bottom"/>
          </w:tcPr>
          <w:p w:rsidR="00884714" w:rsidRPr="00C605D6" w:rsidRDefault="00884714" w:rsidP="00E52FB3">
            <w:pPr>
              <w:pStyle w:val="TableText0"/>
              <w:jc w:val="right"/>
              <w:rPr>
                <w:b/>
                <w:bCs/>
                <w:color w:val="000000"/>
                <w:lang w:val="en-US"/>
              </w:rPr>
            </w:pPr>
            <w:r w:rsidRPr="00C605D6">
              <w:rPr>
                <w:b/>
                <w:bCs/>
                <w:color w:val="000000"/>
                <w:lang w:val="en-US"/>
              </w:rPr>
              <w:t> </w:t>
            </w:r>
          </w:p>
        </w:tc>
        <w:tc>
          <w:tcPr>
            <w:tcW w:w="1052" w:type="dxa"/>
            <w:shd w:val="clear" w:color="000000" w:fill="FFFFFF"/>
            <w:noWrap/>
            <w:vAlign w:val="bottom"/>
          </w:tcPr>
          <w:p w:rsidR="00884714" w:rsidRPr="00C605D6" w:rsidRDefault="00884714" w:rsidP="00E52FB3">
            <w:pPr>
              <w:pStyle w:val="TableText0"/>
              <w:jc w:val="right"/>
              <w:rPr>
                <w:b/>
                <w:bCs/>
                <w:color w:val="000000"/>
                <w:lang w:val="en-US"/>
              </w:rPr>
            </w:pPr>
            <w:r w:rsidRPr="00C605D6">
              <w:rPr>
                <w:b/>
                <w:bCs/>
                <w:color w:val="000000"/>
                <w:lang w:val="en-US"/>
              </w:rPr>
              <w:t> </w:t>
            </w:r>
          </w:p>
        </w:tc>
        <w:tc>
          <w:tcPr>
            <w:tcW w:w="1052" w:type="dxa"/>
            <w:shd w:val="clear" w:color="000000" w:fill="FFFFFF"/>
            <w:noWrap/>
            <w:vAlign w:val="bottom"/>
          </w:tcPr>
          <w:p w:rsidR="00884714" w:rsidRPr="00C605D6" w:rsidRDefault="00884714" w:rsidP="00E52FB3">
            <w:pPr>
              <w:pStyle w:val="TableText0"/>
              <w:jc w:val="right"/>
              <w:rPr>
                <w:b/>
                <w:bCs/>
                <w:color w:val="000000"/>
                <w:lang w:val="en-US"/>
              </w:rPr>
            </w:pPr>
          </w:p>
        </w:tc>
        <w:tc>
          <w:tcPr>
            <w:tcW w:w="1053" w:type="dxa"/>
            <w:shd w:val="clear" w:color="000000" w:fill="FFFFFF"/>
            <w:noWrap/>
            <w:vAlign w:val="bottom"/>
          </w:tcPr>
          <w:p w:rsidR="00884714" w:rsidRPr="00C605D6" w:rsidRDefault="00884714" w:rsidP="00E52FB3">
            <w:pPr>
              <w:pStyle w:val="TableText0"/>
              <w:jc w:val="right"/>
              <w:rPr>
                <w:b/>
                <w:bCs/>
                <w:color w:val="000000"/>
                <w:lang w:val="en-US"/>
              </w:rPr>
            </w:pPr>
            <w:r w:rsidRPr="00C605D6">
              <w:rPr>
                <w:b/>
                <w:bCs/>
                <w:color w:val="000000"/>
                <w:lang w:val="en-US"/>
              </w:rPr>
              <w:t>$3,146</w:t>
            </w:r>
          </w:p>
        </w:tc>
      </w:tr>
    </w:tbl>
    <w:p w:rsidR="00C5538A" w:rsidRPr="00C5538A" w:rsidRDefault="00C5538A" w:rsidP="0007443E">
      <w:pPr>
        <w:pStyle w:val="TableNotes"/>
        <w:rPr>
          <w:szCs w:val="16"/>
          <w:lang w:val="en-AU" w:eastAsia="en-AU"/>
        </w:rPr>
      </w:pPr>
      <w:r w:rsidRPr="00C33DE2">
        <w:rPr>
          <w:szCs w:val="16"/>
        </w:rPr>
        <w:t>AR-DRG: Australian Refined Diagnostic Related Group</w:t>
      </w:r>
      <w:r>
        <w:rPr>
          <w:szCs w:val="16"/>
          <w:lang w:val="en-AU"/>
        </w:rPr>
        <w:t xml:space="preserve">; </w:t>
      </w:r>
      <w:r w:rsidR="003319D6" w:rsidRPr="00C33DE2">
        <w:rPr>
          <w:szCs w:val="16"/>
        </w:rPr>
        <w:t>MBS: Medicare Benefits Schedule</w:t>
      </w:r>
      <w:r>
        <w:rPr>
          <w:szCs w:val="16"/>
          <w:lang w:val="en-AU"/>
        </w:rPr>
        <w:t>.</w:t>
      </w:r>
    </w:p>
    <w:p w:rsidR="00F71B25" w:rsidRPr="00C33DE2" w:rsidRDefault="00C33DE2" w:rsidP="0007443E">
      <w:pPr>
        <w:pStyle w:val="TableNotes"/>
        <w:rPr>
          <w:szCs w:val="16"/>
        </w:rPr>
      </w:pPr>
      <w:r>
        <w:rPr>
          <w:szCs w:val="16"/>
          <w:lang w:val="en-AU" w:eastAsia="en-AU"/>
        </w:rPr>
        <w:t>Note</w:t>
      </w:r>
      <w:r w:rsidR="00951C3D">
        <w:rPr>
          <w:szCs w:val="16"/>
          <w:lang w:val="en-AU" w:eastAsia="en-AU"/>
        </w:rPr>
        <w:t>: N</w:t>
      </w:r>
      <w:r w:rsidRPr="00E80977">
        <w:rPr>
          <w:szCs w:val="16"/>
          <w:lang w:val="en-AU" w:eastAsia="en-AU"/>
        </w:rPr>
        <w:t xml:space="preserve">umbers may not </w:t>
      </w:r>
      <w:r w:rsidR="00C5538A">
        <w:rPr>
          <w:szCs w:val="16"/>
          <w:lang w:val="en-AU" w:eastAsia="en-AU"/>
        </w:rPr>
        <w:t>sum to total</w:t>
      </w:r>
      <w:r w:rsidRPr="00E80977">
        <w:rPr>
          <w:szCs w:val="16"/>
          <w:lang w:val="en-AU" w:eastAsia="en-AU"/>
        </w:rPr>
        <w:t xml:space="preserve"> due to rounding</w:t>
      </w:r>
      <w:r>
        <w:rPr>
          <w:szCs w:val="16"/>
          <w:lang w:val="en-AU" w:eastAsia="en-AU"/>
        </w:rPr>
        <w:t>.</w:t>
      </w:r>
    </w:p>
    <w:p w:rsidR="00F71B25" w:rsidRDefault="00F71B25" w:rsidP="00C80B75">
      <w:pPr>
        <w:pStyle w:val="Heading3"/>
      </w:pPr>
      <w:r>
        <w:t>Cost of Hartmann’s procedure</w:t>
      </w:r>
    </w:p>
    <w:p w:rsidR="00F71B25" w:rsidRDefault="00F71B25" w:rsidP="00C80B75">
      <w:r>
        <w:t>The costs associated with Hartmann’s procedure are presented in</w:t>
      </w:r>
      <w:r w:rsidR="00280A83">
        <w:t xml:space="preserve"> </w:t>
      </w:r>
      <w:r w:rsidR="00280A83">
        <w:fldChar w:fldCharType="begin"/>
      </w:r>
      <w:r w:rsidR="00280A83">
        <w:instrText xml:space="preserve"> REF _Ref324949653 \h </w:instrText>
      </w:r>
      <w:r w:rsidR="00280A83">
        <w:fldChar w:fldCharType="separate"/>
      </w:r>
      <w:r w:rsidR="0071544A">
        <w:t xml:space="preserve">Table </w:t>
      </w:r>
      <w:r w:rsidR="0071544A">
        <w:rPr>
          <w:noProof/>
        </w:rPr>
        <w:t>52</w:t>
      </w:r>
      <w:r w:rsidR="00280A83">
        <w:fldChar w:fldCharType="end"/>
      </w:r>
      <w:r>
        <w:t xml:space="preserve">. The theatre costs were taken from AR-DRG G01B (rectal resection without complications). </w:t>
      </w:r>
    </w:p>
    <w:p w:rsidR="00C80B75" w:rsidRPr="00C605D6" w:rsidRDefault="00280A83" w:rsidP="00280A83">
      <w:pPr>
        <w:pStyle w:val="Caption"/>
      </w:pPr>
      <w:bookmarkStart w:id="224" w:name="_Ref324949653"/>
      <w:bookmarkStart w:id="225" w:name="_Toc327522096"/>
      <w:r>
        <w:t xml:space="preserve">Table </w:t>
      </w:r>
      <w:fldSimple w:instr=" SEQ Table \* ARABIC ">
        <w:r w:rsidR="0071544A">
          <w:rPr>
            <w:noProof/>
          </w:rPr>
          <w:t>52</w:t>
        </w:r>
      </w:fldSimple>
      <w:bookmarkEnd w:id="224"/>
      <w:r w:rsidR="00C80B75" w:rsidRPr="00C605D6">
        <w:tab/>
        <w:t>Cost of Hartmann’s procedure</w:t>
      </w:r>
      <w:bookmarkEnd w:id="225"/>
      <w:r w:rsidR="00C80B75" w:rsidRPr="00C605D6">
        <w:t xml:space="preserve"> </w:t>
      </w:r>
    </w:p>
    <w:tbl>
      <w:tblPr>
        <w:tblW w:w="7046" w:type="dxa"/>
        <w:tblInd w:w="720" w:type="dxa"/>
        <w:tblBorders>
          <w:top w:val="single" w:sz="12" w:space="0" w:color="auto"/>
          <w:bottom w:val="single" w:sz="12" w:space="0" w:color="auto"/>
        </w:tblBorders>
        <w:tblLayout w:type="fixed"/>
        <w:tblLook w:val="00A0" w:firstRow="1" w:lastRow="0" w:firstColumn="1" w:lastColumn="0" w:noHBand="0" w:noVBand="0"/>
      </w:tblPr>
      <w:tblGrid>
        <w:gridCol w:w="2835"/>
        <w:gridCol w:w="1052"/>
        <w:gridCol w:w="1053"/>
        <w:gridCol w:w="1053"/>
        <w:gridCol w:w="1053"/>
      </w:tblGrid>
      <w:tr w:rsidR="00C80B75" w:rsidRPr="00C605D6" w:rsidTr="000700D5">
        <w:trPr>
          <w:trHeight w:val="315"/>
        </w:trPr>
        <w:tc>
          <w:tcPr>
            <w:tcW w:w="2835" w:type="dxa"/>
            <w:tcBorders>
              <w:top w:val="single" w:sz="12" w:space="0" w:color="auto"/>
              <w:bottom w:val="single" w:sz="4" w:space="0" w:color="auto"/>
            </w:tcBorders>
            <w:shd w:val="clear" w:color="000000" w:fill="FFFFFF"/>
            <w:noWrap/>
            <w:vAlign w:val="bottom"/>
          </w:tcPr>
          <w:p w:rsidR="00C80B75" w:rsidRPr="00C605D6" w:rsidRDefault="00C80B75" w:rsidP="00275F6A">
            <w:pPr>
              <w:spacing w:after="0"/>
              <w:ind w:left="0"/>
              <w:rPr>
                <w:rFonts w:ascii="Arial Narrow" w:hAnsi="Arial Narrow"/>
                <w:b/>
                <w:bCs/>
                <w:color w:val="000000"/>
                <w:sz w:val="18"/>
                <w:szCs w:val="18"/>
                <w:lang w:val="en-US" w:eastAsia="en-US"/>
              </w:rPr>
            </w:pPr>
          </w:p>
        </w:tc>
        <w:tc>
          <w:tcPr>
            <w:tcW w:w="1052" w:type="dxa"/>
            <w:tcBorders>
              <w:top w:val="single" w:sz="12" w:space="0" w:color="auto"/>
              <w:bottom w:val="single" w:sz="4" w:space="0" w:color="auto"/>
            </w:tcBorders>
            <w:shd w:val="clear" w:color="000000" w:fill="FFFFFF"/>
            <w:noWrap/>
            <w:vAlign w:val="bottom"/>
          </w:tcPr>
          <w:p w:rsidR="00C80B75" w:rsidRPr="00C605D6" w:rsidRDefault="00C80B75" w:rsidP="00E52FB3">
            <w:pPr>
              <w:pStyle w:val="TableHeading"/>
              <w:jc w:val="right"/>
              <w:rPr>
                <w:lang w:val="en-US" w:eastAsia="en-US"/>
              </w:rPr>
            </w:pPr>
            <w:r w:rsidRPr="00C605D6">
              <w:rPr>
                <w:lang w:val="en-US" w:eastAsia="en-US"/>
              </w:rPr>
              <w:t>MBS code</w:t>
            </w:r>
          </w:p>
        </w:tc>
        <w:tc>
          <w:tcPr>
            <w:tcW w:w="1053" w:type="dxa"/>
            <w:tcBorders>
              <w:top w:val="single" w:sz="12" w:space="0" w:color="auto"/>
              <w:bottom w:val="single" w:sz="4" w:space="0" w:color="auto"/>
            </w:tcBorders>
            <w:shd w:val="clear" w:color="000000" w:fill="FFFFFF"/>
            <w:noWrap/>
            <w:vAlign w:val="bottom"/>
          </w:tcPr>
          <w:p w:rsidR="00C80B75" w:rsidRPr="00C605D6" w:rsidRDefault="00C80B75" w:rsidP="00E52FB3">
            <w:pPr>
              <w:pStyle w:val="TableHeading"/>
              <w:jc w:val="right"/>
              <w:rPr>
                <w:lang w:val="en-US" w:eastAsia="en-US"/>
              </w:rPr>
            </w:pPr>
            <w:r w:rsidRPr="00C605D6">
              <w:rPr>
                <w:lang w:val="en-US" w:eastAsia="en-US"/>
              </w:rPr>
              <w:t>Costs</w:t>
            </w:r>
          </w:p>
        </w:tc>
        <w:tc>
          <w:tcPr>
            <w:tcW w:w="1053" w:type="dxa"/>
            <w:tcBorders>
              <w:top w:val="single" w:sz="12" w:space="0" w:color="auto"/>
              <w:bottom w:val="single" w:sz="4" w:space="0" w:color="auto"/>
            </w:tcBorders>
            <w:shd w:val="clear" w:color="000000" w:fill="FFFFFF"/>
            <w:noWrap/>
            <w:vAlign w:val="bottom"/>
          </w:tcPr>
          <w:p w:rsidR="00C80B75" w:rsidRPr="00C605D6" w:rsidRDefault="00C80B75" w:rsidP="00E52FB3">
            <w:pPr>
              <w:pStyle w:val="TableHeading"/>
              <w:jc w:val="right"/>
              <w:rPr>
                <w:lang w:val="en-US" w:eastAsia="en-US"/>
              </w:rPr>
            </w:pPr>
            <w:r w:rsidRPr="00C605D6">
              <w:rPr>
                <w:lang w:val="en-US" w:eastAsia="en-US"/>
              </w:rPr>
              <w:t xml:space="preserve">Units </w:t>
            </w:r>
          </w:p>
        </w:tc>
        <w:tc>
          <w:tcPr>
            <w:tcW w:w="1053" w:type="dxa"/>
            <w:tcBorders>
              <w:top w:val="single" w:sz="12" w:space="0" w:color="auto"/>
              <w:bottom w:val="single" w:sz="4" w:space="0" w:color="auto"/>
            </w:tcBorders>
            <w:shd w:val="clear" w:color="000000" w:fill="FFFFFF"/>
            <w:noWrap/>
            <w:vAlign w:val="bottom"/>
          </w:tcPr>
          <w:p w:rsidR="00C80B75" w:rsidRPr="00C605D6" w:rsidRDefault="00C80B75" w:rsidP="00E52FB3">
            <w:pPr>
              <w:pStyle w:val="TableHeading"/>
              <w:jc w:val="right"/>
              <w:rPr>
                <w:lang w:val="en-US" w:eastAsia="en-US"/>
              </w:rPr>
            </w:pPr>
            <w:r w:rsidRPr="00C605D6">
              <w:rPr>
                <w:lang w:val="en-US" w:eastAsia="en-US"/>
              </w:rPr>
              <w:t>Total</w:t>
            </w:r>
          </w:p>
        </w:tc>
      </w:tr>
      <w:tr w:rsidR="00C80B75" w:rsidRPr="00C605D6" w:rsidTr="000700D5">
        <w:trPr>
          <w:trHeight w:val="227"/>
        </w:trPr>
        <w:tc>
          <w:tcPr>
            <w:tcW w:w="2835" w:type="dxa"/>
            <w:tcBorders>
              <w:top w:val="single" w:sz="4" w:space="0" w:color="auto"/>
            </w:tcBorders>
            <w:shd w:val="clear" w:color="000000" w:fill="FFFFFF"/>
            <w:noWrap/>
            <w:vAlign w:val="bottom"/>
          </w:tcPr>
          <w:p w:rsidR="00C80B75" w:rsidRPr="00C605D6" w:rsidRDefault="00C80B75" w:rsidP="00C80B75">
            <w:pPr>
              <w:pStyle w:val="TableHeading"/>
              <w:rPr>
                <w:lang w:val="en-US" w:eastAsia="en-US"/>
              </w:rPr>
            </w:pPr>
            <w:r w:rsidRPr="00C605D6">
              <w:rPr>
                <w:lang w:val="en-US" w:eastAsia="en-US"/>
              </w:rPr>
              <w:t>Equipment</w:t>
            </w:r>
          </w:p>
        </w:tc>
        <w:tc>
          <w:tcPr>
            <w:tcW w:w="1052" w:type="dxa"/>
            <w:tcBorders>
              <w:top w:val="single" w:sz="4" w:space="0" w:color="auto"/>
            </w:tcBorders>
            <w:shd w:val="clear" w:color="000000" w:fill="FFFFFF"/>
            <w:noWrap/>
            <w:vAlign w:val="bottom"/>
          </w:tcPr>
          <w:p w:rsidR="00C80B75" w:rsidRPr="00C605D6" w:rsidRDefault="00C80B75" w:rsidP="00E52FB3">
            <w:pPr>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1053" w:type="dxa"/>
            <w:tcBorders>
              <w:top w:val="single" w:sz="4" w:space="0" w:color="auto"/>
            </w:tcBorders>
            <w:shd w:val="clear" w:color="000000" w:fill="FFFFFF"/>
            <w:noWrap/>
            <w:vAlign w:val="bottom"/>
          </w:tcPr>
          <w:p w:rsidR="00C80B75" w:rsidRPr="00C605D6" w:rsidRDefault="00C80B75"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053" w:type="dxa"/>
            <w:tcBorders>
              <w:top w:val="single" w:sz="4" w:space="0" w:color="auto"/>
            </w:tcBorders>
            <w:shd w:val="clear" w:color="auto" w:fill="auto"/>
            <w:noWrap/>
            <w:vAlign w:val="bottom"/>
          </w:tcPr>
          <w:p w:rsidR="00C80B75" w:rsidRPr="00C605D6" w:rsidRDefault="00C80B75" w:rsidP="00E52FB3">
            <w:pPr>
              <w:spacing w:after="0"/>
              <w:ind w:left="0"/>
              <w:jc w:val="right"/>
              <w:rPr>
                <w:rFonts w:ascii="Arial Narrow" w:hAnsi="Arial Narrow"/>
                <w:b/>
                <w:bCs/>
                <w:color w:val="000000"/>
                <w:sz w:val="18"/>
                <w:szCs w:val="18"/>
                <w:lang w:val="en-US" w:eastAsia="en-US"/>
              </w:rPr>
            </w:pPr>
          </w:p>
        </w:tc>
        <w:tc>
          <w:tcPr>
            <w:tcW w:w="1053" w:type="dxa"/>
            <w:tcBorders>
              <w:top w:val="single" w:sz="4" w:space="0" w:color="auto"/>
            </w:tcBorders>
            <w:shd w:val="clear" w:color="000000" w:fill="FFFFFF"/>
            <w:noWrap/>
            <w:vAlign w:val="bottom"/>
          </w:tcPr>
          <w:p w:rsidR="00C80B75" w:rsidRPr="00C605D6" w:rsidRDefault="00C80B75"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 xml:space="preserve">Linear </w:t>
            </w:r>
            <w:r w:rsidR="003319D6" w:rsidRPr="00C605D6">
              <w:rPr>
                <w:lang w:val="en-US"/>
              </w:rPr>
              <w:t>cutting stapler</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$470</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$470</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Staples</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$244</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3</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$732</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Heading"/>
              <w:rPr>
                <w:lang w:val="en-US" w:eastAsia="en-US"/>
              </w:rPr>
            </w:pPr>
            <w:r w:rsidRPr="00C605D6">
              <w:rPr>
                <w:lang w:val="en-US" w:eastAsia="en-US"/>
              </w:rPr>
              <w:t>Operational</w:t>
            </w:r>
          </w:p>
        </w:tc>
        <w:tc>
          <w:tcPr>
            <w:tcW w:w="1052" w:type="dxa"/>
            <w:shd w:val="clear" w:color="000000" w:fill="FFFFFF"/>
            <w:noWrap/>
            <w:vAlign w:val="bottom"/>
          </w:tcPr>
          <w:p w:rsidR="00C80B75" w:rsidRPr="00C605D6" w:rsidRDefault="00C80B75" w:rsidP="00E52FB3">
            <w:pPr>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1053" w:type="dxa"/>
            <w:shd w:val="clear" w:color="000000" w:fill="FFFFFF"/>
            <w:noWrap/>
            <w:vAlign w:val="bottom"/>
          </w:tcPr>
          <w:p w:rsidR="00C80B75" w:rsidRPr="00C605D6" w:rsidRDefault="00C80B75"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053" w:type="dxa"/>
            <w:shd w:val="clear" w:color="auto" w:fill="auto"/>
            <w:noWrap/>
            <w:vAlign w:val="bottom"/>
          </w:tcPr>
          <w:p w:rsidR="00C80B75" w:rsidRPr="00C605D6" w:rsidRDefault="00C80B75" w:rsidP="00E52FB3">
            <w:pPr>
              <w:spacing w:after="0"/>
              <w:ind w:left="0"/>
              <w:jc w:val="right"/>
              <w:rPr>
                <w:rFonts w:ascii="Arial Narrow" w:hAnsi="Arial Narrow"/>
                <w:b/>
                <w:bCs/>
                <w:color w:val="000000"/>
                <w:sz w:val="18"/>
                <w:szCs w:val="18"/>
                <w:lang w:val="en-US" w:eastAsia="en-US"/>
              </w:rPr>
            </w:pPr>
          </w:p>
        </w:tc>
        <w:tc>
          <w:tcPr>
            <w:tcW w:w="1053" w:type="dxa"/>
            <w:shd w:val="clear" w:color="000000" w:fill="FFFFFF"/>
            <w:noWrap/>
            <w:vAlign w:val="bottom"/>
          </w:tcPr>
          <w:p w:rsidR="00C80B75" w:rsidRPr="00C605D6" w:rsidRDefault="00C80B75" w:rsidP="00E52FB3">
            <w:pPr>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 xml:space="preserve">Hartmann's </w:t>
            </w:r>
            <w:r w:rsidR="003319D6" w:rsidRPr="00C605D6">
              <w:rPr>
                <w:lang w:val="en-US"/>
              </w:rPr>
              <w:t>o</w:t>
            </w:r>
            <w:r w:rsidRPr="00C605D6">
              <w:rPr>
                <w:lang w:val="en-US"/>
              </w:rPr>
              <w:t>peration</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32030</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$759</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$759</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 xml:space="preserve">   MBS 32030 co-payment</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32030</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$579</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$579</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 xml:space="preserve">Initiation of </w:t>
            </w:r>
            <w:r w:rsidR="003319D6" w:rsidRPr="00C605D6">
              <w:rPr>
                <w:lang w:val="en-US"/>
              </w:rPr>
              <w:t>a</w:t>
            </w:r>
            <w:r w:rsidRPr="00C605D6">
              <w:rPr>
                <w:lang w:val="en-US"/>
              </w:rPr>
              <w:t>naesthesia (8 units)</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20841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$117</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$117</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 xml:space="preserve">   MBS 20841 co-payment</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20841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$501</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$501</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Anaesthesia -1:56 to 2:00 hours</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23083</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$117</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$117</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Assistance</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51303</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$152</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$152</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lang w:val="en-US"/>
              </w:rPr>
            </w:pPr>
            <w:r w:rsidRPr="00C605D6">
              <w:rPr>
                <w:lang w:val="en-US"/>
              </w:rPr>
              <w:t xml:space="preserve">   MBS 51303 co-payment</w:t>
            </w:r>
          </w:p>
        </w:tc>
        <w:tc>
          <w:tcPr>
            <w:tcW w:w="1052" w:type="dxa"/>
            <w:shd w:val="clear" w:color="000000" w:fill="FFFFFF"/>
            <w:noWrap/>
            <w:vAlign w:val="bottom"/>
          </w:tcPr>
          <w:p w:rsidR="00C80B75" w:rsidRPr="00C605D6" w:rsidRDefault="00C80B75" w:rsidP="00E52FB3">
            <w:pPr>
              <w:pStyle w:val="TableText0"/>
              <w:jc w:val="right"/>
              <w:rPr>
                <w:lang w:val="en-US"/>
              </w:rPr>
            </w:pPr>
            <w:r w:rsidRPr="00C605D6">
              <w:rPr>
                <w:lang w:val="en-US"/>
              </w:rPr>
              <w:t>51303</w:t>
            </w:r>
          </w:p>
        </w:tc>
        <w:tc>
          <w:tcPr>
            <w:tcW w:w="1053" w:type="dxa"/>
            <w:shd w:val="clear" w:color="000000" w:fill="FFFFFF"/>
            <w:noWrap/>
            <w:vAlign w:val="bottom"/>
          </w:tcPr>
          <w:p w:rsidR="00C80B75" w:rsidRPr="00C605D6" w:rsidRDefault="00C80B75" w:rsidP="00C33DE2">
            <w:pPr>
              <w:pStyle w:val="TableText0"/>
              <w:jc w:val="right"/>
              <w:rPr>
                <w:color w:val="000000"/>
                <w:lang w:val="en-US"/>
              </w:rPr>
            </w:pPr>
            <w:r w:rsidRPr="00C605D6">
              <w:rPr>
                <w:color w:val="000000"/>
                <w:lang w:val="en-US"/>
              </w:rPr>
              <w:t>$</w:t>
            </w:r>
            <w:r w:rsidR="00C33DE2">
              <w:rPr>
                <w:color w:val="000000"/>
                <w:lang w:val="en-US"/>
              </w:rPr>
              <w:t>198</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C33DE2">
            <w:pPr>
              <w:pStyle w:val="TableText0"/>
              <w:jc w:val="right"/>
              <w:rPr>
                <w:color w:val="000000"/>
                <w:lang w:val="en-US"/>
              </w:rPr>
            </w:pPr>
            <w:r w:rsidRPr="00C605D6">
              <w:rPr>
                <w:color w:val="000000"/>
                <w:lang w:val="en-US"/>
              </w:rPr>
              <w:t>$</w:t>
            </w:r>
            <w:r w:rsidR="00C33DE2">
              <w:rPr>
                <w:color w:val="000000"/>
                <w:lang w:val="en-US"/>
              </w:rPr>
              <w:t>198</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color w:val="000000"/>
                <w:lang w:val="en-US"/>
              </w:rPr>
            </w:pPr>
            <w:r w:rsidRPr="00C605D6">
              <w:rPr>
                <w:color w:val="000000"/>
                <w:lang w:val="en-US"/>
              </w:rPr>
              <w:t>Theatre  (AR-DRG G01B)</w:t>
            </w:r>
          </w:p>
        </w:tc>
        <w:tc>
          <w:tcPr>
            <w:tcW w:w="1052" w:type="dxa"/>
            <w:shd w:val="clear" w:color="000000" w:fill="FFFFFF"/>
            <w:noWrap/>
            <w:vAlign w:val="bottom"/>
          </w:tcPr>
          <w:p w:rsidR="00C80B75" w:rsidRPr="00C605D6" w:rsidRDefault="00C80B75" w:rsidP="00E52FB3">
            <w:pPr>
              <w:pStyle w:val="TableText0"/>
              <w:jc w:val="right"/>
              <w:rPr>
                <w:b/>
                <w:bCs/>
                <w:color w:val="000000"/>
                <w:lang w:val="en-US"/>
              </w:rPr>
            </w:pPr>
            <w:r w:rsidRPr="00C605D6">
              <w:rPr>
                <w:b/>
                <w:bCs/>
                <w:color w:val="000000"/>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$2,578</w:t>
            </w:r>
          </w:p>
        </w:tc>
        <w:tc>
          <w:tcPr>
            <w:tcW w:w="1053" w:type="dxa"/>
            <w:shd w:val="clear" w:color="auto" w:fill="auto"/>
            <w:noWrap/>
            <w:vAlign w:val="bottom"/>
          </w:tcPr>
          <w:p w:rsidR="00C80B75" w:rsidRPr="00C605D6" w:rsidRDefault="00C80B75" w:rsidP="00E52FB3">
            <w:pPr>
              <w:pStyle w:val="TableText0"/>
              <w:jc w:val="right"/>
              <w:rPr>
                <w:color w:val="000000"/>
                <w:lang w:val="en-US"/>
              </w:rPr>
            </w:pPr>
            <w:r w:rsidRPr="00C605D6">
              <w:rPr>
                <w:color w:val="000000"/>
                <w:lang w:val="en-US"/>
              </w:rPr>
              <w:t>1</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$2,578</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b/>
                <w:bCs/>
                <w:lang w:val="en-US"/>
              </w:rPr>
            </w:pPr>
            <w:r w:rsidRPr="00C605D6">
              <w:rPr>
                <w:b/>
                <w:bCs/>
                <w:lang w:val="en-US"/>
              </w:rPr>
              <w:t>Total consumables</w:t>
            </w:r>
          </w:p>
        </w:tc>
        <w:tc>
          <w:tcPr>
            <w:tcW w:w="1052" w:type="dxa"/>
            <w:shd w:val="clear" w:color="000000" w:fill="FFFFFF"/>
            <w:noWrap/>
            <w:vAlign w:val="bottom"/>
          </w:tcPr>
          <w:p w:rsidR="00C80B75" w:rsidRPr="00C605D6" w:rsidRDefault="00C80B75" w:rsidP="00E52FB3">
            <w:pPr>
              <w:pStyle w:val="TableText0"/>
              <w:jc w:val="right"/>
              <w:rPr>
                <w:b/>
                <w:bCs/>
                <w:lang w:val="en-US"/>
              </w:rPr>
            </w:pPr>
            <w:r w:rsidRPr="00C605D6">
              <w:rPr>
                <w:b/>
                <w:bCs/>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$1,202</w:t>
            </w:r>
          </w:p>
        </w:tc>
      </w:tr>
      <w:tr w:rsidR="00C80B75" w:rsidRPr="00C605D6" w:rsidTr="000700D5">
        <w:trPr>
          <w:trHeight w:val="227"/>
        </w:trPr>
        <w:tc>
          <w:tcPr>
            <w:tcW w:w="2835" w:type="dxa"/>
            <w:shd w:val="clear" w:color="000000" w:fill="FFFFFF"/>
            <w:noWrap/>
            <w:vAlign w:val="center"/>
          </w:tcPr>
          <w:p w:rsidR="00C80B75" w:rsidRPr="00C605D6" w:rsidRDefault="00C80B75" w:rsidP="00C80B75">
            <w:pPr>
              <w:pStyle w:val="TableText0"/>
              <w:rPr>
                <w:b/>
                <w:bCs/>
                <w:lang w:val="en-US"/>
              </w:rPr>
            </w:pPr>
            <w:r w:rsidRPr="00C605D6">
              <w:rPr>
                <w:b/>
                <w:bCs/>
                <w:lang w:val="en-US"/>
              </w:rPr>
              <w:t>Total MBS fees</w:t>
            </w:r>
          </w:p>
        </w:tc>
        <w:tc>
          <w:tcPr>
            <w:tcW w:w="1052" w:type="dxa"/>
            <w:shd w:val="clear" w:color="000000" w:fill="FFFFFF"/>
            <w:noWrap/>
            <w:vAlign w:val="center"/>
          </w:tcPr>
          <w:p w:rsidR="00C80B75" w:rsidRPr="00C605D6" w:rsidRDefault="00C80B75" w:rsidP="00E52FB3">
            <w:pPr>
              <w:pStyle w:val="TableText0"/>
              <w:jc w:val="right"/>
              <w:rPr>
                <w:b/>
                <w:bCs/>
                <w:lang w:val="en-US"/>
              </w:rPr>
            </w:pPr>
            <w:r w:rsidRPr="00C605D6">
              <w:rPr>
                <w:b/>
                <w:bCs/>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$3,722</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b/>
                <w:bCs/>
                <w:lang w:val="en-US"/>
              </w:rPr>
            </w:pPr>
            <w:r w:rsidRPr="00C605D6">
              <w:rPr>
                <w:b/>
                <w:bCs/>
                <w:lang w:val="en-US"/>
              </w:rPr>
              <w:t xml:space="preserve">Total </w:t>
            </w:r>
            <w:r w:rsidR="004D408A" w:rsidRPr="000F3C8B">
              <w:rPr>
                <w:b/>
                <w:color w:val="000000"/>
                <w:lang w:val="en-AU"/>
              </w:rPr>
              <w:t>patient/</w:t>
            </w:r>
            <w:r w:rsidRPr="000F3C8B">
              <w:rPr>
                <w:b/>
                <w:color w:val="000000"/>
                <w:lang w:val="en-AU"/>
              </w:rPr>
              <w:t>insurer costs</w:t>
            </w:r>
          </w:p>
        </w:tc>
        <w:tc>
          <w:tcPr>
            <w:tcW w:w="1052" w:type="dxa"/>
            <w:shd w:val="clear" w:color="000000" w:fill="FFFFFF"/>
            <w:noWrap/>
            <w:vAlign w:val="bottom"/>
          </w:tcPr>
          <w:p w:rsidR="00C80B75" w:rsidRPr="00C605D6" w:rsidRDefault="00C80B75" w:rsidP="00E52FB3">
            <w:pPr>
              <w:pStyle w:val="TableText0"/>
              <w:jc w:val="right"/>
              <w:rPr>
                <w:b/>
                <w:bCs/>
                <w:lang w:val="en-US"/>
              </w:rPr>
            </w:pPr>
            <w:r w:rsidRPr="00C605D6">
              <w:rPr>
                <w:b/>
                <w:bCs/>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 </w:t>
            </w:r>
          </w:p>
        </w:tc>
        <w:tc>
          <w:tcPr>
            <w:tcW w:w="1053" w:type="dxa"/>
            <w:shd w:val="clear" w:color="000000" w:fill="FFFFFF"/>
            <w:noWrap/>
            <w:vAlign w:val="bottom"/>
          </w:tcPr>
          <w:p w:rsidR="00C80B75" w:rsidRPr="00C605D6" w:rsidRDefault="00C80B75" w:rsidP="00E52FB3">
            <w:pPr>
              <w:pStyle w:val="TableText0"/>
              <w:jc w:val="right"/>
              <w:rPr>
                <w:color w:val="000000"/>
                <w:lang w:val="en-US"/>
              </w:rPr>
            </w:pPr>
          </w:p>
        </w:tc>
        <w:tc>
          <w:tcPr>
            <w:tcW w:w="1053" w:type="dxa"/>
            <w:shd w:val="clear" w:color="000000" w:fill="FFFFFF"/>
            <w:noWrap/>
            <w:vAlign w:val="bottom"/>
          </w:tcPr>
          <w:p w:rsidR="00C80B75" w:rsidRPr="00C605D6" w:rsidRDefault="00C80B75" w:rsidP="00E52FB3">
            <w:pPr>
              <w:pStyle w:val="TableText0"/>
              <w:jc w:val="right"/>
              <w:rPr>
                <w:color w:val="000000"/>
                <w:lang w:val="en-US"/>
              </w:rPr>
            </w:pPr>
            <w:r w:rsidRPr="00C605D6">
              <w:rPr>
                <w:color w:val="000000"/>
                <w:lang w:val="en-US"/>
              </w:rPr>
              <w:t>$1,278</w:t>
            </w:r>
          </w:p>
        </w:tc>
      </w:tr>
      <w:tr w:rsidR="00C80B75" w:rsidRPr="00C605D6" w:rsidTr="000700D5">
        <w:trPr>
          <w:trHeight w:val="227"/>
        </w:trPr>
        <w:tc>
          <w:tcPr>
            <w:tcW w:w="2835" w:type="dxa"/>
            <w:shd w:val="clear" w:color="000000" w:fill="FFFFFF"/>
            <w:noWrap/>
            <w:vAlign w:val="bottom"/>
          </w:tcPr>
          <w:p w:rsidR="00C80B75" w:rsidRPr="00C605D6" w:rsidRDefault="00C80B75" w:rsidP="00C80B75">
            <w:pPr>
              <w:pStyle w:val="TableText0"/>
              <w:rPr>
                <w:b/>
                <w:bCs/>
                <w:color w:val="000000"/>
                <w:lang w:val="en-US"/>
              </w:rPr>
            </w:pPr>
            <w:r w:rsidRPr="00C605D6">
              <w:rPr>
                <w:b/>
                <w:bCs/>
                <w:color w:val="000000"/>
                <w:lang w:val="en-US"/>
              </w:rPr>
              <w:t xml:space="preserve">Total </w:t>
            </w:r>
            <w:r w:rsidR="003319D6" w:rsidRPr="00C605D6">
              <w:rPr>
                <w:b/>
                <w:bCs/>
                <w:color w:val="000000"/>
                <w:lang w:val="en-US"/>
              </w:rPr>
              <w:t>c</w:t>
            </w:r>
            <w:r w:rsidRPr="00C605D6">
              <w:rPr>
                <w:b/>
                <w:bCs/>
                <w:color w:val="000000"/>
                <w:lang w:val="en-US"/>
              </w:rPr>
              <w:t>ost</w:t>
            </w:r>
          </w:p>
        </w:tc>
        <w:tc>
          <w:tcPr>
            <w:tcW w:w="1052" w:type="dxa"/>
            <w:shd w:val="clear" w:color="000000" w:fill="FFFFFF"/>
            <w:noWrap/>
            <w:vAlign w:val="bottom"/>
          </w:tcPr>
          <w:p w:rsidR="00C80B75" w:rsidRPr="00C605D6" w:rsidRDefault="00C80B75" w:rsidP="00E52FB3">
            <w:pPr>
              <w:pStyle w:val="TableText0"/>
              <w:jc w:val="right"/>
              <w:rPr>
                <w:b/>
                <w:bCs/>
                <w:color w:val="000000"/>
                <w:lang w:val="en-US"/>
              </w:rPr>
            </w:pPr>
            <w:r w:rsidRPr="00C605D6">
              <w:rPr>
                <w:b/>
                <w:bCs/>
                <w:color w:val="000000"/>
                <w:lang w:val="en-US"/>
              </w:rPr>
              <w:t> </w:t>
            </w:r>
          </w:p>
        </w:tc>
        <w:tc>
          <w:tcPr>
            <w:tcW w:w="1053" w:type="dxa"/>
            <w:shd w:val="clear" w:color="000000" w:fill="FFFFFF"/>
            <w:noWrap/>
            <w:vAlign w:val="bottom"/>
          </w:tcPr>
          <w:p w:rsidR="00C80B75" w:rsidRPr="00C605D6" w:rsidRDefault="00C80B75" w:rsidP="00E52FB3">
            <w:pPr>
              <w:pStyle w:val="TableText0"/>
              <w:jc w:val="right"/>
              <w:rPr>
                <w:b/>
                <w:bCs/>
                <w:color w:val="000000"/>
                <w:lang w:val="en-US"/>
              </w:rPr>
            </w:pPr>
            <w:r w:rsidRPr="00C605D6">
              <w:rPr>
                <w:b/>
                <w:bCs/>
                <w:color w:val="000000"/>
                <w:lang w:val="en-US"/>
              </w:rPr>
              <w:t> </w:t>
            </w:r>
          </w:p>
        </w:tc>
        <w:tc>
          <w:tcPr>
            <w:tcW w:w="1053" w:type="dxa"/>
            <w:shd w:val="clear" w:color="000000" w:fill="FFFFFF"/>
            <w:noWrap/>
            <w:vAlign w:val="bottom"/>
          </w:tcPr>
          <w:p w:rsidR="00C80B75" w:rsidRPr="00C605D6" w:rsidRDefault="00C80B75" w:rsidP="00E52FB3">
            <w:pPr>
              <w:pStyle w:val="TableText0"/>
              <w:jc w:val="right"/>
              <w:rPr>
                <w:b/>
                <w:bCs/>
                <w:color w:val="000000"/>
                <w:lang w:val="en-US"/>
              </w:rPr>
            </w:pPr>
          </w:p>
        </w:tc>
        <w:tc>
          <w:tcPr>
            <w:tcW w:w="1053" w:type="dxa"/>
            <w:shd w:val="clear" w:color="000000" w:fill="FFFFFF"/>
            <w:noWrap/>
            <w:vAlign w:val="bottom"/>
          </w:tcPr>
          <w:p w:rsidR="00C80B75" w:rsidRPr="00C605D6" w:rsidRDefault="00C80B75" w:rsidP="00E52FB3">
            <w:pPr>
              <w:pStyle w:val="TableText0"/>
              <w:jc w:val="right"/>
              <w:rPr>
                <w:b/>
                <w:bCs/>
                <w:color w:val="000000"/>
                <w:lang w:val="en-US"/>
              </w:rPr>
            </w:pPr>
            <w:r w:rsidRPr="00C605D6">
              <w:rPr>
                <w:b/>
                <w:bCs/>
                <w:color w:val="000000"/>
                <w:lang w:val="en-US"/>
              </w:rPr>
              <w:t>$6,202</w:t>
            </w:r>
          </w:p>
        </w:tc>
      </w:tr>
    </w:tbl>
    <w:p w:rsidR="00C5538A" w:rsidRPr="00C5538A" w:rsidRDefault="00C5538A" w:rsidP="003319D6">
      <w:pPr>
        <w:pStyle w:val="TableNotes"/>
        <w:rPr>
          <w:szCs w:val="16"/>
          <w:lang w:val="en-AU" w:eastAsia="en-AU"/>
        </w:rPr>
      </w:pPr>
      <w:r>
        <w:t>AR-DRG: Australian Refined Diagnostic Related Group</w:t>
      </w:r>
      <w:r>
        <w:rPr>
          <w:lang w:val="en-AU"/>
        </w:rPr>
        <w:t xml:space="preserve">; </w:t>
      </w:r>
      <w:r w:rsidR="003319D6">
        <w:t>MBS: Medicare Benefits Schedule</w:t>
      </w:r>
      <w:r>
        <w:rPr>
          <w:lang w:val="en-AU"/>
        </w:rPr>
        <w:t>.</w:t>
      </w:r>
    </w:p>
    <w:p w:rsidR="003319D6" w:rsidRDefault="00C33DE2" w:rsidP="003319D6">
      <w:pPr>
        <w:pStyle w:val="TableNotes"/>
      </w:pPr>
      <w:r>
        <w:rPr>
          <w:szCs w:val="16"/>
          <w:lang w:val="en-AU" w:eastAsia="en-AU"/>
        </w:rPr>
        <w:t>Note</w:t>
      </w:r>
      <w:r w:rsidR="00951C3D">
        <w:rPr>
          <w:szCs w:val="16"/>
          <w:lang w:val="en-AU" w:eastAsia="en-AU"/>
        </w:rPr>
        <w:t>: N</w:t>
      </w:r>
      <w:r w:rsidRPr="00F93AFC">
        <w:rPr>
          <w:szCs w:val="16"/>
          <w:lang w:val="en-AU" w:eastAsia="en-AU"/>
        </w:rPr>
        <w:t xml:space="preserve">umbers may not </w:t>
      </w:r>
      <w:r w:rsidR="00C5538A">
        <w:rPr>
          <w:szCs w:val="16"/>
          <w:lang w:val="en-AU" w:eastAsia="en-AU"/>
        </w:rPr>
        <w:t>sum to total</w:t>
      </w:r>
      <w:r w:rsidRPr="00F93AFC">
        <w:rPr>
          <w:szCs w:val="16"/>
          <w:lang w:val="en-AU" w:eastAsia="en-AU"/>
        </w:rPr>
        <w:t xml:space="preserve"> due to rounding</w:t>
      </w:r>
      <w:r>
        <w:rPr>
          <w:szCs w:val="16"/>
          <w:lang w:val="en-AU" w:eastAsia="en-AU"/>
        </w:rPr>
        <w:t>.</w:t>
      </w:r>
    </w:p>
    <w:p w:rsidR="00F71B25" w:rsidRDefault="00F71B25" w:rsidP="00666C42">
      <w:r>
        <w:lastRenderedPageBreak/>
        <w:t>Second stage of a two-stage surgery (re-anastomosis of the bowel and reversing the stoma) may be considered in 50-70 per cent of patients with a primary colostomy. The costs associated with re-anastomosis are presented in</w:t>
      </w:r>
      <w:r w:rsidR="00AC313E">
        <w:t xml:space="preserve"> </w:t>
      </w:r>
      <w:r w:rsidR="00AC313E">
        <w:fldChar w:fldCharType="begin"/>
      </w:r>
      <w:r w:rsidR="00AC313E">
        <w:instrText xml:space="preserve"> REF _Ref324949757 \h </w:instrText>
      </w:r>
      <w:r w:rsidR="00AC313E">
        <w:fldChar w:fldCharType="separate"/>
      </w:r>
      <w:r w:rsidR="0071544A">
        <w:t xml:space="preserve">Table </w:t>
      </w:r>
      <w:r w:rsidR="0071544A">
        <w:rPr>
          <w:noProof/>
        </w:rPr>
        <w:t>53</w:t>
      </w:r>
      <w:r w:rsidR="00AC313E">
        <w:fldChar w:fldCharType="end"/>
      </w:r>
      <w:r>
        <w:t>. Patients considered unsuitable for re-anastomosis would have a permanent stoma. For these patients ongoing costs include the cost of stoma bags and visits to astomal therapist.</w:t>
      </w:r>
    </w:p>
    <w:p w:rsidR="00666C42" w:rsidRPr="00C605D6" w:rsidRDefault="00AC313E" w:rsidP="00AC313E">
      <w:pPr>
        <w:pStyle w:val="Caption"/>
      </w:pPr>
      <w:bookmarkStart w:id="226" w:name="_Ref324949757"/>
      <w:bookmarkStart w:id="227" w:name="_Toc327522097"/>
      <w:r>
        <w:t xml:space="preserve">Table </w:t>
      </w:r>
      <w:fldSimple w:instr=" SEQ Table \* ARABIC ">
        <w:r w:rsidR="0071544A">
          <w:rPr>
            <w:noProof/>
          </w:rPr>
          <w:t>53</w:t>
        </w:r>
      </w:fldSimple>
      <w:bookmarkEnd w:id="226"/>
      <w:r w:rsidR="00666C42" w:rsidRPr="00C605D6">
        <w:tab/>
        <w:t xml:space="preserve">Cost of </w:t>
      </w:r>
      <w:r w:rsidR="00347CF6" w:rsidRPr="00C605D6">
        <w:t>r</w:t>
      </w:r>
      <w:r w:rsidR="00666C42" w:rsidRPr="00C605D6">
        <w:t>e-anastomosis</w:t>
      </w:r>
      <w:bookmarkEnd w:id="227"/>
      <w:r w:rsidR="00666C42" w:rsidRPr="00C605D6">
        <w:t xml:space="preserve">  </w:t>
      </w:r>
    </w:p>
    <w:tbl>
      <w:tblPr>
        <w:tblW w:w="7046" w:type="dxa"/>
        <w:tblInd w:w="720" w:type="dxa"/>
        <w:tblBorders>
          <w:top w:val="single" w:sz="12" w:space="0" w:color="auto"/>
          <w:bottom w:val="single" w:sz="12" w:space="0" w:color="auto"/>
        </w:tblBorders>
        <w:tblLook w:val="00A0" w:firstRow="1" w:lastRow="0" w:firstColumn="1" w:lastColumn="0" w:noHBand="0" w:noVBand="0"/>
      </w:tblPr>
      <w:tblGrid>
        <w:gridCol w:w="2835"/>
        <w:gridCol w:w="1134"/>
        <w:gridCol w:w="978"/>
        <w:gridCol w:w="1007"/>
        <w:gridCol w:w="1092"/>
      </w:tblGrid>
      <w:tr w:rsidR="00666C42" w:rsidRPr="00C605D6" w:rsidTr="000700D5">
        <w:trPr>
          <w:trHeight w:val="227"/>
        </w:trPr>
        <w:tc>
          <w:tcPr>
            <w:tcW w:w="2835" w:type="dxa"/>
            <w:tcBorders>
              <w:top w:val="single" w:sz="12" w:space="0" w:color="auto"/>
              <w:bottom w:val="single" w:sz="4" w:space="0" w:color="auto"/>
            </w:tcBorders>
            <w:shd w:val="clear" w:color="000000" w:fill="FFFFFF"/>
            <w:noWrap/>
            <w:vAlign w:val="bottom"/>
          </w:tcPr>
          <w:p w:rsidR="00666C42" w:rsidRPr="00C605D6" w:rsidRDefault="00666C42" w:rsidP="00275F6A">
            <w:pPr>
              <w:keepNext/>
              <w:spacing w:after="0"/>
              <w:ind w:left="0"/>
              <w:rPr>
                <w:rFonts w:ascii="Arial Narrow" w:hAnsi="Arial Narrow"/>
                <w:b/>
                <w:bCs/>
                <w:color w:val="000000"/>
                <w:sz w:val="18"/>
                <w:szCs w:val="18"/>
                <w:lang w:val="en-US" w:eastAsia="en-US"/>
              </w:rPr>
            </w:pPr>
          </w:p>
        </w:tc>
        <w:tc>
          <w:tcPr>
            <w:tcW w:w="1134"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MBS code</w:t>
            </w:r>
          </w:p>
        </w:tc>
        <w:tc>
          <w:tcPr>
            <w:tcW w:w="978"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Costs</w:t>
            </w:r>
          </w:p>
        </w:tc>
        <w:tc>
          <w:tcPr>
            <w:tcW w:w="1007"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 xml:space="preserve">Units </w:t>
            </w:r>
          </w:p>
        </w:tc>
        <w:tc>
          <w:tcPr>
            <w:tcW w:w="1092"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Total</w:t>
            </w:r>
          </w:p>
        </w:tc>
      </w:tr>
      <w:tr w:rsidR="00666C42" w:rsidRPr="00C605D6" w:rsidTr="000700D5">
        <w:trPr>
          <w:trHeight w:val="227"/>
        </w:trPr>
        <w:tc>
          <w:tcPr>
            <w:tcW w:w="2835" w:type="dxa"/>
            <w:tcBorders>
              <w:top w:val="single" w:sz="4" w:space="0" w:color="auto"/>
            </w:tcBorders>
            <w:shd w:val="clear" w:color="000000" w:fill="FFFFFF"/>
            <w:noWrap/>
            <w:vAlign w:val="bottom"/>
          </w:tcPr>
          <w:p w:rsidR="00666C42" w:rsidRPr="00070B1C" w:rsidRDefault="00666C42" w:rsidP="00666C42">
            <w:pPr>
              <w:pStyle w:val="TableHeading0"/>
              <w:rPr>
                <w:rFonts w:ascii="Arial Narrow" w:hAnsi="Arial Narrow"/>
              </w:rPr>
            </w:pPr>
            <w:r w:rsidRPr="00070B1C">
              <w:rPr>
                <w:rFonts w:ascii="Arial Narrow" w:hAnsi="Arial Narrow"/>
              </w:rPr>
              <w:t>Equipment</w:t>
            </w:r>
          </w:p>
        </w:tc>
        <w:tc>
          <w:tcPr>
            <w:tcW w:w="1134"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978"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007"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b/>
                <w:bCs/>
                <w:color w:val="000000"/>
                <w:sz w:val="18"/>
                <w:szCs w:val="18"/>
                <w:lang w:val="en-US" w:eastAsia="en-US"/>
              </w:rPr>
            </w:pPr>
          </w:p>
        </w:tc>
        <w:tc>
          <w:tcPr>
            <w:tcW w:w="1092"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Linear </w:t>
            </w:r>
            <w:r w:rsidR="00347CF6" w:rsidRPr="00C605D6">
              <w:rPr>
                <w:lang w:val="en-US"/>
              </w:rPr>
              <w:t>cutting stapler</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$470</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$470</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Staples</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$244</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3</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$732</w:t>
            </w:r>
          </w:p>
        </w:tc>
      </w:tr>
      <w:tr w:rsidR="00666C42" w:rsidRPr="00C605D6" w:rsidTr="000700D5">
        <w:trPr>
          <w:trHeight w:val="227"/>
        </w:trPr>
        <w:tc>
          <w:tcPr>
            <w:tcW w:w="2835" w:type="dxa"/>
            <w:shd w:val="clear" w:color="000000" w:fill="FFFFFF"/>
            <w:noWrap/>
            <w:vAlign w:val="bottom"/>
          </w:tcPr>
          <w:p w:rsidR="00666C42" w:rsidRPr="00070B1C" w:rsidRDefault="00666C42" w:rsidP="00666C42">
            <w:pPr>
              <w:pStyle w:val="TableHeading0"/>
              <w:rPr>
                <w:rFonts w:ascii="Arial Narrow" w:hAnsi="Arial Narrow"/>
              </w:rPr>
            </w:pPr>
            <w:r w:rsidRPr="00070B1C">
              <w:rPr>
                <w:rFonts w:ascii="Arial Narrow" w:hAnsi="Arial Narrow"/>
              </w:rPr>
              <w:t>Operation</w:t>
            </w:r>
          </w:p>
        </w:tc>
        <w:tc>
          <w:tcPr>
            <w:tcW w:w="1134" w:type="dxa"/>
            <w:shd w:val="clear" w:color="000000" w:fill="FFFFFF"/>
            <w:noWrap/>
            <w:vAlign w:val="bottom"/>
          </w:tcPr>
          <w:p w:rsidR="00666C42" w:rsidRPr="00C605D6" w:rsidRDefault="00666C42" w:rsidP="004D408A">
            <w:pPr>
              <w:keepNext/>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978" w:type="dxa"/>
            <w:shd w:val="clear" w:color="000000" w:fill="FFFFFF"/>
            <w:noWrap/>
            <w:vAlign w:val="bottom"/>
          </w:tcPr>
          <w:p w:rsidR="00666C42" w:rsidRPr="00C605D6" w:rsidRDefault="00666C42" w:rsidP="004D408A">
            <w:pPr>
              <w:keepNext/>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c>
          <w:tcPr>
            <w:tcW w:w="1007" w:type="dxa"/>
            <w:shd w:val="clear" w:color="000000" w:fill="FFFFFF"/>
            <w:noWrap/>
            <w:vAlign w:val="bottom"/>
          </w:tcPr>
          <w:p w:rsidR="00666C42" w:rsidRPr="00C605D6" w:rsidRDefault="00666C42" w:rsidP="004D408A">
            <w:pPr>
              <w:keepNext/>
              <w:spacing w:after="0"/>
              <w:ind w:left="0"/>
              <w:jc w:val="right"/>
              <w:rPr>
                <w:rFonts w:ascii="Arial Narrow" w:hAnsi="Arial Narrow"/>
                <w:b/>
                <w:bCs/>
                <w:color w:val="000000"/>
                <w:sz w:val="18"/>
                <w:szCs w:val="18"/>
                <w:lang w:val="en-US" w:eastAsia="en-US"/>
              </w:rPr>
            </w:pPr>
          </w:p>
        </w:tc>
        <w:tc>
          <w:tcPr>
            <w:tcW w:w="1092" w:type="dxa"/>
            <w:shd w:val="clear" w:color="000000" w:fill="FFFFFF"/>
            <w:noWrap/>
            <w:vAlign w:val="bottom"/>
          </w:tcPr>
          <w:p w:rsidR="00666C42" w:rsidRPr="00C605D6" w:rsidRDefault="00666C42" w:rsidP="004D408A">
            <w:pPr>
              <w:keepNext/>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lang w:val="en-US" w:eastAsia="en-US"/>
              </w:rPr>
              <w:t> </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Restoration of bowel</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32033</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$1,110</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$1,110</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32033 co-payment</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32033</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$946</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$946</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Initiation of </w:t>
            </w:r>
            <w:r w:rsidR="00347CF6" w:rsidRPr="00C605D6">
              <w:rPr>
                <w:lang w:val="en-US"/>
              </w:rPr>
              <w:t>a</w:t>
            </w:r>
            <w:r w:rsidRPr="00C605D6">
              <w:rPr>
                <w:lang w:val="en-US"/>
              </w:rPr>
              <w:t>naesthesia (8 units)</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20841</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$117</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$117</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20841 co-payment</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20841</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$501</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$501</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Anaesthesia -1:56 to 2:00 hours</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23083</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$117</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$117</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Assistance</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51303</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$222</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$222</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51300 co-payment</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51303</w:t>
            </w:r>
          </w:p>
        </w:tc>
        <w:tc>
          <w:tcPr>
            <w:tcW w:w="978" w:type="dxa"/>
            <w:shd w:val="clear" w:color="000000" w:fill="FFFFFF"/>
            <w:noWrap/>
            <w:vAlign w:val="bottom"/>
          </w:tcPr>
          <w:p w:rsidR="00666C42" w:rsidRPr="00C605D6" w:rsidRDefault="00666C42" w:rsidP="00C33DE2">
            <w:pPr>
              <w:pStyle w:val="TableText0"/>
              <w:jc w:val="right"/>
              <w:rPr>
                <w:color w:val="000000"/>
                <w:lang w:val="en-US"/>
              </w:rPr>
            </w:pPr>
            <w:r w:rsidRPr="00C605D6">
              <w:rPr>
                <w:color w:val="000000"/>
                <w:lang w:val="en-US"/>
              </w:rPr>
              <w:t>$</w:t>
            </w:r>
            <w:r w:rsidR="00C33DE2">
              <w:rPr>
                <w:color w:val="000000"/>
                <w:lang w:val="en-US"/>
              </w:rPr>
              <w:t>198</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C33DE2">
            <w:pPr>
              <w:pStyle w:val="TableText0"/>
              <w:jc w:val="right"/>
              <w:rPr>
                <w:color w:val="000000"/>
                <w:lang w:val="en-US"/>
              </w:rPr>
            </w:pPr>
            <w:r w:rsidRPr="00C605D6">
              <w:rPr>
                <w:color w:val="000000"/>
                <w:lang w:val="en-US"/>
              </w:rPr>
              <w:t>$</w:t>
            </w:r>
            <w:r w:rsidR="00C33DE2">
              <w:rPr>
                <w:color w:val="000000"/>
                <w:lang w:val="en-US"/>
              </w:rPr>
              <w:t>198</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Theatre (AR-DRG G01B)</w:t>
            </w:r>
          </w:p>
        </w:tc>
        <w:tc>
          <w:tcPr>
            <w:tcW w:w="1134"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$2,578</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w:t>
            </w: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$2,578</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b/>
                <w:bCs/>
                <w:lang w:val="en-US"/>
              </w:rPr>
            </w:pPr>
            <w:r w:rsidRPr="00C605D6">
              <w:rPr>
                <w:b/>
                <w:bCs/>
                <w:lang w:val="en-US"/>
              </w:rPr>
              <w:t>Total consumables</w:t>
            </w:r>
          </w:p>
        </w:tc>
        <w:tc>
          <w:tcPr>
            <w:tcW w:w="1134" w:type="dxa"/>
            <w:shd w:val="clear" w:color="000000" w:fill="FFFFFF"/>
            <w:noWrap/>
            <w:vAlign w:val="bottom"/>
          </w:tcPr>
          <w:p w:rsidR="00666C42" w:rsidRPr="00C605D6" w:rsidRDefault="00666C42" w:rsidP="004D408A">
            <w:pPr>
              <w:pStyle w:val="TableText0"/>
              <w:jc w:val="right"/>
              <w:rPr>
                <w:b/>
                <w:bCs/>
                <w:lang w:val="en-US"/>
              </w:rPr>
            </w:pPr>
            <w:r w:rsidRPr="00C605D6">
              <w:rPr>
                <w:b/>
                <w:bCs/>
                <w:lang w:val="en-US"/>
              </w:rPr>
              <w:t> </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 </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$1,202</w:t>
            </w:r>
          </w:p>
        </w:tc>
      </w:tr>
      <w:tr w:rsidR="00666C42" w:rsidRPr="00C605D6" w:rsidTr="000700D5">
        <w:trPr>
          <w:trHeight w:val="227"/>
        </w:trPr>
        <w:tc>
          <w:tcPr>
            <w:tcW w:w="2835" w:type="dxa"/>
            <w:shd w:val="clear" w:color="000000" w:fill="FFFFFF"/>
            <w:noWrap/>
            <w:vAlign w:val="center"/>
          </w:tcPr>
          <w:p w:rsidR="00666C42" w:rsidRPr="00C605D6" w:rsidRDefault="00666C42" w:rsidP="00666C42">
            <w:pPr>
              <w:pStyle w:val="TableText0"/>
              <w:rPr>
                <w:b/>
                <w:bCs/>
                <w:lang w:val="en-US"/>
              </w:rPr>
            </w:pPr>
            <w:r w:rsidRPr="00C605D6">
              <w:rPr>
                <w:b/>
                <w:bCs/>
                <w:lang w:val="en-US"/>
              </w:rPr>
              <w:t>Total MBS fees</w:t>
            </w:r>
          </w:p>
        </w:tc>
        <w:tc>
          <w:tcPr>
            <w:tcW w:w="1134" w:type="dxa"/>
            <w:shd w:val="clear" w:color="000000" w:fill="FFFFFF"/>
            <w:noWrap/>
            <w:vAlign w:val="center"/>
          </w:tcPr>
          <w:p w:rsidR="00666C42" w:rsidRPr="00C605D6" w:rsidRDefault="00666C42" w:rsidP="004D408A">
            <w:pPr>
              <w:pStyle w:val="TableText0"/>
              <w:jc w:val="right"/>
              <w:rPr>
                <w:b/>
                <w:bCs/>
                <w:lang w:val="en-US"/>
              </w:rPr>
            </w:pPr>
            <w:r w:rsidRPr="00C605D6">
              <w:rPr>
                <w:b/>
                <w:bCs/>
                <w:lang w:val="en-US"/>
              </w:rPr>
              <w:t> </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 </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$4,143</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b/>
                <w:bCs/>
                <w:lang w:val="en-US"/>
              </w:rPr>
            </w:pPr>
            <w:r w:rsidRPr="00C605D6">
              <w:rPr>
                <w:b/>
                <w:bCs/>
                <w:lang w:val="en-US"/>
              </w:rPr>
              <w:t xml:space="preserve">Total </w:t>
            </w:r>
            <w:r w:rsidR="004D408A" w:rsidRPr="000F3C8B">
              <w:rPr>
                <w:b/>
                <w:color w:val="000000"/>
                <w:lang w:val="en-AU"/>
              </w:rPr>
              <w:t>patient/</w:t>
            </w:r>
            <w:r w:rsidRPr="000F3C8B">
              <w:rPr>
                <w:b/>
                <w:color w:val="000000"/>
                <w:lang w:val="en-AU"/>
              </w:rPr>
              <w:t>insurer costs</w:t>
            </w:r>
          </w:p>
        </w:tc>
        <w:tc>
          <w:tcPr>
            <w:tcW w:w="1134" w:type="dxa"/>
            <w:shd w:val="clear" w:color="000000" w:fill="FFFFFF"/>
            <w:noWrap/>
            <w:vAlign w:val="bottom"/>
          </w:tcPr>
          <w:p w:rsidR="00666C42" w:rsidRPr="00C605D6" w:rsidRDefault="00666C42" w:rsidP="004D408A">
            <w:pPr>
              <w:pStyle w:val="TableText0"/>
              <w:jc w:val="right"/>
              <w:rPr>
                <w:b/>
                <w:bCs/>
                <w:lang w:val="en-US"/>
              </w:rPr>
            </w:pPr>
            <w:r w:rsidRPr="00C605D6">
              <w:rPr>
                <w:b/>
                <w:bCs/>
                <w:lang w:val="en-US"/>
              </w:rPr>
              <w:t> </w:t>
            </w:r>
          </w:p>
        </w:tc>
        <w:tc>
          <w:tcPr>
            <w:tcW w:w="978"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 </w:t>
            </w:r>
          </w:p>
        </w:tc>
        <w:tc>
          <w:tcPr>
            <w:tcW w:w="1007" w:type="dxa"/>
            <w:shd w:val="clear" w:color="000000" w:fill="FFFFFF"/>
            <w:noWrap/>
            <w:vAlign w:val="bottom"/>
          </w:tcPr>
          <w:p w:rsidR="00666C42" w:rsidRPr="00C605D6" w:rsidRDefault="00666C42" w:rsidP="004D408A">
            <w:pPr>
              <w:pStyle w:val="TableText0"/>
              <w:jc w:val="right"/>
              <w:rPr>
                <w:color w:val="000000"/>
                <w:lang w:val="en-US"/>
              </w:rPr>
            </w:pPr>
          </w:p>
        </w:tc>
        <w:tc>
          <w:tcPr>
            <w:tcW w:w="1092" w:type="dxa"/>
            <w:shd w:val="clear" w:color="000000" w:fill="FFFFFF"/>
            <w:noWrap/>
            <w:vAlign w:val="bottom"/>
          </w:tcPr>
          <w:p w:rsidR="00666C42" w:rsidRPr="00C605D6" w:rsidRDefault="00666C42" w:rsidP="004D408A">
            <w:pPr>
              <w:pStyle w:val="TableText0"/>
              <w:jc w:val="right"/>
              <w:rPr>
                <w:color w:val="000000"/>
                <w:lang w:val="en-US"/>
              </w:rPr>
            </w:pPr>
            <w:r w:rsidRPr="00C605D6">
              <w:rPr>
                <w:color w:val="000000"/>
                <w:lang w:val="en-US"/>
              </w:rPr>
              <w:t>$1,645</w:t>
            </w:r>
          </w:p>
        </w:tc>
      </w:tr>
      <w:tr w:rsidR="00666C42" w:rsidRPr="00C605D6" w:rsidTr="000700D5">
        <w:trPr>
          <w:trHeight w:val="227"/>
        </w:trPr>
        <w:tc>
          <w:tcPr>
            <w:tcW w:w="2835" w:type="dxa"/>
            <w:shd w:val="clear" w:color="000000" w:fill="FFFFFF"/>
            <w:noWrap/>
            <w:vAlign w:val="bottom"/>
          </w:tcPr>
          <w:p w:rsidR="00666C42" w:rsidRPr="00C605D6" w:rsidRDefault="00666C42" w:rsidP="00666C42">
            <w:pPr>
              <w:pStyle w:val="TableText0"/>
              <w:rPr>
                <w:b/>
                <w:bCs/>
                <w:color w:val="000000"/>
                <w:lang w:val="en-US"/>
              </w:rPr>
            </w:pPr>
            <w:r w:rsidRPr="00C605D6">
              <w:rPr>
                <w:b/>
                <w:bCs/>
                <w:color w:val="000000"/>
                <w:lang w:val="en-US"/>
              </w:rPr>
              <w:t xml:space="preserve">Total </w:t>
            </w:r>
            <w:r w:rsidR="00347CF6" w:rsidRPr="00C605D6">
              <w:rPr>
                <w:b/>
                <w:bCs/>
                <w:color w:val="000000"/>
                <w:lang w:val="en-US"/>
              </w:rPr>
              <w:t>c</w:t>
            </w:r>
            <w:r w:rsidRPr="00C605D6">
              <w:rPr>
                <w:b/>
                <w:bCs/>
                <w:color w:val="000000"/>
                <w:lang w:val="en-US"/>
              </w:rPr>
              <w:t>ost</w:t>
            </w:r>
          </w:p>
        </w:tc>
        <w:tc>
          <w:tcPr>
            <w:tcW w:w="1134" w:type="dxa"/>
            <w:shd w:val="clear" w:color="000000" w:fill="FFFFFF"/>
            <w:noWrap/>
            <w:vAlign w:val="bottom"/>
          </w:tcPr>
          <w:p w:rsidR="00666C42" w:rsidRPr="00C605D6" w:rsidRDefault="00666C42" w:rsidP="004D408A">
            <w:pPr>
              <w:pStyle w:val="TableText0"/>
              <w:jc w:val="right"/>
              <w:rPr>
                <w:b/>
                <w:bCs/>
                <w:color w:val="000000"/>
                <w:lang w:val="en-US"/>
              </w:rPr>
            </w:pPr>
            <w:r w:rsidRPr="00C605D6">
              <w:rPr>
                <w:b/>
                <w:bCs/>
                <w:color w:val="000000"/>
                <w:lang w:val="en-US"/>
              </w:rPr>
              <w:t> </w:t>
            </w:r>
          </w:p>
        </w:tc>
        <w:tc>
          <w:tcPr>
            <w:tcW w:w="978" w:type="dxa"/>
            <w:shd w:val="clear" w:color="000000" w:fill="FFFFFF"/>
            <w:noWrap/>
            <w:vAlign w:val="bottom"/>
          </w:tcPr>
          <w:p w:rsidR="00666C42" w:rsidRPr="00C605D6" w:rsidRDefault="00666C42" w:rsidP="004D408A">
            <w:pPr>
              <w:pStyle w:val="TableText0"/>
              <w:jc w:val="right"/>
              <w:rPr>
                <w:b/>
                <w:bCs/>
                <w:color w:val="000000"/>
                <w:lang w:val="en-US"/>
              </w:rPr>
            </w:pPr>
            <w:r w:rsidRPr="00C605D6">
              <w:rPr>
                <w:b/>
                <w:bCs/>
                <w:color w:val="000000"/>
                <w:lang w:val="en-US"/>
              </w:rPr>
              <w:t> </w:t>
            </w:r>
          </w:p>
        </w:tc>
        <w:tc>
          <w:tcPr>
            <w:tcW w:w="1007" w:type="dxa"/>
            <w:shd w:val="clear" w:color="000000" w:fill="FFFFFF"/>
            <w:noWrap/>
            <w:vAlign w:val="bottom"/>
          </w:tcPr>
          <w:p w:rsidR="00666C42" w:rsidRPr="00C605D6" w:rsidRDefault="00666C42" w:rsidP="004D408A">
            <w:pPr>
              <w:pStyle w:val="TableText0"/>
              <w:jc w:val="right"/>
              <w:rPr>
                <w:b/>
                <w:bCs/>
                <w:color w:val="000000"/>
                <w:lang w:val="en-US"/>
              </w:rPr>
            </w:pPr>
          </w:p>
        </w:tc>
        <w:tc>
          <w:tcPr>
            <w:tcW w:w="1092" w:type="dxa"/>
            <w:shd w:val="clear" w:color="000000" w:fill="FFFFFF"/>
            <w:noWrap/>
            <w:vAlign w:val="bottom"/>
          </w:tcPr>
          <w:p w:rsidR="00666C42" w:rsidRPr="00C605D6" w:rsidRDefault="00666C42" w:rsidP="004D408A">
            <w:pPr>
              <w:pStyle w:val="TableText0"/>
              <w:jc w:val="right"/>
              <w:rPr>
                <w:b/>
                <w:bCs/>
                <w:color w:val="000000"/>
                <w:lang w:val="en-US"/>
              </w:rPr>
            </w:pPr>
            <w:r w:rsidRPr="00C605D6">
              <w:rPr>
                <w:b/>
                <w:bCs/>
                <w:color w:val="000000"/>
                <w:lang w:val="en-US"/>
              </w:rPr>
              <w:t>$6,990</w:t>
            </w:r>
          </w:p>
        </w:tc>
      </w:tr>
    </w:tbl>
    <w:p w:rsidR="000700D5" w:rsidRPr="00C5538A" w:rsidRDefault="000700D5" w:rsidP="000700D5">
      <w:pPr>
        <w:pStyle w:val="TableNotes"/>
        <w:rPr>
          <w:szCs w:val="16"/>
          <w:lang w:val="en-AU" w:eastAsia="en-AU"/>
        </w:rPr>
      </w:pPr>
      <w:r>
        <w:t>AR-DRG: Australian Refined Diagnostic Related Group</w:t>
      </w:r>
      <w:r>
        <w:rPr>
          <w:lang w:val="en-AU"/>
        </w:rPr>
        <w:t xml:space="preserve">; </w:t>
      </w:r>
      <w:r>
        <w:t>MBS: Medicare Benefits Schedule</w:t>
      </w:r>
      <w:r>
        <w:rPr>
          <w:lang w:val="en-AU"/>
        </w:rPr>
        <w:t>.</w:t>
      </w:r>
    </w:p>
    <w:p w:rsidR="000700D5" w:rsidRDefault="000700D5" w:rsidP="000700D5">
      <w:pPr>
        <w:pStyle w:val="TableNotes"/>
      </w:pPr>
      <w:r>
        <w:rPr>
          <w:szCs w:val="16"/>
          <w:lang w:val="en-AU" w:eastAsia="en-AU"/>
        </w:rPr>
        <w:t>Note: N</w:t>
      </w:r>
      <w:r w:rsidRPr="00F93AFC">
        <w:rPr>
          <w:szCs w:val="16"/>
          <w:lang w:val="en-AU" w:eastAsia="en-AU"/>
        </w:rPr>
        <w:t xml:space="preserve">umbers may not </w:t>
      </w:r>
      <w:r>
        <w:rPr>
          <w:szCs w:val="16"/>
          <w:lang w:val="en-AU" w:eastAsia="en-AU"/>
        </w:rPr>
        <w:t>sum to total</w:t>
      </w:r>
      <w:r w:rsidRPr="00F93AFC">
        <w:rPr>
          <w:szCs w:val="16"/>
          <w:lang w:val="en-AU" w:eastAsia="en-AU"/>
        </w:rPr>
        <w:t xml:space="preserve"> due to rounding</w:t>
      </w:r>
      <w:r>
        <w:rPr>
          <w:szCs w:val="16"/>
          <w:lang w:val="en-AU" w:eastAsia="en-AU"/>
        </w:rPr>
        <w:t>.</w:t>
      </w:r>
    </w:p>
    <w:p w:rsidR="00F71B25" w:rsidRDefault="00F71B25" w:rsidP="00666C42">
      <w:pPr>
        <w:pStyle w:val="Heading3"/>
      </w:pPr>
      <w:r>
        <w:t>Cost of resection and primary anastomosis</w:t>
      </w:r>
    </w:p>
    <w:p w:rsidR="00F71B25" w:rsidRDefault="00F71B25" w:rsidP="00666C42">
      <w:r>
        <w:t xml:space="preserve">For those patients who have a successful </w:t>
      </w:r>
      <w:r w:rsidR="003617AD">
        <w:t>bridge to surgery</w:t>
      </w:r>
      <w:r>
        <w:t xml:space="preserve">, a </w:t>
      </w:r>
      <w:r w:rsidR="00511134">
        <w:t>single-stage</w:t>
      </w:r>
      <w:r>
        <w:t xml:space="preserve"> surgery with resection and primary anastomosis is ideally conducted. The costs associated with resection and primary anastomosis are presented in</w:t>
      </w:r>
      <w:r w:rsidR="00AC313E">
        <w:t xml:space="preserve"> </w:t>
      </w:r>
      <w:r w:rsidR="00AC313E">
        <w:fldChar w:fldCharType="begin"/>
      </w:r>
      <w:r w:rsidR="00AC313E">
        <w:instrText xml:space="preserve"> REF _Ref324949780 \h </w:instrText>
      </w:r>
      <w:r w:rsidR="00AC313E">
        <w:fldChar w:fldCharType="separate"/>
      </w:r>
      <w:r w:rsidR="0071544A">
        <w:t xml:space="preserve">Table </w:t>
      </w:r>
      <w:r w:rsidR="0071544A">
        <w:rPr>
          <w:noProof/>
        </w:rPr>
        <w:t>54</w:t>
      </w:r>
      <w:r w:rsidR="00AC313E">
        <w:fldChar w:fldCharType="end"/>
      </w:r>
      <w:r>
        <w:t>. The theatre costs were taken from AR-DRG G01B (rectal resection without complications).</w:t>
      </w:r>
    </w:p>
    <w:p w:rsidR="00666C42" w:rsidRPr="00C605D6" w:rsidRDefault="00AC313E" w:rsidP="00AC313E">
      <w:pPr>
        <w:pStyle w:val="Caption"/>
      </w:pPr>
      <w:bookmarkStart w:id="228" w:name="_Ref324949780"/>
      <w:bookmarkStart w:id="229" w:name="_Toc327522098"/>
      <w:r>
        <w:lastRenderedPageBreak/>
        <w:t xml:space="preserve">Table </w:t>
      </w:r>
      <w:fldSimple w:instr=" SEQ Table \* ARABIC ">
        <w:r w:rsidR="0071544A">
          <w:rPr>
            <w:noProof/>
          </w:rPr>
          <w:t>54</w:t>
        </w:r>
      </w:fldSimple>
      <w:bookmarkEnd w:id="228"/>
      <w:r w:rsidR="00666C42" w:rsidRPr="00C605D6">
        <w:tab/>
        <w:t>Cost of resection and primary anastomosis</w:t>
      </w:r>
      <w:bookmarkEnd w:id="229"/>
    </w:p>
    <w:tbl>
      <w:tblPr>
        <w:tblW w:w="7046" w:type="dxa"/>
        <w:tblInd w:w="720" w:type="dxa"/>
        <w:tblBorders>
          <w:top w:val="single" w:sz="12" w:space="0" w:color="auto"/>
          <w:bottom w:val="single" w:sz="12" w:space="0" w:color="auto"/>
        </w:tblBorders>
        <w:tblLayout w:type="fixed"/>
        <w:tblLook w:val="00A0" w:firstRow="1" w:lastRow="0" w:firstColumn="1" w:lastColumn="0" w:noHBand="0" w:noVBand="0"/>
      </w:tblPr>
      <w:tblGrid>
        <w:gridCol w:w="2835"/>
        <w:gridCol w:w="1316"/>
        <w:gridCol w:w="1080"/>
        <w:gridCol w:w="762"/>
        <w:gridCol w:w="1053"/>
      </w:tblGrid>
      <w:tr w:rsidR="00666C42" w:rsidRPr="00C605D6" w:rsidTr="00EF5B75">
        <w:trPr>
          <w:trHeight w:val="227"/>
        </w:trPr>
        <w:tc>
          <w:tcPr>
            <w:tcW w:w="2835" w:type="dxa"/>
            <w:tcBorders>
              <w:top w:val="single" w:sz="12" w:space="0" w:color="auto"/>
              <w:bottom w:val="single" w:sz="4" w:space="0" w:color="auto"/>
            </w:tcBorders>
            <w:shd w:val="clear" w:color="000000" w:fill="FFFFFF"/>
            <w:noWrap/>
            <w:vAlign w:val="bottom"/>
          </w:tcPr>
          <w:p w:rsidR="00666C42" w:rsidRPr="00C605D6" w:rsidRDefault="00666C42" w:rsidP="00275F6A">
            <w:pPr>
              <w:keepNext/>
              <w:spacing w:after="0"/>
              <w:ind w:left="0"/>
              <w:rPr>
                <w:rFonts w:ascii="Arial Narrow" w:hAnsi="Arial Narrow"/>
                <w:bCs/>
                <w:color w:val="000000"/>
                <w:sz w:val="18"/>
                <w:szCs w:val="18"/>
                <w:lang w:val="en-US" w:eastAsia="en-US"/>
              </w:rPr>
            </w:pPr>
          </w:p>
        </w:tc>
        <w:tc>
          <w:tcPr>
            <w:tcW w:w="1316"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MBS codes</w:t>
            </w:r>
          </w:p>
        </w:tc>
        <w:tc>
          <w:tcPr>
            <w:tcW w:w="1080"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Costs</w:t>
            </w:r>
          </w:p>
        </w:tc>
        <w:tc>
          <w:tcPr>
            <w:tcW w:w="762"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 xml:space="preserve">Units </w:t>
            </w:r>
          </w:p>
        </w:tc>
        <w:tc>
          <w:tcPr>
            <w:tcW w:w="1053" w:type="dxa"/>
            <w:tcBorders>
              <w:top w:val="single" w:sz="12" w:space="0" w:color="auto"/>
              <w:bottom w:val="single" w:sz="4" w:space="0" w:color="auto"/>
            </w:tcBorders>
            <w:shd w:val="clear" w:color="000000" w:fill="FFFFFF"/>
            <w:noWrap/>
            <w:vAlign w:val="bottom"/>
          </w:tcPr>
          <w:p w:rsidR="00666C42" w:rsidRPr="00C605D6" w:rsidRDefault="00666C42" w:rsidP="004D408A">
            <w:pPr>
              <w:pStyle w:val="TableHeading0"/>
              <w:jc w:val="right"/>
            </w:pPr>
            <w:r w:rsidRPr="00C605D6">
              <w:t>Total</w:t>
            </w:r>
          </w:p>
        </w:tc>
      </w:tr>
      <w:tr w:rsidR="00666C42" w:rsidRPr="00C605D6" w:rsidTr="00EF5B75">
        <w:trPr>
          <w:trHeight w:val="227"/>
        </w:trPr>
        <w:tc>
          <w:tcPr>
            <w:tcW w:w="2835" w:type="dxa"/>
            <w:tcBorders>
              <w:top w:val="single" w:sz="4" w:space="0" w:color="auto"/>
            </w:tcBorders>
            <w:shd w:val="clear" w:color="000000" w:fill="FFFFFF"/>
            <w:noWrap/>
            <w:vAlign w:val="bottom"/>
          </w:tcPr>
          <w:p w:rsidR="00666C42" w:rsidRPr="00070B1C" w:rsidRDefault="00666C42" w:rsidP="00666C42">
            <w:pPr>
              <w:pStyle w:val="TableHeading0"/>
              <w:rPr>
                <w:rFonts w:ascii="Arial Narrow" w:hAnsi="Arial Narrow"/>
              </w:rPr>
            </w:pPr>
            <w:r w:rsidRPr="00070B1C">
              <w:rPr>
                <w:rFonts w:ascii="Arial Narrow" w:hAnsi="Arial Narrow"/>
              </w:rPr>
              <w:t>Equipment</w:t>
            </w:r>
          </w:p>
        </w:tc>
        <w:tc>
          <w:tcPr>
            <w:tcW w:w="1316"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c>
          <w:tcPr>
            <w:tcW w:w="1080"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c>
          <w:tcPr>
            <w:tcW w:w="762"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c>
          <w:tcPr>
            <w:tcW w:w="1053" w:type="dxa"/>
            <w:tcBorders>
              <w:top w:val="single" w:sz="4" w:space="0" w:color="auto"/>
            </w:tcBorders>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Linear </w:t>
            </w:r>
            <w:r w:rsidR="00B314DC" w:rsidRPr="00C605D6">
              <w:rPr>
                <w:lang w:val="en-US"/>
              </w:rPr>
              <w:t>cutting stapler</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$470</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$470</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Staples</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$244</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3</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$732</w:t>
            </w:r>
          </w:p>
        </w:tc>
      </w:tr>
      <w:tr w:rsidR="00666C42" w:rsidRPr="00C605D6" w:rsidTr="00EF5B75">
        <w:trPr>
          <w:trHeight w:val="227"/>
        </w:trPr>
        <w:tc>
          <w:tcPr>
            <w:tcW w:w="2835" w:type="dxa"/>
            <w:shd w:val="clear" w:color="000000" w:fill="FFFFFF"/>
            <w:noWrap/>
            <w:vAlign w:val="bottom"/>
          </w:tcPr>
          <w:p w:rsidR="00666C42" w:rsidRPr="00070B1C" w:rsidRDefault="00666C42" w:rsidP="00666C42">
            <w:pPr>
              <w:pStyle w:val="TableHeading0"/>
              <w:rPr>
                <w:rFonts w:ascii="Arial Narrow" w:hAnsi="Arial Narrow"/>
              </w:rPr>
            </w:pPr>
            <w:r w:rsidRPr="00070B1C">
              <w:rPr>
                <w:rFonts w:ascii="Arial Narrow" w:hAnsi="Arial Narrow"/>
              </w:rPr>
              <w:t>Operational</w:t>
            </w:r>
          </w:p>
        </w:tc>
        <w:tc>
          <w:tcPr>
            <w:tcW w:w="1316" w:type="dxa"/>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c>
          <w:tcPr>
            <w:tcW w:w="1080" w:type="dxa"/>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c>
          <w:tcPr>
            <w:tcW w:w="762" w:type="dxa"/>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c>
          <w:tcPr>
            <w:tcW w:w="1053" w:type="dxa"/>
            <w:shd w:val="clear" w:color="000000" w:fill="FFFFFF"/>
            <w:noWrap/>
            <w:vAlign w:val="bottom"/>
          </w:tcPr>
          <w:p w:rsidR="00666C42" w:rsidRPr="00C605D6" w:rsidRDefault="00666C42" w:rsidP="004D408A">
            <w:pPr>
              <w:keepNext/>
              <w:spacing w:after="0"/>
              <w:ind w:left="0"/>
              <w:jc w:val="right"/>
              <w:rPr>
                <w:rFonts w:ascii="Arial Narrow" w:hAnsi="Arial Narrow"/>
                <w:bCs/>
                <w:color w:val="000000"/>
                <w:sz w:val="18"/>
                <w:szCs w:val="18"/>
                <w:lang w:val="en-US" w:eastAsia="en-US"/>
              </w:rPr>
            </w:pPr>
            <w:r w:rsidRPr="00C605D6">
              <w:rPr>
                <w:rFonts w:ascii="Arial Narrow" w:hAnsi="Arial Narrow"/>
                <w:bCs/>
                <w:color w:val="000000"/>
                <w:sz w:val="18"/>
                <w:szCs w:val="18"/>
                <w:lang w:val="en-US" w:eastAsia="en-US"/>
              </w:rPr>
              <w:t> </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Resection with primary anastomosis</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32025</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$1,343</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$1,343</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32025 co-payment</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32025</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$1,292</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$1,292</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Initiation of </w:t>
            </w:r>
            <w:r w:rsidR="00B314DC" w:rsidRPr="00C605D6">
              <w:rPr>
                <w:lang w:val="en-US"/>
              </w:rPr>
              <w:t>a</w:t>
            </w:r>
            <w:r w:rsidRPr="00C605D6">
              <w:rPr>
                <w:lang w:val="en-US"/>
              </w:rPr>
              <w:t>naesthesia (8 units)</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20841</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$117</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$117</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20841 co-payment</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20841</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$501</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$501</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Anaesthesia -1:56 to 2:00 hours</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23083</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$117</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$117</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Assistance</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51303</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$269</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$269</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51303 co-payment</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51303</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$198</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$198</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lang w:val="en-US"/>
              </w:rPr>
            </w:pPr>
            <w:r w:rsidRPr="00C605D6">
              <w:rPr>
                <w:lang w:val="en-US"/>
              </w:rPr>
              <w:t>Theatre  (AR-DRG G01B)</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$2,578</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1</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$2,578</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b/>
                <w:lang w:val="en-US"/>
              </w:rPr>
            </w:pPr>
            <w:r w:rsidRPr="00C605D6">
              <w:rPr>
                <w:b/>
                <w:lang w:val="en-US"/>
              </w:rPr>
              <w:t>Total consumables</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$1,202</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b/>
                <w:lang w:val="en-US"/>
              </w:rPr>
            </w:pPr>
            <w:r w:rsidRPr="00C605D6">
              <w:rPr>
                <w:b/>
                <w:lang w:val="en-US"/>
              </w:rPr>
              <w:t>Total MBS fees</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$4,424</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b/>
                <w:lang w:val="en-US"/>
              </w:rPr>
            </w:pPr>
            <w:r w:rsidRPr="00C605D6">
              <w:rPr>
                <w:b/>
                <w:lang w:val="en-US"/>
              </w:rPr>
              <w:t xml:space="preserve">Total </w:t>
            </w:r>
            <w:r w:rsidR="004D408A" w:rsidRPr="000F3C8B">
              <w:rPr>
                <w:b/>
                <w:lang w:val="en-AU"/>
              </w:rPr>
              <w:t>patient/</w:t>
            </w:r>
            <w:r w:rsidRPr="000F3C8B">
              <w:rPr>
                <w:b/>
                <w:lang w:val="en-AU"/>
              </w:rPr>
              <w:t>insurer costs</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53" w:type="dxa"/>
            <w:shd w:val="clear" w:color="000000" w:fill="FFFFFF"/>
            <w:noWrap/>
            <w:vAlign w:val="bottom"/>
          </w:tcPr>
          <w:p w:rsidR="00666C42" w:rsidRPr="00C605D6" w:rsidRDefault="00666C42" w:rsidP="004D408A">
            <w:pPr>
              <w:pStyle w:val="TableText0"/>
              <w:jc w:val="right"/>
              <w:rPr>
                <w:lang w:val="en-US"/>
              </w:rPr>
            </w:pPr>
            <w:r w:rsidRPr="00C605D6">
              <w:rPr>
                <w:lang w:val="en-US"/>
              </w:rPr>
              <w:t>$1,991</w:t>
            </w:r>
          </w:p>
        </w:tc>
      </w:tr>
      <w:tr w:rsidR="00666C42" w:rsidRPr="00C605D6" w:rsidTr="00EF5B75">
        <w:trPr>
          <w:trHeight w:val="227"/>
        </w:trPr>
        <w:tc>
          <w:tcPr>
            <w:tcW w:w="2835" w:type="dxa"/>
            <w:shd w:val="clear" w:color="000000" w:fill="FFFFFF"/>
            <w:noWrap/>
            <w:vAlign w:val="bottom"/>
          </w:tcPr>
          <w:p w:rsidR="00666C42" w:rsidRPr="00C605D6" w:rsidRDefault="00666C42" w:rsidP="00666C42">
            <w:pPr>
              <w:pStyle w:val="TableText0"/>
              <w:rPr>
                <w:b/>
                <w:lang w:val="en-US"/>
              </w:rPr>
            </w:pPr>
            <w:r w:rsidRPr="00C605D6">
              <w:rPr>
                <w:b/>
                <w:lang w:val="en-US"/>
              </w:rPr>
              <w:t>Total</w:t>
            </w:r>
            <w:r w:rsidR="00B314DC" w:rsidRPr="00C605D6">
              <w:rPr>
                <w:b/>
                <w:lang w:val="en-US"/>
              </w:rPr>
              <w:t xml:space="preserve"> cost</w:t>
            </w:r>
          </w:p>
        </w:tc>
        <w:tc>
          <w:tcPr>
            <w:tcW w:w="1316"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80"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762" w:type="dxa"/>
            <w:shd w:val="clear" w:color="000000" w:fill="FFFFFF"/>
            <w:noWrap/>
            <w:vAlign w:val="bottom"/>
          </w:tcPr>
          <w:p w:rsidR="00666C42" w:rsidRPr="00C605D6" w:rsidRDefault="00666C42" w:rsidP="004D408A">
            <w:pPr>
              <w:pStyle w:val="TableText0"/>
              <w:jc w:val="right"/>
              <w:rPr>
                <w:lang w:val="en-US"/>
              </w:rPr>
            </w:pPr>
            <w:r w:rsidRPr="00C605D6">
              <w:rPr>
                <w:lang w:val="en-US"/>
              </w:rPr>
              <w:t> </w:t>
            </w:r>
          </w:p>
        </w:tc>
        <w:tc>
          <w:tcPr>
            <w:tcW w:w="1053" w:type="dxa"/>
            <w:shd w:val="clear" w:color="000000" w:fill="FFFFFF"/>
            <w:noWrap/>
            <w:vAlign w:val="bottom"/>
          </w:tcPr>
          <w:p w:rsidR="00666C42" w:rsidRPr="00C605D6" w:rsidRDefault="00666C42" w:rsidP="004D408A">
            <w:pPr>
              <w:pStyle w:val="TableText0"/>
              <w:jc w:val="right"/>
              <w:rPr>
                <w:b/>
                <w:lang w:val="en-US"/>
              </w:rPr>
            </w:pPr>
            <w:r w:rsidRPr="00C605D6">
              <w:rPr>
                <w:b/>
                <w:lang w:val="en-US"/>
              </w:rPr>
              <w:t>$7,616</w:t>
            </w:r>
          </w:p>
        </w:tc>
      </w:tr>
    </w:tbl>
    <w:p w:rsidR="00EF5B75" w:rsidRPr="00C5538A" w:rsidRDefault="00EF5B75" w:rsidP="00EF5B75">
      <w:pPr>
        <w:pStyle w:val="TableNotes"/>
        <w:rPr>
          <w:szCs w:val="16"/>
          <w:lang w:val="en-AU" w:eastAsia="en-AU"/>
        </w:rPr>
      </w:pPr>
      <w:r>
        <w:t>AR-DRG: Australian Refined Diagnostic Related Group</w:t>
      </w:r>
      <w:r>
        <w:rPr>
          <w:lang w:val="en-AU"/>
        </w:rPr>
        <w:t xml:space="preserve">; </w:t>
      </w:r>
      <w:r>
        <w:t>MBS: Medicare Benefits Schedule</w:t>
      </w:r>
      <w:r>
        <w:rPr>
          <w:lang w:val="en-AU"/>
        </w:rPr>
        <w:t>.</w:t>
      </w:r>
    </w:p>
    <w:p w:rsidR="00EF5B75" w:rsidRDefault="00EF5B75" w:rsidP="00EF5B75">
      <w:pPr>
        <w:pStyle w:val="TableNotes"/>
      </w:pPr>
      <w:r>
        <w:rPr>
          <w:szCs w:val="16"/>
          <w:lang w:val="en-AU" w:eastAsia="en-AU"/>
        </w:rPr>
        <w:t>Note: N</w:t>
      </w:r>
      <w:r w:rsidRPr="00F93AFC">
        <w:rPr>
          <w:szCs w:val="16"/>
          <w:lang w:val="en-AU" w:eastAsia="en-AU"/>
        </w:rPr>
        <w:t xml:space="preserve">umbers may not </w:t>
      </w:r>
      <w:r>
        <w:rPr>
          <w:szCs w:val="16"/>
          <w:lang w:val="en-AU" w:eastAsia="en-AU"/>
        </w:rPr>
        <w:t>sum to total</w:t>
      </w:r>
      <w:r w:rsidRPr="00F93AFC">
        <w:rPr>
          <w:szCs w:val="16"/>
          <w:lang w:val="en-AU" w:eastAsia="en-AU"/>
        </w:rPr>
        <w:t xml:space="preserve"> due to rounding</w:t>
      </w:r>
      <w:r>
        <w:rPr>
          <w:szCs w:val="16"/>
          <w:lang w:val="en-AU" w:eastAsia="en-AU"/>
        </w:rPr>
        <w:t>.</w:t>
      </w:r>
    </w:p>
    <w:p w:rsidR="00F71B25" w:rsidRDefault="00F71B25" w:rsidP="00666C42">
      <w:pPr>
        <w:pStyle w:val="Heading3"/>
      </w:pPr>
      <w:r>
        <w:t xml:space="preserve">Hospitalisation and </w:t>
      </w:r>
      <w:r w:rsidR="00B314DC">
        <w:t xml:space="preserve">intensive care </w:t>
      </w:r>
      <w:r>
        <w:t>costs</w:t>
      </w:r>
    </w:p>
    <w:p w:rsidR="00F71B25" w:rsidRDefault="00F71B25" w:rsidP="00666C42">
      <w:r>
        <w:t xml:space="preserve">The average per diem costs of hospitalisation used in the model were calculated from AR-DRG codes (version 5.1 round 13 – Private and Public). To avoid double-counting, hospitalisation costs were assumed equal to the total cost of the AR-DRG minus the operating room, critical care and prostheses costs. Nursing costs and pharmaceutical costs were retained in this value, since these are not explicitly captured elsewhere in the model. To derive a daily cost, the total hospitalisation cost was divided by the average length of hospital stay (LOS). This cost was then imputed into the model as a single cost multiplied by the estimated LOS for each procedure. The daily cost of intensive care was taken from the current fees and charges for acute health services in Victoria ($2,138).  </w:t>
      </w:r>
      <w:r w:rsidR="00AC313E">
        <w:fldChar w:fldCharType="begin"/>
      </w:r>
      <w:r w:rsidR="00AC313E">
        <w:instrText xml:space="preserve"> REF _Ref324949806 \h </w:instrText>
      </w:r>
      <w:r w:rsidR="00AC313E">
        <w:fldChar w:fldCharType="separate"/>
      </w:r>
      <w:r w:rsidR="0071544A">
        <w:t xml:space="preserve">Table </w:t>
      </w:r>
      <w:r w:rsidR="0071544A">
        <w:rPr>
          <w:noProof/>
        </w:rPr>
        <w:t>55</w:t>
      </w:r>
      <w:r w:rsidR="00AC313E">
        <w:fldChar w:fldCharType="end"/>
      </w:r>
      <w:r w:rsidR="00AC313E">
        <w:t xml:space="preserve"> </w:t>
      </w:r>
      <w:r>
        <w:t xml:space="preserve">summarises the hospital costs used in the analysis. </w:t>
      </w:r>
    </w:p>
    <w:p w:rsidR="00666C42" w:rsidRPr="00C605D6" w:rsidRDefault="00AC313E" w:rsidP="00AC313E">
      <w:pPr>
        <w:pStyle w:val="Caption"/>
      </w:pPr>
      <w:bookmarkStart w:id="230" w:name="_Ref324949806"/>
      <w:bookmarkStart w:id="231" w:name="_Toc327522099"/>
      <w:r>
        <w:lastRenderedPageBreak/>
        <w:t xml:space="preserve">Table </w:t>
      </w:r>
      <w:fldSimple w:instr=" SEQ Table \* ARABIC ">
        <w:r w:rsidR="0071544A">
          <w:rPr>
            <w:noProof/>
          </w:rPr>
          <w:t>55</w:t>
        </w:r>
      </w:fldSimple>
      <w:bookmarkEnd w:id="230"/>
      <w:r w:rsidR="00666C42" w:rsidRPr="00C605D6">
        <w:tab/>
        <w:t>Hospital stay costs used in the model</w:t>
      </w:r>
      <w:bookmarkEnd w:id="231"/>
    </w:p>
    <w:tbl>
      <w:tblPr>
        <w:tblW w:w="8363" w:type="dxa"/>
        <w:tblInd w:w="720" w:type="dxa"/>
        <w:tblBorders>
          <w:top w:val="single" w:sz="12" w:space="0" w:color="auto"/>
          <w:bottom w:val="single" w:sz="12" w:space="0" w:color="auto"/>
        </w:tblBorders>
        <w:tblLayout w:type="fixed"/>
        <w:tblLook w:val="00A0" w:firstRow="1" w:lastRow="0" w:firstColumn="1" w:lastColumn="0" w:noHBand="0" w:noVBand="0"/>
      </w:tblPr>
      <w:tblGrid>
        <w:gridCol w:w="4578"/>
        <w:gridCol w:w="1170"/>
        <w:gridCol w:w="900"/>
        <w:gridCol w:w="687"/>
        <w:gridCol w:w="1028"/>
      </w:tblGrid>
      <w:tr w:rsidR="00666C42" w:rsidRPr="00C605D6" w:rsidTr="00EF5B75">
        <w:trPr>
          <w:trHeight w:val="315"/>
        </w:trPr>
        <w:tc>
          <w:tcPr>
            <w:tcW w:w="4578" w:type="dxa"/>
            <w:tcBorders>
              <w:top w:val="single" w:sz="12" w:space="0" w:color="auto"/>
              <w:bottom w:val="single" w:sz="4" w:space="0" w:color="auto"/>
            </w:tcBorders>
            <w:shd w:val="clear" w:color="000000" w:fill="FFFFFF"/>
            <w:noWrap/>
            <w:vAlign w:val="bottom"/>
          </w:tcPr>
          <w:p w:rsidR="00666C42" w:rsidRPr="00C605D6" w:rsidRDefault="00666C42" w:rsidP="00275F6A">
            <w:pPr>
              <w:keepNext/>
              <w:spacing w:after="0"/>
              <w:ind w:left="0"/>
              <w:rPr>
                <w:rFonts w:ascii="Arial Narrow" w:hAnsi="Arial Narrow"/>
                <w:b/>
                <w:bCs/>
                <w:sz w:val="18"/>
                <w:szCs w:val="18"/>
                <w:lang w:val="en-US" w:eastAsia="en-US"/>
              </w:rPr>
            </w:pPr>
          </w:p>
        </w:tc>
        <w:tc>
          <w:tcPr>
            <w:tcW w:w="1170" w:type="dxa"/>
            <w:tcBorders>
              <w:top w:val="single" w:sz="12" w:space="0" w:color="auto"/>
              <w:bottom w:val="single" w:sz="4" w:space="0" w:color="auto"/>
            </w:tcBorders>
            <w:shd w:val="clear" w:color="000000" w:fill="FFFFFF"/>
            <w:noWrap/>
            <w:vAlign w:val="bottom"/>
          </w:tcPr>
          <w:p w:rsidR="00666C42" w:rsidRPr="00C605D6" w:rsidRDefault="00666C42" w:rsidP="00632797">
            <w:pPr>
              <w:pStyle w:val="TableHeading0"/>
              <w:jc w:val="right"/>
            </w:pPr>
            <w:r w:rsidRPr="00C605D6">
              <w:t>MBS code</w:t>
            </w:r>
          </w:p>
        </w:tc>
        <w:tc>
          <w:tcPr>
            <w:tcW w:w="900" w:type="dxa"/>
            <w:tcBorders>
              <w:top w:val="single" w:sz="12" w:space="0" w:color="auto"/>
              <w:bottom w:val="single" w:sz="4" w:space="0" w:color="auto"/>
            </w:tcBorders>
            <w:shd w:val="clear" w:color="000000" w:fill="FFFFFF"/>
            <w:noWrap/>
            <w:vAlign w:val="bottom"/>
          </w:tcPr>
          <w:p w:rsidR="00666C42" w:rsidRPr="00C605D6" w:rsidRDefault="00666C42" w:rsidP="00632797">
            <w:pPr>
              <w:pStyle w:val="TableHeading0"/>
              <w:jc w:val="right"/>
            </w:pPr>
            <w:r w:rsidRPr="00C605D6">
              <w:t>Costs</w:t>
            </w:r>
          </w:p>
        </w:tc>
        <w:tc>
          <w:tcPr>
            <w:tcW w:w="687" w:type="dxa"/>
            <w:tcBorders>
              <w:top w:val="single" w:sz="12" w:space="0" w:color="auto"/>
              <w:bottom w:val="single" w:sz="4" w:space="0" w:color="auto"/>
            </w:tcBorders>
            <w:shd w:val="clear" w:color="000000" w:fill="FFFFFF"/>
            <w:vAlign w:val="bottom"/>
          </w:tcPr>
          <w:p w:rsidR="00666C42" w:rsidRPr="00C605D6" w:rsidRDefault="00666C42" w:rsidP="00632797">
            <w:pPr>
              <w:pStyle w:val="TableHeading0"/>
              <w:jc w:val="right"/>
            </w:pPr>
            <w:r w:rsidRPr="00C605D6">
              <w:t>Units</w:t>
            </w:r>
          </w:p>
        </w:tc>
        <w:tc>
          <w:tcPr>
            <w:tcW w:w="1028" w:type="dxa"/>
            <w:tcBorders>
              <w:top w:val="single" w:sz="12" w:space="0" w:color="auto"/>
              <w:bottom w:val="single" w:sz="4" w:space="0" w:color="auto"/>
            </w:tcBorders>
            <w:shd w:val="clear" w:color="000000" w:fill="FFFFFF"/>
            <w:vAlign w:val="bottom"/>
          </w:tcPr>
          <w:p w:rsidR="00666C42" w:rsidRPr="00C605D6" w:rsidRDefault="00666C42" w:rsidP="00632797">
            <w:pPr>
              <w:pStyle w:val="TableHeading0"/>
              <w:jc w:val="right"/>
            </w:pPr>
            <w:r w:rsidRPr="00C605D6">
              <w:t>Total</w:t>
            </w:r>
          </w:p>
        </w:tc>
      </w:tr>
      <w:tr w:rsidR="00666C42" w:rsidRPr="00C605D6" w:rsidTr="00EF5B75">
        <w:trPr>
          <w:trHeight w:val="227"/>
        </w:trPr>
        <w:tc>
          <w:tcPr>
            <w:tcW w:w="4578" w:type="dxa"/>
            <w:tcBorders>
              <w:top w:val="single" w:sz="4" w:space="0" w:color="auto"/>
            </w:tcBorders>
            <w:shd w:val="clear" w:color="000000" w:fill="FFFFFF"/>
            <w:noWrap/>
            <w:vAlign w:val="bottom"/>
          </w:tcPr>
          <w:p w:rsidR="00666C42" w:rsidRPr="00C605D6" w:rsidRDefault="00666C42" w:rsidP="00212BE7">
            <w:pPr>
              <w:pStyle w:val="TableText0"/>
              <w:rPr>
                <w:lang w:val="en-US"/>
              </w:rPr>
            </w:pPr>
            <w:r w:rsidRPr="00C605D6">
              <w:rPr>
                <w:lang w:val="en-US"/>
              </w:rPr>
              <w:t xml:space="preserve">Hospital stay stent </w:t>
            </w:r>
            <w:r w:rsidR="00212BE7" w:rsidRPr="00C605D6">
              <w:rPr>
                <w:lang w:val="en-US"/>
              </w:rPr>
              <w:t xml:space="preserve">– </w:t>
            </w:r>
            <w:r w:rsidRPr="00C605D6">
              <w:rPr>
                <w:lang w:val="en-US"/>
              </w:rPr>
              <w:t>palliation (AR-DRG G05B)</w:t>
            </w:r>
          </w:p>
        </w:tc>
        <w:tc>
          <w:tcPr>
            <w:tcW w:w="1170" w:type="dxa"/>
            <w:tcBorders>
              <w:top w:val="single" w:sz="4" w:space="0" w:color="auto"/>
            </w:tcBorders>
            <w:shd w:val="clear" w:color="000000" w:fill="FFFFFF"/>
            <w:noWrap/>
            <w:vAlign w:val="bottom"/>
          </w:tcPr>
          <w:p w:rsidR="00666C42" w:rsidRPr="00C605D6" w:rsidRDefault="00666C42" w:rsidP="00632797">
            <w:pPr>
              <w:pStyle w:val="TableText0"/>
              <w:jc w:val="right"/>
              <w:rPr>
                <w:lang w:val="en-US"/>
              </w:rPr>
            </w:pPr>
          </w:p>
        </w:tc>
        <w:tc>
          <w:tcPr>
            <w:tcW w:w="900" w:type="dxa"/>
            <w:tcBorders>
              <w:top w:val="single" w:sz="4" w:space="0" w:color="auto"/>
            </w:tcBorders>
            <w:shd w:val="clear" w:color="000000" w:fill="FFFFFF"/>
            <w:noWrap/>
            <w:vAlign w:val="bottom"/>
          </w:tcPr>
          <w:p w:rsidR="00666C42" w:rsidRPr="00C605D6" w:rsidRDefault="00666C42" w:rsidP="00632797">
            <w:pPr>
              <w:pStyle w:val="TableText0"/>
              <w:jc w:val="right"/>
              <w:rPr>
                <w:lang w:val="en-US"/>
              </w:rPr>
            </w:pPr>
            <w:r w:rsidRPr="00C605D6">
              <w:rPr>
                <w:lang w:val="en-US"/>
              </w:rPr>
              <w:t>$672</w:t>
            </w:r>
          </w:p>
        </w:tc>
        <w:tc>
          <w:tcPr>
            <w:tcW w:w="687" w:type="dxa"/>
            <w:tcBorders>
              <w:top w:val="single" w:sz="4" w:space="0" w:color="auto"/>
            </w:tcBorders>
            <w:shd w:val="clear" w:color="000000" w:fill="FFFFFF"/>
            <w:vAlign w:val="bottom"/>
          </w:tcPr>
          <w:p w:rsidR="00666C42" w:rsidRPr="00C605D6" w:rsidRDefault="00666C42" w:rsidP="00632797">
            <w:pPr>
              <w:pStyle w:val="TableText0"/>
              <w:jc w:val="right"/>
              <w:rPr>
                <w:lang w:val="en-US"/>
              </w:rPr>
            </w:pPr>
            <w:r w:rsidRPr="00C605D6">
              <w:rPr>
                <w:lang w:val="en-US"/>
              </w:rPr>
              <w:t>2.6</w:t>
            </w:r>
          </w:p>
        </w:tc>
        <w:tc>
          <w:tcPr>
            <w:tcW w:w="1028" w:type="dxa"/>
            <w:tcBorders>
              <w:top w:val="single" w:sz="4" w:space="0" w:color="auto"/>
            </w:tcBorders>
            <w:shd w:val="clear" w:color="000000" w:fill="FFFFFF"/>
            <w:vAlign w:val="bottom"/>
          </w:tcPr>
          <w:p w:rsidR="00666C42" w:rsidRPr="00C605D6" w:rsidRDefault="00666C42" w:rsidP="00632797">
            <w:pPr>
              <w:pStyle w:val="TableText0"/>
              <w:jc w:val="right"/>
              <w:rPr>
                <w:lang w:val="en-US"/>
              </w:rPr>
            </w:pPr>
            <w:r w:rsidRPr="00C605D6">
              <w:rPr>
                <w:lang w:val="en-US"/>
              </w:rPr>
              <w:t>$1,746</w:t>
            </w:r>
          </w:p>
        </w:tc>
      </w:tr>
      <w:tr w:rsidR="00666C42" w:rsidRPr="00C605D6" w:rsidTr="00EF5B75">
        <w:trPr>
          <w:trHeight w:val="227"/>
        </w:trPr>
        <w:tc>
          <w:tcPr>
            <w:tcW w:w="4578" w:type="dxa"/>
            <w:shd w:val="clear" w:color="000000" w:fill="FFFFFF"/>
            <w:noWrap/>
            <w:vAlign w:val="bottom"/>
          </w:tcPr>
          <w:p w:rsidR="00666C42" w:rsidRPr="00C605D6" w:rsidRDefault="00666C42" w:rsidP="00212BE7">
            <w:pPr>
              <w:pStyle w:val="TableText0"/>
              <w:rPr>
                <w:lang w:val="en-US"/>
              </w:rPr>
            </w:pPr>
            <w:r w:rsidRPr="00C605D6">
              <w:rPr>
                <w:lang w:val="en-US"/>
              </w:rPr>
              <w:t xml:space="preserve">Hospital stay stent </w:t>
            </w:r>
            <w:r w:rsidR="00212BE7" w:rsidRPr="00C605D6">
              <w:rPr>
                <w:lang w:val="en-US"/>
              </w:rPr>
              <w:t xml:space="preserve">– </w:t>
            </w:r>
            <w:r w:rsidRPr="00C605D6">
              <w:rPr>
                <w:lang w:val="en-US"/>
              </w:rPr>
              <w:t>bridge to surgery (AR-DRG G05B)</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$672</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5</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$3,358</w:t>
            </w:r>
          </w:p>
        </w:tc>
      </w:tr>
      <w:tr w:rsidR="00666C42" w:rsidRPr="00C605D6" w:rsidTr="00EF5B75">
        <w:trPr>
          <w:trHeight w:val="227"/>
        </w:trPr>
        <w:tc>
          <w:tcPr>
            <w:tcW w:w="4578" w:type="dxa"/>
            <w:shd w:val="clear" w:color="000000" w:fill="FFFFFF"/>
            <w:noWrap/>
            <w:vAlign w:val="bottom"/>
          </w:tcPr>
          <w:p w:rsidR="00666C42" w:rsidRPr="00C605D6" w:rsidRDefault="00666C42" w:rsidP="00212BE7">
            <w:pPr>
              <w:pStyle w:val="TableText0"/>
              <w:rPr>
                <w:lang w:val="en-US"/>
              </w:rPr>
            </w:pPr>
            <w:r w:rsidRPr="00C605D6">
              <w:rPr>
                <w:lang w:val="en-US"/>
              </w:rPr>
              <w:t xml:space="preserve">Hospital stay colostomy </w:t>
            </w:r>
            <w:r w:rsidR="00212BE7" w:rsidRPr="00C605D6">
              <w:rPr>
                <w:lang w:val="en-US"/>
              </w:rPr>
              <w:t xml:space="preserve">– </w:t>
            </w:r>
            <w:r w:rsidRPr="00C605D6">
              <w:rPr>
                <w:lang w:val="en-US"/>
              </w:rPr>
              <w:t>palliation (AR-DRG G02B)</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$800</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8.1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$6,484</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Hospital stay colostomy – bridge to surgery (AR-DRG G02B)</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$800</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10</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$8,004</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Intensive care unit (ICU)</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$2,138</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$2,138</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ICU attendance</w:t>
            </w:r>
            <w:r w:rsidR="00212BE7">
              <w:rPr>
                <w:lang w:val="en-US"/>
              </w:rPr>
              <w:t xml:space="preserve"> </w:t>
            </w:r>
            <w:r w:rsidRPr="00C605D6">
              <w:rPr>
                <w:lang w:val="en-US"/>
              </w:rPr>
              <w:t>– colostomy</w:t>
            </w:r>
          </w:p>
        </w:tc>
        <w:tc>
          <w:tcPr>
            <w:tcW w:w="1170" w:type="dxa"/>
            <w:shd w:val="clear" w:color="000000" w:fill="FFFFFF"/>
            <w:noWrap/>
            <w:vAlign w:val="bottom"/>
          </w:tcPr>
          <w:p w:rsidR="00666C42" w:rsidRPr="00C605D6" w:rsidRDefault="00666C42" w:rsidP="00632797">
            <w:pPr>
              <w:pStyle w:val="TableText0"/>
              <w:jc w:val="right"/>
              <w:rPr>
                <w:lang w:val="en-US"/>
              </w:rPr>
            </w:pPr>
            <w:r w:rsidRPr="00C605D6">
              <w:rPr>
                <w:lang w:val="en-US"/>
              </w:rPr>
              <w:t>13870</w:t>
            </w: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$267</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$267</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13870 co-payment</w:t>
            </w:r>
          </w:p>
        </w:tc>
        <w:tc>
          <w:tcPr>
            <w:tcW w:w="1170" w:type="dxa"/>
            <w:shd w:val="clear" w:color="000000" w:fill="FFFFFF"/>
            <w:noWrap/>
            <w:vAlign w:val="bottom"/>
          </w:tcPr>
          <w:p w:rsidR="00666C42" w:rsidRPr="00C605D6" w:rsidRDefault="00666C42" w:rsidP="00632797">
            <w:pPr>
              <w:pStyle w:val="TableText0"/>
              <w:jc w:val="right"/>
              <w:rPr>
                <w:lang w:val="en-US"/>
              </w:rPr>
            </w:pPr>
            <w:r w:rsidRPr="00C605D6">
              <w:rPr>
                <w:lang w:val="en-US"/>
              </w:rPr>
              <w:t>13870</w:t>
            </w: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$153</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$153</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Hospital stay – Hartmann’s procedure (AR-DRG G01B)</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$796</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10</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$7,9</w:t>
            </w:r>
            <w:r w:rsidR="002315B8">
              <w:rPr>
                <w:lang w:val="en-US"/>
              </w:rPr>
              <w:t>6</w:t>
            </w:r>
            <w:r w:rsidRPr="00C605D6">
              <w:rPr>
                <w:lang w:val="en-US"/>
              </w:rPr>
              <w:t>4</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Intensive care unit (ICU)</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$2,138</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2</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$4,276</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ICU attendance – Hartmann’s procedure</w:t>
            </w:r>
          </w:p>
        </w:tc>
        <w:tc>
          <w:tcPr>
            <w:tcW w:w="1170" w:type="dxa"/>
            <w:shd w:val="clear" w:color="000000" w:fill="FFFFFF"/>
            <w:noWrap/>
            <w:vAlign w:val="bottom"/>
          </w:tcPr>
          <w:p w:rsidR="00666C42" w:rsidRPr="00C605D6" w:rsidRDefault="00666C42" w:rsidP="00632797">
            <w:pPr>
              <w:pStyle w:val="TableText0"/>
              <w:jc w:val="right"/>
              <w:rPr>
                <w:lang w:val="en-US"/>
              </w:rPr>
            </w:pPr>
            <w:r w:rsidRPr="00C605D6">
              <w:rPr>
                <w:lang w:val="en-US"/>
              </w:rPr>
              <w:t>13870</w:t>
            </w: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$267</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$267</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13870 co-payment</w:t>
            </w:r>
          </w:p>
        </w:tc>
        <w:tc>
          <w:tcPr>
            <w:tcW w:w="1170" w:type="dxa"/>
            <w:shd w:val="clear" w:color="000000" w:fill="FFFFFF"/>
            <w:noWrap/>
            <w:vAlign w:val="bottom"/>
          </w:tcPr>
          <w:p w:rsidR="00666C42" w:rsidRPr="00C605D6" w:rsidRDefault="00666C42" w:rsidP="00632797">
            <w:pPr>
              <w:pStyle w:val="TableText0"/>
              <w:jc w:val="right"/>
              <w:rPr>
                <w:lang w:val="en-US"/>
              </w:rPr>
            </w:pPr>
            <w:r w:rsidRPr="00C605D6">
              <w:rPr>
                <w:lang w:val="en-US"/>
              </w:rPr>
              <w:t>13870</w:t>
            </w: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$153</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$153</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ICU subsequent attendance – Hartmann’s procedure</w:t>
            </w:r>
          </w:p>
        </w:tc>
        <w:tc>
          <w:tcPr>
            <w:tcW w:w="1170" w:type="dxa"/>
            <w:shd w:val="clear" w:color="000000" w:fill="FFFFFF"/>
            <w:noWrap/>
            <w:vAlign w:val="bottom"/>
          </w:tcPr>
          <w:p w:rsidR="00666C42" w:rsidRPr="00C605D6" w:rsidRDefault="00666C42" w:rsidP="00632797">
            <w:pPr>
              <w:pStyle w:val="TableText0"/>
              <w:jc w:val="right"/>
              <w:rPr>
                <w:lang w:val="en-US"/>
              </w:rPr>
            </w:pPr>
            <w:r w:rsidRPr="00C605D6">
              <w:rPr>
                <w:lang w:val="en-US"/>
              </w:rPr>
              <w:t>13873</w:t>
            </w: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$198</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$198</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13873 co-payment</w:t>
            </w:r>
          </w:p>
        </w:tc>
        <w:tc>
          <w:tcPr>
            <w:tcW w:w="1170" w:type="dxa"/>
            <w:shd w:val="clear" w:color="000000" w:fill="FFFFFF"/>
            <w:noWrap/>
            <w:vAlign w:val="bottom"/>
          </w:tcPr>
          <w:p w:rsidR="00666C42" w:rsidRPr="00C605D6" w:rsidRDefault="00666C42" w:rsidP="00632797">
            <w:pPr>
              <w:pStyle w:val="TableText0"/>
              <w:jc w:val="right"/>
              <w:rPr>
                <w:lang w:val="en-US"/>
              </w:rPr>
            </w:pPr>
            <w:r w:rsidRPr="00C605D6">
              <w:rPr>
                <w:lang w:val="en-US"/>
              </w:rPr>
              <w:t>13873</w:t>
            </w: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$106</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$106</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Hospital stay – Hartmann’s second stage (AR-DRG G01B)</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$796</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10</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$7,9</w:t>
            </w:r>
            <w:r w:rsidR="002315B8">
              <w:rPr>
                <w:lang w:val="en-US"/>
              </w:rPr>
              <w:t>6</w:t>
            </w:r>
            <w:r w:rsidRPr="00C605D6">
              <w:rPr>
                <w:lang w:val="en-US"/>
              </w:rPr>
              <w:t>4</w:t>
            </w:r>
          </w:p>
        </w:tc>
      </w:tr>
      <w:tr w:rsidR="00666C42" w:rsidRPr="00C605D6" w:rsidTr="00EF5B75">
        <w:trPr>
          <w:trHeight w:val="227"/>
        </w:trPr>
        <w:tc>
          <w:tcPr>
            <w:tcW w:w="4578" w:type="dxa"/>
            <w:shd w:val="clear" w:color="000000" w:fill="FFFFFF"/>
            <w:noWrap/>
            <w:vAlign w:val="bottom"/>
          </w:tcPr>
          <w:p w:rsidR="00666C42" w:rsidRPr="00C605D6" w:rsidRDefault="00666C42" w:rsidP="00666C42">
            <w:pPr>
              <w:pStyle w:val="TableText0"/>
              <w:rPr>
                <w:lang w:val="en-US"/>
              </w:rPr>
            </w:pPr>
            <w:r w:rsidRPr="00C605D6">
              <w:rPr>
                <w:lang w:val="en-US"/>
              </w:rPr>
              <w:t>Hospital stay – Resection / primary anastomosis (AR-DRG GO1B)</w:t>
            </w:r>
          </w:p>
        </w:tc>
        <w:tc>
          <w:tcPr>
            <w:tcW w:w="1170" w:type="dxa"/>
            <w:shd w:val="clear" w:color="000000" w:fill="FFFFFF"/>
            <w:noWrap/>
            <w:vAlign w:val="bottom"/>
          </w:tcPr>
          <w:p w:rsidR="00666C42" w:rsidRPr="00C605D6" w:rsidRDefault="00666C42" w:rsidP="00632797">
            <w:pPr>
              <w:pStyle w:val="TableText0"/>
              <w:jc w:val="right"/>
              <w:rPr>
                <w:lang w:val="en-US"/>
              </w:rPr>
            </w:pPr>
          </w:p>
        </w:tc>
        <w:tc>
          <w:tcPr>
            <w:tcW w:w="900" w:type="dxa"/>
            <w:shd w:val="clear" w:color="000000" w:fill="FFFFFF"/>
            <w:noWrap/>
            <w:vAlign w:val="bottom"/>
          </w:tcPr>
          <w:p w:rsidR="00666C42" w:rsidRPr="00C605D6" w:rsidRDefault="00666C42" w:rsidP="00632797">
            <w:pPr>
              <w:pStyle w:val="TableText0"/>
              <w:jc w:val="right"/>
              <w:rPr>
                <w:lang w:val="en-US"/>
              </w:rPr>
            </w:pPr>
            <w:r w:rsidRPr="00C605D6">
              <w:rPr>
                <w:lang w:val="en-US"/>
              </w:rPr>
              <w:t>$796</w:t>
            </w:r>
          </w:p>
        </w:tc>
        <w:tc>
          <w:tcPr>
            <w:tcW w:w="687" w:type="dxa"/>
            <w:shd w:val="clear" w:color="000000" w:fill="FFFFFF"/>
            <w:vAlign w:val="bottom"/>
          </w:tcPr>
          <w:p w:rsidR="00666C42" w:rsidRPr="00C605D6" w:rsidRDefault="00666C42" w:rsidP="00632797">
            <w:pPr>
              <w:pStyle w:val="TableText0"/>
              <w:jc w:val="right"/>
              <w:rPr>
                <w:lang w:val="en-US"/>
              </w:rPr>
            </w:pPr>
            <w:r w:rsidRPr="00C605D6">
              <w:rPr>
                <w:lang w:val="en-US"/>
              </w:rPr>
              <w:t>7</w:t>
            </w:r>
          </w:p>
        </w:tc>
        <w:tc>
          <w:tcPr>
            <w:tcW w:w="1028" w:type="dxa"/>
            <w:shd w:val="clear" w:color="000000" w:fill="FFFFFF"/>
            <w:vAlign w:val="bottom"/>
          </w:tcPr>
          <w:p w:rsidR="00666C42" w:rsidRPr="00C605D6" w:rsidRDefault="00666C42" w:rsidP="00632797">
            <w:pPr>
              <w:pStyle w:val="TableText0"/>
              <w:jc w:val="right"/>
              <w:rPr>
                <w:lang w:val="en-US"/>
              </w:rPr>
            </w:pPr>
            <w:r w:rsidRPr="00C605D6">
              <w:rPr>
                <w:lang w:val="en-US"/>
              </w:rPr>
              <w:t>$5,574</w:t>
            </w:r>
          </w:p>
        </w:tc>
      </w:tr>
    </w:tbl>
    <w:p w:rsidR="00EF5B75" w:rsidRPr="00C5538A" w:rsidRDefault="00EF5B75" w:rsidP="00EF5B75">
      <w:pPr>
        <w:pStyle w:val="TableNotes"/>
        <w:rPr>
          <w:szCs w:val="16"/>
          <w:lang w:val="en-AU" w:eastAsia="en-AU"/>
        </w:rPr>
      </w:pPr>
      <w:r>
        <w:t>AR-DRG: Australian Refined Diagnostic Related Group</w:t>
      </w:r>
      <w:r>
        <w:rPr>
          <w:lang w:val="en-AU"/>
        </w:rPr>
        <w:t xml:space="preserve">; ICU: intensive care unit; </w:t>
      </w:r>
      <w:r>
        <w:t>MBS: Medicare Benefits Schedule</w:t>
      </w:r>
      <w:r>
        <w:rPr>
          <w:lang w:val="en-AU"/>
        </w:rPr>
        <w:t>.</w:t>
      </w:r>
    </w:p>
    <w:p w:rsidR="00EF5B75" w:rsidRDefault="00EF5B75" w:rsidP="00EF5B75">
      <w:pPr>
        <w:pStyle w:val="TableNotes"/>
      </w:pPr>
      <w:r>
        <w:rPr>
          <w:szCs w:val="16"/>
          <w:lang w:val="en-AU" w:eastAsia="en-AU"/>
        </w:rPr>
        <w:t>Note: N</w:t>
      </w:r>
      <w:r w:rsidRPr="00F93AFC">
        <w:rPr>
          <w:szCs w:val="16"/>
          <w:lang w:val="en-AU" w:eastAsia="en-AU"/>
        </w:rPr>
        <w:t xml:space="preserve">umbers may not </w:t>
      </w:r>
      <w:r>
        <w:rPr>
          <w:szCs w:val="16"/>
          <w:lang w:val="en-AU" w:eastAsia="en-AU"/>
        </w:rPr>
        <w:t>sum to total</w:t>
      </w:r>
      <w:r w:rsidRPr="00F93AFC">
        <w:rPr>
          <w:szCs w:val="16"/>
          <w:lang w:val="en-AU" w:eastAsia="en-AU"/>
        </w:rPr>
        <w:t xml:space="preserve"> due to rounding</w:t>
      </w:r>
      <w:r>
        <w:rPr>
          <w:szCs w:val="16"/>
          <w:lang w:val="en-AU" w:eastAsia="en-AU"/>
        </w:rPr>
        <w:t>.</w:t>
      </w:r>
    </w:p>
    <w:p w:rsidR="00F71B25" w:rsidRDefault="00F71B25" w:rsidP="00666C42">
      <w:r>
        <w:t xml:space="preserve">For the base case analysis (palliation group), the LOS for each procedure was taken from Xinopoulos et al (2004). In this study, patients receiving a colonic SEMS for palliation had a significantly shorter LOS than the palliative colostomy group (2.6 versus 8.1 days). For the sensitivity analysis and the </w:t>
      </w:r>
      <w:r w:rsidR="003617AD">
        <w:t>bridge to surgery</w:t>
      </w:r>
      <w:r>
        <w:t xml:space="preserve"> analysis, expert opinion was used. The expert clinical advice estimated that a colostomy would require 10 days hospital stay plus one day in intensive care. A Hartmann’s procedure would require 10 days in hospital and </w:t>
      </w:r>
      <w:r w:rsidR="00212BE7">
        <w:t xml:space="preserve">two </w:t>
      </w:r>
      <w:r>
        <w:t>days in intensive care and then a 10</w:t>
      </w:r>
      <w:r w:rsidR="00212BE7">
        <w:t>-</w:t>
      </w:r>
      <w:r>
        <w:t>day stay without intensive care for the second stage of a two-stage surgery. The hospital stay for resection and primary anastomosis would require a one</w:t>
      </w:r>
      <w:r w:rsidR="00212BE7">
        <w:t>-</w:t>
      </w:r>
      <w:r>
        <w:t xml:space="preserve">week hospital stay without intensive care. </w:t>
      </w:r>
    </w:p>
    <w:p w:rsidR="00F71B25" w:rsidRDefault="00F71B25" w:rsidP="00666C42">
      <w:pPr>
        <w:pStyle w:val="Heading3"/>
      </w:pPr>
      <w:r>
        <w:t>Post-procedural costs</w:t>
      </w:r>
    </w:p>
    <w:p w:rsidR="00F71B25" w:rsidRDefault="00AC313E" w:rsidP="00666C42">
      <w:r>
        <w:fldChar w:fldCharType="begin"/>
      </w:r>
      <w:r>
        <w:instrText xml:space="preserve"> REF _Ref324949843 \h </w:instrText>
      </w:r>
      <w:r>
        <w:fldChar w:fldCharType="separate"/>
      </w:r>
      <w:r w:rsidR="0071544A">
        <w:t xml:space="preserve">Table </w:t>
      </w:r>
      <w:r w:rsidR="0071544A">
        <w:rPr>
          <w:noProof/>
        </w:rPr>
        <w:t>56</w:t>
      </w:r>
      <w:r>
        <w:fldChar w:fldCharType="end"/>
      </w:r>
      <w:r>
        <w:t xml:space="preserve"> </w:t>
      </w:r>
      <w:r w:rsidR="00F71B25">
        <w:t xml:space="preserve">summarises the costs incurred post surgery. </w:t>
      </w:r>
    </w:p>
    <w:p w:rsidR="00666C42" w:rsidRPr="00C605D6" w:rsidRDefault="00AC313E" w:rsidP="00AC313E">
      <w:pPr>
        <w:pStyle w:val="Caption"/>
      </w:pPr>
      <w:bookmarkStart w:id="232" w:name="_Ref324949843"/>
      <w:bookmarkStart w:id="233" w:name="_Toc327522100"/>
      <w:r>
        <w:t xml:space="preserve">Table </w:t>
      </w:r>
      <w:fldSimple w:instr=" SEQ Table \* ARABIC ">
        <w:r w:rsidR="0071544A">
          <w:rPr>
            <w:noProof/>
          </w:rPr>
          <w:t>56</w:t>
        </w:r>
      </w:fldSimple>
      <w:bookmarkEnd w:id="232"/>
      <w:r w:rsidR="00666C42" w:rsidRPr="00C605D6">
        <w:tab/>
        <w:t>Post-procedural costs used in the model</w:t>
      </w:r>
      <w:bookmarkEnd w:id="233"/>
    </w:p>
    <w:tbl>
      <w:tblPr>
        <w:tblW w:w="6828" w:type="dxa"/>
        <w:tblInd w:w="720" w:type="dxa"/>
        <w:tblBorders>
          <w:top w:val="single" w:sz="12" w:space="0" w:color="auto"/>
          <w:bottom w:val="single" w:sz="12" w:space="0" w:color="auto"/>
        </w:tblBorders>
        <w:tblLook w:val="00A0" w:firstRow="1" w:lastRow="0" w:firstColumn="1" w:lastColumn="0" w:noHBand="0" w:noVBand="0"/>
      </w:tblPr>
      <w:tblGrid>
        <w:gridCol w:w="2693"/>
        <w:gridCol w:w="1345"/>
        <w:gridCol w:w="1170"/>
        <w:gridCol w:w="1620"/>
      </w:tblGrid>
      <w:tr w:rsidR="00666C42" w:rsidRPr="00C605D6" w:rsidTr="00EF5B75">
        <w:trPr>
          <w:trHeight w:val="315"/>
        </w:trPr>
        <w:tc>
          <w:tcPr>
            <w:tcW w:w="2693" w:type="dxa"/>
            <w:tcBorders>
              <w:top w:val="single" w:sz="12" w:space="0" w:color="auto"/>
              <w:bottom w:val="single" w:sz="4" w:space="0" w:color="auto"/>
            </w:tcBorders>
            <w:shd w:val="clear" w:color="000000" w:fill="FFFFFF"/>
            <w:noWrap/>
            <w:vAlign w:val="bottom"/>
          </w:tcPr>
          <w:p w:rsidR="00666C42" w:rsidRPr="00C605D6" w:rsidRDefault="00666C42" w:rsidP="00275F6A">
            <w:pPr>
              <w:keepNext/>
              <w:spacing w:after="0"/>
              <w:ind w:left="0"/>
              <w:rPr>
                <w:rFonts w:ascii="Arial Narrow" w:hAnsi="Arial Narrow"/>
                <w:b/>
                <w:bCs/>
                <w:sz w:val="18"/>
                <w:szCs w:val="18"/>
                <w:lang w:val="en-US" w:eastAsia="en-US"/>
              </w:rPr>
            </w:pPr>
          </w:p>
        </w:tc>
        <w:tc>
          <w:tcPr>
            <w:tcW w:w="1345" w:type="dxa"/>
            <w:tcBorders>
              <w:top w:val="single" w:sz="12" w:space="0" w:color="auto"/>
              <w:bottom w:val="single" w:sz="4" w:space="0" w:color="auto"/>
            </w:tcBorders>
            <w:shd w:val="clear" w:color="000000" w:fill="FFFFFF"/>
            <w:noWrap/>
            <w:vAlign w:val="bottom"/>
          </w:tcPr>
          <w:p w:rsidR="00666C42" w:rsidRPr="00C605D6" w:rsidRDefault="00666C42" w:rsidP="0007443E">
            <w:pPr>
              <w:pStyle w:val="TableHeading"/>
              <w:jc w:val="right"/>
              <w:rPr>
                <w:lang w:val="en-US" w:eastAsia="en-US"/>
              </w:rPr>
            </w:pPr>
            <w:r w:rsidRPr="00C605D6">
              <w:rPr>
                <w:lang w:val="en-US" w:eastAsia="en-US"/>
              </w:rPr>
              <w:t>MBS code</w:t>
            </w:r>
          </w:p>
        </w:tc>
        <w:tc>
          <w:tcPr>
            <w:tcW w:w="1170" w:type="dxa"/>
            <w:tcBorders>
              <w:top w:val="single" w:sz="12" w:space="0" w:color="auto"/>
              <w:bottom w:val="single" w:sz="4" w:space="0" w:color="auto"/>
            </w:tcBorders>
            <w:shd w:val="clear" w:color="000000" w:fill="FFFFFF"/>
            <w:noWrap/>
            <w:vAlign w:val="bottom"/>
          </w:tcPr>
          <w:p w:rsidR="00666C42" w:rsidRPr="00C605D6" w:rsidRDefault="00666C42" w:rsidP="0007443E">
            <w:pPr>
              <w:pStyle w:val="TableHeading"/>
              <w:jc w:val="right"/>
              <w:rPr>
                <w:lang w:val="en-US" w:eastAsia="en-US"/>
              </w:rPr>
            </w:pPr>
            <w:r w:rsidRPr="00C605D6">
              <w:rPr>
                <w:lang w:val="en-US" w:eastAsia="en-US"/>
              </w:rPr>
              <w:t>Costs</w:t>
            </w:r>
          </w:p>
        </w:tc>
        <w:tc>
          <w:tcPr>
            <w:tcW w:w="1620" w:type="dxa"/>
            <w:tcBorders>
              <w:top w:val="single" w:sz="12" w:space="0" w:color="auto"/>
              <w:bottom w:val="single" w:sz="4" w:space="0" w:color="auto"/>
            </w:tcBorders>
            <w:shd w:val="clear" w:color="000000" w:fill="FFFFFF"/>
            <w:vAlign w:val="bottom"/>
          </w:tcPr>
          <w:p w:rsidR="00666C42" w:rsidRPr="00C605D6" w:rsidRDefault="00666C42" w:rsidP="0007443E">
            <w:pPr>
              <w:pStyle w:val="TableHeading"/>
              <w:jc w:val="right"/>
              <w:rPr>
                <w:lang w:val="en-US" w:eastAsia="en-US"/>
              </w:rPr>
            </w:pPr>
            <w:r w:rsidRPr="00C605D6">
              <w:rPr>
                <w:lang w:val="en-US" w:eastAsia="en-US"/>
              </w:rPr>
              <w:t>Units</w:t>
            </w:r>
          </w:p>
        </w:tc>
      </w:tr>
      <w:tr w:rsidR="00666C42" w:rsidRPr="00C605D6" w:rsidTr="00EF5B75">
        <w:trPr>
          <w:trHeight w:val="227"/>
        </w:trPr>
        <w:tc>
          <w:tcPr>
            <w:tcW w:w="2693" w:type="dxa"/>
            <w:tcBorders>
              <w:top w:val="single" w:sz="4" w:space="0" w:color="auto"/>
            </w:tcBorders>
            <w:shd w:val="clear" w:color="000000" w:fill="FFFFFF"/>
            <w:noWrap/>
            <w:vAlign w:val="bottom"/>
          </w:tcPr>
          <w:p w:rsidR="00666C42" w:rsidRPr="00C605D6" w:rsidRDefault="00666C42" w:rsidP="00666C42">
            <w:pPr>
              <w:pStyle w:val="TableText0"/>
              <w:rPr>
                <w:lang w:val="en-US"/>
              </w:rPr>
            </w:pPr>
            <w:r w:rsidRPr="00C605D6">
              <w:rPr>
                <w:lang w:val="en-US"/>
              </w:rPr>
              <w:t>Full blood count</w:t>
            </w:r>
          </w:p>
        </w:tc>
        <w:tc>
          <w:tcPr>
            <w:tcW w:w="1345" w:type="dxa"/>
            <w:tcBorders>
              <w:top w:val="single" w:sz="4" w:space="0" w:color="auto"/>
            </w:tcBorders>
            <w:shd w:val="clear" w:color="000000" w:fill="FFFFFF"/>
            <w:noWrap/>
            <w:vAlign w:val="bottom"/>
          </w:tcPr>
          <w:p w:rsidR="00666C42" w:rsidRPr="00C605D6" w:rsidRDefault="00666C42" w:rsidP="0007443E">
            <w:pPr>
              <w:pStyle w:val="TableText0"/>
              <w:jc w:val="right"/>
              <w:rPr>
                <w:lang w:val="en-US"/>
              </w:rPr>
            </w:pPr>
            <w:r w:rsidRPr="00C605D6">
              <w:rPr>
                <w:lang w:val="en-US"/>
              </w:rPr>
              <w:t>65070</w:t>
            </w:r>
          </w:p>
        </w:tc>
        <w:tc>
          <w:tcPr>
            <w:tcW w:w="1170" w:type="dxa"/>
            <w:tcBorders>
              <w:top w:val="single" w:sz="4" w:space="0" w:color="auto"/>
            </w:tcBorders>
            <w:shd w:val="clear" w:color="000000" w:fill="FFFFFF"/>
            <w:noWrap/>
            <w:vAlign w:val="bottom"/>
          </w:tcPr>
          <w:p w:rsidR="00666C42" w:rsidRPr="00C605D6" w:rsidRDefault="00666C42" w:rsidP="0007443E">
            <w:pPr>
              <w:pStyle w:val="TableText0"/>
              <w:jc w:val="right"/>
              <w:rPr>
                <w:lang w:val="en-US"/>
              </w:rPr>
            </w:pPr>
            <w:r w:rsidRPr="00C605D6">
              <w:rPr>
                <w:lang w:val="en-US"/>
              </w:rPr>
              <w:t>$12.80</w:t>
            </w:r>
          </w:p>
        </w:tc>
        <w:tc>
          <w:tcPr>
            <w:tcW w:w="1620" w:type="dxa"/>
            <w:tcBorders>
              <w:top w:val="single" w:sz="4" w:space="0" w:color="auto"/>
            </w:tcBorders>
            <w:shd w:val="clear" w:color="000000" w:fill="FFFFFF"/>
            <w:vAlign w:val="bottom"/>
          </w:tcPr>
          <w:p w:rsidR="00666C42" w:rsidRPr="00C605D6" w:rsidRDefault="00666C42" w:rsidP="0007443E">
            <w:pPr>
              <w:pStyle w:val="TableText0"/>
              <w:jc w:val="right"/>
              <w:rPr>
                <w:lang w:val="en-US"/>
              </w:rPr>
            </w:pPr>
            <w:r w:rsidRPr="00C605D6">
              <w:rPr>
                <w:lang w:val="en-US"/>
              </w:rPr>
              <w:t>X LOS</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65070 co-payment</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65070</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$7.33</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X LOS</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Liver function test</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66512</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$13.35</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X LOS</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66512 co-payment</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66512</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$7.70</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X LOS</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 xml:space="preserve">Plain </w:t>
            </w:r>
            <w:r w:rsidR="00212BE7" w:rsidRPr="00C605D6">
              <w:rPr>
                <w:lang w:val="en-US"/>
              </w:rPr>
              <w:t>a</w:t>
            </w:r>
            <w:r w:rsidRPr="00C605D6">
              <w:rPr>
                <w:lang w:val="en-US"/>
              </w:rPr>
              <w:t>bdominal x-ray</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58903</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$71.40</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2</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58903 co-payment</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58903</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$43.02</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2</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Subsequent specialist consult</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105</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$35.90</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X LOS stent</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 xml:space="preserve">   MBS 105 co-payment</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105</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$37.31</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X LOS stent</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Stoma bag</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 </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$5.30</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 xml:space="preserve">1 X survival </w:t>
            </w:r>
          </w:p>
        </w:tc>
      </w:tr>
      <w:tr w:rsidR="00666C42" w:rsidRPr="00C605D6" w:rsidTr="00EF5B75">
        <w:trPr>
          <w:trHeight w:val="227"/>
        </w:trPr>
        <w:tc>
          <w:tcPr>
            <w:tcW w:w="2693" w:type="dxa"/>
            <w:shd w:val="clear" w:color="000000" w:fill="FFFFFF"/>
            <w:noWrap/>
            <w:vAlign w:val="bottom"/>
          </w:tcPr>
          <w:p w:rsidR="00666C42" w:rsidRPr="00C605D6" w:rsidRDefault="00666C42" w:rsidP="00666C42">
            <w:pPr>
              <w:pStyle w:val="TableText0"/>
              <w:rPr>
                <w:lang w:val="en-US"/>
              </w:rPr>
            </w:pPr>
            <w:r w:rsidRPr="00C605D6">
              <w:rPr>
                <w:lang w:val="en-US"/>
              </w:rPr>
              <w:t>Stomal therapist</w:t>
            </w:r>
          </w:p>
        </w:tc>
        <w:tc>
          <w:tcPr>
            <w:tcW w:w="1345" w:type="dxa"/>
            <w:shd w:val="clear" w:color="000000" w:fill="FFFFFF"/>
            <w:noWrap/>
            <w:vAlign w:val="bottom"/>
          </w:tcPr>
          <w:p w:rsidR="00666C42" w:rsidRPr="00C605D6" w:rsidRDefault="00666C42" w:rsidP="0007443E">
            <w:pPr>
              <w:pStyle w:val="TableText0"/>
              <w:jc w:val="right"/>
              <w:rPr>
                <w:lang w:val="en-US"/>
              </w:rPr>
            </w:pPr>
            <w:r w:rsidRPr="00C605D6">
              <w:rPr>
                <w:lang w:val="en-US"/>
              </w:rPr>
              <w:t> </w:t>
            </w:r>
          </w:p>
        </w:tc>
        <w:tc>
          <w:tcPr>
            <w:tcW w:w="1170" w:type="dxa"/>
            <w:shd w:val="clear" w:color="000000" w:fill="FFFFFF"/>
            <w:noWrap/>
            <w:vAlign w:val="bottom"/>
          </w:tcPr>
          <w:p w:rsidR="00666C42" w:rsidRPr="00C605D6" w:rsidRDefault="00666C42" w:rsidP="0007443E">
            <w:pPr>
              <w:pStyle w:val="TableText0"/>
              <w:jc w:val="right"/>
              <w:rPr>
                <w:lang w:val="en-US"/>
              </w:rPr>
            </w:pPr>
            <w:r w:rsidRPr="00C605D6">
              <w:rPr>
                <w:lang w:val="en-US"/>
              </w:rPr>
              <w:t xml:space="preserve"> $ 42.00 </w:t>
            </w:r>
          </w:p>
        </w:tc>
        <w:tc>
          <w:tcPr>
            <w:tcW w:w="1620" w:type="dxa"/>
            <w:shd w:val="clear" w:color="000000" w:fill="FFFFFF"/>
            <w:vAlign w:val="bottom"/>
          </w:tcPr>
          <w:p w:rsidR="00666C42" w:rsidRPr="00C605D6" w:rsidRDefault="00666C42" w:rsidP="0007443E">
            <w:pPr>
              <w:pStyle w:val="TableText0"/>
              <w:jc w:val="right"/>
              <w:rPr>
                <w:lang w:val="en-US"/>
              </w:rPr>
            </w:pPr>
            <w:r w:rsidRPr="00C605D6">
              <w:rPr>
                <w:lang w:val="en-US"/>
              </w:rPr>
              <w:t xml:space="preserve">  2</w:t>
            </w:r>
          </w:p>
        </w:tc>
      </w:tr>
    </w:tbl>
    <w:p w:rsidR="00666C42" w:rsidRDefault="00EF5B75" w:rsidP="0007443E">
      <w:pPr>
        <w:pStyle w:val="TableNotes"/>
      </w:pPr>
      <w:r>
        <w:rPr>
          <w:lang w:val="en-AU"/>
        </w:rPr>
        <w:t xml:space="preserve">LOS: length of hospital stay; </w:t>
      </w:r>
      <w:r w:rsidR="00212BE7">
        <w:t>MBS: Medicare Benefits Schedule</w:t>
      </w:r>
    </w:p>
    <w:p w:rsidR="00F71B25" w:rsidRDefault="00F71B25" w:rsidP="00666C42">
      <w:r>
        <w:lastRenderedPageBreak/>
        <w:t>All procedures include a full blood count and liver function test per day in hospital. In addition, for the procedure, patients would require two plain abdominal x-rays (MBS 58903) and a specialist visit each day of hospitalisation. The specialist fee is explicitly added to the model because the proposed fee for the procedure does not include post</w:t>
      </w:r>
      <w:r w:rsidR="006E1BF6">
        <w:t xml:space="preserve">-surgical </w:t>
      </w:r>
      <w:r>
        <w:t>specialist visits (unlike the other surgical procedures).</w:t>
      </w:r>
    </w:p>
    <w:p w:rsidR="00F71B25" w:rsidRDefault="00F71B25" w:rsidP="00666C42">
      <w:r>
        <w:t xml:space="preserve">The MBS codes for colostomy, Hartmann’s procedure and resection with primary anastomsis include post-surgical specialist visits. Therefore to avoid double-counting post-procedural specialist visits are not included. </w:t>
      </w:r>
    </w:p>
    <w:p w:rsidR="00F71B25" w:rsidRDefault="00F71B25" w:rsidP="00666C42">
      <w:r>
        <w:t>For permanent colostomy the daily cost of a stomal bag is included. This is incorporated in the model as a function of survival. The cost of stoma bags used in the model is based on the stomal applianc</w:t>
      </w:r>
      <w:r w:rsidR="00BB5B41">
        <w:t>e scheme reimbursement ($5.30)</w:t>
      </w:r>
      <w:r>
        <w:t xml:space="preserve">. It is assumed that patients would also receive two stomal therapist visits during the year (expert opinion). </w:t>
      </w:r>
    </w:p>
    <w:p w:rsidR="00F71B25" w:rsidRDefault="00F71B25" w:rsidP="00666C42">
      <w:r>
        <w:t xml:space="preserve">For patients that receive a temporary colostomy or a Hartmann’s procedure, it is assumed that stoma bags would be required for </w:t>
      </w:r>
      <w:r w:rsidR="006E1BF6">
        <w:t xml:space="preserve">four </w:t>
      </w:r>
      <w:r>
        <w:t xml:space="preserve">weeks and </w:t>
      </w:r>
      <w:r w:rsidR="006E1BF6">
        <w:t xml:space="preserve">eight </w:t>
      </w:r>
      <w:r>
        <w:t xml:space="preserve">weeks, respectively. This is to account for the period until re-anastomosis could be conducted and the bowel function restored (expert opinion). </w:t>
      </w:r>
    </w:p>
    <w:p w:rsidR="00F71B25" w:rsidRDefault="00F71B25" w:rsidP="00666C42">
      <w:pPr>
        <w:pStyle w:val="Heading2"/>
      </w:pPr>
      <w:bookmarkStart w:id="234" w:name="_Toc352924434"/>
      <w:r>
        <w:t xml:space="preserve">Patients fit for </w:t>
      </w:r>
      <w:r w:rsidR="00DF03CC">
        <w:t>multi-stage</w:t>
      </w:r>
      <w:r>
        <w:t xml:space="preserve"> surgery (receiving SEMS for palliation)</w:t>
      </w:r>
      <w:bookmarkEnd w:id="234"/>
    </w:p>
    <w:p w:rsidR="00F71B25" w:rsidRDefault="00F71B25" w:rsidP="00666C42">
      <w:pPr>
        <w:pStyle w:val="Heading3"/>
      </w:pPr>
      <w:r>
        <w:t>Economic model</w:t>
      </w:r>
    </w:p>
    <w:p w:rsidR="00F71B25" w:rsidRDefault="00F71B25" w:rsidP="00666C42">
      <w:r>
        <w:t>A decision tree was developed for estimating the costs and benefits of using palliative SEMS compared to palliative colostomy for patients fit for surgery.</w:t>
      </w:r>
    </w:p>
    <w:p w:rsidR="00F71B25" w:rsidRDefault="00F71B25" w:rsidP="00666C42">
      <w:r>
        <w:t>The decision tree incorporates the median survival of the patients and differences in length of stay in hospital, intensive care requirements, overall costs and quality of life (</w:t>
      </w:r>
      <w:r w:rsidR="00BB5B41">
        <w:fldChar w:fldCharType="begin"/>
      </w:r>
      <w:r w:rsidR="00BB5B41">
        <w:instrText xml:space="preserve"> REF _Ref324949990 \h </w:instrText>
      </w:r>
      <w:r w:rsidR="00BB5B41">
        <w:fldChar w:fldCharType="separate"/>
      </w:r>
      <w:r w:rsidR="0071544A">
        <w:t xml:space="preserve">Figure </w:t>
      </w:r>
      <w:r w:rsidR="0071544A">
        <w:rPr>
          <w:noProof/>
        </w:rPr>
        <w:t>8</w:t>
      </w:r>
      <w:r w:rsidR="00BB5B41">
        <w:fldChar w:fldCharType="end"/>
      </w:r>
      <w:r>
        <w:t>).</w:t>
      </w:r>
    </w:p>
    <w:p w:rsidR="00F71B25" w:rsidRDefault="00F71B25" w:rsidP="00F71B25">
      <w:pPr>
        <w:ind w:left="0"/>
      </w:pPr>
    </w:p>
    <w:p w:rsidR="00EC05E8" w:rsidRDefault="00EC05E8" w:rsidP="00666C42">
      <w:pPr>
        <w:pStyle w:val="Caption"/>
        <w:sectPr w:rsidR="00EC05E8" w:rsidSect="00E2681C">
          <w:type w:val="oddPage"/>
          <w:pgSz w:w="11906" w:h="16838"/>
          <w:pgMar w:top="1440" w:right="1440" w:bottom="1440" w:left="1440" w:header="720" w:footer="720" w:gutter="0"/>
          <w:paperSrc w:first="7" w:other="7"/>
          <w:cols w:space="720"/>
        </w:sectPr>
      </w:pPr>
    </w:p>
    <w:p w:rsidR="00F71B25" w:rsidRDefault="00BB5B41" w:rsidP="00BB5B41">
      <w:pPr>
        <w:pStyle w:val="Caption"/>
      </w:pPr>
      <w:bookmarkStart w:id="235" w:name="_Ref324949990"/>
      <w:bookmarkStart w:id="236" w:name="_Toc327522131"/>
      <w:r>
        <w:lastRenderedPageBreak/>
        <w:t xml:space="preserve">Figure </w:t>
      </w:r>
      <w:fldSimple w:instr=" SEQ Figure \* ARABIC ">
        <w:r w:rsidR="0071544A">
          <w:rPr>
            <w:noProof/>
          </w:rPr>
          <w:t>8</w:t>
        </w:r>
      </w:fldSimple>
      <w:bookmarkEnd w:id="235"/>
      <w:r w:rsidR="00F71B25">
        <w:t xml:space="preserve"> </w:t>
      </w:r>
      <w:r w:rsidR="00EF04ED">
        <w:tab/>
      </w:r>
      <w:r w:rsidR="00F71B25">
        <w:t>Decision tree used in the economic model for patients requiring palliation (stent vs. colostomy)</w:t>
      </w:r>
      <w:bookmarkEnd w:id="236"/>
    </w:p>
    <w:p w:rsidR="00F71B25" w:rsidRDefault="00F71B25" w:rsidP="00F71B25">
      <w:pPr>
        <w:ind w:left="0"/>
      </w:pPr>
      <w:r>
        <w:t xml:space="preserve"> </w:t>
      </w:r>
      <w:r w:rsidR="00516B5D">
        <w:rPr>
          <w:rFonts w:ascii="Arial Narrow" w:hAnsi="Arial Narrow"/>
          <w:noProof/>
          <w:sz w:val="20"/>
        </w:rPr>
        <w:drawing>
          <wp:inline distT="0" distB="0" distL="0" distR="0" wp14:anchorId="0635E92F" wp14:editId="5D3F6353">
            <wp:extent cx="8388985" cy="3774440"/>
            <wp:effectExtent l="0" t="0" r="0" b="0"/>
            <wp:docPr id="6" name="Picture 2" descr="Figure 8  Decision tree used in the economic model for patients requiring palliation (stent vs. colostomy)" title="Figure 8  Decision tree used in the economic model for patients requiring palliation (stent vs. colos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8985" cy="3774440"/>
                    </a:xfrm>
                    <a:prstGeom prst="rect">
                      <a:avLst/>
                    </a:prstGeom>
                    <a:noFill/>
                    <a:ln>
                      <a:noFill/>
                    </a:ln>
                  </pic:spPr>
                </pic:pic>
              </a:graphicData>
            </a:graphic>
          </wp:inline>
        </w:drawing>
      </w:r>
    </w:p>
    <w:p w:rsidR="002315B8" w:rsidRPr="00D34C3C" w:rsidRDefault="002315B8" w:rsidP="00812BE3">
      <w:pPr>
        <w:spacing w:after="0"/>
        <w:ind w:left="0"/>
        <w:rPr>
          <w:color w:val="0000CC"/>
        </w:rPr>
      </w:pPr>
      <w:r w:rsidRPr="00D34C3C">
        <w:rPr>
          <w:color w:val="0000CC"/>
          <w:sz w:val="26"/>
          <w:szCs w:val="26"/>
        </w:rPr>
        <w:t>□</w:t>
      </w:r>
      <w:r>
        <w:rPr>
          <w:color w:val="0000CC"/>
        </w:rPr>
        <w:t xml:space="preserve"> </w:t>
      </w:r>
      <w:r w:rsidRPr="00F93AFC">
        <w:rPr>
          <w:rFonts w:ascii="Arial Narrow" w:hAnsi="Arial Narrow"/>
          <w:sz w:val="16"/>
          <w:szCs w:val="16"/>
        </w:rPr>
        <w:t>represents a decision node between the two treatment options</w:t>
      </w:r>
      <w:r>
        <w:rPr>
          <w:rFonts w:ascii="Arial Narrow" w:hAnsi="Arial Narrow"/>
          <w:sz w:val="16"/>
          <w:szCs w:val="16"/>
        </w:rPr>
        <w:t xml:space="preserve">; </w:t>
      </w:r>
      <w:r w:rsidRPr="00F93AFC">
        <w:rPr>
          <w:color w:val="339933"/>
          <w:sz w:val="26"/>
          <w:szCs w:val="26"/>
        </w:rPr>
        <w:t>○</w:t>
      </w:r>
      <w:r>
        <w:rPr>
          <w:color w:val="339933"/>
        </w:rPr>
        <w:t xml:space="preserve"> </w:t>
      </w:r>
      <w:r w:rsidRPr="00F93AFC">
        <w:rPr>
          <w:rFonts w:ascii="Arial Narrow" w:hAnsi="Arial Narrow"/>
          <w:sz w:val="16"/>
          <w:szCs w:val="16"/>
        </w:rPr>
        <w:t>repres</w:t>
      </w:r>
      <w:r w:rsidR="00EF5B75">
        <w:rPr>
          <w:rFonts w:ascii="Arial Narrow" w:hAnsi="Arial Narrow"/>
          <w:sz w:val="16"/>
          <w:szCs w:val="16"/>
        </w:rPr>
        <w:t>ents a chance node with a probabil</w:t>
      </w:r>
      <w:r w:rsidRPr="00F93AFC">
        <w:rPr>
          <w:rFonts w:ascii="Arial Narrow" w:hAnsi="Arial Narrow"/>
          <w:sz w:val="16"/>
          <w:szCs w:val="16"/>
        </w:rPr>
        <w:t xml:space="preserve">ity of various events </w:t>
      </w:r>
      <w:r>
        <w:rPr>
          <w:rFonts w:ascii="Arial Narrow" w:hAnsi="Arial Narrow"/>
          <w:sz w:val="16"/>
          <w:szCs w:val="16"/>
        </w:rPr>
        <w:t xml:space="preserve">occurring; </w:t>
      </w:r>
      <w:r w:rsidRPr="00516B5D">
        <w:rPr>
          <w:outline/>
          <w:color w:val="FF0000"/>
          <w:sz w:val="16"/>
          <w:szCs w:val="16"/>
          <w14:textOutline w14:w="9525" w14:cap="flat" w14:cmpd="sng" w14:algn="ctr">
            <w14:solidFill>
              <w14:srgbClr w14:val="FF0000"/>
            </w14:solidFill>
            <w14:prstDash w14:val="solid"/>
            <w14:round/>
          </w14:textOutline>
          <w14:textFill>
            <w14:noFill/>
          </w14:textFill>
        </w:rPr>
        <w:t xml:space="preserve">◄ </w:t>
      </w:r>
      <w:r w:rsidRPr="00D34C3C">
        <w:rPr>
          <w:rFonts w:ascii="Arial Narrow" w:hAnsi="Arial Narrow"/>
          <w:sz w:val="16"/>
          <w:szCs w:val="16"/>
        </w:rPr>
        <w:t>represents a terminal node where the pathway ends.</w:t>
      </w:r>
    </w:p>
    <w:p w:rsidR="0078181B" w:rsidRPr="00ED3C73" w:rsidRDefault="002315B8" w:rsidP="00ED3C73">
      <w:pPr>
        <w:spacing w:after="0"/>
        <w:ind w:left="0"/>
        <w:rPr>
          <w:rFonts w:ascii="Arial Narrow" w:hAnsi="Arial Narrow"/>
          <w:sz w:val="16"/>
          <w:szCs w:val="16"/>
        </w:rPr>
        <w:sectPr w:rsidR="0078181B" w:rsidRPr="00ED3C73" w:rsidSect="00EC05E8">
          <w:footerReference w:type="default" r:id="rId40"/>
          <w:type w:val="oddPage"/>
          <w:pgSz w:w="16838" w:h="11906" w:orient="landscape"/>
          <w:pgMar w:top="1440" w:right="1440" w:bottom="1440" w:left="1440" w:header="720" w:footer="720" w:gutter="0"/>
          <w:paperSrc w:first="4" w:other="4"/>
          <w:cols w:space="720"/>
        </w:sectPr>
      </w:pPr>
      <w:r w:rsidRPr="00ED3C73">
        <w:rPr>
          <w:rFonts w:ascii="Arial Narrow" w:hAnsi="Arial Narrow"/>
          <w:sz w:val="16"/>
          <w:szCs w:val="16"/>
        </w:rPr>
        <w:t xml:space="preserve">The bold line represents a clone of the substree which is replicated elsewhere in the tree. </w:t>
      </w:r>
      <w:proofErr w:type="gramStart"/>
      <w:r w:rsidR="005A25FD" w:rsidRPr="00ED3C73">
        <w:rPr>
          <w:rFonts w:ascii="Arial Narrow" w:hAnsi="Arial Narrow"/>
          <w:sz w:val="16"/>
          <w:szCs w:val="16"/>
        </w:rPr>
        <w:t>p</w:t>
      </w:r>
      <w:proofErr w:type="gramEnd"/>
      <w:r w:rsidR="00812BE3" w:rsidRPr="00ED3C73">
        <w:rPr>
          <w:rFonts w:ascii="Arial Narrow" w:hAnsi="Arial Narrow"/>
          <w:sz w:val="16"/>
          <w:szCs w:val="16"/>
        </w:rPr>
        <w:t>: P</w:t>
      </w:r>
      <w:r w:rsidRPr="00ED3C73">
        <w:rPr>
          <w:rFonts w:ascii="Arial Narrow" w:hAnsi="Arial Narrow"/>
          <w:sz w:val="16"/>
          <w:szCs w:val="16"/>
        </w:rPr>
        <w:t>robabilities that were determined by the literature; #</w:t>
      </w:r>
      <w:r w:rsidR="00812BE3" w:rsidRPr="00ED3C73">
        <w:rPr>
          <w:rFonts w:ascii="Arial Narrow" w:hAnsi="Arial Narrow"/>
          <w:sz w:val="16"/>
          <w:szCs w:val="16"/>
        </w:rPr>
        <w:t xml:space="preserve">: </w:t>
      </w:r>
      <w:r w:rsidR="005A25FD" w:rsidRPr="00ED3C73">
        <w:rPr>
          <w:rFonts w:ascii="Arial Narrow" w:hAnsi="Arial Narrow"/>
          <w:sz w:val="16"/>
          <w:szCs w:val="16"/>
        </w:rPr>
        <w:t>1-p</w:t>
      </w:r>
      <w:r w:rsidRPr="00ED3C73">
        <w:rPr>
          <w:rFonts w:ascii="Arial Narrow" w:hAnsi="Arial Narrow"/>
          <w:sz w:val="16"/>
          <w:szCs w:val="16"/>
        </w:rPr>
        <w:t>.</w:t>
      </w:r>
      <w:r w:rsidR="0078181B" w:rsidRPr="00ED3C73">
        <w:rPr>
          <w:rFonts w:ascii="Arial Narrow" w:hAnsi="Arial Narrow"/>
          <w:sz w:val="16"/>
          <w:szCs w:val="16"/>
        </w:rPr>
        <w:t xml:space="preserve"> </w:t>
      </w:r>
    </w:p>
    <w:p w:rsidR="00F71B25" w:rsidRDefault="002F60E7" w:rsidP="00EC05E8">
      <w:r>
        <w:lastRenderedPageBreak/>
        <w:fldChar w:fldCharType="begin"/>
      </w:r>
      <w:r>
        <w:instrText xml:space="preserve"> REF _Ref324950096 \h </w:instrText>
      </w:r>
      <w:r>
        <w:fldChar w:fldCharType="separate"/>
      </w:r>
      <w:r w:rsidR="0071544A">
        <w:t xml:space="preserve">Table </w:t>
      </w:r>
      <w:r w:rsidR="0071544A">
        <w:rPr>
          <w:noProof/>
        </w:rPr>
        <w:t>57</w:t>
      </w:r>
      <w:r>
        <w:fldChar w:fldCharType="end"/>
      </w:r>
      <w:r>
        <w:t xml:space="preserve"> </w:t>
      </w:r>
      <w:r w:rsidR="00F71B25">
        <w:t>summarises the model inputs in the decisio</w:t>
      </w:r>
      <w:r>
        <w:t>n tree for the palliation group.</w:t>
      </w:r>
    </w:p>
    <w:p w:rsidR="00EC05E8" w:rsidRPr="00C605D6" w:rsidRDefault="002F60E7" w:rsidP="002F60E7">
      <w:pPr>
        <w:pStyle w:val="Caption"/>
      </w:pPr>
      <w:bookmarkStart w:id="237" w:name="_Ref324950096"/>
      <w:bookmarkStart w:id="238" w:name="_Toc327522101"/>
      <w:r>
        <w:t xml:space="preserve">Table </w:t>
      </w:r>
      <w:fldSimple w:instr=" SEQ Table \* ARABIC ">
        <w:r w:rsidR="0071544A">
          <w:rPr>
            <w:noProof/>
          </w:rPr>
          <w:t>57</w:t>
        </w:r>
      </w:fldSimple>
      <w:bookmarkEnd w:id="237"/>
      <w:r w:rsidR="003F3CA9">
        <w:tab/>
      </w:r>
      <w:r w:rsidR="00EC05E8" w:rsidRPr="00C605D6">
        <w:t>Summary of cost analysis for palliation</w:t>
      </w:r>
      <w:r w:rsidR="00EC05E8">
        <w:t xml:space="preserve"> (stent vs colostomy)</w:t>
      </w:r>
      <w:bookmarkEnd w:id="238"/>
    </w:p>
    <w:tbl>
      <w:tblPr>
        <w:tblW w:w="0" w:type="auto"/>
        <w:tblInd w:w="720" w:type="dxa"/>
        <w:tblBorders>
          <w:top w:val="single" w:sz="12" w:space="0" w:color="auto"/>
          <w:bottom w:val="single" w:sz="12" w:space="0" w:color="auto"/>
        </w:tblBorders>
        <w:tblLayout w:type="fixed"/>
        <w:tblLook w:val="00A0" w:firstRow="1" w:lastRow="0" w:firstColumn="1" w:lastColumn="0" w:noHBand="0" w:noVBand="0"/>
      </w:tblPr>
      <w:tblGrid>
        <w:gridCol w:w="3397"/>
        <w:gridCol w:w="1080"/>
        <w:gridCol w:w="720"/>
        <w:gridCol w:w="810"/>
        <w:gridCol w:w="2430"/>
      </w:tblGrid>
      <w:tr w:rsidR="00F57779" w:rsidRPr="00C605D6" w:rsidTr="00EF5B75">
        <w:trPr>
          <w:trHeight w:val="227"/>
        </w:trPr>
        <w:tc>
          <w:tcPr>
            <w:tcW w:w="3397" w:type="dxa"/>
            <w:tcBorders>
              <w:top w:val="single" w:sz="12" w:space="0" w:color="auto"/>
              <w:bottom w:val="single" w:sz="4" w:space="0" w:color="auto"/>
            </w:tcBorders>
          </w:tcPr>
          <w:p w:rsidR="00EC05E8" w:rsidRPr="005D0400" w:rsidRDefault="00EC05E8" w:rsidP="005D0400">
            <w:pPr>
              <w:pStyle w:val="TableHeading0"/>
            </w:pPr>
            <w:r w:rsidRPr="005D0400">
              <w:t>Parameter</w:t>
            </w:r>
          </w:p>
        </w:tc>
        <w:tc>
          <w:tcPr>
            <w:tcW w:w="1080" w:type="dxa"/>
            <w:tcBorders>
              <w:top w:val="single" w:sz="12" w:space="0" w:color="auto"/>
              <w:bottom w:val="single" w:sz="4" w:space="0" w:color="auto"/>
            </w:tcBorders>
          </w:tcPr>
          <w:p w:rsidR="00EC05E8" w:rsidRPr="00C605D6" w:rsidRDefault="00EC05E8" w:rsidP="0007443E">
            <w:pPr>
              <w:pStyle w:val="TableHeading0"/>
              <w:jc w:val="right"/>
            </w:pPr>
            <w:r w:rsidRPr="00C605D6">
              <w:t>Value</w:t>
            </w:r>
          </w:p>
        </w:tc>
        <w:tc>
          <w:tcPr>
            <w:tcW w:w="720" w:type="dxa"/>
            <w:tcBorders>
              <w:top w:val="single" w:sz="12" w:space="0" w:color="auto"/>
              <w:bottom w:val="single" w:sz="4" w:space="0" w:color="auto"/>
            </w:tcBorders>
          </w:tcPr>
          <w:p w:rsidR="00EC05E8" w:rsidRPr="00C605D6" w:rsidRDefault="00EC05E8" w:rsidP="0007443E">
            <w:pPr>
              <w:pStyle w:val="TableHeading0"/>
              <w:jc w:val="right"/>
            </w:pPr>
            <w:r w:rsidRPr="00C605D6">
              <w:t>Min</w:t>
            </w:r>
          </w:p>
        </w:tc>
        <w:tc>
          <w:tcPr>
            <w:tcW w:w="810" w:type="dxa"/>
            <w:tcBorders>
              <w:top w:val="single" w:sz="12" w:space="0" w:color="auto"/>
              <w:bottom w:val="single" w:sz="4" w:space="0" w:color="auto"/>
            </w:tcBorders>
          </w:tcPr>
          <w:p w:rsidR="00EC05E8" w:rsidRPr="00C605D6" w:rsidRDefault="00EC05E8" w:rsidP="0007443E">
            <w:pPr>
              <w:pStyle w:val="TableHeading0"/>
              <w:jc w:val="right"/>
            </w:pPr>
            <w:r w:rsidRPr="00C605D6">
              <w:t>Max</w:t>
            </w:r>
          </w:p>
        </w:tc>
        <w:tc>
          <w:tcPr>
            <w:tcW w:w="2430" w:type="dxa"/>
            <w:tcBorders>
              <w:top w:val="single" w:sz="12" w:space="0" w:color="auto"/>
              <w:bottom w:val="single" w:sz="4" w:space="0" w:color="auto"/>
            </w:tcBorders>
          </w:tcPr>
          <w:p w:rsidR="00EC05E8" w:rsidRPr="00C605D6" w:rsidRDefault="00EC05E8" w:rsidP="00EC05E8">
            <w:pPr>
              <w:pStyle w:val="TableHeading0"/>
            </w:pPr>
            <w:r w:rsidRPr="00C605D6">
              <w:t>Source</w:t>
            </w:r>
          </w:p>
        </w:tc>
      </w:tr>
      <w:tr w:rsidR="00F57779" w:rsidRPr="00C605D6" w:rsidTr="00EF5B75">
        <w:trPr>
          <w:trHeight w:val="227"/>
        </w:trPr>
        <w:tc>
          <w:tcPr>
            <w:tcW w:w="3397" w:type="dxa"/>
            <w:tcBorders>
              <w:top w:val="single" w:sz="4" w:space="0" w:color="auto"/>
            </w:tcBorders>
            <w:vAlign w:val="center"/>
          </w:tcPr>
          <w:p w:rsidR="00EC05E8" w:rsidRPr="005D0400" w:rsidRDefault="00EC05E8" w:rsidP="005D0400">
            <w:pPr>
              <w:pStyle w:val="TableHeading"/>
            </w:pPr>
            <w:r w:rsidRPr="005D0400">
              <w:t>Probabilities</w:t>
            </w:r>
          </w:p>
        </w:tc>
        <w:tc>
          <w:tcPr>
            <w:tcW w:w="1080" w:type="dxa"/>
            <w:tcBorders>
              <w:top w:val="single" w:sz="4" w:space="0" w:color="auto"/>
            </w:tcBorders>
            <w:vAlign w:val="center"/>
          </w:tcPr>
          <w:p w:rsidR="00EC05E8" w:rsidRPr="00C605D6" w:rsidRDefault="00EC05E8" w:rsidP="0007443E">
            <w:pPr>
              <w:pStyle w:val="TableText0"/>
              <w:jc w:val="right"/>
              <w:rPr>
                <w:color w:val="000000"/>
                <w:lang w:val="en-US"/>
              </w:rPr>
            </w:pPr>
          </w:p>
        </w:tc>
        <w:tc>
          <w:tcPr>
            <w:tcW w:w="720" w:type="dxa"/>
            <w:tcBorders>
              <w:top w:val="single" w:sz="4" w:space="0" w:color="auto"/>
            </w:tcBorders>
            <w:vAlign w:val="center"/>
          </w:tcPr>
          <w:p w:rsidR="00EC05E8" w:rsidRPr="00C605D6" w:rsidRDefault="00EC05E8" w:rsidP="0007443E">
            <w:pPr>
              <w:pStyle w:val="TableText0"/>
              <w:jc w:val="right"/>
              <w:rPr>
                <w:color w:val="000000"/>
                <w:lang w:val="en-US"/>
              </w:rPr>
            </w:pPr>
          </w:p>
        </w:tc>
        <w:tc>
          <w:tcPr>
            <w:tcW w:w="810" w:type="dxa"/>
            <w:tcBorders>
              <w:top w:val="single" w:sz="4" w:space="0" w:color="auto"/>
            </w:tcBorders>
            <w:vAlign w:val="center"/>
          </w:tcPr>
          <w:p w:rsidR="00EC05E8" w:rsidRPr="00C605D6" w:rsidRDefault="00EC05E8" w:rsidP="0007443E">
            <w:pPr>
              <w:pStyle w:val="TableText0"/>
              <w:jc w:val="right"/>
              <w:rPr>
                <w:color w:val="000000"/>
                <w:lang w:val="en-US"/>
              </w:rPr>
            </w:pPr>
          </w:p>
        </w:tc>
        <w:tc>
          <w:tcPr>
            <w:tcW w:w="2430" w:type="dxa"/>
            <w:tcBorders>
              <w:top w:val="single" w:sz="4" w:space="0" w:color="auto"/>
            </w:tcBorders>
            <w:vAlign w:val="center"/>
          </w:tcPr>
          <w:p w:rsidR="00EC05E8" w:rsidRPr="000F3C8B" w:rsidRDefault="00EC05E8" w:rsidP="005D0400">
            <w:pPr>
              <w:pStyle w:val="TableText0"/>
              <w:rPr>
                <w:lang w:val="en-AU"/>
              </w:rPr>
            </w:pP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Technical success – stent</w:t>
            </w:r>
          </w:p>
        </w:tc>
        <w:tc>
          <w:tcPr>
            <w:tcW w:w="1080" w:type="dxa"/>
            <w:vAlign w:val="center"/>
          </w:tcPr>
          <w:p w:rsidR="00EC05E8" w:rsidRPr="00C605D6" w:rsidRDefault="00EC05E8" w:rsidP="00200CB4">
            <w:pPr>
              <w:pStyle w:val="TableText0"/>
              <w:jc w:val="right"/>
              <w:rPr>
                <w:color w:val="000000"/>
                <w:szCs w:val="18"/>
                <w:lang w:val="en-US"/>
              </w:rPr>
            </w:pPr>
            <w:r w:rsidRPr="00C605D6">
              <w:rPr>
                <w:color w:val="000000"/>
                <w:szCs w:val="18"/>
                <w:lang w:val="en-US"/>
              </w:rPr>
              <w:t>0.92</w:t>
            </w:r>
          </w:p>
        </w:tc>
        <w:tc>
          <w:tcPr>
            <w:tcW w:w="720" w:type="dxa"/>
            <w:vAlign w:val="center"/>
          </w:tcPr>
          <w:p w:rsidR="00EC05E8" w:rsidRPr="00C605D6" w:rsidRDefault="00EC05E8" w:rsidP="00200CB4">
            <w:pPr>
              <w:pStyle w:val="TableText0"/>
              <w:jc w:val="right"/>
              <w:rPr>
                <w:color w:val="000000"/>
                <w:szCs w:val="18"/>
                <w:lang w:val="en-US"/>
              </w:rPr>
            </w:pPr>
            <w:r w:rsidRPr="00C605D6">
              <w:rPr>
                <w:color w:val="000000"/>
                <w:szCs w:val="18"/>
                <w:lang w:val="en-US"/>
              </w:rPr>
              <w:t>0.47</w:t>
            </w:r>
          </w:p>
        </w:tc>
        <w:tc>
          <w:tcPr>
            <w:tcW w:w="810" w:type="dxa"/>
            <w:vAlign w:val="center"/>
          </w:tcPr>
          <w:p w:rsidR="00EC05E8" w:rsidRPr="00C605D6" w:rsidRDefault="00EC05E8" w:rsidP="00200CB4">
            <w:pPr>
              <w:pStyle w:val="TableText0"/>
              <w:jc w:val="right"/>
              <w:rPr>
                <w:color w:val="000000"/>
                <w:szCs w:val="18"/>
                <w:lang w:val="en-US"/>
              </w:rPr>
            </w:pPr>
            <w:r w:rsidRPr="00C605D6">
              <w:rPr>
                <w:color w:val="000000"/>
                <w:szCs w:val="18"/>
                <w:lang w:val="en-US"/>
              </w:rPr>
              <w:t>1.00</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Clinical success (| technical success) – stent</w:t>
            </w:r>
          </w:p>
        </w:tc>
        <w:tc>
          <w:tcPr>
            <w:tcW w:w="1080" w:type="dxa"/>
            <w:vAlign w:val="center"/>
          </w:tcPr>
          <w:p w:rsidR="00EC05E8" w:rsidRPr="000F3C8B" w:rsidRDefault="00EC05E8" w:rsidP="00200CB4">
            <w:pPr>
              <w:pStyle w:val="TableText0"/>
              <w:jc w:val="right"/>
              <w:rPr>
                <w:lang w:val="en-AU"/>
              </w:rPr>
            </w:pPr>
            <w:r w:rsidRPr="000F3C8B">
              <w:rPr>
                <w:lang w:val="en-AU"/>
              </w:rPr>
              <w:t>0.95</w:t>
            </w:r>
          </w:p>
        </w:tc>
        <w:tc>
          <w:tcPr>
            <w:tcW w:w="720" w:type="dxa"/>
            <w:vAlign w:val="center"/>
          </w:tcPr>
          <w:p w:rsidR="00EC05E8" w:rsidRPr="000F3C8B" w:rsidRDefault="00EC05E8" w:rsidP="00200CB4">
            <w:pPr>
              <w:pStyle w:val="TableText0"/>
              <w:jc w:val="right"/>
              <w:rPr>
                <w:lang w:val="en-AU"/>
              </w:rPr>
            </w:pPr>
            <w:r w:rsidRPr="000F3C8B">
              <w:rPr>
                <w:lang w:val="en-AU"/>
              </w:rPr>
              <w:t>0.47</w:t>
            </w:r>
          </w:p>
        </w:tc>
        <w:tc>
          <w:tcPr>
            <w:tcW w:w="810" w:type="dxa"/>
            <w:vAlign w:val="center"/>
          </w:tcPr>
          <w:p w:rsidR="00EC05E8" w:rsidRPr="000F3C8B" w:rsidRDefault="00EC05E8" w:rsidP="00200CB4">
            <w:pPr>
              <w:pStyle w:val="TableText0"/>
              <w:jc w:val="right"/>
              <w:rPr>
                <w:lang w:val="en-AU"/>
              </w:rPr>
            </w:pPr>
            <w:r w:rsidRPr="000F3C8B">
              <w:rPr>
                <w:lang w:val="en-AU"/>
              </w:rPr>
              <w:t>1.00</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F57779">
            <w:pPr>
              <w:pStyle w:val="TableText0"/>
              <w:rPr>
                <w:lang w:val="en-AU"/>
              </w:rPr>
            </w:pPr>
            <w:r w:rsidRPr="000F3C8B">
              <w:rPr>
                <w:lang w:val="en-AU"/>
              </w:rPr>
              <w:t>Probability death (|</w:t>
            </w:r>
            <w:r w:rsidR="004729ED" w:rsidRPr="000F3C8B">
              <w:rPr>
                <w:lang w:val="en-AU"/>
              </w:rPr>
              <w:t xml:space="preserve"> </w:t>
            </w:r>
            <w:r w:rsidRPr="000F3C8B">
              <w:rPr>
                <w:lang w:val="en-AU"/>
              </w:rPr>
              <w:t xml:space="preserve">technical failure) </w:t>
            </w:r>
            <w:r w:rsidR="00F57779" w:rsidRPr="000F3C8B">
              <w:rPr>
                <w:lang w:val="en-AU"/>
              </w:rPr>
              <w:t xml:space="preserve">– </w:t>
            </w:r>
            <w:r w:rsidRPr="000F3C8B">
              <w:rPr>
                <w:lang w:val="en-AU"/>
              </w:rPr>
              <w:t>stent</w:t>
            </w:r>
          </w:p>
        </w:tc>
        <w:tc>
          <w:tcPr>
            <w:tcW w:w="1080" w:type="dxa"/>
            <w:vAlign w:val="center"/>
          </w:tcPr>
          <w:p w:rsidR="00EC05E8" w:rsidRPr="000F3C8B" w:rsidRDefault="00EC05E8" w:rsidP="00200CB4">
            <w:pPr>
              <w:pStyle w:val="TableText0"/>
              <w:jc w:val="right"/>
              <w:rPr>
                <w:lang w:val="en-AU"/>
              </w:rPr>
            </w:pPr>
            <w:r w:rsidRPr="000F3C8B">
              <w:rPr>
                <w:lang w:val="en-AU"/>
              </w:rPr>
              <w:t>0.04</w:t>
            </w:r>
          </w:p>
        </w:tc>
        <w:tc>
          <w:tcPr>
            <w:tcW w:w="720" w:type="dxa"/>
            <w:vAlign w:val="center"/>
          </w:tcPr>
          <w:p w:rsidR="00EC05E8" w:rsidRPr="000F3C8B" w:rsidRDefault="00EC05E8" w:rsidP="00200CB4">
            <w:pPr>
              <w:pStyle w:val="TableText0"/>
              <w:jc w:val="right"/>
              <w:rPr>
                <w:lang w:val="en-AU"/>
              </w:rPr>
            </w:pPr>
            <w:r w:rsidRPr="000F3C8B">
              <w:rPr>
                <w:lang w:val="en-AU"/>
              </w:rPr>
              <w:t>0.02</w:t>
            </w:r>
          </w:p>
        </w:tc>
        <w:tc>
          <w:tcPr>
            <w:tcW w:w="810" w:type="dxa"/>
            <w:vAlign w:val="center"/>
          </w:tcPr>
          <w:p w:rsidR="00EC05E8" w:rsidRPr="000F3C8B" w:rsidRDefault="00EC05E8" w:rsidP="00200CB4">
            <w:pPr>
              <w:pStyle w:val="TableText0"/>
              <w:jc w:val="right"/>
              <w:rPr>
                <w:lang w:val="en-AU"/>
              </w:rPr>
            </w:pPr>
            <w:r w:rsidRPr="000F3C8B">
              <w:rPr>
                <w:lang w:val="en-AU"/>
              </w:rPr>
              <w:t>0.06</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Probability long-term failure (| clinical success)</w:t>
            </w:r>
          </w:p>
        </w:tc>
        <w:tc>
          <w:tcPr>
            <w:tcW w:w="1080" w:type="dxa"/>
            <w:vAlign w:val="center"/>
          </w:tcPr>
          <w:p w:rsidR="00EC05E8" w:rsidRPr="000F3C8B" w:rsidRDefault="00EC05E8" w:rsidP="00200CB4">
            <w:pPr>
              <w:pStyle w:val="TableText0"/>
              <w:jc w:val="right"/>
              <w:rPr>
                <w:lang w:val="en-AU"/>
              </w:rPr>
            </w:pPr>
            <w:r w:rsidRPr="000F3C8B">
              <w:rPr>
                <w:lang w:val="en-AU"/>
              </w:rPr>
              <w:t>0.20</w:t>
            </w:r>
          </w:p>
        </w:tc>
        <w:tc>
          <w:tcPr>
            <w:tcW w:w="720" w:type="dxa"/>
            <w:vAlign w:val="center"/>
          </w:tcPr>
          <w:p w:rsidR="00EC05E8" w:rsidRPr="000F3C8B" w:rsidRDefault="00EC05E8" w:rsidP="00200CB4">
            <w:pPr>
              <w:pStyle w:val="TableText0"/>
              <w:jc w:val="right"/>
              <w:rPr>
                <w:lang w:val="en-AU"/>
              </w:rPr>
            </w:pPr>
            <w:r w:rsidRPr="000F3C8B">
              <w:rPr>
                <w:lang w:val="en-AU"/>
              </w:rPr>
              <w:t>0.10</w:t>
            </w:r>
          </w:p>
        </w:tc>
        <w:tc>
          <w:tcPr>
            <w:tcW w:w="810" w:type="dxa"/>
            <w:vAlign w:val="center"/>
          </w:tcPr>
          <w:p w:rsidR="00EC05E8" w:rsidRPr="000F3C8B" w:rsidRDefault="00EC05E8" w:rsidP="00200CB4">
            <w:pPr>
              <w:pStyle w:val="TableText0"/>
              <w:jc w:val="right"/>
              <w:rPr>
                <w:lang w:val="en-AU"/>
              </w:rPr>
            </w:pPr>
            <w:r w:rsidRPr="000F3C8B">
              <w:rPr>
                <w:lang w:val="en-AU"/>
              </w:rPr>
              <w:t>0.30</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Failure requiring palliation (| long-term failure)</w:t>
            </w:r>
          </w:p>
        </w:tc>
        <w:tc>
          <w:tcPr>
            <w:tcW w:w="1080" w:type="dxa"/>
            <w:vAlign w:val="center"/>
          </w:tcPr>
          <w:p w:rsidR="00EC05E8" w:rsidRPr="000F3C8B" w:rsidRDefault="00EC05E8" w:rsidP="00200CB4">
            <w:pPr>
              <w:pStyle w:val="TableText0"/>
              <w:jc w:val="right"/>
              <w:rPr>
                <w:lang w:val="en-AU"/>
              </w:rPr>
            </w:pPr>
            <w:r w:rsidRPr="000F3C8B">
              <w:rPr>
                <w:lang w:val="en-AU"/>
              </w:rPr>
              <w:t>0.47</w:t>
            </w:r>
          </w:p>
        </w:tc>
        <w:tc>
          <w:tcPr>
            <w:tcW w:w="720" w:type="dxa"/>
            <w:vAlign w:val="center"/>
          </w:tcPr>
          <w:p w:rsidR="00EC05E8" w:rsidRPr="000F3C8B" w:rsidRDefault="00EC05E8" w:rsidP="00200CB4">
            <w:pPr>
              <w:pStyle w:val="TableText0"/>
              <w:jc w:val="right"/>
              <w:rPr>
                <w:lang w:val="en-AU"/>
              </w:rPr>
            </w:pPr>
            <w:r w:rsidRPr="000F3C8B">
              <w:rPr>
                <w:lang w:val="en-AU"/>
              </w:rPr>
              <w:t>0.24</w:t>
            </w:r>
          </w:p>
        </w:tc>
        <w:tc>
          <w:tcPr>
            <w:tcW w:w="810" w:type="dxa"/>
            <w:vAlign w:val="center"/>
          </w:tcPr>
          <w:p w:rsidR="00EC05E8" w:rsidRPr="000F3C8B" w:rsidRDefault="00EC05E8" w:rsidP="00200CB4">
            <w:pPr>
              <w:pStyle w:val="TableText0"/>
              <w:jc w:val="right"/>
              <w:rPr>
                <w:lang w:val="en-AU"/>
              </w:rPr>
            </w:pPr>
            <w:r w:rsidRPr="000F3C8B">
              <w:rPr>
                <w:lang w:val="en-AU"/>
              </w:rPr>
              <w:t>0.70</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Failure requiring re-stent (| long-term failure)</w:t>
            </w:r>
          </w:p>
        </w:tc>
        <w:tc>
          <w:tcPr>
            <w:tcW w:w="1080" w:type="dxa"/>
            <w:vAlign w:val="center"/>
          </w:tcPr>
          <w:p w:rsidR="00EC05E8" w:rsidRPr="000F3C8B" w:rsidRDefault="00EC05E8" w:rsidP="00200CB4">
            <w:pPr>
              <w:pStyle w:val="TableText0"/>
              <w:jc w:val="right"/>
              <w:rPr>
                <w:lang w:val="en-AU"/>
              </w:rPr>
            </w:pPr>
            <w:r w:rsidRPr="000F3C8B">
              <w:rPr>
                <w:lang w:val="en-AU"/>
              </w:rPr>
              <w:t>0.47</w:t>
            </w:r>
          </w:p>
        </w:tc>
        <w:tc>
          <w:tcPr>
            <w:tcW w:w="720" w:type="dxa"/>
            <w:vAlign w:val="center"/>
          </w:tcPr>
          <w:p w:rsidR="00EC05E8" w:rsidRPr="000F3C8B" w:rsidRDefault="00EC05E8" w:rsidP="00200CB4">
            <w:pPr>
              <w:pStyle w:val="TableText0"/>
              <w:jc w:val="right"/>
              <w:rPr>
                <w:lang w:val="en-AU"/>
              </w:rPr>
            </w:pPr>
            <w:r w:rsidRPr="000F3C8B">
              <w:rPr>
                <w:lang w:val="en-AU"/>
              </w:rPr>
              <w:t>0.24</w:t>
            </w:r>
          </w:p>
        </w:tc>
        <w:tc>
          <w:tcPr>
            <w:tcW w:w="810" w:type="dxa"/>
            <w:vAlign w:val="center"/>
          </w:tcPr>
          <w:p w:rsidR="00EC05E8" w:rsidRPr="000F3C8B" w:rsidRDefault="00EC05E8" w:rsidP="00200CB4">
            <w:pPr>
              <w:pStyle w:val="TableText0"/>
              <w:jc w:val="right"/>
              <w:rPr>
                <w:lang w:val="en-AU"/>
              </w:rPr>
            </w:pPr>
            <w:r w:rsidRPr="000F3C8B">
              <w:rPr>
                <w:lang w:val="en-AU"/>
              </w:rPr>
              <w:t>0.70</w:t>
            </w:r>
          </w:p>
        </w:tc>
        <w:tc>
          <w:tcPr>
            <w:tcW w:w="2430" w:type="dxa"/>
            <w:vAlign w:val="center"/>
          </w:tcPr>
          <w:p w:rsidR="00EC05E8" w:rsidRPr="000F3C8B" w:rsidRDefault="00EC05E8" w:rsidP="005D0400">
            <w:pPr>
              <w:pStyle w:val="TableText0"/>
              <w:rPr>
                <w:szCs w:val="18"/>
                <w:lang w:val="en-AU"/>
              </w:rPr>
            </w:pPr>
            <w:r w:rsidRPr="000F3C8B">
              <w:rPr>
                <w:szCs w:val="18"/>
                <w:lang w:val="en-AU"/>
              </w:rPr>
              <w:t>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Failure requiring colostomy (| long-term failure)</w:t>
            </w:r>
          </w:p>
        </w:tc>
        <w:tc>
          <w:tcPr>
            <w:tcW w:w="1080" w:type="dxa"/>
            <w:vAlign w:val="center"/>
          </w:tcPr>
          <w:p w:rsidR="00EC05E8" w:rsidRPr="000F3C8B" w:rsidRDefault="00EC05E8" w:rsidP="00200CB4">
            <w:pPr>
              <w:pStyle w:val="TableText0"/>
              <w:jc w:val="right"/>
              <w:rPr>
                <w:lang w:val="en-AU"/>
              </w:rPr>
            </w:pPr>
            <w:r w:rsidRPr="000F3C8B">
              <w:rPr>
                <w:lang w:val="en-AU"/>
              </w:rPr>
              <w:t>0.06</w:t>
            </w:r>
          </w:p>
        </w:tc>
        <w:tc>
          <w:tcPr>
            <w:tcW w:w="720" w:type="dxa"/>
            <w:vAlign w:val="center"/>
          </w:tcPr>
          <w:p w:rsidR="00EC05E8" w:rsidRPr="000F3C8B" w:rsidRDefault="00EC05E8" w:rsidP="00200CB4">
            <w:pPr>
              <w:pStyle w:val="TableText0"/>
              <w:jc w:val="right"/>
              <w:rPr>
                <w:lang w:val="en-AU"/>
              </w:rPr>
            </w:pPr>
            <w:r w:rsidRPr="000F3C8B">
              <w:rPr>
                <w:lang w:val="en-AU"/>
              </w:rPr>
              <w:t>0.03</w:t>
            </w:r>
          </w:p>
        </w:tc>
        <w:tc>
          <w:tcPr>
            <w:tcW w:w="810" w:type="dxa"/>
            <w:vAlign w:val="center"/>
          </w:tcPr>
          <w:p w:rsidR="00EC05E8" w:rsidRPr="000F3C8B" w:rsidRDefault="00EC05E8" w:rsidP="00200CB4">
            <w:pPr>
              <w:pStyle w:val="TableText0"/>
              <w:jc w:val="right"/>
              <w:rPr>
                <w:lang w:val="en-AU"/>
              </w:rPr>
            </w:pPr>
            <w:r w:rsidRPr="000F3C8B">
              <w:rPr>
                <w:lang w:val="en-AU"/>
              </w:rPr>
              <w:t>0.09</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Failure causing death (| technical success)</w:t>
            </w:r>
          </w:p>
        </w:tc>
        <w:tc>
          <w:tcPr>
            <w:tcW w:w="1080" w:type="dxa"/>
            <w:vAlign w:val="center"/>
          </w:tcPr>
          <w:p w:rsidR="00EC05E8" w:rsidRPr="000F3C8B" w:rsidRDefault="00EC05E8" w:rsidP="00200CB4">
            <w:pPr>
              <w:pStyle w:val="TableText0"/>
              <w:jc w:val="right"/>
              <w:rPr>
                <w:lang w:val="en-AU"/>
              </w:rPr>
            </w:pPr>
            <w:r w:rsidRPr="000F3C8B">
              <w:rPr>
                <w:lang w:val="en-AU"/>
              </w:rPr>
              <w:t>0.01</w:t>
            </w:r>
          </w:p>
        </w:tc>
        <w:tc>
          <w:tcPr>
            <w:tcW w:w="720" w:type="dxa"/>
            <w:vAlign w:val="center"/>
          </w:tcPr>
          <w:p w:rsidR="00EC05E8" w:rsidRPr="000F3C8B" w:rsidRDefault="00EC05E8" w:rsidP="00200CB4">
            <w:pPr>
              <w:pStyle w:val="TableText0"/>
              <w:jc w:val="right"/>
              <w:rPr>
                <w:lang w:val="en-AU"/>
              </w:rPr>
            </w:pPr>
            <w:r w:rsidRPr="000F3C8B">
              <w:rPr>
                <w:lang w:val="en-AU"/>
              </w:rPr>
              <w:t>0.01</w:t>
            </w:r>
          </w:p>
        </w:tc>
        <w:tc>
          <w:tcPr>
            <w:tcW w:w="810" w:type="dxa"/>
            <w:vAlign w:val="center"/>
          </w:tcPr>
          <w:p w:rsidR="00EC05E8" w:rsidRPr="000F3C8B" w:rsidRDefault="00EC05E8" w:rsidP="00200CB4">
            <w:pPr>
              <w:pStyle w:val="TableText0"/>
              <w:jc w:val="right"/>
              <w:rPr>
                <w:lang w:val="en-AU"/>
              </w:rPr>
            </w:pPr>
            <w:r w:rsidRPr="000F3C8B">
              <w:rPr>
                <w:lang w:val="en-AU"/>
              </w:rPr>
              <w:t>0.02</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Clinical failure requiring colostomy (| technical success)</w:t>
            </w:r>
          </w:p>
        </w:tc>
        <w:tc>
          <w:tcPr>
            <w:tcW w:w="1080" w:type="dxa"/>
            <w:vAlign w:val="center"/>
          </w:tcPr>
          <w:p w:rsidR="00EC05E8" w:rsidRPr="000F3C8B" w:rsidRDefault="00EC05E8" w:rsidP="00200CB4">
            <w:pPr>
              <w:pStyle w:val="TableText0"/>
              <w:jc w:val="right"/>
              <w:rPr>
                <w:lang w:val="en-AU"/>
              </w:rPr>
            </w:pPr>
            <w:r w:rsidRPr="000F3C8B">
              <w:rPr>
                <w:lang w:val="en-AU"/>
              </w:rPr>
              <w:t>0.69</w:t>
            </w:r>
          </w:p>
        </w:tc>
        <w:tc>
          <w:tcPr>
            <w:tcW w:w="720" w:type="dxa"/>
            <w:vAlign w:val="center"/>
          </w:tcPr>
          <w:p w:rsidR="00EC05E8" w:rsidRPr="000F3C8B" w:rsidRDefault="00EC05E8" w:rsidP="00200CB4">
            <w:pPr>
              <w:pStyle w:val="TableText0"/>
              <w:jc w:val="right"/>
              <w:rPr>
                <w:lang w:val="en-AU"/>
              </w:rPr>
            </w:pPr>
            <w:r w:rsidRPr="000F3C8B">
              <w:rPr>
                <w:lang w:val="en-AU"/>
              </w:rPr>
              <w:t>0.35</w:t>
            </w:r>
          </w:p>
        </w:tc>
        <w:tc>
          <w:tcPr>
            <w:tcW w:w="810" w:type="dxa"/>
            <w:vAlign w:val="center"/>
          </w:tcPr>
          <w:p w:rsidR="00EC05E8" w:rsidRPr="000F3C8B" w:rsidRDefault="00EC05E8" w:rsidP="00200CB4">
            <w:pPr>
              <w:pStyle w:val="TableText0"/>
              <w:jc w:val="right"/>
              <w:rPr>
                <w:lang w:val="en-AU"/>
              </w:rPr>
            </w:pPr>
            <w:r w:rsidRPr="000F3C8B">
              <w:rPr>
                <w:lang w:val="en-AU"/>
              </w:rPr>
              <w:t>1.00</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Estimated from Khot </w:t>
            </w:r>
            <w:r w:rsidR="004729ED" w:rsidRPr="000F3C8B">
              <w:rPr>
                <w:szCs w:val="18"/>
                <w:lang w:val="en-AU"/>
              </w:rPr>
              <w:t xml:space="preserve">et al </w:t>
            </w:r>
            <w:r w:rsidRPr="000F3C8B">
              <w:rPr>
                <w:szCs w:val="18"/>
                <w:lang w:val="en-AU"/>
              </w:rPr>
              <w:t>(2002)</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 xml:space="preserve">Probability of death from emergency surgery </w:t>
            </w:r>
            <w:r w:rsidR="00133A13">
              <w:rPr>
                <w:lang w:val="en-AU"/>
              </w:rPr>
              <w:t>–</w:t>
            </w:r>
            <w:r w:rsidRPr="000F3C8B">
              <w:rPr>
                <w:lang w:val="en-AU"/>
              </w:rPr>
              <w:t xml:space="preserve"> colostomy</w:t>
            </w:r>
          </w:p>
        </w:tc>
        <w:tc>
          <w:tcPr>
            <w:tcW w:w="1080" w:type="dxa"/>
            <w:vAlign w:val="center"/>
          </w:tcPr>
          <w:p w:rsidR="00EC05E8" w:rsidRPr="000F3C8B" w:rsidRDefault="00EC05E8" w:rsidP="00200CB4">
            <w:pPr>
              <w:pStyle w:val="TableText0"/>
              <w:jc w:val="right"/>
              <w:rPr>
                <w:lang w:val="en-AU"/>
              </w:rPr>
            </w:pPr>
            <w:r w:rsidRPr="000F3C8B">
              <w:rPr>
                <w:lang w:val="en-AU"/>
              </w:rPr>
              <w:t>0.12</w:t>
            </w:r>
          </w:p>
        </w:tc>
        <w:tc>
          <w:tcPr>
            <w:tcW w:w="720" w:type="dxa"/>
            <w:vAlign w:val="center"/>
          </w:tcPr>
          <w:p w:rsidR="00EC05E8" w:rsidRPr="000F3C8B" w:rsidRDefault="00EC05E8" w:rsidP="00200CB4">
            <w:pPr>
              <w:pStyle w:val="TableText0"/>
              <w:jc w:val="right"/>
              <w:rPr>
                <w:lang w:val="en-AU"/>
              </w:rPr>
            </w:pPr>
            <w:r w:rsidRPr="000F3C8B">
              <w:rPr>
                <w:lang w:val="en-AU"/>
              </w:rPr>
              <w:t>0.06</w:t>
            </w:r>
          </w:p>
        </w:tc>
        <w:tc>
          <w:tcPr>
            <w:tcW w:w="810" w:type="dxa"/>
            <w:vAlign w:val="center"/>
          </w:tcPr>
          <w:p w:rsidR="00EC05E8" w:rsidRPr="000F3C8B" w:rsidRDefault="00EC05E8" w:rsidP="00200CB4">
            <w:pPr>
              <w:pStyle w:val="TableText0"/>
              <w:jc w:val="right"/>
              <w:rPr>
                <w:lang w:val="en-AU"/>
              </w:rPr>
            </w:pPr>
            <w:r w:rsidRPr="000F3C8B">
              <w:rPr>
                <w:lang w:val="en-AU"/>
              </w:rPr>
              <w:t>0.18</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Tinley </w:t>
            </w:r>
            <w:r w:rsidR="004729ED" w:rsidRPr="000F3C8B">
              <w:rPr>
                <w:szCs w:val="18"/>
                <w:lang w:val="en-AU"/>
              </w:rPr>
              <w:t xml:space="preserve">et al </w:t>
            </w:r>
            <w:r w:rsidRPr="000F3C8B">
              <w:rPr>
                <w:szCs w:val="18"/>
                <w:lang w:val="en-AU"/>
              </w:rPr>
              <w:t>(2007)</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Probability of complications from colostomy</w:t>
            </w:r>
          </w:p>
        </w:tc>
        <w:tc>
          <w:tcPr>
            <w:tcW w:w="1080" w:type="dxa"/>
            <w:vAlign w:val="center"/>
          </w:tcPr>
          <w:p w:rsidR="00EC05E8" w:rsidRPr="000F3C8B" w:rsidRDefault="00EC05E8" w:rsidP="00200CB4">
            <w:pPr>
              <w:pStyle w:val="TableText0"/>
              <w:jc w:val="right"/>
              <w:rPr>
                <w:lang w:val="en-AU"/>
              </w:rPr>
            </w:pPr>
            <w:r w:rsidRPr="000F3C8B">
              <w:rPr>
                <w:lang w:val="en-AU"/>
              </w:rPr>
              <w:t>0.25</w:t>
            </w:r>
          </w:p>
        </w:tc>
        <w:tc>
          <w:tcPr>
            <w:tcW w:w="720" w:type="dxa"/>
            <w:vAlign w:val="center"/>
          </w:tcPr>
          <w:p w:rsidR="00EC05E8" w:rsidRPr="000F3C8B" w:rsidRDefault="00EC05E8" w:rsidP="00200CB4">
            <w:pPr>
              <w:pStyle w:val="TableText0"/>
              <w:jc w:val="right"/>
              <w:rPr>
                <w:lang w:val="en-AU"/>
              </w:rPr>
            </w:pPr>
            <w:r w:rsidRPr="000F3C8B">
              <w:rPr>
                <w:lang w:val="en-AU"/>
              </w:rPr>
              <w:t>0.13</w:t>
            </w:r>
          </w:p>
        </w:tc>
        <w:tc>
          <w:tcPr>
            <w:tcW w:w="810" w:type="dxa"/>
            <w:vAlign w:val="center"/>
          </w:tcPr>
          <w:p w:rsidR="00EC05E8" w:rsidRPr="000F3C8B" w:rsidRDefault="00EC05E8" w:rsidP="00200CB4">
            <w:pPr>
              <w:pStyle w:val="TableText0"/>
              <w:jc w:val="right"/>
              <w:rPr>
                <w:lang w:val="en-AU"/>
              </w:rPr>
            </w:pPr>
            <w:r w:rsidRPr="000F3C8B">
              <w:rPr>
                <w:lang w:val="en-AU"/>
              </w:rPr>
              <w:t>0.38</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Varadarajulu </w:t>
            </w:r>
            <w:r w:rsidR="004729ED" w:rsidRPr="000F3C8B">
              <w:rPr>
                <w:szCs w:val="18"/>
                <w:lang w:val="en-AU"/>
              </w:rPr>
              <w:t xml:space="preserve">et al </w:t>
            </w:r>
            <w:r w:rsidRPr="000F3C8B">
              <w:rPr>
                <w:szCs w:val="18"/>
                <w:lang w:val="en-AU"/>
              </w:rPr>
              <w:t>(2011)</w:t>
            </w:r>
          </w:p>
        </w:tc>
      </w:tr>
      <w:tr w:rsidR="00F57779" w:rsidRPr="00C605D6" w:rsidTr="00EF5B75">
        <w:trPr>
          <w:trHeight w:val="227"/>
        </w:trPr>
        <w:tc>
          <w:tcPr>
            <w:tcW w:w="3397" w:type="dxa"/>
            <w:vAlign w:val="bottom"/>
          </w:tcPr>
          <w:p w:rsidR="00EC05E8" w:rsidRPr="00C605D6" w:rsidRDefault="00EC05E8" w:rsidP="005D0400">
            <w:pPr>
              <w:pStyle w:val="TableHeading"/>
            </w:pPr>
            <w:r w:rsidRPr="00C605D6">
              <w:t>Length of stay in hospital (days)</w:t>
            </w:r>
          </w:p>
        </w:tc>
        <w:tc>
          <w:tcPr>
            <w:tcW w:w="1080" w:type="dxa"/>
            <w:vAlign w:val="bottom"/>
          </w:tcPr>
          <w:p w:rsidR="00EC05E8" w:rsidRPr="00C605D6" w:rsidRDefault="00EC05E8" w:rsidP="00200CB4">
            <w:pPr>
              <w:pStyle w:val="TableText0"/>
              <w:jc w:val="right"/>
              <w:rPr>
                <w:color w:val="000000"/>
                <w:szCs w:val="18"/>
                <w:lang w:val="en-US"/>
              </w:rPr>
            </w:pPr>
          </w:p>
        </w:tc>
        <w:tc>
          <w:tcPr>
            <w:tcW w:w="720" w:type="dxa"/>
            <w:vAlign w:val="bottom"/>
          </w:tcPr>
          <w:p w:rsidR="00EC05E8" w:rsidRPr="00C605D6" w:rsidRDefault="00EC05E8" w:rsidP="00200CB4">
            <w:pPr>
              <w:pStyle w:val="TableText0"/>
              <w:jc w:val="right"/>
              <w:rPr>
                <w:color w:val="000000"/>
                <w:szCs w:val="18"/>
                <w:lang w:val="en-US"/>
              </w:rPr>
            </w:pPr>
          </w:p>
        </w:tc>
        <w:tc>
          <w:tcPr>
            <w:tcW w:w="810" w:type="dxa"/>
            <w:vAlign w:val="bottom"/>
          </w:tcPr>
          <w:p w:rsidR="00EC05E8" w:rsidRPr="00C605D6" w:rsidRDefault="00EC05E8" w:rsidP="00200CB4">
            <w:pPr>
              <w:pStyle w:val="TableText0"/>
              <w:jc w:val="right"/>
              <w:rPr>
                <w:color w:val="000000"/>
                <w:szCs w:val="18"/>
                <w:lang w:val="en-US"/>
              </w:rPr>
            </w:pPr>
          </w:p>
        </w:tc>
        <w:tc>
          <w:tcPr>
            <w:tcW w:w="2430" w:type="dxa"/>
            <w:vAlign w:val="center"/>
          </w:tcPr>
          <w:p w:rsidR="00EC05E8" w:rsidRPr="000F3C8B" w:rsidRDefault="00EC05E8" w:rsidP="005D0400">
            <w:pPr>
              <w:pStyle w:val="TableText0"/>
              <w:rPr>
                <w:szCs w:val="18"/>
                <w:lang w:val="en-AU"/>
              </w:rPr>
            </w:pP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LOS stent</w:t>
            </w:r>
          </w:p>
        </w:tc>
        <w:tc>
          <w:tcPr>
            <w:tcW w:w="1080" w:type="dxa"/>
            <w:vAlign w:val="center"/>
          </w:tcPr>
          <w:p w:rsidR="00EC05E8" w:rsidRPr="000F3C8B" w:rsidRDefault="00EC05E8" w:rsidP="00200CB4">
            <w:pPr>
              <w:pStyle w:val="TableText0"/>
              <w:jc w:val="right"/>
              <w:rPr>
                <w:lang w:val="en-AU"/>
              </w:rPr>
            </w:pPr>
            <w:r w:rsidRPr="000F3C8B">
              <w:rPr>
                <w:lang w:val="en-AU"/>
              </w:rPr>
              <w:t>2.6</w:t>
            </w:r>
          </w:p>
        </w:tc>
        <w:tc>
          <w:tcPr>
            <w:tcW w:w="720" w:type="dxa"/>
            <w:vAlign w:val="center"/>
          </w:tcPr>
          <w:p w:rsidR="00EC05E8" w:rsidRPr="000F3C8B" w:rsidRDefault="00EC05E8" w:rsidP="00200CB4">
            <w:pPr>
              <w:pStyle w:val="TableText0"/>
              <w:jc w:val="right"/>
              <w:rPr>
                <w:lang w:val="en-AU"/>
              </w:rPr>
            </w:pPr>
            <w:r w:rsidRPr="000F3C8B">
              <w:rPr>
                <w:lang w:val="en-AU"/>
              </w:rPr>
              <w:t>1.3</w:t>
            </w:r>
          </w:p>
        </w:tc>
        <w:tc>
          <w:tcPr>
            <w:tcW w:w="810" w:type="dxa"/>
            <w:vAlign w:val="center"/>
          </w:tcPr>
          <w:p w:rsidR="00EC05E8" w:rsidRPr="000F3C8B" w:rsidRDefault="00EC05E8" w:rsidP="00200CB4">
            <w:pPr>
              <w:pStyle w:val="TableText0"/>
              <w:jc w:val="right"/>
              <w:rPr>
                <w:lang w:val="en-AU"/>
              </w:rPr>
            </w:pPr>
            <w:r w:rsidRPr="000F3C8B">
              <w:rPr>
                <w:lang w:val="en-AU"/>
              </w:rPr>
              <w:t>3.9</w:t>
            </w:r>
          </w:p>
        </w:tc>
        <w:tc>
          <w:tcPr>
            <w:tcW w:w="2430" w:type="dxa"/>
            <w:vAlign w:val="center"/>
          </w:tcPr>
          <w:p w:rsidR="00EC05E8" w:rsidRPr="000F3C8B" w:rsidRDefault="00EC05E8" w:rsidP="005D0400">
            <w:pPr>
              <w:pStyle w:val="TableText0"/>
              <w:rPr>
                <w:szCs w:val="18"/>
                <w:lang w:val="en-AU"/>
              </w:rPr>
            </w:pPr>
            <w:r w:rsidRPr="000F3C8B">
              <w:rPr>
                <w:szCs w:val="18"/>
                <w:lang w:val="en-AU"/>
              </w:rPr>
              <w:t>Fiori</w:t>
            </w:r>
            <w:r w:rsidR="00200CB4" w:rsidRPr="000F3C8B">
              <w:rPr>
                <w:szCs w:val="18"/>
                <w:lang w:val="en-AU"/>
              </w:rPr>
              <w:t xml:space="preserve"> et al </w:t>
            </w:r>
            <w:r w:rsidRPr="000F3C8B">
              <w:rPr>
                <w:szCs w:val="18"/>
                <w:lang w:val="en-AU"/>
              </w:rPr>
              <w:t>(2004)</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LOS colostomy</w:t>
            </w:r>
          </w:p>
        </w:tc>
        <w:tc>
          <w:tcPr>
            <w:tcW w:w="1080" w:type="dxa"/>
            <w:vAlign w:val="center"/>
          </w:tcPr>
          <w:p w:rsidR="00EC05E8" w:rsidRPr="000F3C8B" w:rsidRDefault="00EC05E8" w:rsidP="00200CB4">
            <w:pPr>
              <w:pStyle w:val="TableText0"/>
              <w:jc w:val="right"/>
              <w:rPr>
                <w:lang w:val="en-AU"/>
              </w:rPr>
            </w:pPr>
            <w:r w:rsidRPr="000F3C8B">
              <w:rPr>
                <w:lang w:val="en-AU"/>
              </w:rPr>
              <w:t>8.1</w:t>
            </w:r>
          </w:p>
        </w:tc>
        <w:tc>
          <w:tcPr>
            <w:tcW w:w="720" w:type="dxa"/>
            <w:vAlign w:val="center"/>
          </w:tcPr>
          <w:p w:rsidR="00EC05E8" w:rsidRPr="000F3C8B" w:rsidRDefault="00EC05E8" w:rsidP="00200CB4">
            <w:pPr>
              <w:pStyle w:val="TableText0"/>
              <w:jc w:val="right"/>
              <w:rPr>
                <w:lang w:val="en-AU"/>
              </w:rPr>
            </w:pPr>
            <w:r w:rsidRPr="000F3C8B">
              <w:rPr>
                <w:lang w:val="en-AU"/>
              </w:rPr>
              <w:t>4.1</w:t>
            </w:r>
          </w:p>
        </w:tc>
        <w:tc>
          <w:tcPr>
            <w:tcW w:w="810" w:type="dxa"/>
            <w:vAlign w:val="center"/>
          </w:tcPr>
          <w:p w:rsidR="00EC05E8" w:rsidRPr="000F3C8B" w:rsidRDefault="00EC05E8" w:rsidP="00200CB4">
            <w:pPr>
              <w:pStyle w:val="TableText0"/>
              <w:jc w:val="right"/>
              <w:rPr>
                <w:lang w:val="en-AU"/>
              </w:rPr>
            </w:pPr>
            <w:r w:rsidRPr="000F3C8B">
              <w:rPr>
                <w:lang w:val="en-AU"/>
              </w:rPr>
              <w:t>12.2</w:t>
            </w:r>
          </w:p>
        </w:tc>
        <w:tc>
          <w:tcPr>
            <w:tcW w:w="2430" w:type="dxa"/>
            <w:vAlign w:val="center"/>
          </w:tcPr>
          <w:p w:rsidR="00EC05E8" w:rsidRPr="000F3C8B" w:rsidRDefault="00EC05E8" w:rsidP="005D0400">
            <w:pPr>
              <w:pStyle w:val="TableText0"/>
              <w:rPr>
                <w:szCs w:val="18"/>
                <w:lang w:val="en-AU"/>
              </w:rPr>
            </w:pPr>
            <w:r w:rsidRPr="000F3C8B">
              <w:rPr>
                <w:szCs w:val="18"/>
                <w:lang w:val="en-AU"/>
              </w:rPr>
              <w:t>Fiori</w:t>
            </w:r>
            <w:r w:rsidR="00200CB4" w:rsidRPr="000F3C8B">
              <w:rPr>
                <w:szCs w:val="18"/>
                <w:lang w:val="en-AU"/>
              </w:rPr>
              <w:t xml:space="preserve"> et al </w:t>
            </w:r>
            <w:r w:rsidRPr="000F3C8B">
              <w:rPr>
                <w:szCs w:val="18"/>
                <w:lang w:val="en-AU"/>
              </w:rPr>
              <w:t>(2004)</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LOS for colostomy complications (additional)</w:t>
            </w:r>
          </w:p>
        </w:tc>
        <w:tc>
          <w:tcPr>
            <w:tcW w:w="1080" w:type="dxa"/>
            <w:vAlign w:val="center"/>
          </w:tcPr>
          <w:p w:rsidR="00EC05E8" w:rsidRPr="000F3C8B" w:rsidRDefault="00EC05E8" w:rsidP="00200CB4">
            <w:pPr>
              <w:pStyle w:val="TableText0"/>
              <w:jc w:val="right"/>
              <w:rPr>
                <w:lang w:val="en-AU"/>
              </w:rPr>
            </w:pPr>
            <w:r w:rsidRPr="000F3C8B">
              <w:rPr>
                <w:lang w:val="en-AU"/>
              </w:rPr>
              <w:t>2.0</w:t>
            </w:r>
          </w:p>
        </w:tc>
        <w:tc>
          <w:tcPr>
            <w:tcW w:w="720" w:type="dxa"/>
            <w:vAlign w:val="center"/>
          </w:tcPr>
          <w:p w:rsidR="00EC05E8" w:rsidRPr="000F3C8B" w:rsidRDefault="00EC05E8" w:rsidP="00200CB4">
            <w:pPr>
              <w:pStyle w:val="TableText0"/>
              <w:jc w:val="right"/>
              <w:rPr>
                <w:lang w:val="en-AU"/>
              </w:rPr>
            </w:pPr>
            <w:r w:rsidRPr="000F3C8B">
              <w:rPr>
                <w:lang w:val="en-AU"/>
              </w:rPr>
              <w:t>1.00</w:t>
            </w:r>
          </w:p>
        </w:tc>
        <w:tc>
          <w:tcPr>
            <w:tcW w:w="810" w:type="dxa"/>
            <w:vAlign w:val="center"/>
          </w:tcPr>
          <w:p w:rsidR="00EC05E8" w:rsidRPr="000F3C8B" w:rsidRDefault="00EC05E8" w:rsidP="00200CB4">
            <w:pPr>
              <w:pStyle w:val="TableText0"/>
              <w:jc w:val="right"/>
              <w:rPr>
                <w:lang w:val="en-AU"/>
              </w:rPr>
            </w:pPr>
            <w:r w:rsidRPr="000F3C8B">
              <w:rPr>
                <w:lang w:val="en-AU"/>
              </w:rPr>
              <w:t>3.0</w:t>
            </w:r>
          </w:p>
        </w:tc>
        <w:tc>
          <w:tcPr>
            <w:tcW w:w="2430" w:type="dxa"/>
            <w:vAlign w:val="center"/>
          </w:tcPr>
          <w:p w:rsidR="00EC05E8" w:rsidRPr="000F3C8B" w:rsidRDefault="00EC05E8" w:rsidP="005D0400">
            <w:pPr>
              <w:pStyle w:val="TableText0"/>
              <w:rPr>
                <w:szCs w:val="18"/>
                <w:lang w:val="en-AU"/>
              </w:rPr>
            </w:pPr>
            <w:r w:rsidRPr="000F3C8B">
              <w:rPr>
                <w:szCs w:val="18"/>
                <w:lang w:val="en-AU"/>
              </w:rPr>
              <w:t>Expert advice</w:t>
            </w:r>
          </w:p>
        </w:tc>
      </w:tr>
      <w:tr w:rsidR="00F57779" w:rsidRPr="00C605D6" w:rsidTr="00EF5B75">
        <w:trPr>
          <w:trHeight w:val="227"/>
        </w:trPr>
        <w:tc>
          <w:tcPr>
            <w:tcW w:w="3397" w:type="dxa"/>
            <w:vAlign w:val="center"/>
          </w:tcPr>
          <w:p w:rsidR="00EC05E8" w:rsidRPr="000F3C8B" w:rsidRDefault="00EC05E8" w:rsidP="005D0400">
            <w:pPr>
              <w:pStyle w:val="TableText0"/>
              <w:rPr>
                <w:lang w:val="en-AU"/>
              </w:rPr>
            </w:pPr>
            <w:r w:rsidRPr="000F3C8B">
              <w:rPr>
                <w:lang w:val="en-AU"/>
              </w:rPr>
              <w:t>LOS ICU for colostomy</w:t>
            </w:r>
          </w:p>
        </w:tc>
        <w:tc>
          <w:tcPr>
            <w:tcW w:w="1080" w:type="dxa"/>
            <w:vAlign w:val="center"/>
          </w:tcPr>
          <w:p w:rsidR="00EC05E8" w:rsidRPr="000F3C8B" w:rsidRDefault="00EC05E8" w:rsidP="00200CB4">
            <w:pPr>
              <w:pStyle w:val="TableText0"/>
              <w:jc w:val="right"/>
              <w:rPr>
                <w:lang w:val="en-AU"/>
              </w:rPr>
            </w:pPr>
            <w:r w:rsidRPr="000F3C8B">
              <w:rPr>
                <w:lang w:val="en-AU"/>
              </w:rPr>
              <w:t>1.0</w:t>
            </w:r>
          </w:p>
        </w:tc>
        <w:tc>
          <w:tcPr>
            <w:tcW w:w="720" w:type="dxa"/>
            <w:vAlign w:val="center"/>
          </w:tcPr>
          <w:p w:rsidR="00EC05E8" w:rsidRPr="000F3C8B" w:rsidRDefault="00EC05E8" w:rsidP="00200CB4">
            <w:pPr>
              <w:pStyle w:val="TableText0"/>
              <w:jc w:val="right"/>
              <w:rPr>
                <w:lang w:val="en-AU"/>
              </w:rPr>
            </w:pPr>
            <w:r w:rsidRPr="000F3C8B">
              <w:rPr>
                <w:lang w:val="en-AU"/>
              </w:rPr>
              <w:t>0.00</w:t>
            </w:r>
          </w:p>
        </w:tc>
        <w:tc>
          <w:tcPr>
            <w:tcW w:w="810" w:type="dxa"/>
            <w:vAlign w:val="center"/>
          </w:tcPr>
          <w:p w:rsidR="00EC05E8" w:rsidRPr="000F3C8B" w:rsidRDefault="00EC05E8" w:rsidP="00200CB4">
            <w:pPr>
              <w:pStyle w:val="TableText0"/>
              <w:jc w:val="right"/>
              <w:rPr>
                <w:lang w:val="en-AU"/>
              </w:rPr>
            </w:pPr>
            <w:r w:rsidRPr="000F3C8B">
              <w:rPr>
                <w:lang w:val="en-AU"/>
              </w:rPr>
              <w:t>1.5</w:t>
            </w:r>
          </w:p>
        </w:tc>
        <w:tc>
          <w:tcPr>
            <w:tcW w:w="2430" w:type="dxa"/>
            <w:vAlign w:val="center"/>
          </w:tcPr>
          <w:p w:rsidR="00EC05E8" w:rsidRPr="000F3C8B" w:rsidRDefault="00EC05E8" w:rsidP="005D0400">
            <w:pPr>
              <w:pStyle w:val="TableText0"/>
              <w:rPr>
                <w:szCs w:val="18"/>
                <w:lang w:val="en-AU"/>
              </w:rPr>
            </w:pPr>
            <w:r w:rsidRPr="000F3C8B">
              <w:rPr>
                <w:szCs w:val="18"/>
                <w:lang w:val="en-AU"/>
              </w:rPr>
              <w:t>Expert advice</w:t>
            </w:r>
          </w:p>
        </w:tc>
      </w:tr>
      <w:tr w:rsidR="00F57779" w:rsidRPr="00C605D6" w:rsidTr="00EF5B75">
        <w:trPr>
          <w:trHeight w:val="227"/>
        </w:trPr>
        <w:tc>
          <w:tcPr>
            <w:tcW w:w="3397" w:type="dxa"/>
          </w:tcPr>
          <w:p w:rsidR="00EC05E8" w:rsidRPr="00C605D6" w:rsidRDefault="00EC05E8" w:rsidP="005D0400">
            <w:pPr>
              <w:pStyle w:val="TableHeading"/>
            </w:pPr>
            <w:r w:rsidRPr="00C605D6">
              <w:t>Survival (weeks)</w:t>
            </w:r>
          </w:p>
        </w:tc>
        <w:tc>
          <w:tcPr>
            <w:tcW w:w="1080" w:type="dxa"/>
          </w:tcPr>
          <w:p w:rsidR="00EC05E8" w:rsidRPr="000F3C8B" w:rsidRDefault="00EC05E8" w:rsidP="00200CB4">
            <w:pPr>
              <w:pStyle w:val="TableText0"/>
              <w:jc w:val="right"/>
              <w:rPr>
                <w:i/>
                <w:szCs w:val="18"/>
                <w:lang w:val="en-AU"/>
              </w:rPr>
            </w:pPr>
          </w:p>
        </w:tc>
        <w:tc>
          <w:tcPr>
            <w:tcW w:w="720" w:type="dxa"/>
          </w:tcPr>
          <w:p w:rsidR="00EC05E8" w:rsidRPr="000F3C8B" w:rsidRDefault="00EC05E8" w:rsidP="00200CB4">
            <w:pPr>
              <w:pStyle w:val="TableText0"/>
              <w:jc w:val="right"/>
              <w:rPr>
                <w:i/>
                <w:szCs w:val="18"/>
                <w:lang w:val="en-AU"/>
              </w:rPr>
            </w:pPr>
          </w:p>
        </w:tc>
        <w:tc>
          <w:tcPr>
            <w:tcW w:w="810" w:type="dxa"/>
          </w:tcPr>
          <w:p w:rsidR="00EC05E8" w:rsidRPr="000F3C8B" w:rsidRDefault="00EC05E8" w:rsidP="00200CB4">
            <w:pPr>
              <w:pStyle w:val="TableText0"/>
              <w:jc w:val="right"/>
              <w:rPr>
                <w:i/>
                <w:szCs w:val="18"/>
                <w:lang w:val="en-AU"/>
              </w:rPr>
            </w:pPr>
          </w:p>
        </w:tc>
        <w:tc>
          <w:tcPr>
            <w:tcW w:w="2430" w:type="dxa"/>
            <w:vAlign w:val="center"/>
          </w:tcPr>
          <w:p w:rsidR="00EC05E8" w:rsidRPr="000F3C8B" w:rsidRDefault="00EC05E8" w:rsidP="005D0400">
            <w:pPr>
              <w:pStyle w:val="TableText0"/>
              <w:rPr>
                <w:i/>
                <w:szCs w:val="18"/>
                <w:lang w:val="en-AU"/>
              </w:rPr>
            </w:pPr>
          </w:p>
        </w:tc>
      </w:tr>
      <w:tr w:rsidR="00F57779" w:rsidRPr="00C605D6" w:rsidTr="00EF5B75">
        <w:trPr>
          <w:trHeight w:val="227"/>
        </w:trPr>
        <w:tc>
          <w:tcPr>
            <w:tcW w:w="3397" w:type="dxa"/>
            <w:vAlign w:val="center"/>
          </w:tcPr>
          <w:p w:rsidR="00EC05E8" w:rsidRPr="000F3C8B" w:rsidRDefault="00EC05E8" w:rsidP="005D0400">
            <w:pPr>
              <w:pStyle w:val="TableText0"/>
              <w:rPr>
                <w:szCs w:val="18"/>
                <w:lang w:val="en-AU"/>
              </w:rPr>
            </w:pPr>
            <w:r w:rsidRPr="000F3C8B">
              <w:rPr>
                <w:szCs w:val="18"/>
                <w:lang w:val="en-AU"/>
              </w:rPr>
              <w:t>Survival after stent</w:t>
            </w:r>
          </w:p>
        </w:tc>
        <w:tc>
          <w:tcPr>
            <w:tcW w:w="1080" w:type="dxa"/>
            <w:vAlign w:val="center"/>
          </w:tcPr>
          <w:p w:rsidR="00EC05E8" w:rsidRPr="000F3C8B" w:rsidRDefault="00EC05E8" w:rsidP="00200CB4">
            <w:pPr>
              <w:pStyle w:val="TableText0"/>
              <w:jc w:val="right"/>
              <w:rPr>
                <w:szCs w:val="18"/>
                <w:lang w:val="en-AU"/>
              </w:rPr>
            </w:pPr>
            <w:r w:rsidRPr="000F3C8B">
              <w:rPr>
                <w:szCs w:val="18"/>
                <w:lang w:val="en-AU"/>
              </w:rPr>
              <w:t>21</w:t>
            </w:r>
          </w:p>
        </w:tc>
        <w:tc>
          <w:tcPr>
            <w:tcW w:w="720" w:type="dxa"/>
            <w:vAlign w:val="center"/>
          </w:tcPr>
          <w:p w:rsidR="00EC05E8" w:rsidRPr="00C605D6" w:rsidRDefault="00EC05E8" w:rsidP="00200CB4">
            <w:pPr>
              <w:pStyle w:val="TableText0"/>
              <w:jc w:val="right"/>
              <w:rPr>
                <w:color w:val="000000"/>
                <w:szCs w:val="18"/>
                <w:lang w:val="en-US"/>
              </w:rPr>
            </w:pPr>
            <w:r w:rsidRPr="00C605D6">
              <w:rPr>
                <w:color w:val="000000"/>
                <w:szCs w:val="18"/>
                <w:lang w:val="en-US"/>
              </w:rPr>
              <w:t>10.5</w:t>
            </w:r>
          </w:p>
        </w:tc>
        <w:tc>
          <w:tcPr>
            <w:tcW w:w="810" w:type="dxa"/>
            <w:vAlign w:val="center"/>
          </w:tcPr>
          <w:p w:rsidR="00EC05E8" w:rsidRPr="00C605D6" w:rsidRDefault="00EC05E8" w:rsidP="00200CB4">
            <w:pPr>
              <w:pStyle w:val="TableText0"/>
              <w:jc w:val="right"/>
              <w:rPr>
                <w:color w:val="000000"/>
                <w:szCs w:val="18"/>
                <w:lang w:val="en-US"/>
              </w:rPr>
            </w:pPr>
            <w:r w:rsidRPr="00C605D6">
              <w:rPr>
                <w:color w:val="000000"/>
                <w:szCs w:val="18"/>
                <w:lang w:val="en-US"/>
              </w:rPr>
              <w:t>31.5</w:t>
            </w:r>
          </w:p>
        </w:tc>
        <w:tc>
          <w:tcPr>
            <w:tcW w:w="2430" w:type="dxa"/>
            <w:vAlign w:val="center"/>
          </w:tcPr>
          <w:p w:rsidR="00EC05E8" w:rsidRPr="000F3C8B" w:rsidRDefault="00EC05E8" w:rsidP="005D0400">
            <w:pPr>
              <w:pStyle w:val="TableText0"/>
              <w:rPr>
                <w:szCs w:val="18"/>
                <w:lang w:val="en-AU"/>
              </w:rPr>
            </w:pPr>
            <w:r w:rsidRPr="000F3C8B">
              <w:rPr>
                <w:szCs w:val="18"/>
                <w:lang w:val="en-AU"/>
              </w:rPr>
              <w:t>Xinopolous</w:t>
            </w:r>
            <w:r w:rsidR="00200CB4" w:rsidRPr="000F3C8B">
              <w:rPr>
                <w:szCs w:val="18"/>
                <w:lang w:val="en-AU"/>
              </w:rPr>
              <w:t xml:space="preserve"> et al </w:t>
            </w:r>
            <w:r w:rsidRPr="000F3C8B">
              <w:rPr>
                <w:szCs w:val="18"/>
                <w:lang w:val="en-AU"/>
              </w:rPr>
              <w:t>(2004)</w:t>
            </w:r>
          </w:p>
        </w:tc>
      </w:tr>
      <w:tr w:rsidR="00F57779" w:rsidRPr="00C605D6" w:rsidTr="00EF5B75">
        <w:trPr>
          <w:trHeight w:val="227"/>
        </w:trPr>
        <w:tc>
          <w:tcPr>
            <w:tcW w:w="3397" w:type="dxa"/>
            <w:vAlign w:val="center"/>
          </w:tcPr>
          <w:p w:rsidR="00EC05E8" w:rsidRPr="000F3C8B" w:rsidRDefault="00EC05E8" w:rsidP="005D0400">
            <w:pPr>
              <w:pStyle w:val="TableText0"/>
              <w:rPr>
                <w:szCs w:val="18"/>
                <w:lang w:val="en-AU"/>
              </w:rPr>
            </w:pPr>
            <w:r w:rsidRPr="000F3C8B">
              <w:rPr>
                <w:szCs w:val="18"/>
                <w:lang w:val="en-AU"/>
              </w:rPr>
              <w:t>Survival after colostomy</w:t>
            </w:r>
          </w:p>
        </w:tc>
        <w:tc>
          <w:tcPr>
            <w:tcW w:w="1080" w:type="dxa"/>
            <w:vAlign w:val="center"/>
          </w:tcPr>
          <w:p w:rsidR="00EC05E8" w:rsidRPr="000F3C8B" w:rsidRDefault="00EC05E8" w:rsidP="00200CB4">
            <w:pPr>
              <w:pStyle w:val="TableText0"/>
              <w:jc w:val="right"/>
              <w:rPr>
                <w:szCs w:val="18"/>
                <w:lang w:val="en-AU"/>
              </w:rPr>
            </w:pPr>
            <w:r w:rsidRPr="000F3C8B">
              <w:rPr>
                <w:szCs w:val="18"/>
                <w:lang w:val="en-AU"/>
              </w:rPr>
              <w:t>21</w:t>
            </w:r>
          </w:p>
        </w:tc>
        <w:tc>
          <w:tcPr>
            <w:tcW w:w="720" w:type="dxa"/>
            <w:vAlign w:val="center"/>
          </w:tcPr>
          <w:p w:rsidR="00EC05E8" w:rsidRPr="00C605D6" w:rsidRDefault="00EC05E8" w:rsidP="00200CB4">
            <w:pPr>
              <w:pStyle w:val="TableText0"/>
              <w:jc w:val="right"/>
              <w:rPr>
                <w:color w:val="000000"/>
                <w:szCs w:val="18"/>
                <w:lang w:val="en-US"/>
              </w:rPr>
            </w:pPr>
            <w:r w:rsidRPr="00C605D6">
              <w:rPr>
                <w:color w:val="000000"/>
                <w:szCs w:val="18"/>
                <w:lang w:val="en-US"/>
              </w:rPr>
              <w:t>10.5</w:t>
            </w:r>
          </w:p>
        </w:tc>
        <w:tc>
          <w:tcPr>
            <w:tcW w:w="810" w:type="dxa"/>
            <w:vAlign w:val="center"/>
          </w:tcPr>
          <w:p w:rsidR="00EC05E8" w:rsidRPr="00C605D6" w:rsidRDefault="00EC05E8" w:rsidP="00200CB4">
            <w:pPr>
              <w:pStyle w:val="TableText0"/>
              <w:jc w:val="right"/>
              <w:rPr>
                <w:color w:val="000000"/>
                <w:szCs w:val="18"/>
                <w:lang w:val="en-US"/>
              </w:rPr>
            </w:pPr>
            <w:r w:rsidRPr="00C605D6">
              <w:rPr>
                <w:color w:val="000000"/>
                <w:szCs w:val="18"/>
                <w:lang w:val="en-US"/>
              </w:rPr>
              <w:t>31.5</w:t>
            </w:r>
          </w:p>
        </w:tc>
        <w:tc>
          <w:tcPr>
            <w:tcW w:w="2430" w:type="dxa"/>
            <w:vAlign w:val="center"/>
          </w:tcPr>
          <w:p w:rsidR="00EC05E8" w:rsidRPr="000F3C8B" w:rsidRDefault="00EC05E8" w:rsidP="005D0400">
            <w:pPr>
              <w:pStyle w:val="TableText0"/>
              <w:rPr>
                <w:szCs w:val="18"/>
                <w:lang w:val="en-AU"/>
              </w:rPr>
            </w:pPr>
            <w:r w:rsidRPr="000F3C8B">
              <w:rPr>
                <w:szCs w:val="18"/>
                <w:lang w:val="en-AU"/>
              </w:rPr>
              <w:t>Xinopolous</w:t>
            </w:r>
            <w:r w:rsidR="00200CB4" w:rsidRPr="000F3C8B">
              <w:rPr>
                <w:szCs w:val="18"/>
                <w:lang w:val="en-AU"/>
              </w:rPr>
              <w:t xml:space="preserve"> et al </w:t>
            </w:r>
            <w:r w:rsidRPr="000F3C8B">
              <w:rPr>
                <w:szCs w:val="18"/>
                <w:lang w:val="en-AU"/>
              </w:rPr>
              <w:t>(2004)</w:t>
            </w:r>
          </w:p>
        </w:tc>
      </w:tr>
      <w:tr w:rsidR="00F57779" w:rsidRPr="00C605D6" w:rsidTr="00EF5B75">
        <w:trPr>
          <w:trHeight w:val="227"/>
        </w:trPr>
        <w:tc>
          <w:tcPr>
            <w:tcW w:w="3397" w:type="dxa"/>
          </w:tcPr>
          <w:p w:rsidR="00EC05E8" w:rsidRPr="00C605D6" w:rsidRDefault="00EC05E8" w:rsidP="005D0400">
            <w:pPr>
              <w:pStyle w:val="TableHeading"/>
            </w:pPr>
            <w:r w:rsidRPr="00C605D6">
              <w:t>Utility</w:t>
            </w:r>
          </w:p>
        </w:tc>
        <w:tc>
          <w:tcPr>
            <w:tcW w:w="1080" w:type="dxa"/>
          </w:tcPr>
          <w:p w:rsidR="00EC05E8" w:rsidRPr="000F3C8B" w:rsidRDefault="00EC05E8" w:rsidP="00200CB4">
            <w:pPr>
              <w:pStyle w:val="TableText0"/>
              <w:jc w:val="right"/>
              <w:rPr>
                <w:szCs w:val="18"/>
                <w:lang w:val="en-AU"/>
              </w:rPr>
            </w:pPr>
          </w:p>
        </w:tc>
        <w:tc>
          <w:tcPr>
            <w:tcW w:w="720" w:type="dxa"/>
          </w:tcPr>
          <w:p w:rsidR="00EC05E8" w:rsidRPr="000F3C8B" w:rsidRDefault="00EC05E8" w:rsidP="00200CB4">
            <w:pPr>
              <w:pStyle w:val="TableText0"/>
              <w:jc w:val="right"/>
              <w:rPr>
                <w:szCs w:val="18"/>
                <w:lang w:val="en-AU"/>
              </w:rPr>
            </w:pPr>
          </w:p>
        </w:tc>
        <w:tc>
          <w:tcPr>
            <w:tcW w:w="810" w:type="dxa"/>
          </w:tcPr>
          <w:p w:rsidR="00EC05E8" w:rsidRPr="000F3C8B" w:rsidRDefault="00EC05E8" w:rsidP="00200CB4">
            <w:pPr>
              <w:pStyle w:val="TableText0"/>
              <w:jc w:val="right"/>
              <w:rPr>
                <w:szCs w:val="18"/>
                <w:lang w:val="en-AU"/>
              </w:rPr>
            </w:pPr>
          </w:p>
        </w:tc>
        <w:tc>
          <w:tcPr>
            <w:tcW w:w="2430" w:type="dxa"/>
            <w:vAlign w:val="center"/>
          </w:tcPr>
          <w:p w:rsidR="00EC05E8" w:rsidRPr="000F3C8B" w:rsidRDefault="00EC05E8" w:rsidP="005D0400">
            <w:pPr>
              <w:pStyle w:val="TableText0"/>
              <w:rPr>
                <w:szCs w:val="18"/>
                <w:lang w:val="en-AU"/>
              </w:rPr>
            </w:pPr>
          </w:p>
        </w:tc>
      </w:tr>
      <w:tr w:rsidR="00F57779" w:rsidRPr="00C605D6" w:rsidTr="00EF5B75">
        <w:trPr>
          <w:trHeight w:val="227"/>
        </w:trPr>
        <w:tc>
          <w:tcPr>
            <w:tcW w:w="3397" w:type="dxa"/>
            <w:vAlign w:val="center"/>
          </w:tcPr>
          <w:p w:rsidR="00EC05E8" w:rsidRPr="00C605D6" w:rsidRDefault="00EC05E8" w:rsidP="005D0400">
            <w:pPr>
              <w:pStyle w:val="TableText0"/>
              <w:rPr>
                <w:lang w:val="en-US"/>
              </w:rPr>
            </w:pPr>
            <w:r w:rsidRPr="00C605D6">
              <w:rPr>
                <w:lang w:val="en-US"/>
              </w:rPr>
              <w:t>Utility stage IV colorectal cancer with stent</w:t>
            </w:r>
          </w:p>
        </w:tc>
        <w:tc>
          <w:tcPr>
            <w:tcW w:w="1080" w:type="dxa"/>
            <w:vAlign w:val="center"/>
          </w:tcPr>
          <w:p w:rsidR="00EC05E8" w:rsidRPr="00C605D6" w:rsidRDefault="00EC05E8" w:rsidP="00200CB4">
            <w:pPr>
              <w:pStyle w:val="TableText0"/>
              <w:jc w:val="right"/>
              <w:rPr>
                <w:lang w:val="en-US"/>
              </w:rPr>
            </w:pPr>
            <w:r w:rsidRPr="00C605D6">
              <w:rPr>
                <w:lang w:val="en-US"/>
              </w:rPr>
              <w:t>0.25</w:t>
            </w:r>
          </w:p>
        </w:tc>
        <w:tc>
          <w:tcPr>
            <w:tcW w:w="720" w:type="dxa"/>
            <w:vAlign w:val="center"/>
          </w:tcPr>
          <w:p w:rsidR="00EC05E8" w:rsidRPr="00C605D6" w:rsidRDefault="00EC05E8" w:rsidP="00200CB4">
            <w:pPr>
              <w:pStyle w:val="TableText0"/>
              <w:jc w:val="right"/>
              <w:rPr>
                <w:lang w:val="en-US"/>
              </w:rPr>
            </w:pPr>
            <w:r w:rsidRPr="00C605D6">
              <w:rPr>
                <w:lang w:val="en-US"/>
              </w:rPr>
              <w:t>0.20</w:t>
            </w:r>
          </w:p>
        </w:tc>
        <w:tc>
          <w:tcPr>
            <w:tcW w:w="810" w:type="dxa"/>
            <w:vAlign w:val="center"/>
          </w:tcPr>
          <w:p w:rsidR="00EC05E8" w:rsidRPr="00C605D6" w:rsidRDefault="00EC05E8" w:rsidP="00200CB4">
            <w:pPr>
              <w:pStyle w:val="TableText0"/>
              <w:jc w:val="right"/>
              <w:rPr>
                <w:lang w:val="en-US"/>
              </w:rPr>
            </w:pPr>
            <w:r w:rsidRPr="00C605D6">
              <w:rPr>
                <w:lang w:val="en-US"/>
              </w:rPr>
              <w:t>0.31</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Ness </w:t>
            </w:r>
            <w:r w:rsidR="00200CB4" w:rsidRPr="000F3C8B">
              <w:rPr>
                <w:szCs w:val="18"/>
                <w:lang w:val="en-AU"/>
              </w:rPr>
              <w:t xml:space="preserve">et al </w:t>
            </w:r>
            <w:r w:rsidRPr="000F3C8B">
              <w:rPr>
                <w:szCs w:val="18"/>
                <w:lang w:val="en-AU"/>
              </w:rPr>
              <w:t>(1999)</w:t>
            </w:r>
          </w:p>
        </w:tc>
      </w:tr>
      <w:tr w:rsidR="00F57779" w:rsidRPr="00C605D6" w:rsidTr="00EF5B75">
        <w:trPr>
          <w:trHeight w:val="227"/>
        </w:trPr>
        <w:tc>
          <w:tcPr>
            <w:tcW w:w="3397" w:type="dxa"/>
            <w:vAlign w:val="center"/>
          </w:tcPr>
          <w:p w:rsidR="00EC05E8" w:rsidRPr="00C605D6" w:rsidRDefault="00EC05E8" w:rsidP="005D0400">
            <w:pPr>
              <w:pStyle w:val="TableText0"/>
              <w:rPr>
                <w:lang w:val="en-US"/>
              </w:rPr>
            </w:pPr>
            <w:r w:rsidRPr="00C605D6">
              <w:rPr>
                <w:lang w:val="en-US"/>
              </w:rPr>
              <w:t>Utility stage IV colorectal cancer with colostomy</w:t>
            </w:r>
          </w:p>
        </w:tc>
        <w:tc>
          <w:tcPr>
            <w:tcW w:w="1080" w:type="dxa"/>
            <w:vAlign w:val="center"/>
          </w:tcPr>
          <w:p w:rsidR="00EC05E8" w:rsidRPr="00C605D6" w:rsidRDefault="00EC05E8" w:rsidP="00200CB4">
            <w:pPr>
              <w:pStyle w:val="TableText0"/>
              <w:jc w:val="right"/>
              <w:rPr>
                <w:lang w:val="en-US"/>
              </w:rPr>
            </w:pPr>
            <w:r w:rsidRPr="00C605D6">
              <w:rPr>
                <w:lang w:val="en-US"/>
              </w:rPr>
              <w:t>0.25</w:t>
            </w:r>
          </w:p>
        </w:tc>
        <w:tc>
          <w:tcPr>
            <w:tcW w:w="720" w:type="dxa"/>
            <w:vAlign w:val="center"/>
          </w:tcPr>
          <w:p w:rsidR="00EC05E8" w:rsidRPr="00C605D6" w:rsidRDefault="00EC05E8" w:rsidP="00200CB4">
            <w:pPr>
              <w:pStyle w:val="TableText0"/>
              <w:jc w:val="right"/>
              <w:rPr>
                <w:lang w:val="en-US"/>
              </w:rPr>
            </w:pPr>
            <w:r w:rsidRPr="00C605D6">
              <w:rPr>
                <w:lang w:val="en-US"/>
              </w:rPr>
              <w:t>0.20</w:t>
            </w:r>
          </w:p>
        </w:tc>
        <w:tc>
          <w:tcPr>
            <w:tcW w:w="810" w:type="dxa"/>
            <w:vAlign w:val="center"/>
          </w:tcPr>
          <w:p w:rsidR="00EC05E8" w:rsidRPr="00C605D6" w:rsidRDefault="00EC05E8" w:rsidP="00200CB4">
            <w:pPr>
              <w:pStyle w:val="TableText0"/>
              <w:jc w:val="right"/>
              <w:rPr>
                <w:lang w:val="en-US"/>
              </w:rPr>
            </w:pPr>
            <w:r w:rsidRPr="00C605D6">
              <w:rPr>
                <w:lang w:val="en-US"/>
              </w:rPr>
              <w:t>0.31</w:t>
            </w:r>
          </w:p>
        </w:tc>
        <w:tc>
          <w:tcPr>
            <w:tcW w:w="2430" w:type="dxa"/>
            <w:vAlign w:val="center"/>
          </w:tcPr>
          <w:p w:rsidR="00EC05E8" w:rsidRPr="000F3C8B" w:rsidRDefault="00EC05E8" w:rsidP="005D0400">
            <w:pPr>
              <w:pStyle w:val="TableText0"/>
              <w:rPr>
                <w:szCs w:val="18"/>
                <w:lang w:val="en-AU"/>
              </w:rPr>
            </w:pPr>
            <w:r w:rsidRPr="000F3C8B">
              <w:rPr>
                <w:szCs w:val="18"/>
                <w:lang w:val="en-AU"/>
              </w:rPr>
              <w:t xml:space="preserve">Ness </w:t>
            </w:r>
            <w:r w:rsidR="00200CB4" w:rsidRPr="000F3C8B">
              <w:rPr>
                <w:szCs w:val="18"/>
                <w:lang w:val="en-AU"/>
              </w:rPr>
              <w:t xml:space="preserve">et al </w:t>
            </w:r>
            <w:r w:rsidRPr="000F3C8B">
              <w:rPr>
                <w:szCs w:val="18"/>
                <w:lang w:val="en-AU"/>
              </w:rPr>
              <w:t>(1999)</w:t>
            </w:r>
          </w:p>
        </w:tc>
      </w:tr>
      <w:tr w:rsidR="00F57779" w:rsidRPr="00C605D6" w:rsidTr="00EF5B75">
        <w:trPr>
          <w:trHeight w:val="227"/>
        </w:trPr>
        <w:tc>
          <w:tcPr>
            <w:tcW w:w="3397" w:type="dxa"/>
            <w:vAlign w:val="bottom"/>
          </w:tcPr>
          <w:p w:rsidR="00EC05E8" w:rsidRPr="00C605D6" w:rsidRDefault="00EC05E8" w:rsidP="005D0400">
            <w:pPr>
              <w:pStyle w:val="TableHeading"/>
              <w:rPr>
                <w:lang w:val="en-US"/>
              </w:rPr>
            </w:pPr>
            <w:r w:rsidRPr="00C605D6">
              <w:rPr>
                <w:lang w:val="en-US"/>
              </w:rPr>
              <w:t>Costs</w:t>
            </w:r>
          </w:p>
        </w:tc>
        <w:tc>
          <w:tcPr>
            <w:tcW w:w="1080" w:type="dxa"/>
            <w:vAlign w:val="bottom"/>
          </w:tcPr>
          <w:p w:rsidR="00EC05E8" w:rsidRPr="00C605D6" w:rsidRDefault="00EC05E8" w:rsidP="00200CB4">
            <w:pPr>
              <w:pStyle w:val="TableText0"/>
              <w:jc w:val="right"/>
              <w:rPr>
                <w:lang w:val="en-US"/>
              </w:rPr>
            </w:pPr>
          </w:p>
        </w:tc>
        <w:tc>
          <w:tcPr>
            <w:tcW w:w="720" w:type="dxa"/>
            <w:vAlign w:val="bottom"/>
          </w:tcPr>
          <w:p w:rsidR="00EC05E8" w:rsidRPr="00C605D6" w:rsidRDefault="00EC05E8" w:rsidP="00200CB4">
            <w:pPr>
              <w:pStyle w:val="TableText0"/>
              <w:jc w:val="right"/>
              <w:rPr>
                <w:lang w:val="en-US"/>
              </w:rPr>
            </w:pPr>
          </w:p>
        </w:tc>
        <w:tc>
          <w:tcPr>
            <w:tcW w:w="810" w:type="dxa"/>
            <w:vAlign w:val="bottom"/>
          </w:tcPr>
          <w:p w:rsidR="00EC05E8" w:rsidRPr="00C605D6" w:rsidRDefault="00EC05E8" w:rsidP="00200CB4">
            <w:pPr>
              <w:pStyle w:val="TableText0"/>
              <w:jc w:val="right"/>
              <w:rPr>
                <w:lang w:val="en-US"/>
              </w:rPr>
            </w:pPr>
          </w:p>
        </w:tc>
        <w:tc>
          <w:tcPr>
            <w:tcW w:w="2430" w:type="dxa"/>
            <w:vMerge w:val="restart"/>
            <w:vAlign w:val="center"/>
          </w:tcPr>
          <w:p w:rsidR="00EC05E8" w:rsidRPr="000F3C8B" w:rsidRDefault="00EC05E8" w:rsidP="005D0400">
            <w:pPr>
              <w:pStyle w:val="TableText0"/>
              <w:rPr>
                <w:lang w:val="en-AU"/>
              </w:rPr>
            </w:pPr>
            <w:r w:rsidRPr="000F3C8B">
              <w:rPr>
                <w:lang w:val="en-AU"/>
              </w:rPr>
              <w:t>See costing section for further details and cost estimates</w:t>
            </w: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 xml:space="preserve">Cost of </w:t>
            </w:r>
            <w:r w:rsidR="00987ADE">
              <w:rPr>
                <w:lang w:val="en-US"/>
              </w:rPr>
              <w:t>pre-operative</w:t>
            </w:r>
            <w:r w:rsidRPr="00C605D6">
              <w:rPr>
                <w:lang w:val="en-US"/>
              </w:rPr>
              <w:t xml:space="preserve"> procedures</w:t>
            </w:r>
          </w:p>
        </w:tc>
        <w:tc>
          <w:tcPr>
            <w:tcW w:w="1080" w:type="dxa"/>
            <w:vAlign w:val="bottom"/>
          </w:tcPr>
          <w:p w:rsidR="00EC05E8" w:rsidRPr="00C605D6" w:rsidRDefault="00EC05E8" w:rsidP="00200CB4">
            <w:pPr>
              <w:pStyle w:val="TableText0"/>
              <w:jc w:val="right"/>
              <w:rPr>
                <w:lang w:val="en-US"/>
              </w:rPr>
            </w:pPr>
            <w:r w:rsidRPr="00C605D6">
              <w:rPr>
                <w:lang w:val="en-US"/>
              </w:rPr>
              <w:t>$1,683</w:t>
            </w:r>
          </w:p>
        </w:tc>
        <w:tc>
          <w:tcPr>
            <w:tcW w:w="720" w:type="dxa"/>
            <w:vAlign w:val="bottom"/>
          </w:tcPr>
          <w:p w:rsidR="00EC05E8" w:rsidRPr="00C605D6" w:rsidRDefault="00EC05E8" w:rsidP="00200CB4">
            <w:pPr>
              <w:pStyle w:val="TableText0"/>
              <w:jc w:val="right"/>
              <w:rPr>
                <w:lang w:val="en-US"/>
              </w:rPr>
            </w:pPr>
            <w:r w:rsidRPr="00C605D6">
              <w:rPr>
                <w:lang w:val="en-US"/>
              </w:rPr>
              <w:t>$842</w:t>
            </w:r>
          </w:p>
        </w:tc>
        <w:tc>
          <w:tcPr>
            <w:tcW w:w="810" w:type="dxa"/>
            <w:vAlign w:val="bottom"/>
          </w:tcPr>
          <w:p w:rsidR="00EC05E8" w:rsidRPr="00C605D6" w:rsidRDefault="00EC05E8" w:rsidP="00200CB4">
            <w:pPr>
              <w:pStyle w:val="TableText0"/>
              <w:jc w:val="right"/>
              <w:rPr>
                <w:lang w:val="en-US"/>
              </w:rPr>
            </w:pPr>
            <w:r w:rsidRPr="00C605D6">
              <w:rPr>
                <w:lang w:val="en-US"/>
              </w:rPr>
              <w:t>$2,525</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of stent procedure</w:t>
            </w:r>
          </w:p>
        </w:tc>
        <w:tc>
          <w:tcPr>
            <w:tcW w:w="1080" w:type="dxa"/>
            <w:vAlign w:val="bottom"/>
          </w:tcPr>
          <w:p w:rsidR="00EC05E8" w:rsidRPr="00C605D6" w:rsidRDefault="00EC05E8" w:rsidP="00200CB4">
            <w:pPr>
              <w:pStyle w:val="TableText0"/>
              <w:jc w:val="right"/>
              <w:rPr>
                <w:lang w:val="en-US"/>
              </w:rPr>
            </w:pPr>
            <w:r w:rsidRPr="00C605D6">
              <w:rPr>
                <w:lang w:val="en-US"/>
              </w:rPr>
              <w:t>$5,968</w:t>
            </w:r>
          </w:p>
        </w:tc>
        <w:tc>
          <w:tcPr>
            <w:tcW w:w="720" w:type="dxa"/>
            <w:vAlign w:val="bottom"/>
          </w:tcPr>
          <w:p w:rsidR="00EC05E8" w:rsidRPr="00C605D6" w:rsidRDefault="00EC05E8" w:rsidP="00200CB4">
            <w:pPr>
              <w:pStyle w:val="TableText0"/>
              <w:jc w:val="right"/>
              <w:rPr>
                <w:lang w:val="en-US"/>
              </w:rPr>
            </w:pPr>
            <w:r w:rsidRPr="00C605D6">
              <w:rPr>
                <w:lang w:val="en-US"/>
              </w:rPr>
              <w:t>$2,984</w:t>
            </w:r>
          </w:p>
        </w:tc>
        <w:tc>
          <w:tcPr>
            <w:tcW w:w="810" w:type="dxa"/>
            <w:vAlign w:val="bottom"/>
          </w:tcPr>
          <w:p w:rsidR="00EC05E8" w:rsidRPr="00C605D6" w:rsidRDefault="00EC05E8" w:rsidP="00200CB4">
            <w:pPr>
              <w:pStyle w:val="TableText0"/>
              <w:jc w:val="right"/>
              <w:rPr>
                <w:lang w:val="en-US"/>
              </w:rPr>
            </w:pPr>
            <w:r w:rsidRPr="00C605D6">
              <w:rPr>
                <w:lang w:val="en-US"/>
              </w:rPr>
              <w:t>$8,952</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of colostomy procedure</w:t>
            </w:r>
          </w:p>
        </w:tc>
        <w:tc>
          <w:tcPr>
            <w:tcW w:w="1080" w:type="dxa"/>
            <w:vAlign w:val="bottom"/>
          </w:tcPr>
          <w:p w:rsidR="00EC05E8" w:rsidRPr="00C605D6" w:rsidRDefault="00EC05E8" w:rsidP="00200CB4">
            <w:pPr>
              <w:pStyle w:val="TableText0"/>
              <w:jc w:val="right"/>
              <w:rPr>
                <w:lang w:val="en-US"/>
              </w:rPr>
            </w:pPr>
            <w:r w:rsidRPr="00C605D6">
              <w:rPr>
                <w:lang w:val="en-US"/>
              </w:rPr>
              <w:t>$3,146</w:t>
            </w:r>
          </w:p>
        </w:tc>
        <w:tc>
          <w:tcPr>
            <w:tcW w:w="720" w:type="dxa"/>
            <w:vAlign w:val="bottom"/>
          </w:tcPr>
          <w:p w:rsidR="00EC05E8" w:rsidRPr="00C605D6" w:rsidRDefault="00EC05E8" w:rsidP="00200CB4">
            <w:pPr>
              <w:pStyle w:val="TableText0"/>
              <w:jc w:val="right"/>
              <w:rPr>
                <w:lang w:val="en-US"/>
              </w:rPr>
            </w:pPr>
            <w:r w:rsidRPr="00C605D6">
              <w:rPr>
                <w:lang w:val="en-US"/>
              </w:rPr>
              <w:t>$1,573</w:t>
            </w:r>
          </w:p>
        </w:tc>
        <w:tc>
          <w:tcPr>
            <w:tcW w:w="810" w:type="dxa"/>
            <w:vAlign w:val="bottom"/>
          </w:tcPr>
          <w:p w:rsidR="00EC05E8" w:rsidRPr="00C605D6" w:rsidRDefault="00EC05E8" w:rsidP="00200CB4">
            <w:pPr>
              <w:pStyle w:val="TableText0"/>
              <w:jc w:val="right"/>
              <w:rPr>
                <w:lang w:val="en-US"/>
              </w:rPr>
            </w:pPr>
            <w:r w:rsidRPr="00C605D6">
              <w:rPr>
                <w:lang w:val="en-US"/>
              </w:rPr>
              <w:t>$4,719</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per diem hospital stay colostomy</w:t>
            </w:r>
          </w:p>
        </w:tc>
        <w:tc>
          <w:tcPr>
            <w:tcW w:w="1080" w:type="dxa"/>
            <w:vAlign w:val="bottom"/>
          </w:tcPr>
          <w:p w:rsidR="00EC05E8" w:rsidRPr="00C605D6" w:rsidRDefault="00EC05E8" w:rsidP="00200CB4">
            <w:pPr>
              <w:pStyle w:val="TableText0"/>
              <w:jc w:val="right"/>
              <w:rPr>
                <w:lang w:val="en-US"/>
              </w:rPr>
            </w:pPr>
            <w:r w:rsidRPr="00C605D6">
              <w:rPr>
                <w:lang w:val="en-US"/>
              </w:rPr>
              <w:t>$800</w:t>
            </w:r>
          </w:p>
        </w:tc>
        <w:tc>
          <w:tcPr>
            <w:tcW w:w="720" w:type="dxa"/>
            <w:vAlign w:val="bottom"/>
          </w:tcPr>
          <w:p w:rsidR="00EC05E8" w:rsidRPr="00C605D6" w:rsidRDefault="00EC05E8" w:rsidP="00200CB4">
            <w:pPr>
              <w:pStyle w:val="TableText0"/>
              <w:jc w:val="right"/>
              <w:rPr>
                <w:lang w:val="en-US"/>
              </w:rPr>
            </w:pPr>
            <w:r w:rsidRPr="00C605D6">
              <w:rPr>
                <w:lang w:val="en-US"/>
              </w:rPr>
              <w:t>$400</w:t>
            </w:r>
          </w:p>
        </w:tc>
        <w:tc>
          <w:tcPr>
            <w:tcW w:w="810" w:type="dxa"/>
            <w:vAlign w:val="bottom"/>
          </w:tcPr>
          <w:p w:rsidR="00EC05E8" w:rsidRPr="00C605D6" w:rsidRDefault="00EC05E8" w:rsidP="00200CB4">
            <w:pPr>
              <w:pStyle w:val="TableText0"/>
              <w:jc w:val="right"/>
              <w:rPr>
                <w:lang w:val="en-US"/>
              </w:rPr>
            </w:pPr>
            <w:r w:rsidRPr="00C605D6">
              <w:rPr>
                <w:lang w:val="en-US"/>
              </w:rPr>
              <w:t>$1,201</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per diem hospital stay stent</w:t>
            </w:r>
          </w:p>
        </w:tc>
        <w:tc>
          <w:tcPr>
            <w:tcW w:w="1080" w:type="dxa"/>
            <w:vAlign w:val="bottom"/>
          </w:tcPr>
          <w:p w:rsidR="00EC05E8" w:rsidRPr="00C605D6" w:rsidRDefault="00EC05E8" w:rsidP="00200CB4">
            <w:pPr>
              <w:pStyle w:val="TableText0"/>
              <w:jc w:val="right"/>
              <w:rPr>
                <w:lang w:val="en-US"/>
              </w:rPr>
            </w:pPr>
            <w:r w:rsidRPr="00C605D6">
              <w:rPr>
                <w:lang w:val="en-US"/>
              </w:rPr>
              <w:t>$672</w:t>
            </w:r>
          </w:p>
        </w:tc>
        <w:tc>
          <w:tcPr>
            <w:tcW w:w="720" w:type="dxa"/>
            <w:vAlign w:val="bottom"/>
          </w:tcPr>
          <w:p w:rsidR="00EC05E8" w:rsidRPr="00C605D6" w:rsidRDefault="00EC05E8" w:rsidP="00200CB4">
            <w:pPr>
              <w:pStyle w:val="TableText0"/>
              <w:jc w:val="right"/>
              <w:rPr>
                <w:lang w:val="en-US"/>
              </w:rPr>
            </w:pPr>
            <w:r w:rsidRPr="00C605D6">
              <w:rPr>
                <w:lang w:val="en-US"/>
              </w:rPr>
              <w:t>$336</w:t>
            </w:r>
          </w:p>
        </w:tc>
        <w:tc>
          <w:tcPr>
            <w:tcW w:w="810" w:type="dxa"/>
            <w:vAlign w:val="bottom"/>
          </w:tcPr>
          <w:p w:rsidR="00EC05E8" w:rsidRPr="00C605D6" w:rsidRDefault="00EC05E8" w:rsidP="00200CB4">
            <w:pPr>
              <w:pStyle w:val="TableText0"/>
              <w:jc w:val="right"/>
              <w:rPr>
                <w:lang w:val="en-US"/>
              </w:rPr>
            </w:pPr>
            <w:r w:rsidRPr="00C605D6">
              <w:rPr>
                <w:lang w:val="en-US"/>
              </w:rPr>
              <w:t>$1,007</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of intensive care</w:t>
            </w:r>
          </w:p>
        </w:tc>
        <w:tc>
          <w:tcPr>
            <w:tcW w:w="1080" w:type="dxa"/>
            <w:vAlign w:val="bottom"/>
          </w:tcPr>
          <w:p w:rsidR="00EC05E8" w:rsidRPr="00C605D6" w:rsidRDefault="00EC05E8" w:rsidP="00200CB4">
            <w:pPr>
              <w:pStyle w:val="TableText0"/>
              <w:jc w:val="right"/>
              <w:rPr>
                <w:lang w:val="en-US"/>
              </w:rPr>
            </w:pPr>
            <w:r w:rsidRPr="00C605D6">
              <w:rPr>
                <w:lang w:val="en-US"/>
              </w:rPr>
              <w:t>$2,557</w:t>
            </w:r>
          </w:p>
        </w:tc>
        <w:tc>
          <w:tcPr>
            <w:tcW w:w="720" w:type="dxa"/>
            <w:vAlign w:val="bottom"/>
          </w:tcPr>
          <w:p w:rsidR="00EC05E8" w:rsidRPr="00C605D6" w:rsidRDefault="00EC05E8" w:rsidP="00200CB4">
            <w:pPr>
              <w:pStyle w:val="TableText0"/>
              <w:jc w:val="right"/>
              <w:rPr>
                <w:lang w:val="en-US"/>
              </w:rPr>
            </w:pPr>
            <w:r w:rsidRPr="00C605D6">
              <w:rPr>
                <w:lang w:val="en-US"/>
              </w:rPr>
              <w:t>$1,279</w:t>
            </w:r>
          </w:p>
        </w:tc>
        <w:tc>
          <w:tcPr>
            <w:tcW w:w="810" w:type="dxa"/>
            <w:vAlign w:val="bottom"/>
          </w:tcPr>
          <w:p w:rsidR="00EC05E8" w:rsidRPr="00C605D6" w:rsidRDefault="00EC05E8" w:rsidP="00200CB4">
            <w:pPr>
              <w:pStyle w:val="TableText0"/>
              <w:jc w:val="right"/>
              <w:rPr>
                <w:lang w:val="en-US"/>
              </w:rPr>
            </w:pPr>
            <w:r w:rsidRPr="00C605D6">
              <w:rPr>
                <w:lang w:val="en-US"/>
              </w:rPr>
              <w:t>$3,836</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of palliation</w:t>
            </w:r>
          </w:p>
        </w:tc>
        <w:tc>
          <w:tcPr>
            <w:tcW w:w="1080" w:type="dxa"/>
            <w:vAlign w:val="bottom"/>
          </w:tcPr>
          <w:p w:rsidR="00EC05E8" w:rsidRPr="00C605D6" w:rsidRDefault="00EC05E8" w:rsidP="00200CB4">
            <w:pPr>
              <w:pStyle w:val="TableText0"/>
              <w:jc w:val="right"/>
              <w:rPr>
                <w:lang w:val="en-US"/>
              </w:rPr>
            </w:pPr>
            <w:r w:rsidRPr="00C605D6">
              <w:rPr>
                <w:lang w:val="en-US"/>
              </w:rPr>
              <w:t>$6,073</w:t>
            </w:r>
          </w:p>
        </w:tc>
        <w:tc>
          <w:tcPr>
            <w:tcW w:w="720" w:type="dxa"/>
            <w:vAlign w:val="bottom"/>
          </w:tcPr>
          <w:p w:rsidR="00EC05E8" w:rsidRPr="00C605D6" w:rsidRDefault="00EC05E8" w:rsidP="00200CB4">
            <w:pPr>
              <w:pStyle w:val="TableText0"/>
              <w:jc w:val="right"/>
              <w:rPr>
                <w:lang w:val="en-US"/>
              </w:rPr>
            </w:pPr>
            <w:r w:rsidRPr="00C605D6">
              <w:rPr>
                <w:lang w:val="en-US"/>
              </w:rPr>
              <w:t>$3,037</w:t>
            </w:r>
          </w:p>
        </w:tc>
        <w:tc>
          <w:tcPr>
            <w:tcW w:w="810" w:type="dxa"/>
            <w:vAlign w:val="bottom"/>
          </w:tcPr>
          <w:p w:rsidR="00EC05E8" w:rsidRPr="00C605D6" w:rsidRDefault="00EC05E8" w:rsidP="00200CB4">
            <w:pPr>
              <w:pStyle w:val="TableText0"/>
              <w:jc w:val="right"/>
              <w:rPr>
                <w:lang w:val="en-US"/>
              </w:rPr>
            </w:pPr>
            <w:r w:rsidRPr="00C605D6">
              <w:rPr>
                <w:lang w:val="en-US"/>
              </w:rPr>
              <w:t>$9,110</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of daily post operative procedures</w:t>
            </w:r>
          </w:p>
        </w:tc>
        <w:tc>
          <w:tcPr>
            <w:tcW w:w="1080" w:type="dxa"/>
            <w:vAlign w:val="bottom"/>
          </w:tcPr>
          <w:p w:rsidR="00EC05E8" w:rsidRPr="00C605D6" w:rsidRDefault="00EC05E8" w:rsidP="00200CB4">
            <w:pPr>
              <w:pStyle w:val="TableText0"/>
              <w:jc w:val="right"/>
              <w:rPr>
                <w:lang w:val="en-US"/>
              </w:rPr>
            </w:pPr>
            <w:r w:rsidRPr="00C605D6">
              <w:rPr>
                <w:lang w:val="en-US"/>
              </w:rPr>
              <w:t>$28</w:t>
            </w:r>
          </w:p>
        </w:tc>
        <w:tc>
          <w:tcPr>
            <w:tcW w:w="720" w:type="dxa"/>
            <w:vAlign w:val="bottom"/>
          </w:tcPr>
          <w:p w:rsidR="00EC05E8" w:rsidRPr="00C605D6" w:rsidRDefault="00EC05E8" w:rsidP="00200CB4">
            <w:pPr>
              <w:pStyle w:val="TableText0"/>
              <w:jc w:val="right"/>
              <w:rPr>
                <w:lang w:val="en-US"/>
              </w:rPr>
            </w:pPr>
            <w:r w:rsidRPr="00C605D6">
              <w:rPr>
                <w:lang w:val="en-US"/>
              </w:rPr>
              <w:t>$14</w:t>
            </w:r>
          </w:p>
        </w:tc>
        <w:tc>
          <w:tcPr>
            <w:tcW w:w="810" w:type="dxa"/>
            <w:vAlign w:val="bottom"/>
          </w:tcPr>
          <w:p w:rsidR="00EC05E8" w:rsidRPr="00C605D6" w:rsidRDefault="00EC05E8" w:rsidP="00200CB4">
            <w:pPr>
              <w:pStyle w:val="TableText0"/>
              <w:jc w:val="right"/>
              <w:rPr>
                <w:lang w:val="en-US"/>
              </w:rPr>
            </w:pPr>
            <w:r w:rsidRPr="00C605D6">
              <w:rPr>
                <w:lang w:val="en-US"/>
              </w:rPr>
              <w:t>$42</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 xml:space="preserve">Cost of </w:t>
            </w:r>
            <w:r w:rsidR="00D06AF9">
              <w:rPr>
                <w:lang w:val="en-US"/>
              </w:rPr>
              <w:t>post-operative</w:t>
            </w:r>
            <w:r w:rsidRPr="00C605D6">
              <w:rPr>
                <w:lang w:val="en-US"/>
              </w:rPr>
              <w:t xml:space="preserve"> radiographs</w:t>
            </w:r>
          </w:p>
        </w:tc>
        <w:tc>
          <w:tcPr>
            <w:tcW w:w="1080" w:type="dxa"/>
            <w:vAlign w:val="bottom"/>
          </w:tcPr>
          <w:p w:rsidR="00EC05E8" w:rsidRPr="00C605D6" w:rsidRDefault="00EC05E8" w:rsidP="00200CB4">
            <w:pPr>
              <w:pStyle w:val="TableText0"/>
              <w:jc w:val="right"/>
              <w:rPr>
                <w:lang w:val="en-US"/>
              </w:rPr>
            </w:pPr>
            <w:r w:rsidRPr="00C605D6">
              <w:rPr>
                <w:lang w:val="en-US"/>
              </w:rPr>
              <w:t>$71</w:t>
            </w:r>
          </w:p>
        </w:tc>
        <w:tc>
          <w:tcPr>
            <w:tcW w:w="720" w:type="dxa"/>
            <w:vAlign w:val="bottom"/>
          </w:tcPr>
          <w:p w:rsidR="00EC05E8" w:rsidRPr="00C605D6" w:rsidRDefault="00EC05E8" w:rsidP="00200CB4">
            <w:pPr>
              <w:pStyle w:val="TableText0"/>
              <w:jc w:val="right"/>
              <w:rPr>
                <w:lang w:val="en-US"/>
              </w:rPr>
            </w:pPr>
            <w:r w:rsidRPr="00C605D6">
              <w:rPr>
                <w:lang w:val="en-US"/>
              </w:rPr>
              <w:t>$36</w:t>
            </w:r>
          </w:p>
        </w:tc>
        <w:tc>
          <w:tcPr>
            <w:tcW w:w="810" w:type="dxa"/>
            <w:vAlign w:val="bottom"/>
          </w:tcPr>
          <w:p w:rsidR="00EC05E8" w:rsidRPr="00C605D6" w:rsidRDefault="00EC05E8" w:rsidP="00200CB4">
            <w:pPr>
              <w:pStyle w:val="TableText0"/>
              <w:jc w:val="right"/>
              <w:rPr>
                <w:lang w:val="en-US"/>
              </w:rPr>
            </w:pPr>
            <w:r w:rsidRPr="00C605D6">
              <w:rPr>
                <w:lang w:val="en-US"/>
              </w:rPr>
              <w:t>$107</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 xml:space="preserve">Cost of </w:t>
            </w:r>
            <w:r w:rsidR="00D06AF9">
              <w:rPr>
                <w:lang w:val="en-US"/>
              </w:rPr>
              <w:t>post-operative</w:t>
            </w:r>
            <w:r w:rsidRPr="00C605D6">
              <w:rPr>
                <w:lang w:val="en-US"/>
              </w:rPr>
              <w:t xml:space="preserve"> specialist visits stent</w:t>
            </w:r>
          </w:p>
        </w:tc>
        <w:tc>
          <w:tcPr>
            <w:tcW w:w="1080" w:type="dxa"/>
            <w:vAlign w:val="bottom"/>
          </w:tcPr>
          <w:p w:rsidR="00EC05E8" w:rsidRPr="00C605D6" w:rsidRDefault="00EC05E8" w:rsidP="00200CB4">
            <w:pPr>
              <w:pStyle w:val="TableText0"/>
              <w:jc w:val="right"/>
              <w:rPr>
                <w:lang w:val="en-US"/>
              </w:rPr>
            </w:pPr>
            <w:r w:rsidRPr="00C605D6">
              <w:rPr>
                <w:lang w:val="en-US"/>
              </w:rPr>
              <w:t>$93</w:t>
            </w:r>
          </w:p>
        </w:tc>
        <w:tc>
          <w:tcPr>
            <w:tcW w:w="720" w:type="dxa"/>
            <w:vAlign w:val="bottom"/>
          </w:tcPr>
          <w:p w:rsidR="00EC05E8" w:rsidRPr="00C605D6" w:rsidRDefault="00EC05E8" w:rsidP="00200CB4">
            <w:pPr>
              <w:pStyle w:val="TableText0"/>
              <w:jc w:val="right"/>
              <w:rPr>
                <w:lang w:val="en-US"/>
              </w:rPr>
            </w:pPr>
            <w:r w:rsidRPr="00C605D6">
              <w:rPr>
                <w:lang w:val="en-US"/>
              </w:rPr>
              <w:t>$47</w:t>
            </w:r>
          </w:p>
        </w:tc>
        <w:tc>
          <w:tcPr>
            <w:tcW w:w="810" w:type="dxa"/>
            <w:vAlign w:val="bottom"/>
          </w:tcPr>
          <w:p w:rsidR="00EC05E8" w:rsidRPr="00C605D6" w:rsidRDefault="00EC05E8" w:rsidP="00200CB4">
            <w:pPr>
              <w:pStyle w:val="TableText0"/>
              <w:jc w:val="right"/>
              <w:rPr>
                <w:lang w:val="en-US"/>
              </w:rPr>
            </w:pPr>
            <w:r w:rsidRPr="00C605D6">
              <w:rPr>
                <w:lang w:val="en-US"/>
              </w:rPr>
              <w:t>$140</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of stoma bag (per bag)</w:t>
            </w:r>
          </w:p>
        </w:tc>
        <w:tc>
          <w:tcPr>
            <w:tcW w:w="1080" w:type="dxa"/>
            <w:vAlign w:val="bottom"/>
          </w:tcPr>
          <w:p w:rsidR="00EC05E8" w:rsidRPr="00C605D6" w:rsidRDefault="00EC05E8" w:rsidP="00200CB4">
            <w:pPr>
              <w:pStyle w:val="TableText0"/>
              <w:jc w:val="right"/>
              <w:rPr>
                <w:lang w:val="en-US"/>
              </w:rPr>
            </w:pPr>
            <w:r w:rsidRPr="00C605D6">
              <w:rPr>
                <w:lang w:val="en-US"/>
              </w:rPr>
              <w:t>$5</w:t>
            </w:r>
          </w:p>
        </w:tc>
        <w:tc>
          <w:tcPr>
            <w:tcW w:w="720" w:type="dxa"/>
            <w:vAlign w:val="bottom"/>
          </w:tcPr>
          <w:p w:rsidR="00EC05E8" w:rsidRPr="00C605D6" w:rsidRDefault="00EC05E8" w:rsidP="00200CB4">
            <w:pPr>
              <w:pStyle w:val="TableText0"/>
              <w:jc w:val="right"/>
              <w:rPr>
                <w:lang w:val="en-US"/>
              </w:rPr>
            </w:pPr>
            <w:r w:rsidRPr="00C605D6">
              <w:rPr>
                <w:lang w:val="en-US"/>
              </w:rPr>
              <w:t>$3</w:t>
            </w:r>
          </w:p>
        </w:tc>
        <w:tc>
          <w:tcPr>
            <w:tcW w:w="810" w:type="dxa"/>
            <w:vAlign w:val="bottom"/>
          </w:tcPr>
          <w:p w:rsidR="00EC05E8" w:rsidRPr="00C605D6" w:rsidRDefault="00EC05E8" w:rsidP="00200CB4">
            <w:pPr>
              <w:pStyle w:val="TableText0"/>
              <w:jc w:val="right"/>
              <w:rPr>
                <w:lang w:val="en-US"/>
              </w:rPr>
            </w:pPr>
            <w:r w:rsidRPr="00C605D6">
              <w:rPr>
                <w:lang w:val="en-US"/>
              </w:rPr>
              <w:t>$8</w:t>
            </w:r>
          </w:p>
        </w:tc>
        <w:tc>
          <w:tcPr>
            <w:tcW w:w="2430" w:type="dxa"/>
            <w:vMerge/>
            <w:vAlign w:val="bottom"/>
          </w:tcPr>
          <w:p w:rsidR="00EC05E8" w:rsidRPr="00C605D6" w:rsidRDefault="00EC05E8" w:rsidP="005D0400">
            <w:pPr>
              <w:pStyle w:val="TableText0"/>
              <w:rPr>
                <w:color w:val="000000"/>
                <w:szCs w:val="18"/>
                <w:lang w:val="en-US"/>
              </w:rPr>
            </w:pPr>
          </w:p>
        </w:tc>
      </w:tr>
      <w:tr w:rsidR="00F57779" w:rsidRPr="00C605D6" w:rsidTr="00EF5B75">
        <w:trPr>
          <w:trHeight w:val="227"/>
        </w:trPr>
        <w:tc>
          <w:tcPr>
            <w:tcW w:w="3397" w:type="dxa"/>
          </w:tcPr>
          <w:p w:rsidR="00EC05E8" w:rsidRPr="00C605D6" w:rsidRDefault="00EC05E8" w:rsidP="005D0400">
            <w:pPr>
              <w:pStyle w:val="TableText0"/>
              <w:rPr>
                <w:lang w:val="en-US"/>
              </w:rPr>
            </w:pPr>
            <w:r w:rsidRPr="00C605D6">
              <w:rPr>
                <w:lang w:val="en-US"/>
              </w:rPr>
              <w:t>Cost of stomal therapist</w:t>
            </w:r>
          </w:p>
        </w:tc>
        <w:tc>
          <w:tcPr>
            <w:tcW w:w="1080" w:type="dxa"/>
            <w:vAlign w:val="bottom"/>
          </w:tcPr>
          <w:p w:rsidR="00EC05E8" w:rsidRPr="00C605D6" w:rsidRDefault="00EC05E8" w:rsidP="00200CB4">
            <w:pPr>
              <w:pStyle w:val="TableText0"/>
              <w:jc w:val="right"/>
              <w:rPr>
                <w:lang w:val="en-US"/>
              </w:rPr>
            </w:pPr>
            <w:r w:rsidRPr="00C605D6">
              <w:rPr>
                <w:lang w:val="en-US"/>
              </w:rPr>
              <w:t>$42</w:t>
            </w:r>
          </w:p>
        </w:tc>
        <w:tc>
          <w:tcPr>
            <w:tcW w:w="720" w:type="dxa"/>
            <w:vAlign w:val="bottom"/>
          </w:tcPr>
          <w:p w:rsidR="00EC05E8" w:rsidRPr="00C605D6" w:rsidRDefault="00EC05E8" w:rsidP="00200CB4">
            <w:pPr>
              <w:pStyle w:val="TableText0"/>
              <w:jc w:val="right"/>
              <w:rPr>
                <w:lang w:val="en-US"/>
              </w:rPr>
            </w:pPr>
            <w:r w:rsidRPr="00C605D6">
              <w:rPr>
                <w:lang w:val="en-US"/>
              </w:rPr>
              <w:t>$21</w:t>
            </w:r>
          </w:p>
        </w:tc>
        <w:tc>
          <w:tcPr>
            <w:tcW w:w="810" w:type="dxa"/>
            <w:vAlign w:val="bottom"/>
          </w:tcPr>
          <w:p w:rsidR="00EC05E8" w:rsidRPr="00C605D6" w:rsidRDefault="00EC05E8" w:rsidP="00200CB4">
            <w:pPr>
              <w:pStyle w:val="TableText0"/>
              <w:jc w:val="right"/>
              <w:rPr>
                <w:lang w:val="en-US"/>
              </w:rPr>
            </w:pPr>
            <w:r w:rsidRPr="00C605D6">
              <w:rPr>
                <w:lang w:val="en-US"/>
              </w:rPr>
              <w:t>$63</w:t>
            </w:r>
          </w:p>
        </w:tc>
        <w:tc>
          <w:tcPr>
            <w:tcW w:w="2430" w:type="dxa"/>
            <w:vMerge/>
            <w:vAlign w:val="bottom"/>
          </w:tcPr>
          <w:p w:rsidR="00EC05E8" w:rsidRPr="00C605D6" w:rsidRDefault="00EC05E8" w:rsidP="005D0400">
            <w:pPr>
              <w:pStyle w:val="TableText0"/>
              <w:rPr>
                <w:color w:val="000000"/>
                <w:szCs w:val="18"/>
                <w:lang w:val="en-US"/>
              </w:rPr>
            </w:pPr>
          </w:p>
        </w:tc>
      </w:tr>
    </w:tbl>
    <w:p w:rsidR="00EF5B75" w:rsidRDefault="00EF5B75" w:rsidP="005D0400">
      <w:pPr>
        <w:pStyle w:val="TableNotes"/>
        <w:rPr>
          <w:lang w:val="en-US"/>
        </w:rPr>
      </w:pPr>
      <w:r>
        <w:rPr>
          <w:lang w:val="en-US"/>
        </w:rPr>
        <w:t>LOS: Length of hospital stay; ICU: Intensive care unit.</w:t>
      </w:r>
    </w:p>
    <w:p w:rsidR="00EC05E8" w:rsidRPr="00EF5B75" w:rsidRDefault="00070B1C" w:rsidP="005D0400">
      <w:pPr>
        <w:pStyle w:val="TableNotes"/>
        <w:rPr>
          <w:lang w:val="en-AU"/>
        </w:rPr>
      </w:pPr>
      <w:r>
        <w:rPr>
          <w:lang w:val="en-US"/>
        </w:rPr>
        <w:t>Note: ‘</w:t>
      </w:r>
      <w:r w:rsidR="00EC05E8" w:rsidRPr="00C605D6">
        <w:rPr>
          <w:lang w:val="en-US"/>
        </w:rPr>
        <w:t>|</w:t>
      </w:r>
      <w:r>
        <w:rPr>
          <w:lang w:val="en-US"/>
        </w:rPr>
        <w:t>’</w:t>
      </w:r>
      <w:r w:rsidR="00EC05E8" w:rsidRPr="00C605D6">
        <w:rPr>
          <w:lang w:val="en-US"/>
        </w:rPr>
        <w:t xml:space="preserve"> denotes </w:t>
      </w:r>
      <w:r>
        <w:rPr>
          <w:lang w:val="en-US"/>
        </w:rPr>
        <w:t>that</w:t>
      </w:r>
      <w:r w:rsidR="00EC05E8" w:rsidRPr="00C605D6">
        <w:rPr>
          <w:lang w:val="en-US"/>
        </w:rPr>
        <w:t xml:space="preserve"> the value is a conditional probability either conditional on clinical success, technical success or long-term failure</w:t>
      </w:r>
      <w:r w:rsidR="00EF5B75">
        <w:rPr>
          <w:lang w:val="en-US"/>
        </w:rPr>
        <w:t>.</w:t>
      </w:r>
    </w:p>
    <w:p w:rsidR="00F71B25" w:rsidRDefault="00F71B25" w:rsidP="005D0400">
      <w:pPr>
        <w:pStyle w:val="Heading3"/>
      </w:pPr>
      <w:r>
        <w:t>Estimate of effectiveness</w:t>
      </w:r>
    </w:p>
    <w:p w:rsidR="00F71B25" w:rsidRDefault="00F71B25" w:rsidP="005D0400">
      <w:r>
        <w:t xml:space="preserve">There were only two RCTs that measured the effectiveness of SEMS relative to colostomy for colonic obstruction for palliation (Xinopolous et al 2004; Fiori et al 2004). </w:t>
      </w:r>
      <w:r>
        <w:lastRenderedPageBreak/>
        <w:t xml:space="preserve">Both RCTs compared SEMS with colostomy (stoma creation) for palliation in the management of inoperable malignant colonic obstruction. As previously reported, the results from Xinopolous et al (2004) found that 14 out of 15 patients (93.3%) had successful SEMS insertions without serious complications compared with 15 patients (100%) who underwent surgery. Fiori et al (2004) reported technical and clinical success rates of 100 per cent in the 11 patients </w:t>
      </w:r>
      <w:r w:rsidR="00221CCE">
        <w:t xml:space="preserve">who </w:t>
      </w:r>
      <w:r>
        <w:t>had SEMS placed and also for the 11 patients who underwent colostomy.</w:t>
      </w:r>
    </w:p>
    <w:p w:rsidR="00F71B25" w:rsidRDefault="00F71B25" w:rsidP="005D0400">
      <w:r>
        <w:t xml:space="preserve">Given the low number of patients in both RCTs and the lack of follow-up data regarding outcomes after SEMS insertion, a systematic review of clinical studies and case series by Khot et al (2002) was used to form the basis of the transitions through the model. This study was chosen because individual outcomes were clearly identified from the data presented. A second systematic review by Watt et al (2007) was considered, but the information presented was difficult to interpret within the model framework.  </w:t>
      </w:r>
    </w:p>
    <w:p w:rsidR="00F71B25" w:rsidRDefault="00F71B25" w:rsidP="005D0400">
      <w:r>
        <w:t>Technical success was achieved in 551 of 598 patients (92%) and clinical success was achieved in 525 patients (88%)</w:t>
      </w:r>
      <w:r w:rsidR="00221CCE">
        <w:t xml:space="preserve"> </w:t>
      </w:r>
      <w:r>
        <w:t xml:space="preserve">(Khot et al 2002). The probability of clinical success used in the model was 95 per cent, which is the probability of clinical success conditional on technical success. This estimate is similar to the review by Watt et al (2007) that reported a technical success rate of 96 per cent and a clinical success rate of 92 per cent. </w:t>
      </w:r>
    </w:p>
    <w:p w:rsidR="00F71B25" w:rsidRDefault="00F71B25" w:rsidP="005D0400">
      <w:r>
        <w:t xml:space="preserve">Long-term SEMS failure (within 21 weeks) was noted to occur in 20 per cent of patients </w:t>
      </w:r>
      <w:r w:rsidR="006B606B">
        <w:t xml:space="preserve">who </w:t>
      </w:r>
      <w:r>
        <w:t xml:space="preserve">had immediate clinical success (Khot et al 2002). Of these patients, 47 per cent required no further treatment (due to stent migration), 47 per cent required a re-stent (due to migration or perforation) and 6 per cent required a colostomy.  </w:t>
      </w:r>
    </w:p>
    <w:p w:rsidR="00F71B25" w:rsidRDefault="00F71B25" w:rsidP="005D0400">
      <w:pPr>
        <w:pStyle w:val="Heading3"/>
      </w:pPr>
      <w:r>
        <w:t>Mortality</w:t>
      </w:r>
    </w:p>
    <w:p w:rsidR="00F71B25" w:rsidRDefault="00F71B25" w:rsidP="005D0400">
      <w:r>
        <w:t>There w</w:t>
      </w:r>
      <w:r w:rsidR="0077506A">
        <w:t>as</w:t>
      </w:r>
      <w:r>
        <w:t xml:space="preserve"> no statistically significant difference in the median survival of patients reported between the palliative SEMS group (21.4 weeks) and the palliative colostomy group (20.9 weeks) reported in Xinopolous et al (2004). In the model, a median survival time of 21 weeks was applied to both arms.  </w:t>
      </w:r>
    </w:p>
    <w:p w:rsidR="00F71B25" w:rsidRDefault="00F71B25" w:rsidP="005D0400">
      <w:r>
        <w:t xml:space="preserve">The overall mortality rate in the SEMS group was 0.5 per cent, calculated as a total of </w:t>
      </w:r>
      <w:r w:rsidR="0077506A">
        <w:t xml:space="preserve">three </w:t>
      </w:r>
      <w:r>
        <w:t>deaths from 598 SEMS attempted (Khot et al 2002). The probability of death following a colostomy was also included in the model. A value of 12.1 per cent was used to represent death from an emergency surgery, which has been reported in the literature to range from 10 to 20 per cent and can be as high as 30 per cent (Farrell 2007; Katsanos et al 2011; Targownik 2004; Tilney 2007).</w:t>
      </w:r>
    </w:p>
    <w:p w:rsidR="00F71B25" w:rsidRDefault="00F71B25" w:rsidP="005D0400">
      <w:pPr>
        <w:pStyle w:val="Heading3"/>
      </w:pPr>
      <w:r>
        <w:t>Length of hospital stay</w:t>
      </w:r>
    </w:p>
    <w:p w:rsidR="00F71B25" w:rsidRDefault="00F71B25" w:rsidP="005D0400">
      <w:r>
        <w:t>Length of hospital stay was statistically different in both studies. Fiori et al (2004) reported a median hospital stay of 2.6 days after SEMS insertion compared to 8.1 days for the surgery group (</w:t>
      </w:r>
      <w:r w:rsidRPr="0007443E">
        <w:rPr>
          <w:i/>
        </w:rPr>
        <w:t>p</w:t>
      </w:r>
      <w:r>
        <w:t>&lt;0.001).  Xinopoulos et al (2004) reported a total hospital stay of 28 days (sum of patients) for those undergoing SEMS placement and 60 days for those who underwent colostomy surgery</w:t>
      </w:r>
      <w:r w:rsidR="00293AE8">
        <w:t>;</w:t>
      </w:r>
      <w:r>
        <w:t xml:space="preserve"> however</w:t>
      </w:r>
      <w:r w:rsidR="00293AE8">
        <w:t>,</w:t>
      </w:r>
      <w:r>
        <w:t xml:space="preserve"> no statistically significant results were reported. Therefore, the median hospital stays from Fiori et al (2004) were used in the model. </w:t>
      </w:r>
    </w:p>
    <w:p w:rsidR="00F71B25" w:rsidRDefault="00F71B25" w:rsidP="005D0400">
      <w:pPr>
        <w:pStyle w:val="Heading3"/>
      </w:pPr>
      <w:r>
        <w:lastRenderedPageBreak/>
        <w:t>Complications</w:t>
      </w:r>
    </w:p>
    <w:p w:rsidR="00F71B25" w:rsidRDefault="00F71B25" w:rsidP="005D0400">
      <w:r>
        <w:t>In the colostomy arm, it was assumed that 25 per cent of patients would experience complications that would require an additional two days of hospitalisation. This figure is derived from Varadarajulu et al (2011)</w:t>
      </w:r>
      <w:r w:rsidR="00293AE8">
        <w:t>,</w:t>
      </w:r>
      <w:r>
        <w:t xml:space="preserve"> in which no patient who underwent stenting required readmission for a complication</w:t>
      </w:r>
      <w:r w:rsidR="00293AE8">
        <w:t>;</w:t>
      </w:r>
      <w:r>
        <w:t xml:space="preserve"> however</w:t>
      </w:r>
      <w:r w:rsidR="00293AE8">
        <w:t>,</w:t>
      </w:r>
      <w:r>
        <w:t xml:space="preserve"> 25 per cent of patients who received surgery did require readmission (</w:t>
      </w:r>
      <w:r w:rsidRPr="0007443E">
        <w:rPr>
          <w:i/>
        </w:rPr>
        <w:t>p</w:t>
      </w:r>
      <w:r>
        <w:t xml:space="preserve">=0.019). </w:t>
      </w:r>
    </w:p>
    <w:p w:rsidR="00F71B25" w:rsidRDefault="00F71B25" w:rsidP="005D0400">
      <w:pPr>
        <w:pStyle w:val="Heading3"/>
      </w:pPr>
      <w:r>
        <w:t>Utility</w:t>
      </w:r>
    </w:p>
    <w:p w:rsidR="00F71B25" w:rsidRDefault="00F71B25" w:rsidP="005D0400">
      <w:r>
        <w:t xml:space="preserve">The model incorporates quality of life into the model by assigning a utility of zero for those who immediately die from the surgical procedure. For those who survive and are treated with palliation, the utility value of 0.25 was assigned to both groups. This value was accrued over the estimated survival of 21 weeks in both arms. The utility value was </w:t>
      </w:r>
      <w:r w:rsidR="00ED58BC">
        <w:t xml:space="preserve">sourced </w:t>
      </w:r>
      <w:r>
        <w:t>from</w:t>
      </w:r>
      <w:r w:rsidR="00ED58BC">
        <w:t xml:space="preserve"> Ness et al (1999)</w:t>
      </w:r>
      <w:r>
        <w:t>, which represen</w:t>
      </w:r>
      <w:r w:rsidR="00ED58BC">
        <w:t>t</w:t>
      </w:r>
      <w:r>
        <w:t xml:space="preserve"> stage IV metastatic/unresectable colorectal cancer. </w:t>
      </w:r>
    </w:p>
    <w:p w:rsidR="00F71B25" w:rsidRDefault="00F71B25" w:rsidP="005D0400">
      <w:pPr>
        <w:pStyle w:val="Heading2"/>
      </w:pPr>
      <w:bookmarkStart w:id="239" w:name="_Toc352924435"/>
      <w:r>
        <w:t>Cost-effectiveness results</w:t>
      </w:r>
      <w:bookmarkEnd w:id="239"/>
    </w:p>
    <w:p w:rsidR="00F71B25" w:rsidRDefault="00F71B25" w:rsidP="005D0400">
      <w:r>
        <w:t>For the base case analysis the total cost of a SEMS procedure was estimated to be $17,809. This value includes the costs of palliation and the cost of colostomy for those with SEMS failure. The total average cost for patients that received a colostomy was estimated to be $20,516.</w:t>
      </w:r>
      <w:r w:rsidR="00281B7D">
        <w:t xml:space="preserve"> </w:t>
      </w:r>
      <w:r>
        <w:t xml:space="preserve">This represents a cost savings of $2,707 with SEMS instead of colostomy when used for palliation. </w:t>
      </w:r>
    </w:p>
    <w:p w:rsidR="00F71B25" w:rsidRDefault="00F71B25" w:rsidP="005D0400">
      <w:r>
        <w:t xml:space="preserve">The estimated average patient receiving a SEMS would gain 0.099 QALYs compared to 0.089 QALYs in the colostomy group. This yields an incremental benefit of 0.010 QALYs per patient. This benefit is due to </w:t>
      </w:r>
      <w:r w:rsidR="00E32954">
        <w:t xml:space="preserve">the </w:t>
      </w:r>
      <w:r>
        <w:t xml:space="preserve">difference in mortality rates following SEMS insertion and colostomy. </w:t>
      </w:r>
    </w:p>
    <w:p w:rsidR="00F71B25" w:rsidRDefault="00F71B25" w:rsidP="005D0400">
      <w:r>
        <w:t>In terms of cost-effectiveness, SEMS dominated colostomy. In other words</w:t>
      </w:r>
      <w:r w:rsidR="00E32954">
        <w:t>,</w:t>
      </w:r>
      <w:r>
        <w:t xml:space="preserve"> it provide</w:t>
      </w:r>
      <w:r w:rsidR="00E32954">
        <w:t>d</w:t>
      </w:r>
      <w:r>
        <w:t xml:space="preserve"> additional benefit at lower costs (</w:t>
      </w:r>
      <w:r w:rsidR="006F654A">
        <w:t xml:space="preserve">See </w:t>
      </w:r>
      <w:r w:rsidR="002F60E7">
        <w:fldChar w:fldCharType="begin"/>
      </w:r>
      <w:r w:rsidR="002F60E7">
        <w:instrText xml:space="preserve"> REF _Ref324950137 \h </w:instrText>
      </w:r>
      <w:r w:rsidR="002F60E7">
        <w:fldChar w:fldCharType="separate"/>
      </w:r>
      <w:r w:rsidR="0071544A">
        <w:t xml:space="preserve">Table </w:t>
      </w:r>
      <w:r w:rsidR="0071544A">
        <w:rPr>
          <w:noProof/>
        </w:rPr>
        <w:t>58</w:t>
      </w:r>
      <w:r w:rsidR="002F60E7">
        <w:fldChar w:fldCharType="end"/>
      </w:r>
      <w:r>
        <w:t>).</w:t>
      </w:r>
    </w:p>
    <w:p w:rsidR="005D0400" w:rsidRPr="005D0400" w:rsidRDefault="002F60E7" w:rsidP="002F60E7">
      <w:pPr>
        <w:pStyle w:val="Caption"/>
      </w:pPr>
      <w:bookmarkStart w:id="240" w:name="_Ref324950137"/>
      <w:bookmarkStart w:id="241" w:name="_Toc327522102"/>
      <w:r>
        <w:t xml:space="preserve">Table </w:t>
      </w:r>
      <w:fldSimple w:instr=" SEQ Table \* ARABIC ">
        <w:r w:rsidR="0071544A">
          <w:rPr>
            <w:noProof/>
          </w:rPr>
          <w:t>58</w:t>
        </w:r>
      </w:fldSimple>
      <w:bookmarkEnd w:id="240"/>
      <w:r w:rsidR="003F3CA9">
        <w:tab/>
      </w:r>
      <w:r w:rsidR="005D0400" w:rsidRPr="005D0400">
        <w:t>Summary of cost-effectiveness analysis for palliation (stent vs colostomy)</w:t>
      </w:r>
      <w:bookmarkEnd w:id="241"/>
    </w:p>
    <w:tbl>
      <w:tblPr>
        <w:tblW w:w="8414" w:type="dxa"/>
        <w:tblInd w:w="720" w:type="dxa"/>
        <w:tblBorders>
          <w:top w:val="single" w:sz="12" w:space="0" w:color="auto"/>
          <w:bottom w:val="single" w:sz="12" w:space="0" w:color="auto"/>
        </w:tblBorders>
        <w:tblLayout w:type="fixed"/>
        <w:tblLook w:val="00A0" w:firstRow="1" w:lastRow="0" w:firstColumn="1" w:lastColumn="0" w:noHBand="0" w:noVBand="0"/>
      </w:tblPr>
      <w:tblGrid>
        <w:gridCol w:w="1122"/>
        <w:gridCol w:w="1418"/>
        <w:gridCol w:w="1842"/>
        <w:gridCol w:w="851"/>
        <w:gridCol w:w="1984"/>
        <w:gridCol w:w="1197"/>
      </w:tblGrid>
      <w:tr w:rsidR="005D0400" w:rsidRPr="00C605D6" w:rsidTr="00ED3C73">
        <w:trPr>
          <w:trHeight w:val="300"/>
        </w:trPr>
        <w:tc>
          <w:tcPr>
            <w:tcW w:w="1122" w:type="dxa"/>
            <w:tcBorders>
              <w:top w:val="single" w:sz="12" w:space="0" w:color="auto"/>
              <w:bottom w:val="single" w:sz="4" w:space="0" w:color="auto"/>
            </w:tcBorders>
            <w:noWrap/>
            <w:vAlign w:val="bottom"/>
          </w:tcPr>
          <w:p w:rsidR="005D0400" w:rsidRPr="00C605D6" w:rsidRDefault="005D0400" w:rsidP="00275F6A">
            <w:pPr>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418" w:type="dxa"/>
            <w:tcBorders>
              <w:top w:val="single" w:sz="12" w:space="0" w:color="auto"/>
              <w:bottom w:val="single" w:sz="4" w:space="0" w:color="auto"/>
            </w:tcBorders>
            <w:noWrap/>
            <w:vAlign w:val="bottom"/>
          </w:tcPr>
          <w:p w:rsidR="005D0400" w:rsidRPr="00C605D6" w:rsidRDefault="005D0400" w:rsidP="00ED3C73">
            <w:pPr>
              <w:pStyle w:val="TableHeading0"/>
              <w:jc w:val="center"/>
            </w:pPr>
            <w:r w:rsidRPr="00C605D6">
              <w:t xml:space="preserve">Average </w:t>
            </w:r>
            <w:r w:rsidR="00E32954" w:rsidRPr="00C605D6">
              <w:t>c</w:t>
            </w:r>
            <w:r w:rsidRPr="00C605D6">
              <w:t>ost</w:t>
            </w:r>
          </w:p>
        </w:tc>
        <w:tc>
          <w:tcPr>
            <w:tcW w:w="1842" w:type="dxa"/>
            <w:tcBorders>
              <w:top w:val="single" w:sz="12" w:space="0" w:color="auto"/>
              <w:bottom w:val="single" w:sz="4" w:space="0" w:color="auto"/>
            </w:tcBorders>
            <w:noWrap/>
            <w:vAlign w:val="bottom"/>
          </w:tcPr>
          <w:p w:rsidR="005D0400" w:rsidRPr="00C605D6" w:rsidRDefault="005D0400" w:rsidP="00ED3C73">
            <w:pPr>
              <w:pStyle w:val="TableHeading0"/>
              <w:jc w:val="center"/>
            </w:pPr>
            <w:r w:rsidRPr="00C605D6">
              <w:t xml:space="preserve">Incremental </w:t>
            </w:r>
            <w:r w:rsidR="00E32954" w:rsidRPr="00C605D6">
              <w:t>c</w:t>
            </w:r>
            <w:r w:rsidRPr="00C605D6">
              <w:t>ost</w:t>
            </w:r>
          </w:p>
        </w:tc>
        <w:tc>
          <w:tcPr>
            <w:tcW w:w="851" w:type="dxa"/>
            <w:tcBorders>
              <w:top w:val="single" w:sz="12" w:space="0" w:color="auto"/>
              <w:bottom w:val="single" w:sz="4" w:space="0" w:color="auto"/>
            </w:tcBorders>
            <w:vAlign w:val="bottom"/>
          </w:tcPr>
          <w:p w:rsidR="005D0400" w:rsidRPr="00C605D6" w:rsidRDefault="005D0400" w:rsidP="00ED3C73">
            <w:pPr>
              <w:pStyle w:val="TableHeading0"/>
              <w:jc w:val="center"/>
            </w:pPr>
            <w:r w:rsidRPr="00C605D6">
              <w:t>QALYs</w:t>
            </w:r>
          </w:p>
        </w:tc>
        <w:tc>
          <w:tcPr>
            <w:tcW w:w="1984" w:type="dxa"/>
            <w:tcBorders>
              <w:top w:val="single" w:sz="12" w:space="0" w:color="auto"/>
              <w:bottom w:val="single" w:sz="4" w:space="0" w:color="auto"/>
            </w:tcBorders>
            <w:vAlign w:val="bottom"/>
          </w:tcPr>
          <w:p w:rsidR="005D0400" w:rsidRPr="00C605D6" w:rsidRDefault="005D0400" w:rsidP="00ED3C73">
            <w:pPr>
              <w:pStyle w:val="TableHeading0"/>
              <w:jc w:val="center"/>
            </w:pPr>
            <w:r w:rsidRPr="00C605D6">
              <w:t>Incremental QALYs</w:t>
            </w:r>
          </w:p>
        </w:tc>
        <w:tc>
          <w:tcPr>
            <w:tcW w:w="1197" w:type="dxa"/>
            <w:tcBorders>
              <w:top w:val="single" w:sz="12" w:space="0" w:color="auto"/>
              <w:bottom w:val="single" w:sz="4" w:space="0" w:color="auto"/>
            </w:tcBorders>
            <w:vAlign w:val="bottom"/>
          </w:tcPr>
          <w:p w:rsidR="005D0400" w:rsidRPr="00C605D6" w:rsidRDefault="005D0400" w:rsidP="00ED3C73">
            <w:pPr>
              <w:pStyle w:val="TableHeading0"/>
              <w:jc w:val="center"/>
            </w:pPr>
            <w:r w:rsidRPr="00C605D6">
              <w:t>ICER</w:t>
            </w:r>
          </w:p>
        </w:tc>
      </w:tr>
      <w:tr w:rsidR="005D0400" w:rsidRPr="00C605D6" w:rsidTr="00ED3C73">
        <w:trPr>
          <w:trHeight w:val="227"/>
        </w:trPr>
        <w:tc>
          <w:tcPr>
            <w:tcW w:w="1122" w:type="dxa"/>
            <w:tcBorders>
              <w:top w:val="single" w:sz="4" w:space="0" w:color="auto"/>
            </w:tcBorders>
            <w:noWrap/>
            <w:vAlign w:val="bottom"/>
          </w:tcPr>
          <w:p w:rsidR="005D0400" w:rsidRPr="00C605D6" w:rsidRDefault="005D0400" w:rsidP="005D0400">
            <w:pPr>
              <w:pStyle w:val="TableText0"/>
              <w:rPr>
                <w:lang w:val="en-US"/>
              </w:rPr>
            </w:pPr>
            <w:r w:rsidRPr="00C605D6">
              <w:rPr>
                <w:lang w:val="en-US"/>
              </w:rPr>
              <w:t>Stent</w:t>
            </w:r>
          </w:p>
        </w:tc>
        <w:tc>
          <w:tcPr>
            <w:tcW w:w="1418" w:type="dxa"/>
            <w:tcBorders>
              <w:top w:val="single" w:sz="4" w:space="0" w:color="auto"/>
            </w:tcBorders>
            <w:noWrap/>
            <w:vAlign w:val="bottom"/>
          </w:tcPr>
          <w:p w:rsidR="005D0400" w:rsidRPr="00C605D6" w:rsidRDefault="005D0400" w:rsidP="00ED3C73">
            <w:pPr>
              <w:pStyle w:val="TableText0"/>
              <w:jc w:val="right"/>
              <w:rPr>
                <w:lang w:val="en-US"/>
              </w:rPr>
            </w:pPr>
            <w:r w:rsidRPr="00C605D6">
              <w:rPr>
                <w:lang w:val="en-US"/>
              </w:rPr>
              <w:t>$17,809</w:t>
            </w:r>
          </w:p>
        </w:tc>
        <w:tc>
          <w:tcPr>
            <w:tcW w:w="1842" w:type="dxa"/>
            <w:tcBorders>
              <w:top w:val="single" w:sz="4" w:space="0" w:color="auto"/>
            </w:tcBorders>
            <w:noWrap/>
            <w:vAlign w:val="bottom"/>
          </w:tcPr>
          <w:p w:rsidR="005D0400" w:rsidRPr="00C605D6" w:rsidRDefault="005D0400" w:rsidP="00ED3C73">
            <w:pPr>
              <w:pStyle w:val="TableText0"/>
              <w:jc w:val="right"/>
              <w:rPr>
                <w:lang w:val="en-US"/>
              </w:rPr>
            </w:pPr>
          </w:p>
        </w:tc>
        <w:tc>
          <w:tcPr>
            <w:tcW w:w="851" w:type="dxa"/>
            <w:tcBorders>
              <w:top w:val="single" w:sz="4" w:space="0" w:color="auto"/>
            </w:tcBorders>
            <w:vAlign w:val="bottom"/>
          </w:tcPr>
          <w:p w:rsidR="005D0400" w:rsidRPr="00C605D6" w:rsidRDefault="005D0400" w:rsidP="00ED3C73">
            <w:pPr>
              <w:pStyle w:val="TableText0"/>
              <w:jc w:val="right"/>
              <w:rPr>
                <w:lang w:val="en-US"/>
              </w:rPr>
            </w:pPr>
            <w:r w:rsidRPr="00C605D6">
              <w:rPr>
                <w:lang w:val="en-US"/>
              </w:rPr>
              <w:t>0.099</w:t>
            </w:r>
          </w:p>
        </w:tc>
        <w:tc>
          <w:tcPr>
            <w:tcW w:w="1984" w:type="dxa"/>
            <w:tcBorders>
              <w:top w:val="single" w:sz="4" w:space="0" w:color="auto"/>
            </w:tcBorders>
            <w:vAlign w:val="bottom"/>
          </w:tcPr>
          <w:p w:rsidR="005D0400" w:rsidRPr="00C605D6" w:rsidRDefault="005D0400" w:rsidP="00ED3C73">
            <w:pPr>
              <w:pStyle w:val="TableText0"/>
              <w:jc w:val="right"/>
              <w:rPr>
                <w:lang w:val="en-US"/>
              </w:rPr>
            </w:pPr>
          </w:p>
        </w:tc>
        <w:tc>
          <w:tcPr>
            <w:tcW w:w="1197" w:type="dxa"/>
            <w:tcBorders>
              <w:top w:val="single" w:sz="4" w:space="0" w:color="auto"/>
            </w:tcBorders>
            <w:vAlign w:val="bottom"/>
          </w:tcPr>
          <w:p w:rsidR="005D0400" w:rsidRPr="00C605D6" w:rsidRDefault="005D0400" w:rsidP="00ED3C73">
            <w:pPr>
              <w:pStyle w:val="TableText0"/>
              <w:jc w:val="center"/>
              <w:rPr>
                <w:lang w:val="en-US"/>
              </w:rPr>
            </w:pPr>
          </w:p>
        </w:tc>
      </w:tr>
      <w:tr w:rsidR="005D0400" w:rsidRPr="00C605D6" w:rsidTr="00ED3C73">
        <w:trPr>
          <w:trHeight w:val="227"/>
        </w:trPr>
        <w:tc>
          <w:tcPr>
            <w:tcW w:w="1122" w:type="dxa"/>
            <w:noWrap/>
            <w:vAlign w:val="bottom"/>
          </w:tcPr>
          <w:p w:rsidR="005D0400" w:rsidRPr="00C605D6" w:rsidRDefault="005D0400" w:rsidP="005D0400">
            <w:pPr>
              <w:pStyle w:val="TableText0"/>
              <w:rPr>
                <w:lang w:val="en-US"/>
              </w:rPr>
            </w:pPr>
            <w:r w:rsidRPr="00C605D6">
              <w:rPr>
                <w:lang w:val="en-US"/>
              </w:rPr>
              <w:t>Colostomy</w:t>
            </w:r>
          </w:p>
        </w:tc>
        <w:tc>
          <w:tcPr>
            <w:tcW w:w="1418" w:type="dxa"/>
            <w:noWrap/>
            <w:vAlign w:val="bottom"/>
          </w:tcPr>
          <w:p w:rsidR="005D0400" w:rsidRPr="00C605D6" w:rsidRDefault="005D0400" w:rsidP="00ED3C73">
            <w:pPr>
              <w:pStyle w:val="TableText0"/>
              <w:jc w:val="right"/>
              <w:rPr>
                <w:lang w:val="en-US"/>
              </w:rPr>
            </w:pPr>
            <w:r w:rsidRPr="00C605D6">
              <w:rPr>
                <w:lang w:val="en-US"/>
              </w:rPr>
              <w:t>$20,516</w:t>
            </w:r>
          </w:p>
        </w:tc>
        <w:tc>
          <w:tcPr>
            <w:tcW w:w="1842" w:type="dxa"/>
            <w:noWrap/>
            <w:vAlign w:val="bottom"/>
          </w:tcPr>
          <w:p w:rsidR="005D0400" w:rsidRPr="00C605D6" w:rsidRDefault="005D0400" w:rsidP="00ED3C73">
            <w:pPr>
              <w:pStyle w:val="TableText0"/>
              <w:jc w:val="right"/>
              <w:rPr>
                <w:lang w:val="en-US"/>
              </w:rPr>
            </w:pPr>
            <w:r w:rsidRPr="00C605D6">
              <w:rPr>
                <w:lang w:val="en-US"/>
              </w:rPr>
              <w:t>-$2,707</w:t>
            </w:r>
          </w:p>
        </w:tc>
        <w:tc>
          <w:tcPr>
            <w:tcW w:w="851" w:type="dxa"/>
            <w:vAlign w:val="bottom"/>
          </w:tcPr>
          <w:p w:rsidR="005D0400" w:rsidRPr="00C605D6" w:rsidRDefault="005D0400" w:rsidP="00ED3C73">
            <w:pPr>
              <w:pStyle w:val="TableText0"/>
              <w:jc w:val="right"/>
              <w:rPr>
                <w:lang w:val="en-US"/>
              </w:rPr>
            </w:pPr>
            <w:r w:rsidRPr="00C605D6">
              <w:rPr>
                <w:lang w:val="en-US"/>
              </w:rPr>
              <w:t>0.089</w:t>
            </w:r>
          </w:p>
        </w:tc>
        <w:tc>
          <w:tcPr>
            <w:tcW w:w="1984" w:type="dxa"/>
            <w:vAlign w:val="bottom"/>
          </w:tcPr>
          <w:p w:rsidR="005D0400" w:rsidRPr="00C605D6" w:rsidRDefault="005D0400" w:rsidP="00ED3C73">
            <w:pPr>
              <w:pStyle w:val="TableText0"/>
              <w:jc w:val="right"/>
              <w:rPr>
                <w:lang w:val="en-US"/>
              </w:rPr>
            </w:pPr>
            <w:r w:rsidRPr="00C605D6">
              <w:rPr>
                <w:lang w:val="en-US"/>
              </w:rPr>
              <w:t>0.010</w:t>
            </w:r>
          </w:p>
        </w:tc>
        <w:tc>
          <w:tcPr>
            <w:tcW w:w="1197" w:type="dxa"/>
            <w:vAlign w:val="bottom"/>
          </w:tcPr>
          <w:p w:rsidR="005D0400" w:rsidRPr="00C605D6" w:rsidRDefault="005D0400" w:rsidP="00ED3C73">
            <w:pPr>
              <w:pStyle w:val="TableText0"/>
              <w:jc w:val="center"/>
              <w:rPr>
                <w:lang w:val="en-US"/>
              </w:rPr>
            </w:pPr>
            <w:r w:rsidRPr="00C605D6">
              <w:rPr>
                <w:lang w:val="en-US"/>
              </w:rPr>
              <w:t>Dominated</w:t>
            </w:r>
          </w:p>
        </w:tc>
      </w:tr>
    </w:tbl>
    <w:p w:rsidR="005D0400" w:rsidRPr="007D3B25" w:rsidRDefault="00ED3C73" w:rsidP="0007443E">
      <w:pPr>
        <w:pStyle w:val="TableNotes"/>
        <w:rPr>
          <w:lang w:val="en-AU"/>
        </w:rPr>
      </w:pPr>
      <w:r>
        <w:rPr>
          <w:lang w:val="en-AU"/>
        </w:rPr>
        <w:t xml:space="preserve">ICER: Incremental cost-effectiveness ratio; </w:t>
      </w:r>
      <w:r w:rsidR="0079315D">
        <w:t>QALY: Quality-adjusted life year</w:t>
      </w:r>
      <w:r>
        <w:rPr>
          <w:lang w:val="en-AU"/>
        </w:rPr>
        <w:t>.</w:t>
      </w:r>
    </w:p>
    <w:p w:rsidR="00F71B25" w:rsidRDefault="00F71B25" w:rsidP="005D0400">
      <w:pPr>
        <w:pStyle w:val="Heading3"/>
      </w:pPr>
      <w:r>
        <w:t>Sensitivity analysis</w:t>
      </w:r>
    </w:p>
    <w:p w:rsidR="00F71B25" w:rsidRDefault="00F71B25" w:rsidP="005D0400">
      <w:r>
        <w:t>A univariate sensitivity analysis was conducted to test the robustness of the model and identify the parameters that were driving the results of the model. The parameters were tested using a confidence interval if available and if unavailable the estimate was increased and decreased by 50 per cent (</w:t>
      </w:r>
      <w:r w:rsidR="006F654A">
        <w:t xml:space="preserve">See </w:t>
      </w:r>
      <w:r w:rsidR="0020437A">
        <w:fldChar w:fldCharType="begin"/>
      </w:r>
      <w:r w:rsidR="0020437A">
        <w:instrText xml:space="preserve"> REF _Ref326525050 \h </w:instrText>
      </w:r>
      <w:r w:rsidR="0020437A">
        <w:fldChar w:fldCharType="separate"/>
      </w:r>
      <w:r w:rsidR="0071544A">
        <w:t xml:space="preserve">Table </w:t>
      </w:r>
      <w:r w:rsidR="0071544A">
        <w:rPr>
          <w:noProof/>
        </w:rPr>
        <w:t>59</w:t>
      </w:r>
      <w:r w:rsidR="0020437A">
        <w:fldChar w:fldCharType="end"/>
      </w:r>
      <w:r>
        <w:t>).  The results of the sensitivity analysis follow in</w:t>
      </w:r>
      <w:r w:rsidR="002F60E7">
        <w:t xml:space="preserve"> </w:t>
      </w:r>
      <w:r w:rsidR="002F60E7">
        <w:fldChar w:fldCharType="begin"/>
      </w:r>
      <w:r w:rsidR="002F60E7">
        <w:instrText xml:space="preserve"> REF _Ref324950205 \h </w:instrText>
      </w:r>
      <w:r w:rsidR="002F60E7">
        <w:fldChar w:fldCharType="separate"/>
      </w:r>
      <w:r w:rsidR="0071544A">
        <w:t xml:space="preserve">Figure </w:t>
      </w:r>
      <w:r w:rsidR="0071544A">
        <w:rPr>
          <w:noProof/>
        </w:rPr>
        <w:t>9</w:t>
      </w:r>
      <w:r w:rsidR="002F60E7">
        <w:fldChar w:fldCharType="end"/>
      </w:r>
      <w:r>
        <w:t xml:space="preserve">. The vertical axis on the graph represents the incremental cost of SEMS insertion relative to colostomy (in this case it is cost saving). The bars to the left of the vertical axis represent a larger cost-saving (SEMS insertion relative to colostomy) and the bars to the right represent a reduction in the cost-saving (or more costly when past the $0 line). </w:t>
      </w:r>
      <w:r w:rsidR="002F60E7">
        <w:fldChar w:fldCharType="begin"/>
      </w:r>
      <w:r w:rsidR="002F60E7">
        <w:instrText xml:space="preserve"> REF _Ref324950205 \h </w:instrText>
      </w:r>
      <w:r w:rsidR="002F60E7">
        <w:fldChar w:fldCharType="separate"/>
      </w:r>
      <w:r w:rsidR="0071544A">
        <w:t xml:space="preserve">Figure </w:t>
      </w:r>
      <w:r w:rsidR="0071544A">
        <w:rPr>
          <w:noProof/>
        </w:rPr>
        <w:t>9</w:t>
      </w:r>
      <w:r w:rsidR="002F60E7">
        <w:fldChar w:fldCharType="end"/>
      </w:r>
      <w:r w:rsidR="002F60E7">
        <w:t xml:space="preserve"> </w:t>
      </w:r>
      <w:r>
        <w:t xml:space="preserve">only displays those parameters in which the SEMS </w:t>
      </w:r>
      <w:r>
        <w:lastRenderedPageBreak/>
        <w:t>procedure becomes more costly than a colostomy. The other parameters have little impact on the model. A full list of all of the variables can be found in</w:t>
      </w:r>
      <w:r w:rsidR="006139A8">
        <w:t xml:space="preserve"> Appendix </w:t>
      </w:r>
      <w:r w:rsidR="00F76B65">
        <w:t>J</w:t>
      </w:r>
      <w:r w:rsidR="008A00E9">
        <w:t>.</w:t>
      </w:r>
    </w:p>
    <w:p w:rsidR="00275F6A" w:rsidRDefault="002F60E7" w:rsidP="002F60E7">
      <w:pPr>
        <w:pStyle w:val="Caption"/>
      </w:pPr>
      <w:bookmarkStart w:id="242" w:name="_Ref324950205"/>
      <w:bookmarkStart w:id="243" w:name="_Ref324950176"/>
      <w:bookmarkStart w:id="244" w:name="_Toc327522132"/>
      <w:r>
        <w:t xml:space="preserve">Figure </w:t>
      </w:r>
      <w:r>
        <w:fldChar w:fldCharType="begin"/>
      </w:r>
      <w:r>
        <w:instrText xml:space="preserve"> SEQ Figure \* ARABIC </w:instrText>
      </w:r>
      <w:r>
        <w:fldChar w:fldCharType="separate"/>
      </w:r>
      <w:proofErr w:type="gramStart"/>
      <w:r w:rsidR="0071544A">
        <w:rPr>
          <w:noProof/>
        </w:rPr>
        <w:t>9</w:t>
      </w:r>
      <w:r>
        <w:fldChar w:fldCharType="end"/>
      </w:r>
      <w:bookmarkEnd w:id="242"/>
      <w:r w:rsidR="00275F6A">
        <w:tab/>
        <w:t>One-way sensitivity analysis</w:t>
      </w:r>
      <w:proofErr w:type="gramEnd"/>
      <w:r w:rsidR="00275F6A">
        <w:t xml:space="preserve"> (SEMS vs. colostomy)</w:t>
      </w:r>
      <w:bookmarkEnd w:id="243"/>
      <w:bookmarkEnd w:id="244"/>
    </w:p>
    <w:p w:rsidR="00ED58BC" w:rsidRDefault="00516B5D" w:rsidP="00275F6A">
      <w:r>
        <w:rPr>
          <w:noProof/>
        </w:rPr>
        <w:drawing>
          <wp:inline distT="0" distB="0" distL="0" distR="0" wp14:anchorId="63D24A48" wp14:editId="157891E9">
            <wp:extent cx="5172075" cy="3378200"/>
            <wp:effectExtent l="0" t="0" r="9525" b="0"/>
            <wp:docPr id="1772" name="Picture 1772" title="Figure 9 One-way sensitivity analysis (SEMS vs. colos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72075" cy="3378200"/>
                    </a:xfrm>
                    <a:prstGeom prst="rect">
                      <a:avLst/>
                    </a:prstGeom>
                    <a:noFill/>
                  </pic:spPr>
                </pic:pic>
              </a:graphicData>
            </a:graphic>
          </wp:inline>
        </w:drawing>
      </w:r>
    </w:p>
    <w:p w:rsidR="00ED58BC" w:rsidRPr="00ED58BC" w:rsidRDefault="00ED58BC" w:rsidP="00ED58BC">
      <w:pPr>
        <w:keepNext/>
        <w:rPr>
          <w:rFonts w:ascii="Arial Narrow" w:hAnsi="Arial Narrow"/>
          <w:bCs/>
          <w:sz w:val="16"/>
          <w:szCs w:val="16"/>
        </w:rPr>
      </w:pPr>
      <w:r w:rsidRPr="00ED58BC">
        <w:rPr>
          <w:rFonts w:ascii="Arial Narrow" w:hAnsi="Arial Narrow"/>
          <w:bCs/>
          <w:sz w:val="16"/>
          <w:szCs w:val="16"/>
        </w:rPr>
        <w:t>ICER: Incremental cost-effectiveness ratio; QALY: Quality adjusted life year</w:t>
      </w:r>
    </w:p>
    <w:p w:rsidR="00F71B25" w:rsidRDefault="00F71B25" w:rsidP="00275F6A">
      <w:r>
        <w:t xml:space="preserve">Based on the sensitivity analysis, it can be seen that the efficacy of the SEMS procedure (both technical and clinical success) is a main driver in the model. Also, the overall cost of SEMS and the LOS for insertion of SEMS also influence the overall results. </w:t>
      </w:r>
    </w:p>
    <w:p w:rsidR="00F71B25" w:rsidRDefault="00F71B25" w:rsidP="00275F6A">
      <w:r>
        <w:t>The critical point in which the parameter causes SEMS to be more costly than a colostomy (in other words when the cost per QALY = $0) can be seen in</w:t>
      </w:r>
      <w:r w:rsidR="006430D4">
        <w:t xml:space="preserve"> </w:t>
      </w:r>
      <w:r w:rsidR="006430D4">
        <w:fldChar w:fldCharType="begin"/>
      </w:r>
      <w:r w:rsidR="006430D4">
        <w:instrText xml:space="preserve"> REF _Ref326525050 \h </w:instrText>
      </w:r>
      <w:r w:rsidR="006430D4">
        <w:fldChar w:fldCharType="separate"/>
      </w:r>
      <w:r w:rsidR="0071544A">
        <w:t xml:space="preserve">Table </w:t>
      </w:r>
      <w:r w:rsidR="0071544A">
        <w:rPr>
          <w:noProof/>
        </w:rPr>
        <w:t>59</w:t>
      </w:r>
      <w:r w:rsidR="006430D4">
        <w:fldChar w:fldCharType="end"/>
      </w:r>
      <w:r>
        <w:t>. For example</w:t>
      </w:r>
      <w:r w:rsidR="006430D4">
        <w:t>,</w:t>
      </w:r>
      <w:r>
        <w:t xml:space="preserve"> when the technical (clinical) success of the SEMS procedure is below 0.67</w:t>
      </w:r>
      <w:r w:rsidR="006430D4">
        <w:t>,</w:t>
      </w:r>
      <w:r>
        <w:t xml:space="preserve"> (0.58) colostomy is the cheaper option. </w:t>
      </w:r>
    </w:p>
    <w:p w:rsidR="00275F6A" w:rsidRPr="00C605D6" w:rsidRDefault="002F60E7" w:rsidP="002F60E7">
      <w:pPr>
        <w:pStyle w:val="Caption"/>
      </w:pPr>
      <w:bookmarkStart w:id="245" w:name="_Ref326525050"/>
      <w:bookmarkStart w:id="246" w:name="_Toc327522103"/>
      <w:r>
        <w:t xml:space="preserve">Table </w:t>
      </w:r>
      <w:fldSimple w:instr=" SEQ Table \* ARABIC ">
        <w:r w:rsidR="0071544A">
          <w:rPr>
            <w:noProof/>
          </w:rPr>
          <w:t>59</w:t>
        </w:r>
      </w:fldSimple>
      <w:bookmarkEnd w:id="245"/>
      <w:r w:rsidR="00275F6A" w:rsidRPr="00C605D6">
        <w:tab/>
        <w:t>Critical point for parameters (Cost SEMS ≥ Cost of colostomy)</w:t>
      </w:r>
      <w:bookmarkEnd w:id="246"/>
    </w:p>
    <w:tbl>
      <w:tblPr>
        <w:tblW w:w="7499" w:type="dxa"/>
        <w:tblInd w:w="829" w:type="dxa"/>
        <w:tblBorders>
          <w:top w:val="single" w:sz="12" w:space="0" w:color="auto"/>
          <w:bottom w:val="single" w:sz="12" w:space="0" w:color="auto"/>
        </w:tblBorders>
        <w:tblLayout w:type="fixed"/>
        <w:tblLook w:val="00A0" w:firstRow="1" w:lastRow="0" w:firstColumn="1" w:lastColumn="0" w:noHBand="0" w:noVBand="0"/>
      </w:tblPr>
      <w:tblGrid>
        <w:gridCol w:w="3957"/>
        <w:gridCol w:w="12"/>
        <w:gridCol w:w="3530"/>
      </w:tblGrid>
      <w:tr w:rsidR="00275F6A" w:rsidRPr="00C605D6" w:rsidTr="00974F80">
        <w:trPr>
          <w:trHeight w:val="461"/>
        </w:trPr>
        <w:tc>
          <w:tcPr>
            <w:tcW w:w="3957" w:type="dxa"/>
            <w:tcBorders>
              <w:top w:val="single" w:sz="12" w:space="0" w:color="auto"/>
              <w:bottom w:val="single" w:sz="4" w:space="0" w:color="auto"/>
            </w:tcBorders>
            <w:noWrap/>
            <w:vAlign w:val="bottom"/>
          </w:tcPr>
          <w:p w:rsidR="00275F6A" w:rsidRPr="00C605D6" w:rsidRDefault="00275F6A" w:rsidP="00275F6A">
            <w:pPr>
              <w:pStyle w:val="TableHeading0"/>
            </w:pPr>
            <w:r w:rsidRPr="00C605D6">
              <w:t>Parameter</w:t>
            </w:r>
          </w:p>
        </w:tc>
        <w:tc>
          <w:tcPr>
            <w:tcW w:w="3542" w:type="dxa"/>
            <w:gridSpan w:val="2"/>
            <w:tcBorders>
              <w:top w:val="single" w:sz="12" w:space="0" w:color="auto"/>
              <w:bottom w:val="single" w:sz="4" w:space="0" w:color="auto"/>
            </w:tcBorders>
            <w:noWrap/>
            <w:vAlign w:val="bottom"/>
          </w:tcPr>
          <w:p w:rsidR="00275F6A" w:rsidRPr="00C605D6" w:rsidRDefault="00275F6A" w:rsidP="00275F6A">
            <w:pPr>
              <w:pStyle w:val="TableHeading0"/>
              <w:rPr>
                <w:bCs/>
              </w:rPr>
            </w:pPr>
            <w:r w:rsidRPr="00C605D6">
              <w:rPr>
                <w:bCs/>
              </w:rPr>
              <w:t>Critical point (SEMS vs</w:t>
            </w:r>
            <w:r w:rsidR="006430D4">
              <w:rPr>
                <w:bCs/>
              </w:rPr>
              <w:t>.</w:t>
            </w:r>
            <w:r w:rsidRPr="00C605D6">
              <w:rPr>
                <w:bCs/>
              </w:rPr>
              <w:t xml:space="preserve"> colostomy)</w:t>
            </w:r>
          </w:p>
        </w:tc>
      </w:tr>
      <w:tr w:rsidR="00275F6A" w:rsidRPr="00C605D6" w:rsidTr="00974F80">
        <w:trPr>
          <w:trHeight w:val="349"/>
        </w:trPr>
        <w:tc>
          <w:tcPr>
            <w:tcW w:w="3969" w:type="dxa"/>
            <w:gridSpan w:val="2"/>
            <w:tcBorders>
              <w:top w:val="single" w:sz="4" w:space="0" w:color="auto"/>
            </w:tcBorders>
            <w:noWrap/>
            <w:vAlign w:val="bottom"/>
          </w:tcPr>
          <w:p w:rsidR="00275F6A" w:rsidRPr="00C605D6" w:rsidRDefault="00275F6A" w:rsidP="00275F6A">
            <w:pPr>
              <w:pStyle w:val="TableText0"/>
              <w:rPr>
                <w:color w:val="000000"/>
                <w:lang w:val="en-US"/>
              </w:rPr>
            </w:pPr>
            <w:r w:rsidRPr="000F3C8B">
              <w:rPr>
                <w:lang w:val="en-AU"/>
              </w:rPr>
              <w:t>Probability of stent technical success</w:t>
            </w:r>
          </w:p>
        </w:tc>
        <w:tc>
          <w:tcPr>
            <w:tcW w:w="3530" w:type="dxa"/>
            <w:tcBorders>
              <w:top w:val="single" w:sz="4" w:space="0" w:color="auto"/>
            </w:tcBorders>
            <w:noWrap/>
            <w:vAlign w:val="bottom"/>
          </w:tcPr>
          <w:p w:rsidR="00275F6A" w:rsidRPr="00C605D6" w:rsidRDefault="00275F6A" w:rsidP="00ED3C73">
            <w:pPr>
              <w:pStyle w:val="TableText0"/>
              <w:jc w:val="right"/>
              <w:rPr>
                <w:color w:val="000000"/>
                <w:lang w:val="en-US"/>
              </w:rPr>
            </w:pPr>
            <w:r w:rsidRPr="000F3C8B">
              <w:rPr>
                <w:lang w:val="en-AU"/>
              </w:rPr>
              <w:t>≤ 0.67</w:t>
            </w:r>
          </w:p>
        </w:tc>
      </w:tr>
      <w:tr w:rsidR="00275F6A" w:rsidRPr="00C605D6" w:rsidTr="00974F80">
        <w:trPr>
          <w:trHeight w:val="349"/>
        </w:trPr>
        <w:tc>
          <w:tcPr>
            <w:tcW w:w="3969" w:type="dxa"/>
            <w:gridSpan w:val="2"/>
            <w:noWrap/>
            <w:vAlign w:val="bottom"/>
          </w:tcPr>
          <w:p w:rsidR="00275F6A" w:rsidRPr="00C605D6" w:rsidRDefault="00275F6A" w:rsidP="00275F6A">
            <w:pPr>
              <w:pStyle w:val="TableText0"/>
              <w:rPr>
                <w:color w:val="000000"/>
                <w:lang w:val="en-US"/>
              </w:rPr>
            </w:pPr>
            <w:r w:rsidRPr="000F3C8B">
              <w:rPr>
                <w:lang w:val="en-AU"/>
              </w:rPr>
              <w:t>Probability of stent clinical success</w:t>
            </w:r>
          </w:p>
        </w:tc>
        <w:tc>
          <w:tcPr>
            <w:tcW w:w="3530" w:type="dxa"/>
            <w:noWrap/>
            <w:vAlign w:val="bottom"/>
          </w:tcPr>
          <w:p w:rsidR="00275F6A" w:rsidRPr="00C605D6" w:rsidRDefault="00275F6A" w:rsidP="00ED3C73">
            <w:pPr>
              <w:pStyle w:val="TableText0"/>
              <w:jc w:val="right"/>
              <w:rPr>
                <w:color w:val="000000"/>
                <w:lang w:val="en-US"/>
              </w:rPr>
            </w:pPr>
            <w:r w:rsidRPr="000F3C8B">
              <w:rPr>
                <w:lang w:val="en-AU"/>
              </w:rPr>
              <w:t>≤ 0.58</w:t>
            </w:r>
          </w:p>
        </w:tc>
      </w:tr>
      <w:tr w:rsidR="00275F6A" w:rsidRPr="00C605D6" w:rsidTr="00974F80">
        <w:trPr>
          <w:trHeight w:val="349"/>
        </w:trPr>
        <w:tc>
          <w:tcPr>
            <w:tcW w:w="3969" w:type="dxa"/>
            <w:gridSpan w:val="2"/>
            <w:noWrap/>
            <w:vAlign w:val="bottom"/>
          </w:tcPr>
          <w:p w:rsidR="00275F6A" w:rsidRPr="00C605D6" w:rsidRDefault="00275F6A" w:rsidP="00275F6A">
            <w:pPr>
              <w:pStyle w:val="TableText0"/>
              <w:rPr>
                <w:color w:val="000000"/>
                <w:lang w:val="en-US"/>
              </w:rPr>
            </w:pPr>
            <w:r w:rsidRPr="000F3C8B">
              <w:rPr>
                <w:lang w:val="en-AU"/>
              </w:rPr>
              <w:t>Length of stay stent</w:t>
            </w:r>
          </w:p>
        </w:tc>
        <w:tc>
          <w:tcPr>
            <w:tcW w:w="3530" w:type="dxa"/>
            <w:noWrap/>
            <w:vAlign w:val="bottom"/>
          </w:tcPr>
          <w:p w:rsidR="00275F6A" w:rsidRPr="00C605D6" w:rsidRDefault="00275F6A" w:rsidP="00ED3C73">
            <w:pPr>
              <w:pStyle w:val="TableText0"/>
              <w:jc w:val="right"/>
              <w:rPr>
                <w:color w:val="000000"/>
                <w:lang w:val="en-US"/>
              </w:rPr>
            </w:pPr>
            <w:r w:rsidRPr="000F3C8B">
              <w:rPr>
                <w:lang w:val="en-AU"/>
              </w:rPr>
              <w:t>≥ 5.84</w:t>
            </w:r>
          </w:p>
        </w:tc>
      </w:tr>
      <w:tr w:rsidR="00275F6A" w:rsidRPr="00C605D6" w:rsidTr="00974F80">
        <w:trPr>
          <w:trHeight w:val="349"/>
        </w:trPr>
        <w:tc>
          <w:tcPr>
            <w:tcW w:w="3969" w:type="dxa"/>
            <w:gridSpan w:val="2"/>
            <w:noWrap/>
            <w:vAlign w:val="bottom"/>
          </w:tcPr>
          <w:p w:rsidR="00275F6A" w:rsidRPr="000F3C8B" w:rsidRDefault="00275F6A" w:rsidP="00275F6A">
            <w:pPr>
              <w:pStyle w:val="TableText0"/>
              <w:rPr>
                <w:lang w:val="en-AU"/>
              </w:rPr>
            </w:pPr>
            <w:r w:rsidRPr="000F3C8B">
              <w:rPr>
                <w:lang w:val="en-AU"/>
              </w:rPr>
              <w:t>Length of stay colostomy</w:t>
            </w:r>
          </w:p>
        </w:tc>
        <w:tc>
          <w:tcPr>
            <w:tcW w:w="3530" w:type="dxa"/>
            <w:noWrap/>
            <w:vAlign w:val="bottom"/>
          </w:tcPr>
          <w:p w:rsidR="00275F6A" w:rsidRPr="00C605D6" w:rsidRDefault="00275F6A" w:rsidP="00ED3C73">
            <w:pPr>
              <w:pStyle w:val="TableText0"/>
              <w:jc w:val="right"/>
              <w:rPr>
                <w:color w:val="000000"/>
                <w:lang w:val="en-US"/>
              </w:rPr>
            </w:pPr>
            <w:r w:rsidRPr="000F3C8B">
              <w:rPr>
                <w:lang w:val="en-AU"/>
              </w:rPr>
              <w:t>≤ 4.55</w:t>
            </w:r>
          </w:p>
        </w:tc>
      </w:tr>
      <w:tr w:rsidR="00275F6A" w:rsidRPr="00C605D6" w:rsidTr="00974F80">
        <w:trPr>
          <w:trHeight w:val="349"/>
        </w:trPr>
        <w:tc>
          <w:tcPr>
            <w:tcW w:w="3969" w:type="dxa"/>
            <w:gridSpan w:val="2"/>
            <w:noWrap/>
            <w:vAlign w:val="bottom"/>
          </w:tcPr>
          <w:p w:rsidR="00275F6A" w:rsidRPr="00C605D6" w:rsidRDefault="00275F6A" w:rsidP="00275F6A">
            <w:pPr>
              <w:pStyle w:val="TableText0"/>
              <w:rPr>
                <w:color w:val="000000"/>
                <w:lang w:val="en-US"/>
              </w:rPr>
            </w:pPr>
            <w:r w:rsidRPr="000F3C8B">
              <w:rPr>
                <w:lang w:val="en-AU"/>
              </w:rPr>
              <w:t>Cost of stent</w:t>
            </w:r>
          </w:p>
        </w:tc>
        <w:tc>
          <w:tcPr>
            <w:tcW w:w="3530" w:type="dxa"/>
            <w:noWrap/>
            <w:vAlign w:val="bottom"/>
          </w:tcPr>
          <w:p w:rsidR="00275F6A" w:rsidRPr="00C605D6" w:rsidRDefault="00275F6A" w:rsidP="00ED3C73">
            <w:pPr>
              <w:pStyle w:val="TableText0"/>
              <w:jc w:val="right"/>
              <w:rPr>
                <w:color w:val="000000"/>
                <w:lang w:val="en-US"/>
              </w:rPr>
            </w:pPr>
            <w:r w:rsidRPr="000F3C8B">
              <w:rPr>
                <w:lang w:val="en-AU"/>
              </w:rPr>
              <w:t>≥ $8,200</w:t>
            </w:r>
          </w:p>
        </w:tc>
      </w:tr>
    </w:tbl>
    <w:p w:rsidR="00275F6A" w:rsidRPr="00C605D6" w:rsidRDefault="008431C2" w:rsidP="00ED3C73">
      <w:pPr>
        <w:pStyle w:val="TableNotes"/>
      </w:pPr>
      <w:r>
        <w:t>SEMS: Self-expanding metallic stent</w:t>
      </w:r>
    </w:p>
    <w:p w:rsidR="00F71B25" w:rsidRDefault="00F71B25" w:rsidP="00275F6A">
      <w:r>
        <w:t xml:space="preserve">The </w:t>
      </w:r>
      <w:r w:rsidRPr="0007443E">
        <w:t>cost</w:t>
      </w:r>
      <w:r>
        <w:t xml:space="preserve"> savings due to reduced length of hospital stay was also a main driver of the model. Holding all other variables constant, if the LOS for SEMS was 5.84 days, the average cost of SEMS (including failure) would be equal to the average cost of </w:t>
      </w:r>
      <w:r>
        <w:lastRenderedPageBreak/>
        <w:t xml:space="preserve">colostomy.  If the LOS based on expert opinion (5 days for SEMS and 10 days for colostomy) was used, SEMS still dominates colostomy. </w:t>
      </w:r>
      <w:r w:rsidR="001E30D2">
        <w:fldChar w:fldCharType="begin"/>
      </w:r>
      <w:r w:rsidR="001E30D2">
        <w:instrText xml:space="preserve"> REF _Ref324950351 \h </w:instrText>
      </w:r>
      <w:r w:rsidR="001E30D2">
        <w:fldChar w:fldCharType="separate"/>
      </w:r>
      <w:r w:rsidR="0071544A">
        <w:t xml:space="preserve">Figure </w:t>
      </w:r>
      <w:r w:rsidR="0071544A">
        <w:rPr>
          <w:noProof/>
        </w:rPr>
        <w:t>10</w:t>
      </w:r>
      <w:r w:rsidR="001E30D2">
        <w:fldChar w:fldCharType="end"/>
      </w:r>
      <w:r w:rsidR="001E30D2">
        <w:t xml:space="preserve"> </w:t>
      </w:r>
      <w:r>
        <w:t>demonstrates the relationship between LOS for SEMS and a colostomy. Given the linear relationship between the two procedures, as long as the LOS for a colostomy is at least 1.3 days greater than the LOS for SEMS, a SEMS is more cost-effective than a colostomy for palliation at a willingness to pay</w:t>
      </w:r>
      <w:r w:rsidR="00687DA4">
        <w:t xml:space="preserve"> (WTP) threshold of</w:t>
      </w:r>
      <w:r>
        <w:t xml:space="preserve"> $50,000 per QALY.  </w:t>
      </w:r>
    </w:p>
    <w:p w:rsidR="00F71B25" w:rsidRDefault="001E30D2" w:rsidP="001E30D2">
      <w:pPr>
        <w:pStyle w:val="Caption"/>
      </w:pPr>
      <w:bookmarkStart w:id="247" w:name="_Ref324950351"/>
      <w:bookmarkStart w:id="248" w:name="_Toc327522133"/>
      <w:r>
        <w:t xml:space="preserve">Figure </w:t>
      </w:r>
      <w:fldSimple w:instr=" SEQ Figure \* ARABIC ">
        <w:r w:rsidR="0071544A">
          <w:rPr>
            <w:noProof/>
          </w:rPr>
          <w:t>10</w:t>
        </w:r>
      </w:fldSimple>
      <w:bookmarkEnd w:id="247"/>
      <w:r w:rsidR="00F71B25">
        <w:tab/>
        <w:t>LOS stent versus LOS colostomy (WTP=$50,000/QALY)</w:t>
      </w:r>
      <w:bookmarkEnd w:id="248"/>
    </w:p>
    <w:p w:rsidR="00F71B25" w:rsidRDefault="00516B5D" w:rsidP="00275F6A">
      <w:pPr>
        <w:ind w:left="0"/>
        <w:jc w:val="center"/>
      </w:pPr>
      <w:r>
        <w:rPr>
          <w:noProof/>
        </w:rPr>
        <w:drawing>
          <wp:inline distT="0" distB="0" distL="0" distR="0" wp14:anchorId="4D8264BF" wp14:editId="1E5FC9B5">
            <wp:extent cx="3423920" cy="2094865"/>
            <wp:effectExtent l="0" t="0" r="5080" b="635"/>
            <wp:docPr id="8" name="Picture 8" title="Figure 10 LOS stent versus LOS colostomy (WTP=$50,000/Q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23920" cy="2094865"/>
                    </a:xfrm>
                    <a:prstGeom prst="rect">
                      <a:avLst/>
                    </a:prstGeom>
                    <a:noFill/>
                    <a:ln>
                      <a:noFill/>
                    </a:ln>
                  </pic:spPr>
                </pic:pic>
              </a:graphicData>
            </a:graphic>
          </wp:inline>
        </w:drawing>
      </w:r>
    </w:p>
    <w:p w:rsidR="00687DA4" w:rsidRPr="00974F80" w:rsidRDefault="007D4B60" w:rsidP="00974F80">
      <w:pPr>
        <w:ind w:left="2268" w:firstLine="567"/>
        <w:rPr>
          <w:rFonts w:ascii="Arial Narrow" w:hAnsi="Arial Narrow"/>
          <w:sz w:val="16"/>
          <w:szCs w:val="16"/>
        </w:rPr>
      </w:pPr>
      <w:r w:rsidRPr="00974F80">
        <w:rPr>
          <w:rFonts w:ascii="Arial Narrow" w:hAnsi="Arial Narrow"/>
          <w:sz w:val="16"/>
          <w:szCs w:val="16"/>
        </w:rPr>
        <w:t>LOS</w:t>
      </w:r>
      <w:r>
        <w:rPr>
          <w:rFonts w:ascii="Arial Narrow" w:hAnsi="Arial Narrow"/>
          <w:sz w:val="16"/>
          <w:szCs w:val="16"/>
        </w:rPr>
        <w:t xml:space="preserve">: Legnth of </w:t>
      </w:r>
      <w:r w:rsidR="00017CD0">
        <w:rPr>
          <w:rFonts w:ascii="Arial Narrow" w:hAnsi="Arial Narrow"/>
          <w:sz w:val="16"/>
          <w:szCs w:val="16"/>
        </w:rPr>
        <w:t xml:space="preserve">hospital </w:t>
      </w:r>
      <w:r>
        <w:rPr>
          <w:rFonts w:ascii="Arial Narrow" w:hAnsi="Arial Narrow"/>
          <w:sz w:val="16"/>
          <w:szCs w:val="16"/>
        </w:rPr>
        <w:t>stay; WTP: Willingness-to-pay</w:t>
      </w:r>
    </w:p>
    <w:p w:rsidR="00F71B25" w:rsidRDefault="00F71B25" w:rsidP="00275F6A">
      <w:pPr>
        <w:pStyle w:val="Heading3"/>
      </w:pPr>
      <w:r>
        <w:t>Sensitivity analysis around the stent procedure copayment</w:t>
      </w:r>
    </w:p>
    <w:p w:rsidR="00F71B25" w:rsidRDefault="00F71B25" w:rsidP="00275F6A">
      <w:r>
        <w:t xml:space="preserve">In the model, the co-payment for SEMS procedure is estimated to be 25 per cent of the schedule fee given the absence of co-payment data. It is likely that this value is underestimated and the total fee charged to the patient may be higher than $650 (100% proposed fee). In the palliation group, when the value of the copayment is greater than $2570, SEMS </w:t>
      </w:r>
      <w:r w:rsidR="009959E3">
        <w:t>does</w:t>
      </w:r>
      <w:r>
        <w:t xml:space="preserve"> not </w:t>
      </w:r>
      <w:r w:rsidR="009959E3">
        <w:t xml:space="preserve">represent a </w:t>
      </w:r>
      <w:r>
        <w:t xml:space="preserve">cost savings (relative to colostomy). Furthermore, if the copayment is greater than $3000 the cost-effectiveness becomes questionable (assuming a WTP threshold of $50,000 per QALY). </w:t>
      </w:r>
    </w:p>
    <w:p w:rsidR="00F71B25" w:rsidRDefault="00F71B25" w:rsidP="00F71B25">
      <w:pPr>
        <w:ind w:left="0"/>
      </w:pPr>
    </w:p>
    <w:p w:rsidR="00F71B25" w:rsidRDefault="00F71B25" w:rsidP="00275F6A">
      <w:pPr>
        <w:pStyle w:val="Heading2"/>
      </w:pPr>
      <w:bookmarkStart w:id="249" w:name="_Toc352924436"/>
      <w:r>
        <w:t xml:space="preserve">Patients fit for </w:t>
      </w:r>
      <w:r w:rsidR="00DF03CC">
        <w:t>multi-stage</w:t>
      </w:r>
      <w:r>
        <w:t xml:space="preserve"> surgery (receiving SEMS as a </w:t>
      </w:r>
      <w:r w:rsidR="003617AD">
        <w:t>bridge to surgery</w:t>
      </w:r>
      <w:r>
        <w:t>)</w:t>
      </w:r>
      <w:bookmarkEnd w:id="249"/>
    </w:p>
    <w:p w:rsidR="00F71B25" w:rsidRDefault="00F71B25" w:rsidP="00275F6A">
      <w:pPr>
        <w:pStyle w:val="Heading3"/>
      </w:pPr>
      <w:r>
        <w:t>Economic model</w:t>
      </w:r>
    </w:p>
    <w:p w:rsidR="00F71B25" w:rsidRDefault="00F71B25" w:rsidP="00275F6A">
      <w:r>
        <w:t xml:space="preserve">A decision tree was developed for estimating the costs and benefits of using SEMS as a </w:t>
      </w:r>
      <w:r w:rsidR="003617AD">
        <w:t>bridge to surgery</w:t>
      </w:r>
      <w:r>
        <w:t xml:space="preserve"> compared to ‘</w:t>
      </w:r>
      <w:r w:rsidR="00DF03CC">
        <w:t>multi-stage</w:t>
      </w:r>
      <w:r>
        <w:t xml:space="preserve"> surgery’. The ‘</w:t>
      </w:r>
      <w:r w:rsidR="00DF03CC">
        <w:t>multi-stage</w:t>
      </w:r>
      <w:r>
        <w:t xml:space="preserve"> surgery’ procedures are colostomy or Hartmann’s procedure. </w:t>
      </w:r>
      <w:r w:rsidR="0009362A">
        <w:fldChar w:fldCharType="begin"/>
      </w:r>
      <w:r w:rsidR="0009362A">
        <w:instrText xml:space="preserve"> REF _Ref324950402 \h </w:instrText>
      </w:r>
      <w:r w:rsidR="0009362A">
        <w:fldChar w:fldCharType="separate"/>
      </w:r>
      <w:r w:rsidR="0071544A">
        <w:t xml:space="preserve">Figure </w:t>
      </w:r>
      <w:r w:rsidR="0071544A">
        <w:rPr>
          <w:noProof/>
        </w:rPr>
        <w:t>11</w:t>
      </w:r>
      <w:r w:rsidR="0009362A">
        <w:fldChar w:fldCharType="end"/>
      </w:r>
      <w:r w:rsidR="0009362A">
        <w:t xml:space="preserve"> </w:t>
      </w:r>
      <w:r>
        <w:t>illustrates the decision tree for those patients receiv</w:t>
      </w:r>
      <w:r w:rsidR="009959E3">
        <w:t>ing</w:t>
      </w:r>
      <w:r>
        <w:t xml:space="preserve"> </w:t>
      </w:r>
      <w:r w:rsidR="00DF03CC">
        <w:t>multi-stage</w:t>
      </w:r>
      <w:r>
        <w:t xml:space="preserve"> surgery. </w:t>
      </w:r>
    </w:p>
    <w:p w:rsidR="00F71B25" w:rsidRDefault="00F71B25" w:rsidP="00F71B25">
      <w:pPr>
        <w:ind w:left="0"/>
      </w:pPr>
      <w:r>
        <w:t xml:space="preserve"> </w:t>
      </w:r>
    </w:p>
    <w:p w:rsidR="00275F6A" w:rsidRDefault="00275F6A" w:rsidP="00275F6A">
      <w:pPr>
        <w:pStyle w:val="Caption"/>
        <w:sectPr w:rsidR="00275F6A" w:rsidSect="00EC05E8">
          <w:footerReference w:type="even" r:id="rId43"/>
          <w:footerReference w:type="default" r:id="rId44"/>
          <w:pgSz w:w="11906" w:h="16838"/>
          <w:pgMar w:top="1440" w:right="1440" w:bottom="1440" w:left="1440" w:header="720" w:footer="720" w:gutter="0"/>
          <w:paperSrc w:first="7" w:other="7"/>
          <w:cols w:space="720"/>
        </w:sectPr>
      </w:pPr>
    </w:p>
    <w:p w:rsidR="00F71B25" w:rsidRDefault="0009362A" w:rsidP="0009362A">
      <w:pPr>
        <w:pStyle w:val="Caption"/>
      </w:pPr>
      <w:bookmarkStart w:id="250" w:name="_Ref324950402"/>
      <w:bookmarkStart w:id="251" w:name="_Toc327522134"/>
      <w:r>
        <w:lastRenderedPageBreak/>
        <w:t xml:space="preserve">Figure </w:t>
      </w:r>
      <w:fldSimple w:instr=" SEQ Figure \* ARABIC ">
        <w:r w:rsidR="0071544A">
          <w:rPr>
            <w:noProof/>
          </w:rPr>
          <w:t>11</w:t>
        </w:r>
      </w:fldSimple>
      <w:bookmarkEnd w:id="250"/>
      <w:r>
        <w:tab/>
      </w:r>
      <w:r w:rsidR="00F71B25">
        <w:t xml:space="preserve">Decision </w:t>
      </w:r>
      <w:r w:rsidR="009959E3">
        <w:t>t</w:t>
      </w:r>
      <w:r w:rsidR="00F71B25">
        <w:t xml:space="preserve">ree for </w:t>
      </w:r>
      <w:r w:rsidR="009959E3">
        <w:t xml:space="preserve">bridge-to–surgery </w:t>
      </w:r>
      <w:r w:rsidR="00F71B25">
        <w:t xml:space="preserve">(SEMS </w:t>
      </w:r>
      <w:r w:rsidR="006430D4">
        <w:t>vs</w:t>
      </w:r>
      <w:r w:rsidR="00F71B25">
        <w:t xml:space="preserve"> </w:t>
      </w:r>
      <w:r w:rsidR="00DF03CC">
        <w:t>multi-stage</w:t>
      </w:r>
      <w:r w:rsidR="00F71B25">
        <w:t xml:space="preserve"> surgery)</w:t>
      </w:r>
      <w:bookmarkEnd w:id="251"/>
    </w:p>
    <w:p w:rsidR="00F71B25" w:rsidRDefault="00516B5D" w:rsidP="00F71B25">
      <w:pPr>
        <w:ind w:left="0"/>
      </w:pPr>
      <w:r>
        <w:rPr>
          <w:noProof/>
        </w:rPr>
        <w:drawing>
          <wp:inline distT="0" distB="0" distL="0" distR="0" wp14:anchorId="5BC9E1D2" wp14:editId="6AE9108D">
            <wp:extent cx="8665845" cy="4391025"/>
            <wp:effectExtent l="0" t="0" r="1905" b="9525"/>
            <wp:docPr id="9" name="Picture 4" title="Figure 11 Decision tree for bridge-to–surgery (SEMS vs multi-stag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5845" cy="4391025"/>
                    </a:xfrm>
                    <a:prstGeom prst="rect">
                      <a:avLst/>
                    </a:prstGeom>
                    <a:noFill/>
                    <a:ln>
                      <a:noFill/>
                    </a:ln>
                  </pic:spPr>
                </pic:pic>
              </a:graphicData>
            </a:graphic>
          </wp:inline>
        </w:drawing>
      </w:r>
    </w:p>
    <w:p w:rsidR="00275F6A" w:rsidRDefault="00F71B25" w:rsidP="009A5804">
      <w:pPr>
        <w:spacing w:after="0"/>
        <w:ind w:left="0"/>
        <w:sectPr w:rsidR="00275F6A" w:rsidSect="00275F6A">
          <w:footerReference w:type="default" r:id="rId45"/>
          <w:pgSz w:w="16838" w:h="11906" w:orient="landscape"/>
          <w:pgMar w:top="1440" w:right="1440" w:bottom="1440" w:left="1440" w:header="720" w:footer="720" w:gutter="0"/>
          <w:paperSrc w:first="4" w:other="4"/>
          <w:cols w:space="720"/>
        </w:sectPr>
      </w:pPr>
      <w:r>
        <w:t xml:space="preserve">  </w:t>
      </w:r>
      <w:r w:rsidR="009A5804" w:rsidRPr="00D34C3C">
        <w:rPr>
          <w:color w:val="0000CC"/>
          <w:sz w:val="26"/>
          <w:szCs w:val="26"/>
        </w:rPr>
        <w:t>□</w:t>
      </w:r>
      <w:r w:rsidR="009A5804">
        <w:rPr>
          <w:color w:val="0000CC"/>
        </w:rPr>
        <w:t xml:space="preserve"> </w:t>
      </w:r>
      <w:r w:rsidR="009A5804" w:rsidRPr="00F93AFC">
        <w:rPr>
          <w:rFonts w:ascii="Arial Narrow" w:hAnsi="Arial Narrow"/>
          <w:sz w:val="16"/>
          <w:szCs w:val="16"/>
        </w:rPr>
        <w:t>represents a decision node between the two treatment options</w:t>
      </w:r>
      <w:r w:rsidR="009A5804">
        <w:rPr>
          <w:rFonts w:ascii="Arial Narrow" w:hAnsi="Arial Narrow"/>
          <w:sz w:val="16"/>
          <w:szCs w:val="16"/>
        </w:rPr>
        <w:t xml:space="preserve">; </w:t>
      </w:r>
      <w:r w:rsidR="009A5804" w:rsidRPr="00F93AFC">
        <w:rPr>
          <w:color w:val="339933"/>
          <w:sz w:val="26"/>
          <w:szCs w:val="26"/>
        </w:rPr>
        <w:t>○</w:t>
      </w:r>
      <w:r w:rsidR="009A5804">
        <w:rPr>
          <w:color w:val="339933"/>
        </w:rPr>
        <w:t xml:space="preserve"> </w:t>
      </w:r>
      <w:r w:rsidR="009A5804" w:rsidRPr="00F93AFC">
        <w:rPr>
          <w:rFonts w:ascii="Arial Narrow" w:hAnsi="Arial Narrow"/>
          <w:sz w:val="16"/>
          <w:szCs w:val="16"/>
        </w:rPr>
        <w:t>represents a chance node with a prob</w:t>
      </w:r>
      <w:r w:rsidR="00EF5B75">
        <w:rPr>
          <w:rFonts w:ascii="Arial Narrow" w:hAnsi="Arial Narrow"/>
          <w:sz w:val="16"/>
          <w:szCs w:val="16"/>
        </w:rPr>
        <w:t>abili</w:t>
      </w:r>
      <w:r w:rsidR="009A5804" w:rsidRPr="00F93AFC">
        <w:rPr>
          <w:rFonts w:ascii="Arial Narrow" w:hAnsi="Arial Narrow"/>
          <w:sz w:val="16"/>
          <w:szCs w:val="16"/>
        </w:rPr>
        <w:t xml:space="preserve">ty of various events </w:t>
      </w:r>
      <w:r w:rsidR="009A5804">
        <w:rPr>
          <w:rFonts w:ascii="Arial Narrow" w:hAnsi="Arial Narrow"/>
          <w:sz w:val="16"/>
          <w:szCs w:val="16"/>
        </w:rPr>
        <w:t xml:space="preserve">occurring; </w:t>
      </w:r>
      <w:r w:rsidR="009A5804" w:rsidRPr="00516B5D">
        <w:rPr>
          <w:outline/>
          <w:color w:val="FF0000"/>
          <w:sz w:val="16"/>
          <w:szCs w:val="16"/>
          <w14:textOutline w14:w="9525" w14:cap="flat" w14:cmpd="sng" w14:algn="ctr">
            <w14:solidFill>
              <w14:srgbClr w14:val="FF0000"/>
            </w14:solidFill>
            <w14:prstDash w14:val="solid"/>
            <w14:round/>
          </w14:textOutline>
          <w14:textFill>
            <w14:noFill/>
          </w14:textFill>
        </w:rPr>
        <w:t xml:space="preserve">◄ </w:t>
      </w:r>
      <w:r w:rsidR="009A5804" w:rsidRPr="00D34C3C">
        <w:rPr>
          <w:rFonts w:ascii="Arial Narrow" w:hAnsi="Arial Narrow"/>
          <w:sz w:val="16"/>
          <w:szCs w:val="16"/>
        </w:rPr>
        <w:t>represents a terminal node where the pathway ends.</w:t>
      </w:r>
      <w:r w:rsidR="009A5804" w:rsidRPr="00ED3C73">
        <w:rPr>
          <w:rFonts w:ascii="Arial Narrow" w:hAnsi="Arial Narrow"/>
          <w:sz w:val="16"/>
          <w:szCs w:val="16"/>
        </w:rPr>
        <w:t xml:space="preserve"> The bold line represents a clone of</w:t>
      </w:r>
      <w:r w:rsidR="009A5804" w:rsidRPr="00812BE3">
        <w:rPr>
          <w:sz w:val="16"/>
          <w:szCs w:val="16"/>
        </w:rPr>
        <w:t xml:space="preserve"> </w:t>
      </w:r>
      <w:r w:rsidR="009A5804" w:rsidRPr="00ED3C73">
        <w:rPr>
          <w:rFonts w:ascii="Arial Narrow" w:hAnsi="Arial Narrow"/>
          <w:sz w:val="16"/>
          <w:szCs w:val="16"/>
        </w:rPr>
        <w:t xml:space="preserve">the substree which is replicated elsewhere in the tree. </w:t>
      </w:r>
      <w:proofErr w:type="gramStart"/>
      <w:r w:rsidR="005A25FD" w:rsidRPr="00ED3C73">
        <w:rPr>
          <w:rFonts w:ascii="Arial Narrow" w:hAnsi="Arial Narrow"/>
          <w:sz w:val="16"/>
          <w:szCs w:val="16"/>
        </w:rPr>
        <w:t>p</w:t>
      </w:r>
      <w:proofErr w:type="gramEnd"/>
      <w:r w:rsidR="009A5804" w:rsidRPr="00ED3C73">
        <w:rPr>
          <w:rFonts w:ascii="Arial Narrow" w:hAnsi="Arial Narrow"/>
          <w:sz w:val="16"/>
          <w:szCs w:val="16"/>
        </w:rPr>
        <w:t xml:space="preserve">: Probabilities that were determined by the literature; #: </w:t>
      </w:r>
      <w:r w:rsidR="005A25FD" w:rsidRPr="00ED3C73">
        <w:rPr>
          <w:rFonts w:ascii="Arial Narrow" w:hAnsi="Arial Narrow"/>
          <w:sz w:val="16"/>
          <w:szCs w:val="16"/>
        </w:rPr>
        <w:t>1-p</w:t>
      </w:r>
    </w:p>
    <w:p w:rsidR="00F71B25" w:rsidRDefault="00F71B25" w:rsidP="00275F6A">
      <w:pPr>
        <w:pStyle w:val="Heading3"/>
      </w:pPr>
      <w:r>
        <w:lastRenderedPageBreak/>
        <w:t xml:space="preserve">Model </w:t>
      </w:r>
      <w:r w:rsidR="009959E3">
        <w:t>i</w:t>
      </w:r>
      <w:r>
        <w:t>nputs</w:t>
      </w:r>
    </w:p>
    <w:p w:rsidR="00F71B25" w:rsidRDefault="00F71B25" w:rsidP="00275F6A">
      <w:r>
        <w:t>The probabilities used in the decision tree were obtained from a variety of sources including published literature and expert clinical advice. At the decision node it was assumed that the split between those who would receive a Hartmann’s resection and a colostomy in the ‘</w:t>
      </w:r>
      <w:r w:rsidR="00DF03CC">
        <w:t>multi-stage</w:t>
      </w:r>
      <w:r>
        <w:t xml:space="preserve"> surgery’ arm would be a 50/50 split (expert clinical advice). </w:t>
      </w:r>
      <w:r w:rsidR="0009362A">
        <w:fldChar w:fldCharType="begin"/>
      </w:r>
      <w:r w:rsidR="0009362A">
        <w:instrText xml:space="preserve"> REF _Ref324950459 \h </w:instrText>
      </w:r>
      <w:r w:rsidR="0009362A">
        <w:fldChar w:fldCharType="separate"/>
      </w:r>
      <w:r w:rsidR="0071544A">
        <w:t xml:space="preserve">Table </w:t>
      </w:r>
      <w:r w:rsidR="0071544A">
        <w:rPr>
          <w:noProof/>
        </w:rPr>
        <w:t>60</w:t>
      </w:r>
      <w:r w:rsidR="0009362A">
        <w:fldChar w:fldCharType="end"/>
      </w:r>
      <w:r w:rsidR="0009362A">
        <w:t xml:space="preserve"> </w:t>
      </w:r>
      <w:r>
        <w:t xml:space="preserve">summarises the model inputs in the decision tree for the </w:t>
      </w:r>
      <w:r w:rsidR="003617AD">
        <w:t>bridge to surgery</w:t>
      </w:r>
      <w:r>
        <w:t xml:space="preserve"> population.</w:t>
      </w:r>
    </w:p>
    <w:p w:rsidR="00275F6A" w:rsidRPr="00C605D6" w:rsidRDefault="0009362A" w:rsidP="0009362A">
      <w:pPr>
        <w:pStyle w:val="Caption"/>
      </w:pPr>
      <w:bookmarkStart w:id="252" w:name="_Ref324950459"/>
      <w:bookmarkStart w:id="253" w:name="_Toc327522104"/>
      <w:r>
        <w:lastRenderedPageBreak/>
        <w:t xml:space="preserve">Table </w:t>
      </w:r>
      <w:fldSimple w:instr=" SEQ Table \* ARABIC ">
        <w:r w:rsidR="0071544A">
          <w:rPr>
            <w:noProof/>
          </w:rPr>
          <w:t>60</w:t>
        </w:r>
      </w:fldSimple>
      <w:bookmarkEnd w:id="252"/>
      <w:r w:rsidR="00275F6A" w:rsidRPr="00C605D6">
        <w:tab/>
        <w:t xml:space="preserve">Summary of model inputs for the </w:t>
      </w:r>
      <w:r w:rsidR="003617AD">
        <w:t>bridge to surgery</w:t>
      </w:r>
      <w:r w:rsidR="00275F6A" w:rsidRPr="00C605D6">
        <w:t xml:space="preserve"> group</w:t>
      </w:r>
      <w:bookmarkEnd w:id="253"/>
    </w:p>
    <w:tbl>
      <w:tblPr>
        <w:tblW w:w="8137" w:type="dxa"/>
        <w:tblInd w:w="720" w:type="dxa"/>
        <w:tblBorders>
          <w:top w:val="single" w:sz="12" w:space="0" w:color="auto"/>
          <w:bottom w:val="single" w:sz="12" w:space="0" w:color="auto"/>
        </w:tblBorders>
        <w:tblLayout w:type="fixed"/>
        <w:tblLook w:val="00A0" w:firstRow="1" w:lastRow="0" w:firstColumn="1" w:lastColumn="0" w:noHBand="0" w:noVBand="0"/>
      </w:tblPr>
      <w:tblGrid>
        <w:gridCol w:w="3554"/>
        <w:gridCol w:w="898"/>
        <w:gridCol w:w="849"/>
        <w:gridCol w:w="850"/>
        <w:gridCol w:w="1986"/>
      </w:tblGrid>
      <w:tr w:rsidR="00275F6A" w:rsidRPr="00C605D6" w:rsidTr="00ED3C73">
        <w:trPr>
          <w:trHeight w:val="227"/>
          <w:tblHeader/>
        </w:trPr>
        <w:tc>
          <w:tcPr>
            <w:tcW w:w="3554" w:type="dxa"/>
            <w:tcBorders>
              <w:top w:val="single" w:sz="12" w:space="0" w:color="auto"/>
              <w:bottom w:val="single" w:sz="4" w:space="0" w:color="auto"/>
            </w:tcBorders>
          </w:tcPr>
          <w:p w:rsidR="00275F6A" w:rsidRPr="00C605D6" w:rsidRDefault="00275F6A" w:rsidP="00275F6A">
            <w:pPr>
              <w:pStyle w:val="TableHeading0"/>
            </w:pPr>
            <w:r w:rsidRPr="00C605D6">
              <w:t>Parameter</w:t>
            </w:r>
          </w:p>
        </w:tc>
        <w:tc>
          <w:tcPr>
            <w:tcW w:w="898" w:type="dxa"/>
            <w:tcBorders>
              <w:top w:val="single" w:sz="12" w:space="0" w:color="auto"/>
              <w:bottom w:val="single" w:sz="4" w:space="0" w:color="auto"/>
            </w:tcBorders>
          </w:tcPr>
          <w:p w:rsidR="00275F6A" w:rsidRPr="00C605D6" w:rsidRDefault="00275F6A" w:rsidP="0007443E">
            <w:pPr>
              <w:pStyle w:val="TableHeading0"/>
              <w:jc w:val="right"/>
            </w:pPr>
            <w:r w:rsidRPr="00C605D6">
              <w:t>Value</w:t>
            </w:r>
          </w:p>
        </w:tc>
        <w:tc>
          <w:tcPr>
            <w:tcW w:w="849" w:type="dxa"/>
            <w:tcBorders>
              <w:top w:val="single" w:sz="12" w:space="0" w:color="auto"/>
              <w:bottom w:val="single" w:sz="4" w:space="0" w:color="auto"/>
            </w:tcBorders>
          </w:tcPr>
          <w:p w:rsidR="00275F6A" w:rsidRPr="00C605D6" w:rsidRDefault="00275F6A" w:rsidP="0007443E">
            <w:pPr>
              <w:pStyle w:val="TableHeading0"/>
              <w:jc w:val="right"/>
            </w:pPr>
            <w:r w:rsidRPr="00C605D6">
              <w:t>Min</w:t>
            </w:r>
          </w:p>
        </w:tc>
        <w:tc>
          <w:tcPr>
            <w:tcW w:w="850" w:type="dxa"/>
            <w:tcBorders>
              <w:top w:val="single" w:sz="12" w:space="0" w:color="auto"/>
              <w:bottom w:val="single" w:sz="4" w:space="0" w:color="auto"/>
            </w:tcBorders>
          </w:tcPr>
          <w:p w:rsidR="00275F6A" w:rsidRPr="00C605D6" w:rsidRDefault="00275F6A" w:rsidP="0007443E">
            <w:pPr>
              <w:pStyle w:val="TableHeading0"/>
              <w:jc w:val="right"/>
            </w:pPr>
            <w:r w:rsidRPr="00C605D6">
              <w:t>Max</w:t>
            </w:r>
          </w:p>
        </w:tc>
        <w:tc>
          <w:tcPr>
            <w:tcW w:w="1986" w:type="dxa"/>
            <w:tcBorders>
              <w:top w:val="single" w:sz="12" w:space="0" w:color="auto"/>
              <w:bottom w:val="single" w:sz="4" w:space="0" w:color="auto"/>
            </w:tcBorders>
          </w:tcPr>
          <w:p w:rsidR="00275F6A" w:rsidRPr="00C605D6" w:rsidRDefault="00275F6A" w:rsidP="00275F6A">
            <w:pPr>
              <w:pStyle w:val="TableHeading0"/>
            </w:pPr>
            <w:r w:rsidRPr="00C605D6">
              <w:t>Source</w:t>
            </w:r>
          </w:p>
        </w:tc>
      </w:tr>
      <w:tr w:rsidR="00275F6A" w:rsidRPr="00C605D6" w:rsidTr="00ED3C73">
        <w:trPr>
          <w:trHeight w:val="227"/>
        </w:trPr>
        <w:tc>
          <w:tcPr>
            <w:tcW w:w="3554" w:type="dxa"/>
            <w:tcBorders>
              <w:top w:val="single" w:sz="4" w:space="0" w:color="auto"/>
            </w:tcBorders>
            <w:vAlign w:val="center"/>
          </w:tcPr>
          <w:p w:rsidR="00275F6A" w:rsidRPr="000F3C8B" w:rsidRDefault="00275F6A" w:rsidP="00275F6A">
            <w:pPr>
              <w:pStyle w:val="TableText0"/>
              <w:rPr>
                <w:b/>
                <w:lang w:val="en-AU"/>
              </w:rPr>
            </w:pPr>
            <w:r w:rsidRPr="000F3C8B">
              <w:rPr>
                <w:b/>
                <w:lang w:val="en-AU"/>
              </w:rPr>
              <w:t>Probabilities</w:t>
            </w:r>
          </w:p>
        </w:tc>
        <w:tc>
          <w:tcPr>
            <w:tcW w:w="898" w:type="dxa"/>
            <w:tcBorders>
              <w:top w:val="single" w:sz="4" w:space="0" w:color="auto"/>
            </w:tcBorders>
            <w:vAlign w:val="center"/>
          </w:tcPr>
          <w:p w:rsidR="00275F6A" w:rsidRPr="00C605D6" w:rsidRDefault="00275F6A" w:rsidP="00275F6A">
            <w:pPr>
              <w:pStyle w:val="TableText0"/>
              <w:rPr>
                <w:color w:val="000000"/>
                <w:lang w:val="en-US"/>
              </w:rPr>
            </w:pPr>
          </w:p>
        </w:tc>
        <w:tc>
          <w:tcPr>
            <w:tcW w:w="849" w:type="dxa"/>
            <w:tcBorders>
              <w:top w:val="single" w:sz="4" w:space="0" w:color="auto"/>
            </w:tcBorders>
            <w:vAlign w:val="center"/>
          </w:tcPr>
          <w:p w:rsidR="00275F6A" w:rsidRPr="00C605D6" w:rsidRDefault="00275F6A" w:rsidP="00275F6A">
            <w:pPr>
              <w:pStyle w:val="TableText0"/>
              <w:rPr>
                <w:color w:val="000000"/>
                <w:lang w:val="en-US"/>
              </w:rPr>
            </w:pPr>
          </w:p>
        </w:tc>
        <w:tc>
          <w:tcPr>
            <w:tcW w:w="850" w:type="dxa"/>
            <w:tcBorders>
              <w:top w:val="single" w:sz="4" w:space="0" w:color="auto"/>
            </w:tcBorders>
            <w:vAlign w:val="center"/>
          </w:tcPr>
          <w:p w:rsidR="00275F6A" w:rsidRPr="00C605D6" w:rsidRDefault="00275F6A" w:rsidP="00275F6A">
            <w:pPr>
              <w:pStyle w:val="TableText0"/>
              <w:rPr>
                <w:color w:val="000000"/>
                <w:lang w:val="en-US"/>
              </w:rPr>
            </w:pPr>
          </w:p>
        </w:tc>
        <w:tc>
          <w:tcPr>
            <w:tcW w:w="1986" w:type="dxa"/>
            <w:tcBorders>
              <w:top w:val="single" w:sz="4" w:space="0" w:color="auto"/>
            </w:tcBorders>
            <w:vAlign w:val="center"/>
          </w:tcPr>
          <w:p w:rsidR="00275F6A" w:rsidRPr="000F3C8B" w:rsidRDefault="00275F6A" w:rsidP="00275F6A">
            <w:pPr>
              <w:pStyle w:val="TableText0"/>
              <w:rPr>
                <w:lang w:val="en-AU"/>
              </w:rPr>
            </w:pP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Technical success – stent</w:t>
            </w:r>
          </w:p>
        </w:tc>
        <w:tc>
          <w:tcPr>
            <w:tcW w:w="898" w:type="dxa"/>
            <w:vAlign w:val="center"/>
          </w:tcPr>
          <w:p w:rsidR="00275F6A" w:rsidRPr="00C605D6" w:rsidRDefault="00275F6A" w:rsidP="0007443E">
            <w:pPr>
              <w:pStyle w:val="TableText0"/>
              <w:jc w:val="right"/>
              <w:rPr>
                <w:lang w:val="en-US"/>
              </w:rPr>
            </w:pPr>
            <w:r w:rsidRPr="00C605D6">
              <w:rPr>
                <w:lang w:val="en-US"/>
              </w:rPr>
              <w:t>0.92</w:t>
            </w:r>
          </w:p>
        </w:tc>
        <w:tc>
          <w:tcPr>
            <w:tcW w:w="849" w:type="dxa"/>
            <w:vAlign w:val="center"/>
          </w:tcPr>
          <w:p w:rsidR="00275F6A" w:rsidRPr="00C605D6" w:rsidRDefault="00275F6A" w:rsidP="0007443E">
            <w:pPr>
              <w:pStyle w:val="TableText0"/>
              <w:jc w:val="right"/>
              <w:rPr>
                <w:lang w:val="en-US"/>
              </w:rPr>
            </w:pPr>
            <w:r w:rsidRPr="00C605D6">
              <w:rPr>
                <w:lang w:val="en-US"/>
              </w:rPr>
              <w:t>0.47</w:t>
            </w:r>
          </w:p>
        </w:tc>
        <w:tc>
          <w:tcPr>
            <w:tcW w:w="850" w:type="dxa"/>
            <w:vAlign w:val="center"/>
          </w:tcPr>
          <w:p w:rsidR="00275F6A" w:rsidRPr="00C605D6" w:rsidRDefault="00275F6A" w:rsidP="0007443E">
            <w:pPr>
              <w:pStyle w:val="TableText0"/>
              <w:jc w:val="right"/>
              <w:rPr>
                <w:lang w:val="en-US"/>
              </w:rPr>
            </w:pPr>
            <w:r w:rsidRPr="00C605D6">
              <w:rPr>
                <w:lang w:val="en-US"/>
              </w:rPr>
              <w:t>1.00</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Clinical success (| technical success) – stent</w:t>
            </w:r>
          </w:p>
        </w:tc>
        <w:tc>
          <w:tcPr>
            <w:tcW w:w="898" w:type="dxa"/>
            <w:vAlign w:val="center"/>
          </w:tcPr>
          <w:p w:rsidR="00275F6A" w:rsidRPr="00C605D6" w:rsidRDefault="00275F6A" w:rsidP="0007443E">
            <w:pPr>
              <w:pStyle w:val="TableText0"/>
              <w:jc w:val="right"/>
              <w:rPr>
                <w:lang w:val="en-US"/>
              </w:rPr>
            </w:pPr>
            <w:r w:rsidRPr="00C605D6">
              <w:rPr>
                <w:lang w:val="en-US"/>
              </w:rPr>
              <w:t>0.95</w:t>
            </w:r>
          </w:p>
        </w:tc>
        <w:tc>
          <w:tcPr>
            <w:tcW w:w="849" w:type="dxa"/>
            <w:vAlign w:val="center"/>
          </w:tcPr>
          <w:p w:rsidR="00275F6A" w:rsidRPr="00C605D6" w:rsidRDefault="00275F6A" w:rsidP="0007443E">
            <w:pPr>
              <w:pStyle w:val="TableText0"/>
              <w:jc w:val="right"/>
              <w:rPr>
                <w:lang w:val="en-US"/>
              </w:rPr>
            </w:pPr>
            <w:r w:rsidRPr="00C605D6">
              <w:rPr>
                <w:lang w:val="en-US"/>
              </w:rPr>
              <w:t>0.47</w:t>
            </w:r>
          </w:p>
        </w:tc>
        <w:tc>
          <w:tcPr>
            <w:tcW w:w="850" w:type="dxa"/>
            <w:vAlign w:val="center"/>
          </w:tcPr>
          <w:p w:rsidR="00275F6A" w:rsidRPr="00C605D6" w:rsidRDefault="00275F6A" w:rsidP="0007443E">
            <w:pPr>
              <w:pStyle w:val="TableText0"/>
              <w:jc w:val="right"/>
              <w:rPr>
                <w:lang w:val="en-US"/>
              </w:rPr>
            </w:pPr>
            <w:r w:rsidRPr="00C605D6">
              <w:rPr>
                <w:lang w:val="en-US"/>
              </w:rPr>
              <w:t>1.00</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Probability long-term failure (| clinical success)</w:t>
            </w:r>
          </w:p>
        </w:tc>
        <w:tc>
          <w:tcPr>
            <w:tcW w:w="898" w:type="dxa"/>
            <w:vAlign w:val="center"/>
          </w:tcPr>
          <w:p w:rsidR="00275F6A" w:rsidRPr="00C605D6" w:rsidRDefault="00275F6A" w:rsidP="0007443E">
            <w:pPr>
              <w:pStyle w:val="TableText0"/>
              <w:jc w:val="right"/>
              <w:rPr>
                <w:lang w:val="en-US"/>
              </w:rPr>
            </w:pPr>
            <w:r w:rsidRPr="00C605D6">
              <w:rPr>
                <w:lang w:val="en-US"/>
              </w:rPr>
              <w:t>0.20</w:t>
            </w:r>
          </w:p>
        </w:tc>
        <w:tc>
          <w:tcPr>
            <w:tcW w:w="849" w:type="dxa"/>
            <w:vAlign w:val="center"/>
          </w:tcPr>
          <w:p w:rsidR="00275F6A" w:rsidRPr="00C605D6" w:rsidRDefault="00275F6A" w:rsidP="0007443E">
            <w:pPr>
              <w:pStyle w:val="TableText0"/>
              <w:jc w:val="right"/>
              <w:rPr>
                <w:lang w:val="en-US"/>
              </w:rPr>
            </w:pPr>
            <w:r w:rsidRPr="00C605D6">
              <w:rPr>
                <w:lang w:val="en-US"/>
              </w:rPr>
              <w:t>0.10</w:t>
            </w:r>
          </w:p>
        </w:tc>
        <w:tc>
          <w:tcPr>
            <w:tcW w:w="850" w:type="dxa"/>
            <w:vAlign w:val="center"/>
          </w:tcPr>
          <w:p w:rsidR="00275F6A" w:rsidRPr="00C605D6" w:rsidRDefault="00275F6A" w:rsidP="0007443E">
            <w:pPr>
              <w:pStyle w:val="TableText0"/>
              <w:jc w:val="right"/>
              <w:rPr>
                <w:lang w:val="en-US"/>
              </w:rPr>
            </w:pPr>
            <w:r w:rsidRPr="00C605D6">
              <w:rPr>
                <w:lang w:val="en-US"/>
              </w:rPr>
              <w:t>0.30</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Failure requiring Hartmann’s (| long-term failure)</w:t>
            </w:r>
          </w:p>
        </w:tc>
        <w:tc>
          <w:tcPr>
            <w:tcW w:w="898" w:type="dxa"/>
            <w:vAlign w:val="center"/>
          </w:tcPr>
          <w:p w:rsidR="00275F6A" w:rsidRPr="00C605D6" w:rsidRDefault="00275F6A" w:rsidP="0007443E">
            <w:pPr>
              <w:pStyle w:val="TableText0"/>
              <w:jc w:val="right"/>
              <w:rPr>
                <w:lang w:val="en-US"/>
              </w:rPr>
            </w:pPr>
            <w:r w:rsidRPr="00C605D6">
              <w:rPr>
                <w:lang w:val="en-US"/>
              </w:rPr>
              <w:t>0.41</w:t>
            </w:r>
          </w:p>
        </w:tc>
        <w:tc>
          <w:tcPr>
            <w:tcW w:w="849" w:type="dxa"/>
            <w:vAlign w:val="center"/>
          </w:tcPr>
          <w:p w:rsidR="00275F6A" w:rsidRPr="00C605D6" w:rsidRDefault="00275F6A" w:rsidP="0007443E">
            <w:pPr>
              <w:pStyle w:val="TableText0"/>
              <w:jc w:val="right"/>
              <w:rPr>
                <w:lang w:val="en-US"/>
              </w:rPr>
            </w:pPr>
            <w:r w:rsidRPr="00C605D6">
              <w:rPr>
                <w:lang w:val="en-US"/>
              </w:rPr>
              <w:t>0.21</w:t>
            </w:r>
          </w:p>
        </w:tc>
        <w:tc>
          <w:tcPr>
            <w:tcW w:w="850" w:type="dxa"/>
            <w:vAlign w:val="center"/>
          </w:tcPr>
          <w:p w:rsidR="00275F6A" w:rsidRPr="00C605D6" w:rsidRDefault="00275F6A" w:rsidP="0007443E">
            <w:pPr>
              <w:pStyle w:val="TableText0"/>
              <w:jc w:val="right"/>
              <w:rPr>
                <w:lang w:val="en-US"/>
              </w:rPr>
            </w:pPr>
            <w:r w:rsidRPr="00C605D6">
              <w:rPr>
                <w:lang w:val="en-US"/>
              </w:rPr>
              <w:t>.62</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Failure requiring restent (| long-term failure)</w:t>
            </w:r>
          </w:p>
        </w:tc>
        <w:tc>
          <w:tcPr>
            <w:tcW w:w="898" w:type="dxa"/>
            <w:vAlign w:val="center"/>
          </w:tcPr>
          <w:p w:rsidR="00275F6A" w:rsidRPr="00C605D6" w:rsidRDefault="00275F6A" w:rsidP="0007443E">
            <w:pPr>
              <w:pStyle w:val="TableText0"/>
              <w:jc w:val="right"/>
              <w:rPr>
                <w:lang w:val="en-US"/>
              </w:rPr>
            </w:pPr>
            <w:r w:rsidRPr="00C605D6">
              <w:rPr>
                <w:lang w:val="en-US"/>
              </w:rPr>
              <w:t>0.47</w:t>
            </w:r>
          </w:p>
        </w:tc>
        <w:tc>
          <w:tcPr>
            <w:tcW w:w="849" w:type="dxa"/>
            <w:vAlign w:val="center"/>
          </w:tcPr>
          <w:p w:rsidR="00275F6A" w:rsidRPr="00C605D6" w:rsidRDefault="00275F6A" w:rsidP="0007443E">
            <w:pPr>
              <w:pStyle w:val="TableText0"/>
              <w:jc w:val="right"/>
              <w:rPr>
                <w:lang w:val="en-US"/>
              </w:rPr>
            </w:pPr>
            <w:r w:rsidRPr="00C605D6">
              <w:rPr>
                <w:lang w:val="en-US"/>
              </w:rPr>
              <w:t>0.24</w:t>
            </w:r>
          </w:p>
        </w:tc>
        <w:tc>
          <w:tcPr>
            <w:tcW w:w="850" w:type="dxa"/>
            <w:vAlign w:val="center"/>
          </w:tcPr>
          <w:p w:rsidR="00275F6A" w:rsidRPr="00C605D6" w:rsidRDefault="00275F6A" w:rsidP="0007443E">
            <w:pPr>
              <w:pStyle w:val="TableText0"/>
              <w:jc w:val="right"/>
              <w:rPr>
                <w:lang w:val="en-US"/>
              </w:rPr>
            </w:pPr>
            <w:r w:rsidRPr="00C605D6">
              <w:rPr>
                <w:lang w:val="en-US"/>
              </w:rPr>
              <w:t>0.70</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Failure causing death (| long-term failure)</w:t>
            </w:r>
          </w:p>
        </w:tc>
        <w:tc>
          <w:tcPr>
            <w:tcW w:w="898" w:type="dxa"/>
            <w:vAlign w:val="center"/>
          </w:tcPr>
          <w:p w:rsidR="00275F6A" w:rsidRPr="00C605D6" w:rsidRDefault="00275F6A" w:rsidP="0007443E">
            <w:pPr>
              <w:pStyle w:val="TableText0"/>
              <w:jc w:val="right"/>
              <w:rPr>
                <w:lang w:val="en-US"/>
              </w:rPr>
            </w:pPr>
            <w:r w:rsidRPr="00C605D6">
              <w:rPr>
                <w:lang w:val="en-US"/>
              </w:rPr>
              <w:t>0.01</w:t>
            </w:r>
          </w:p>
        </w:tc>
        <w:tc>
          <w:tcPr>
            <w:tcW w:w="849" w:type="dxa"/>
            <w:vAlign w:val="center"/>
          </w:tcPr>
          <w:p w:rsidR="00275F6A" w:rsidRPr="00C605D6" w:rsidRDefault="00275F6A" w:rsidP="0007443E">
            <w:pPr>
              <w:pStyle w:val="TableText0"/>
              <w:jc w:val="right"/>
              <w:rPr>
                <w:lang w:val="en-US"/>
              </w:rPr>
            </w:pPr>
            <w:r w:rsidRPr="00C605D6">
              <w:rPr>
                <w:lang w:val="en-US"/>
              </w:rPr>
              <w:t>0.01</w:t>
            </w:r>
          </w:p>
        </w:tc>
        <w:tc>
          <w:tcPr>
            <w:tcW w:w="850" w:type="dxa"/>
            <w:vAlign w:val="center"/>
          </w:tcPr>
          <w:p w:rsidR="00275F6A" w:rsidRPr="00C605D6" w:rsidRDefault="00275F6A" w:rsidP="0007443E">
            <w:pPr>
              <w:pStyle w:val="TableText0"/>
              <w:jc w:val="right"/>
              <w:rPr>
                <w:lang w:val="en-US"/>
              </w:rPr>
            </w:pPr>
            <w:r w:rsidRPr="00C605D6">
              <w:rPr>
                <w:lang w:val="en-US"/>
              </w:rPr>
              <w:t>0.02</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Clinical failure requiring colostomy (| long-term failure)</w:t>
            </w:r>
          </w:p>
        </w:tc>
        <w:tc>
          <w:tcPr>
            <w:tcW w:w="898" w:type="dxa"/>
            <w:vAlign w:val="center"/>
          </w:tcPr>
          <w:p w:rsidR="00275F6A" w:rsidRPr="00C605D6" w:rsidRDefault="00275F6A" w:rsidP="0007443E">
            <w:pPr>
              <w:pStyle w:val="TableText0"/>
              <w:jc w:val="right"/>
              <w:rPr>
                <w:lang w:val="en-US"/>
              </w:rPr>
            </w:pPr>
            <w:r w:rsidRPr="00C605D6">
              <w:rPr>
                <w:lang w:val="en-US"/>
              </w:rPr>
              <w:t>0.69</w:t>
            </w:r>
          </w:p>
        </w:tc>
        <w:tc>
          <w:tcPr>
            <w:tcW w:w="849" w:type="dxa"/>
            <w:vAlign w:val="center"/>
          </w:tcPr>
          <w:p w:rsidR="00275F6A" w:rsidRPr="00C605D6" w:rsidRDefault="00275F6A" w:rsidP="0007443E">
            <w:pPr>
              <w:pStyle w:val="TableText0"/>
              <w:jc w:val="right"/>
              <w:rPr>
                <w:lang w:val="en-US"/>
              </w:rPr>
            </w:pPr>
            <w:r w:rsidRPr="00C605D6">
              <w:rPr>
                <w:lang w:val="en-US"/>
              </w:rPr>
              <w:t>0.35</w:t>
            </w:r>
          </w:p>
        </w:tc>
        <w:tc>
          <w:tcPr>
            <w:tcW w:w="850" w:type="dxa"/>
            <w:vAlign w:val="center"/>
          </w:tcPr>
          <w:p w:rsidR="00275F6A" w:rsidRPr="00C605D6" w:rsidRDefault="00275F6A" w:rsidP="0007443E">
            <w:pPr>
              <w:pStyle w:val="TableText0"/>
              <w:jc w:val="right"/>
              <w:rPr>
                <w:lang w:val="en-US"/>
              </w:rPr>
            </w:pPr>
            <w:r w:rsidRPr="00C605D6">
              <w:rPr>
                <w:lang w:val="en-US"/>
              </w:rPr>
              <w:t>1.00</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Probability of resection with primary anastomosis</w:t>
            </w:r>
          </w:p>
        </w:tc>
        <w:tc>
          <w:tcPr>
            <w:tcW w:w="898" w:type="dxa"/>
            <w:vAlign w:val="center"/>
          </w:tcPr>
          <w:p w:rsidR="00275F6A" w:rsidRPr="00C605D6" w:rsidRDefault="00275F6A" w:rsidP="0007443E">
            <w:pPr>
              <w:pStyle w:val="TableText0"/>
              <w:jc w:val="right"/>
              <w:rPr>
                <w:lang w:val="en-US"/>
              </w:rPr>
            </w:pPr>
            <w:r w:rsidRPr="00C605D6">
              <w:rPr>
                <w:lang w:val="en-US"/>
              </w:rPr>
              <w:t>0.80</w:t>
            </w:r>
          </w:p>
        </w:tc>
        <w:tc>
          <w:tcPr>
            <w:tcW w:w="849" w:type="dxa"/>
            <w:vAlign w:val="center"/>
          </w:tcPr>
          <w:p w:rsidR="00275F6A" w:rsidRPr="00C605D6" w:rsidRDefault="00275F6A" w:rsidP="0007443E">
            <w:pPr>
              <w:pStyle w:val="TableText0"/>
              <w:jc w:val="right"/>
              <w:rPr>
                <w:lang w:val="en-US"/>
              </w:rPr>
            </w:pPr>
            <w:r w:rsidRPr="00C605D6">
              <w:rPr>
                <w:lang w:val="en-US"/>
              </w:rPr>
              <w:t>0.40</w:t>
            </w:r>
          </w:p>
        </w:tc>
        <w:tc>
          <w:tcPr>
            <w:tcW w:w="850" w:type="dxa"/>
            <w:vAlign w:val="center"/>
          </w:tcPr>
          <w:p w:rsidR="00275F6A" w:rsidRPr="00C605D6" w:rsidRDefault="00275F6A" w:rsidP="0007443E">
            <w:pPr>
              <w:pStyle w:val="TableText0"/>
              <w:jc w:val="right"/>
              <w:rPr>
                <w:lang w:val="en-US"/>
              </w:rPr>
            </w:pPr>
            <w:r w:rsidRPr="00C605D6">
              <w:rPr>
                <w:lang w:val="en-US"/>
              </w:rPr>
              <w:t>1.00</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Probability of a permanent stoma</w:t>
            </w:r>
          </w:p>
        </w:tc>
        <w:tc>
          <w:tcPr>
            <w:tcW w:w="898" w:type="dxa"/>
            <w:vAlign w:val="center"/>
          </w:tcPr>
          <w:p w:rsidR="00275F6A" w:rsidRPr="00C605D6" w:rsidRDefault="00275F6A" w:rsidP="0007443E">
            <w:pPr>
              <w:pStyle w:val="TableText0"/>
              <w:jc w:val="right"/>
              <w:rPr>
                <w:lang w:val="en-US"/>
              </w:rPr>
            </w:pPr>
            <w:r w:rsidRPr="00C605D6">
              <w:rPr>
                <w:lang w:val="en-US"/>
              </w:rPr>
              <w:t>0.40</w:t>
            </w:r>
          </w:p>
        </w:tc>
        <w:tc>
          <w:tcPr>
            <w:tcW w:w="849" w:type="dxa"/>
            <w:vAlign w:val="center"/>
          </w:tcPr>
          <w:p w:rsidR="00275F6A" w:rsidRPr="00C605D6" w:rsidRDefault="00275F6A" w:rsidP="0007443E">
            <w:pPr>
              <w:pStyle w:val="TableText0"/>
              <w:jc w:val="right"/>
              <w:rPr>
                <w:lang w:val="en-US"/>
              </w:rPr>
            </w:pPr>
            <w:r w:rsidRPr="00C605D6">
              <w:rPr>
                <w:lang w:val="en-US"/>
              </w:rPr>
              <w:t>0.30</w:t>
            </w:r>
          </w:p>
        </w:tc>
        <w:tc>
          <w:tcPr>
            <w:tcW w:w="850" w:type="dxa"/>
            <w:vAlign w:val="center"/>
          </w:tcPr>
          <w:p w:rsidR="00275F6A" w:rsidRPr="00C605D6" w:rsidRDefault="00275F6A" w:rsidP="0007443E">
            <w:pPr>
              <w:pStyle w:val="TableText0"/>
              <w:jc w:val="right"/>
              <w:rPr>
                <w:lang w:val="en-US"/>
              </w:rPr>
            </w:pPr>
            <w:r w:rsidRPr="00C605D6">
              <w:rPr>
                <w:lang w:val="en-US"/>
              </w:rPr>
              <w:t>0.50</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Tinley </w:t>
            </w:r>
            <w:r w:rsidR="009959E3" w:rsidRPr="000F3C8B">
              <w:rPr>
                <w:szCs w:val="18"/>
                <w:lang w:val="en-AU"/>
              </w:rPr>
              <w:t xml:space="preserve">et al </w:t>
            </w:r>
            <w:r w:rsidRPr="000F3C8B">
              <w:rPr>
                <w:szCs w:val="18"/>
                <w:lang w:val="en-AU"/>
              </w:rPr>
              <w:t>(2007), 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Split between Hartmann’s and Colostomy</w:t>
            </w:r>
          </w:p>
        </w:tc>
        <w:tc>
          <w:tcPr>
            <w:tcW w:w="898" w:type="dxa"/>
            <w:vAlign w:val="center"/>
          </w:tcPr>
          <w:p w:rsidR="00275F6A" w:rsidRPr="00C605D6" w:rsidRDefault="00275F6A" w:rsidP="0007443E">
            <w:pPr>
              <w:pStyle w:val="TableText0"/>
              <w:jc w:val="right"/>
              <w:rPr>
                <w:lang w:val="en-US"/>
              </w:rPr>
            </w:pPr>
            <w:r w:rsidRPr="00C605D6">
              <w:rPr>
                <w:lang w:val="en-US"/>
              </w:rPr>
              <w:t>0.50</w:t>
            </w:r>
          </w:p>
        </w:tc>
        <w:tc>
          <w:tcPr>
            <w:tcW w:w="849" w:type="dxa"/>
            <w:vAlign w:val="center"/>
          </w:tcPr>
          <w:p w:rsidR="00275F6A" w:rsidRPr="00C605D6" w:rsidRDefault="00275F6A" w:rsidP="0007443E">
            <w:pPr>
              <w:pStyle w:val="TableText0"/>
              <w:jc w:val="right"/>
              <w:rPr>
                <w:lang w:val="en-US"/>
              </w:rPr>
            </w:pPr>
            <w:r w:rsidRPr="00C605D6">
              <w:rPr>
                <w:lang w:val="en-US"/>
              </w:rPr>
              <w:t>0.25</w:t>
            </w:r>
          </w:p>
        </w:tc>
        <w:tc>
          <w:tcPr>
            <w:tcW w:w="850" w:type="dxa"/>
            <w:vAlign w:val="center"/>
          </w:tcPr>
          <w:p w:rsidR="00275F6A" w:rsidRPr="00C605D6" w:rsidRDefault="00275F6A" w:rsidP="0007443E">
            <w:pPr>
              <w:pStyle w:val="TableText0"/>
              <w:jc w:val="right"/>
              <w:rPr>
                <w:lang w:val="en-US"/>
              </w:rPr>
            </w:pPr>
            <w:r w:rsidRPr="00C605D6">
              <w:rPr>
                <w:lang w:val="en-US"/>
              </w:rPr>
              <w:t>0.75</w:t>
            </w: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Probability of death from stenting</w:t>
            </w:r>
          </w:p>
        </w:tc>
        <w:tc>
          <w:tcPr>
            <w:tcW w:w="898" w:type="dxa"/>
            <w:vAlign w:val="center"/>
          </w:tcPr>
          <w:p w:rsidR="00275F6A" w:rsidRPr="00C605D6" w:rsidRDefault="00275F6A" w:rsidP="0007443E">
            <w:pPr>
              <w:pStyle w:val="TableText0"/>
              <w:jc w:val="right"/>
              <w:rPr>
                <w:lang w:val="en-US"/>
              </w:rPr>
            </w:pPr>
            <w:r w:rsidRPr="00C605D6">
              <w:rPr>
                <w:lang w:val="en-US"/>
              </w:rPr>
              <w:t>0.04</w:t>
            </w:r>
          </w:p>
        </w:tc>
        <w:tc>
          <w:tcPr>
            <w:tcW w:w="849" w:type="dxa"/>
            <w:vAlign w:val="center"/>
          </w:tcPr>
          <w:p w:rsidR="00275F6A" w:rsidRPr="00C605D6" w:rsidRDefault="00275F6A" w:rsidP="0007443E">
            <w:pPr>
              <w:pStyle w:val="TableText0"/>
              <w:jc w:val="right"/>
              <w:rPr>
                <w:lang w:val="en-US"/>
              </w:rPr>
            </w:pPr>
            <w:r w:rsidRPr="00C605D6">
              <w:rPr>
                <w:lang w:val="en-US"/>
              </w:rPr>
              <w:t>0.02</w:t>
            </w:r>
          </w:p>
        </w:tc>
        <w:tc>
          <w:tcPr>
            <w:tcW w:w="850" w:type="dxa"/>
            <w:vAlign w:val="center"/>
          </w:tcPr>
          <w:p w:rsidR="00275F6A" w:rsidRPr="00C605D6" w:rsidRDefault="00275F6A" w:rsidP="0007443E">
            <w:pPr>
              <w:pStyle w:val="TableText0"/>
              <w:jc w:val="right"/>
              <w:rPr>
                <w:lang w:val="en-US"/>
              </w:rPr>
            </w:pPr>
            <w:r w:rsidRPr="00C605D6">
              <w:rPr>
                <w:lang w:val="en-US"/>
              </w:rPr>
              <w:t>0.06</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Estimated from Khot </w:t>
            </w:r>
            <w:r w:rsidR="009959E3" w:rsidRPr="000F3C8B">
              <w:rPr>
                <w:szCs w:val="18"/>
                <w:lang w:val="en-AU"/>
              </w:rPr>
              <w:t xml:space="preserve">et al </w:t>
            </w:r>
            <w:r w:rsidRPr="000F3C8B">
              <w:rPr>
                <w:szCs w:val="18"/>
                <w:lang w:val="en-AU"/>
              </w:rPr>
              <w:t>(2002)</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Probability of death from elective surgery</w:t>
            </w:r>
          </w:p>
        </w:tc>
        <w:tc>
          <w:tcPr>
            <w:tcW w:w="898" w:type="dxa"/>
            <w:vAlign w:val="center"/>
          </w:tcPr>
          <w:p w:rsidR="00275F6A" w:rsidRPr="00C605D6" w:rsidRDefault="00275F6A" w:rsidP="0007443E">
            <w:pPr>
              <w:pStyle w:val="TableText0"/>
              <w:jc w:val="right"/>
              <w:rPr>
                <w:lang w:val="en-US"/>
              </w:rPr>
            </w:pPr>
            <w:r w:rsidRPr="00C605D6">
              <w:rPr>
                <w:lang w:val="en-US"/>
              </w:rPr>
              <w:t>0.04</w:t>
            </w:r>
          </w:p>
        </w:tc>
        <w:tc>
          <w:tcPr>
            <w:tcW w:w="849" w:type="dxa"/>
            <w:vAlign w:val="center"/>
          </w:tcPr>
          <w:p w:rsidR="00275F6A" w:rsidRPr="00C605D6" w:rsidRDefault="00275F6A" w:rsidP="0007443E">
            <w:pPr>
              <w:pStyle w:val="TableText0"/>
              <w:jc w:val="right"/>
              <w:rPr>
                <w:lang w:val="en-US"/>
              </w:rPr>
            </w:pPr>
            <w:r w:rsidRPr="00C605D6">
              <w:rPr>
                <w:lang w:val="en-US"/>
              </w:rPr>
              <w:t>0.02</w:t>
            </w:r>
          </w:p>
        </w:tc>
        <w:tc>
          <w:tcPr>
            <w:tcW w:w="850" w:type="dxa"/>
            <w:vAlign w:val="center"/>
          </w:tcPr>
          <w:p w:rsidR="00275F6A" w:rsidRPr="00C605D6" w:rsidRDefault="00275F6A" w:rsidP="0007443E">
            <w:pPr>
              <w:pStyle w:val="TableText0"/>
              <w:jc w:val="right"/>
              <w:rPr>
                <w:lang w:val="en-US"/>
              </w:rPr>
            </w:pPr>
            <w:r w:rsidRPr="00C605D6">
              <w:rPr>
                <w:lang w:val="en-US"/>
              </w:rPr>
              <w:t>0.06</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Osman </w:t>
            </w:r>
            <w:r w:rsidR="009959E3" w:rsidRPr="000F3C8B">
              <w:rPr>
                <w:szCs w:val="18"/>
                <w:lang w:val="en-AU"/>
              </w:rPr>
              <w:t xml:space="preserve">et al </w:t>
            </w:r>
            <w:r w:rsidRPr="000F3C8B">
              <w:rPr>
                <w:szCs w:val="18"/>
                <w:lang w:val="en-AU"/>
              </w:rPr>
              <w:t xml:space="preserve">(2000), Tarogownik </w:t>
            </w:r>
            <w:r w:rsidR="009959E3" w:rsidRPr="000F3C8B">
              <w:rPr>
                <w:szCs w:val="18"/>
                <w:lang w:val="en-AU"/>
              </w:rPr>
              <w:t xml:space="preserve">et al </w:t>
            </w:r>
            <w:r w:rsidRPr="000F3C8B">
              <w:rPr>
                <w:szCs w:val="18"/>
                <w:lang w:val="en-AU"/>
              </w:rPr>
              <w:t xml:space="preserve">(2004), Feo </w:t>
            </w:r>
            <w:r w:rsidR="009959E3" w:rsidRPr="000F3C8B">
              <w:rPr>
                <w:szCs w:val="18"/>
                <w:lang w:val="en-AU"/>
              </w:rPr>
              <w:t xml:space="preserve">and Schaffzin </w:t>
            </w:r>
            <w:r w:rsidRPr="000F3C8B">
              <w:rPr>
                <w:szCs w:val="18"/>
                <w:lang w:val="en-AU"/>
              </w:rPr>
              <w:t>(2011)</w:t>
            </w:r>
            <w:r w:rsidRPr="000F3C8B">
              <w:rPr>
                <w:lang w:val="en-AU"/>
              </w:rPr>
              <w:t xml:space="preserve"> </w:t>
            </w:r>
            <w:r w:rsidRPr="000F3C8B">
              <w:rPr>
                <w:szCs w:val="18"/>
                <w:lang w:val="en-AU"/>
              </w:rPr>
              <w:fldChar w:fldCharType="begin">
                <w:fldData xml:space="preserve">PEVuZE5vdGU+PENpdGU+PEF1dGhvcj5GZW88L0F1dGhvcj48WWVhcj4yMDExPC9ZZWFyPjxSZWNO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</w:fldData>
              </w:fldChar>
            </w:r>
            <w:r w:rsidRPr="000F3C8B">
              <w:rPr>
                <w:szCs w:val="18"/>
                <w:lang w:val="en-AU"/>
              </w:rPr>
              <w:instrText xml:space="preserve"> ADDIN EN.CITE </w:instrText>
            </w:r>
            <w:r w:rsidRPr="000F3C8B">
              <w:rPr>
                <w:szCs w:val="18"/>
                <w:lang w:val="en-AU"/>
              </w:rPr>
              <w:fldChar w:fldCharType="begin">
                <w:fldData xml:space="preserve">PEVuZE5vdGU+PENpdGU+PEF1dGhvcj5GZW88L0F1dGhvcj48WWVhcj4yMDExPC9ZZWFyPjxSZWNO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</w:fldData>
              </w:fldChar>
            </w:r>
            <w:r w:rsidRPr="000F3C8B">
              <w:rPr>
                <w:szCs w:val="18"/>
                <w:lang w:val="en-AU"/>
              </w:rPr>
              <w:instrText xml:space="preserve"> ADDIN EN.CITE.DATA </w:instrText>
            </w:r>
            <w:r w:rsidRPr="000F3C8B">
              <w:rPr>
                <w:szCs w:val="18"/>
                <w:lang w:val="en-AU"/>
              </w:rPr>
            </w:r>
            <w:r w:rsidRPr="000F3C8B">
              <w:rPr>
                <w:szCs w:val="18"/>
                <w:lang w:val="en-AU"/>
              </w:rPr>
              <w:fldChar w:fldCharType="end"/>
            </w:r>
            <w:r w:rsidRPr="000F3C8B">
              <w:rPr>
                <w:szCs w:val="18"/>
                <w:lang w:val="en-AU"/>
              </w:rPr>
            </w:r>
            <w:r w:rsidRPr="000F3C8B">
              <w:rPr>
                <w:szCs w:val="18"/>
                <w:lang w:val="en-AU"/>
              </w:rPr>
              <w:fldChar w:fldCharType="end"/>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Probability of death from emergency surgery</w:t>
            </w:r>
          </w:p>
        </w:tc>
        <w:tc>
          <w:tcPr>
            <w:tcW w:w="898" w:type="dxa"/>
            <w:vAlign w:val="center"/>
          </w:tcPr>
          <w:p w:rsidR="00275F6A" w:rsidRPr="00C605D6" w:rsidRDefault="00275F6A" w:rsidP="0007443E">
            <w:pPr>
              <w:pStyle w:val="TableText0"/>
              <w:jc w:val="right"/>
              <w:rPr>
                <w:lang w:val="en-US"/>
              </w:rPr>
            </w:pPr>
            <w:r w:rsidRPr="00C605D6">
              <w:rPr>
                <w:lang w:val="en-US"/>
              </w:rPr>
              <w:t>0.12</w:t>
            </w:r>
          </w:p>
        </w:tc>
        <w:tc>
          <w:tcPr>
            <w:tcW w:w="849" w:type="dxa"/>
            <w:vAlign w:val="center"/>
          </w:tcPr>
          <w:p w:rsidR="00275F6A" w:rsidRPr="00C605D6" w:rsidRDefault="00275F6A" w:rsidP="0007443E">
            <w:pPr>
              <w:pStyle w:val="TableText0"/>
              <w:jc w:val="right"/>
              <w:rPr>
                <w:lang w:val="en-US"/>
              </w:rPr>
            </w:pPr>
            <w:r w:rsidRPr="00C605D6">
              <w:rPr>
                <w:lang w:val="en-US"/>
              </w:rPr>
              <w:t>0.06</w:t>
            </w:r>
          </w:p>
        </w:tc>
        <w:tc>
          <w:tcPr>
            <w:tcW w:w="850" w:type="dxa"/>
            <w:vAlign w:val="center"/>
          </w:tcPr>
          <w:p w:rsidR="00275F6A" w:rsidRPr="00C605D6" w:rsidRDefault="00275F6A" w:rsidP="0007443E">
            <w:pPr>
              <w:pStyle w:val="TableText0"/>
              <w:jc w:val="right"/>
              <w:rPr>
                <w:lang w:val="en-US"/>
              </w:rPr>
            </w:pPr>
            <w:r w:rsidRPr="00C605D6">
              <w:rPr>
                <w:lang w:val="en-US"/>
              </w:rPr>
              <w:t>0.18</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Tinley </w:t>
            </w:r>
            <w:r w:rsidR="009959E3" w:rsidRPr="000F3C8B">
              <w:rPr>
                <w:szCs w:val="18"/>
                <w:lang w:val="en-AU"/>
              </w:rPr>
              <w:t xml:space="preserve">et al </w:t>
            </w:r>
            <w:r w:rsidRPr="000F3C8B">
              <w:rPr>
                <w:szCs w:val="18"/>
                <w:lang w:val="en-AU"/>
              </w:rPr>
              <w:t>(2007)</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Probability of complications from colostomy</w:t>
            </w:r>
          </w:p>
        </w:tc>
        <w:tc>
          <w:tcPr>
            <w:tcW w:w="898" w:type="dxa"/>
            <w:vAlign w:val="center"/>
          </w:tcPr>
          <w:p w:rsidR="00275F6A" w:rsidRPr="00C605D6" w:rsidRDefault="00275F6A" w:rsidP="0007443E">
            <w:pPr>
              <w:pStyle w:val="TableText0"/>
              <w:jc w:val="right"/>
              <w:rPr>
                <w:lang w:val="en-US"/>
              </w:rPr>
            </w:pPr>
            <w:r w:rsidRPr="00C605D6">
              <w:rPr>
                <w:lang w:val="en-US"/>
              </w:rPr>
              <w:t>0.25</w:t>
            </w:r>
          </w:p>
        </w:tc>
        <w:tc>
          <w:tcPr>
            <w:tcW w:w="849" w:type="dxa"/>
            <w:vAlign w:val="center"/>
          </w:tcPr>
          <w:p w:rsidR="00275F6A" w:rsidRPr="00C605D6" w:rsidRDefault="00275F6A" w:rsidP="0007443E">
            <w:pPr>
              <w:pStyle w:val="TableText0"/>
              <w:jc w:val="right"/>
              <w:rPr>
                <w:lang w:val="en-US"/>
              </w:rPr>
            </w:pPr>
            <w:r w:rsidRPr="00C605D6">
              <w:rPr>
                <w:lang w:val="en-US"/>
              </w:rPr>
              <w:t>0.13</w:t>
            </w:r>
          </w:p>
        </w:tc>
        <w:tc>
          <w:tcPr>
            <w:tcW w:w="850" w:type="dxa"/>
            <w:vAlign w:val="center"/>
          </w:tcPr>
          <w:p w:rsidR="00275F6A" w:rsidRPr="00C605D6" w:rsidRDefault="00275F6A" w:rsidP="0007443E">
            <w:pPr>
              <w:pStyle w:val="TableText0"/>
              <w:jc w:val="right"/>
              <w:rPr>
                <w:lang w:val="en-US"/>
              </w:rPr>
            </w:pPr>
            <w:r w:rsidRPr="00C605D6">
              <w:rPr>
                <w:lang w:val="en-US"/>
              </w:rPr>
              <w:t>0.38</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Varadarajulu </w:t>
            </w:r>
            <w:r w:rsidR="009959E3" w:rsidRPr="000F3C8B">
              <w:rPr>
                <w:szCs w:val="18"/>
                <w:lang w:val="en-AU"/>
              </w:rPr>
              <w:t xml:space="preserve">et al </w:t>
            </w:r>
            <w:r w:rsidRPr="000F3C8B">
              <w:rPr>
                <w:szCs w:val="18"/>
                <w:lang w:val="en-AU"/>
              </w:rPr>
              <w:t>(2011)</w:t>
            </w:r>
          </w:p>
        </w:tc>
      </w:tr>
      <w:tr w:rsidR="00275F6A" w:rsidRPr="00C605D6" w:rsidTr="00ED3C73">
        <w:trPr>
          <w:trHeight w:val="227"/>
        </w:trPr>
        <w:tc>
          <w:tcPr>
            <w:tcW w:w="3554" w:type="dxa"/>
            <w:vAlign w:val="bottom"/>
          </w:tcPr>
          <w:p w:rsidR="00275F6A" w:rsidRPr="000F3C8B" w:rsidRDefault="00275F6A" w:rsidP="00275F6A">
            <w:pPr>
              <w:pStyle w:val="TableText0"/>
              <w:rPr>
                <w:b/>
                <w:lang w:val="en-AU"/>
              </w:rPr>
            </w:pPr>
            <w:r w:rsidRPr="000F3C8B">
              <w:rPr>
                <w:b/>
                <w:lang w:val="en-AU"/>
              </w:rPr>
              <w:t>Length of stay in hospital</w:t>
            </w:r>
          </w:p>
        </w:tc>
        <w:tc>
          <w:tcPr>
            <w:tcW w:w="898" w:type="dxa"/>
            <w:vAlign w:val="bottom"/>
          </w:tcPr>
          <w:p w:rsidR="00275F6A" w:rsidRPr="00C605D6" w:rsidRDefault="00275F6A" w:rsidP="00275F6A">
            <w:pPr>
              <w:pStyle w:val="TableText0"/>
              <w:rPr>
                <w:lang w:val="en-US"/>
              </w:rPr>
            </w:pPr>
          </w:p>
        </w:tc>
        <w:tc>
          <w:tcPr>
            <w:tcW w:w="849" w:type="dxa"/>
            <w:vAlign w:val="bottom"/>
          </w:tcPr>
          <w:p w:rsidR="00275F6A" w:rsidRPr="00C605D6" w:rsidRDefault="00275F6A" w:rsidP="00275F6A">
            <w:pPr>
              <w:pStyle w:val="TableText0"/>
              <w:rPr>
                <w:lang w:val="en-US"/>
              </w:rPr>
            </w:pPr>
          </w:p>
        </w:tc>
        <w:tc>
          <w:tcPr>
            <w:tcW w:w="850" w:type="dxa"/>
            <w:vAlign w:val="bottom"/>
          </w:tcPr>
          <w:p w:rsidR="00275F6A" w:rsidRPr="00C605D6" w:rsidRDefault="00275F6A" w:rsidP="00275F6A">
            <w:pPr>
              <w:pStyle w:val="TableText0"/>
              <w:rPr>
                <w:lang w:val="en-US"/>
              </w:rPr>
            </w:pPr>
          </w:p>
        </w:tc>
        <w:tc>
          <w:tcPr>
            <w:tcW w:w="1986" w:type="dxa"/>
            <w:vAlign w:val="center"/>
          </w:tcPr>
          <w:p w:rsidR="00275F6A" w:rsidRPr="000F3C8B" w:rsidRDefault="00275F6A" w:rsidP="00275F6A">
            <w:pPr>
              <w:pStyle w:val="TableText0"/>
              <w:rPr>
                <w:szCs w:val="18"/>
                <w:lang w:val="en-AU"/>
              </w:rPr>
            </w:pP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LOS stent</w:t>
            </w:r>
          </w:p>
        </w:tc>
        <w:tc>
          <w:tcPr>
            <w:tcW w:w="898" w:type="dxa"/>
            <w:vAlign w:val="center"/>
          </w:tcPr>
          <w:p w:rsidR="00275F6A" w:rsidRPr="00C605D6" w:rsidRDefault="00275F6A" w:rsidP="0007443E">
            <w:pPr>
              <w:pStyle w:val="TableText0"/>
              <w:jc w:val="right"/>
              <w:rPr>
                <w:lang w:val="en-US"/>
              </w:rPr>
            </w:pPr>
            <w:r w:rsidRPr="00C605D6">
              <w:rPr>
                <w:lang w:val="en-US"/>
              </w:rPr>
              <w:t>5</w:t>
            </w:r>
          </w:p>
        </w:tc>
        <w:tc>
          <w:tcPr>
            <w:tcW w:w="849" w:type="dxa"/>
            <w:vAlign w:val="center"/>
          </w:tcPr>
          <w:p w:rsidR="00275F6A" w:rsidRPr="00C605D6" w:rsidRDefault="00275F6A" w:rsidP="0007443E">
            <w:pPr>
              <w:pStyle w:val="TableText0"/>
              <w:jc w:val="right"/>
              <w:rPr>
                <w:lang w:val="en-US"/>
              </w:rPr>
            </w:pPr>
            <w:r w:rsidRPr="00C605D6">
              <w:rPr>
                <w:lang w:val="en-US"/>
              </w:rPr>
              <w:t>2.5</w:t>
            </w:r>
          </w:p>
        </w:tc>
        <w:tc>
          <w:tcPr>
            <w:tcW w:w="850" w:type="dxa"/>
            <w:vAlign w:val="center"/>
          </w:tcPr>
          <w:p w:rsidR="00275F6A" w:rsidRPr="00C605D6" w:rsidRDefault="00275F6A" w:rsidP="0007443E">
            <w:pPr>
              <w:pStyle w:val="TableText0"/>
              <w:jc w:val="right"/>
              <w:rPr>
                <w:lang w:val="en-US"/>
              </w:rPr>
            </w:pPr>
            <w:r w:rsidRPr="00C605D6">
              <w:rPr>
                <w:lang w:val="en-US"/>
              </w:rPr>
              <w:t>7.5</w:t>
            </w: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LOS colostomy</w:t>
            </w:r>
          </w:p>
        </w:tc>
        <w:tc>
          <w:tcPr>
            <w:tcW w:w="898" w:type="dxa"/>
            <w:vAlign w:val="center"/>
          </w:tcPr>
          <w:p w:rsidR="00275F6A" w:rsidRPr="00C605D6" w:rsidRDefault="00275F6A" w:rsidP="0007443E">
            <w:pPr>
              <w:pStyle w:val="TableText0"/>
              <w:jc w:val="right"/>
              <w:rPr>
                <w:lang w:val="en-US"/>
              </w:rPr>
            </w:pPr>
            <w:r w:rsidRPr="00C605D6">
              <w:rPr>
                <w:lang w:val="en-US"/>
              </w:rPr>
              <w:t>10</w:t>
            </w:r>
          </w:p>
        </w:tc>
        <w:tc>
          <w:tcPr>
            <w:tcW w:w="849" w:type="dxa"/>
            <w:vAlign w:val="center"/>
          </w:tcPr>
          <w:p w:rsidR="00275F6A" w:rsidRPr="00C605D6" w:rsidRDefault="00275F6A" w:rsidP="0007443E">
            <w:pPr>
              <w:pStyle w:val="TableText0"/>
              <w:jc w:val="right"/>
              <w:rPr>
                <w:lang w:val="en-US"/>
              </w:rPr>
            </w:pPr>
            <w:r w:rsidRPr="00C605D6">
              <w:rPr>
                <w:lang w:val="en-US"/>
              </w:rPr>
              <w:t>5</w:t>
            </w:r>
          </w:p>
        </w:tc>
        <w:tc>
          <w:tcPr>
            <w:tcW w:w="850" w:type="dxa"/>
            <w:vAlign w:val="center"/>
          </w:tcPr>
          <w:p w:rsidR="00275F6A" w:rsidRPr="00C605D6" w:rsidRDefault="00275F6A" w:rsidP="0007443E">
            <w:pPr>
              <w:pStyle w:val="TableText0"/>
              <w:jc w:val="right"/>
              <w:rPr>
                <w:lang w:val="en-US"/>
              </w:rPr>
            </w:pPr>
            <w:r w:rsidRPr="00C605D6">
              <w:rPr>
                <w:lang w:val="en-US"/>
              </w:rPr>
              <w:t>15</w:t>
            </w: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LOS for colostomy complications</w:t>
            </w:r>
          </w:p>
        </w:tc>
        <w:tc>
          <w:tcPr>
            <w:tcW w:w="898" w:type="dxa"/>
            <w:vAlign w:val="center"/>
          </w:tcPr>
          <w:p w:rsidR="00275F6A" w:rsidRPr="00C605D6" w:rsidRDefault="00275F6A" w:rsidP="0007443E">
            <w:pPr>
              <w:pStyle w:val="TableText0"/>
              <w:jc w:val="right"/>
              <w:rPr>
                <w:lang w:val="en-US"/>
              </w:rPr>
            </w:pPr>
            <w:r w:rsidRPr="00C605D6">
              <w:rPr>
                <w:lang w:val="en-US"/>
              </w:rPr>
              <w:t>2</w:t>
            </w:r>
          </w:p>
        </w:tc>
        <w:tc>
          <w:tcPr>
            <w:tcW w:w="849" w:type="dxa"/>
            <w:vAlign w:val="center"/>
          </w:tcPr>
          <w:p w:rsidR="00275F6A" w:rsidRPr="00C605D6" w:rsidRDefault="00275F6A" w:rsidP="0007443E">
            <w:pPr>
              <w:pStyle w:val="TableText0"/>
              <w:jc w:val="right"/>
              <w:rPr>
                <w:lang w:val="en-US"/>
              </w:rPr>
            </w:pPr>
            <w:r w:rsidRPr="00C605D6">
              <w:rPr>
                <w:lang w:val="en-US"/>
              </w:rPr>
              <w:t>1</w:t>
            </w:r>
          </w:p>
        </w:tc>
        <w:tc>
          <w:tcPr>
            <w:tcW w:w="850" w:type="dxa"/>
            <w:vAlign w:val="center"/>
          </w:tcPr>
          <w:p w:rsidR="00275F6A" w:rsidRPr="00C605D6" w:rsidRDefault="00275F6A" w:rsidP="0007443E">
            <w:pPr>
              <w:pStyle w:val="TableText0"/>
              <w:jc w:val="right"/>
              <w:rPr>
                <w:lang w:val="en-US"/>
              </w:rPr>
            </w:pPr>
            <w:r w:rsidRPr="00C605D6">
              <w:rPr>
                <w:lang w:val="en-US"/>
              </w:rPr>
              <w:t>3</w:t>
            </w: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LOS ICU for colostomy</w:t>
            </w:r>
          </w:p>
        </w:tc>
        <w:tc>
          <w:tcPr>
            <w:tcW w:w="898" w:type="dxa"/>
            <w:vAlign w:val="center"/>
          </w:tcPr>
          <w:p w:rsidR="00275F6A" w:rsidRPr="00C605D6" w:rsidRDefault="00275F6A" w:rsidP="0007443E">
            <w:pPr>
              <w:pStyle w:val="TableText0"/>
              <w:jc w:val="right"/>
              <w:rPr>
                <w:lang w:val="en-US"/>
              </w:rPr>
            </w:pPr>
            <w:r w:rsidRPr="00C605D6">
              <w:rPr>
                <w:lang w:val="en-US"/>
              </w:rPr>
              <w:t>1</w:t>
            </w:r>
          </w:p>
        </w:tc>
        <w:tc>
          <w:tcPr>
            <w:tcW w:w="849" w:type="dxa"/>
            <w:vAlign w:val="center"/>
          </w:tcPr>
          <w:p w:rsidR="00275F6A" w:rsidRPr="00C605D6" w:rsidRDefault="00275F6A" w:rsidP="0007443E">
            <w:pPr>
              <w:pStyle w:val="TableText0"/>
              <w:jc w:val="right"/>
              <w:rPr>
                <w:lang w:val="en-US"/>
              </w:rPr>
            </w:pPr>
            <w:r w:rsidRPr="00C605D6">
              <w:rPr>
                <w:lang w:val="en-US"/>
              </w:rPr>
              <w:t>0</w:t>
            </w:r>
          </w:p>
        </w:tc>
        <w:tc>
          <w:tcPr>
            <w:tcW w:w="850" w:type="dxa"/>
            <w:vAlign w:val="center"/>
          </w:tcPr>
          <w:p w:rsidR="00275F6A" w:rsidRPr="00C605D6" w:rsidRDefault="00275F6A" w:rsidP="0007443E">
            <w:pPr>
              <w:pStyle w:val="TableText0"/>
              <w:jc w:val="right"/>
              <w:rPr>
                <w:lang w:val="en-US"/>
              </w:rPr>
            </w:pPr>
            <w:r w:rsidRPr="00C605D6">
              <w:rPr>
                <w:lang w:val="en-US"/>
              </w:rPr>
              <w:t>1.5</w:t>
            </w: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LOS Hartmann’s procedure</w:t>
            </w:r>
          </w:p>
        </w:tc>
        <w:tc>
          <w:tcPr>
            <w:tcW w:w="898" w:type="dxa"/>
            <w:vAlign w:val="center"/>
          </w:tcPr>
          <w:p w:rsidR="00275F6A" w:rsidRPr="00C605D6" w:rsidRDefault="00275F6A" w:rsidP="0007443E">
            <w:pPr>
              <w:pStyle w:val="TableText0"/>
              <w:jc w:val="right"/>
              <w:rPr>
                <w:lang w:val="en-US"/>
              </w:rPr>
            </w:pPr>
            <w:r w:rsidRPr="00C605D6">
              <w:rPr>
                <w:lang w:val="en-US"/>
              </w:rPr>
              <w:t>1</w:t>
            </w:r>
          </w:p>
        </w:tc>
        <w:tc>
          <w:tcPr>
            <w:tcW w:w="849" w:type="dxa"/>
            <w:vAlign w:val="center"/>
          </w:tcPr>
          <w:p w:rsidR="00275F6A" w:rsidRPr="00C605D6" w:rsidRDefault="00275F6A" w:rsidP="0007443E">
            <w:pPr>
              <w:pStyle w:val="TableText0"/>
              <w:jc w:val="right"/>
              <w:rPr>
                <w:lang w:val="en-US"/>
              </w:rPr>
            </w:pPr>
            <w:r w:rsidRPr="00C605D6">
              <w:rPr>
                <w:lang w:val="en-US"/>
              </w:rPr>
              <w:t>5</w:t>
            </w:r>
          </w:p>
        </w:tc>
        <w:tc>
          <w:tcPr>
            <w:tcW w:w="850" w:type="dxa"/>
            <w:vAlign w:val="center"/>
          </w:tcPr>
          <w:p w:rsidR="00275F6A" w:rsidRPr="00C605D6" w:rsidRDefault="00275F6A" w:rsidP="0007443E">
            <w:pPr>
              <w:pStyle w:val="TableText0"/>
              <w:jc w:val="right"/>
              <w:rPr>
                <w:lang w:val="en-US"/>
              </w:rPr>
            </w:pPr>
            <w:r w:rsidRPr="00C605D6">
              <w:rPr>
                <w:lang w:val="en-US"/>
              </w:rPr>
              <w:t>15</w:t>
            </w: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LOS ICU for Hartmann’s procedure</w:t>
            </w:r>
          </w:p>
        </w:tc>
        <w:tc>
          <w:tcPr>
            <w:tcW w:w="898" w:type="dxa"/>
            <w:vAlign w:val="center"/>
          </w:tcPr>
          <w:p w:rsidR="00275F6A" w:rsidRPr="00C605D6" w:rsidRDefault="00275F6A" w:rsidP="0007443E">
            <w:pPr>
              <w:pStyle w:val="TableText0"/>
              <w:jc w:val="right"/>
              <w:rPr>
                <w:lang w:val="en-US"/>
              </w:rPr>
            </w:pPr>
            <w:r w:rsidRPr="00C605D6">
              <w:rPr>
                <w:lang w:val="en-US"/>
              </w:rPr>
              <w:t>2</w:t>
            </w:r>
          </w:p>
        </w:tc>
        <w:tc>
          <w:tcPr>
            <w:tcW w:w="849" w:type="dxa"/>
            <w:vAlign w:val="center"/>
          </w:tcPr>
          <w:p w:rsidR="00275F6A" w:rsidRPr="00C605D6" w:rsidRDefault="00275F6A" w:rsidP="0007443E">
            <w:pPr>
              <w:pStyle w:val="TableText0"/>
              <w:jc w:val="right"/>
              <w:rPr>
                <w:lang w:val="en-US"/>
              </w:rPr>
            </w:pPr>
            <w:r w:rsidRPr="00C605D6">
              <w:rPr>
                <w:lang w:val="en-US"/>
              </w:rPr>
              <w:t>1</w:t>
            </w:r>
          </w:p>
        </w:tc>
        <w:tc>
          <w:tcPr>
            <w:tcW w:w="850" w:type="dxa"/>
            <w:vAlign w:val="center"/>
          </w:tcPr>
          <w:p w:rsidR="00275F6A" w:rsidRPr="00C605D6" w:rsidRDefault="00275F6A" w:rsidP="0007443E">
            <w:pPr>
              <w:pStyle w:val="TableText0"/>
              <w:jc w:val="right"/>
              <w:rPr>
                <w:lang w:val="en-US"/>
              </w:rPr>
            </w:pPr>
            <w:r w:rsidRPr="00C605D6">
              <w:rPr>
                <w:lang w:val="en-US"/>
              </w:rPr>
              <w:t>3</w:t>
            </w: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vAlign w:val="center"/>
          </w:tcPr>
          <w:p w:rsidR="00275F6A" w:rsidRPr="00C605D6" w:rsidRDefault="00275F6A" w:rsidP="00275F6A">
            <w:pPr>
              <w:pStyle w:val="TableText0"/>
              <w:rPr>
                <w:lang w:val="en-US"/>
              </w:rPr>
            </w:pPr>
            <w:r w:rsidRPr="00C605D6">
              <w:rPr>
                <w:lang w:val="en-US"/>
              </w:rPr>
              <w:t>LOS resection with primary anastomosis</w:t>
            </w:r>
          </w:p>
        </w:tc>
        <w:tc>
          <w:tcPr>
            <w:tcW w:w="898" w:type="dxa"/>
            <w:vAlign w:val="center"/>
          </w:tcPr>
          <w:p w:rsidR="00275F6A" w:rsidRPr="00C605D6" w:rsidRDefault="00275F6A" w:rsidP="0007443E">
            <w:pPr>
              <w:pStyle w:val="TableText0"/>
              <w:jc w:val="right"/>
              <w:rPr>
                <w:lang w:val="en-US"/>
              </w:rPr>
            </w:pPr>
            <w:r w:rsidRPr="00C605D6">
              <w:rPr>
                <w:lang w:val="en-US"/>
              </w:rPr>
              <w:t>7</w:t>
            </w:r>
          </w:p>
        </w:tc>
        <w:tc>
          <w:tcPr>
            <w:tcW w:w="849" w:type="dxa"/>
            <w:vAlign w:val="center"/>
          </w:tcPr>
          <w:p w:rsidR="00275F6A" w:rsidRPr="00C605D6" w:rsidRDefault="00275F6A" w:rsidP="0007443E">
            <w:pPr>
              <w:pStyle w:val="TableText0"/>
              <w:jc w:val="right"/>
              <w:rPr>
                <w:lang w:val="en-US"/>
              </w:rPr>
            </w:pPr>
          </w:p>
        </w:tc>
        <w:tc>
          <w:tcPr>
            <w:tcW w:w="850" w:type="dxa"/>
            <w:vAlign w:val="center"/>
          </w:tcPr>
          <w:p w:rsidR="00275F6A" w:rsidRPr="00C605D6" w:rsidRDefault="00275F6A" w:rsidP="0007443E">
            <w:pPr>
              <w:pStyle w:val="TableText0"/>
              <w:jc w:val="right"/>
              <w:rPr>
                <w:lang w:val="en-US"/>
              </w:rPr>
            </w:pPr>
          </w:p>
        </w:tc>
        <w:tc>
          <w:tcPr>
            <w:tcW w:w="1986" w:type="dxa"/>
            <w:vAlign w:val="center"/>
          </w:tcPr>
          <w:p w:rsidR="00275F6A" w:rsidRPr="000F3C8B" w:rsidRDefault="00275F6A" w:rsidP="00275F6A">
            <w:pPr>
              <w:pStyle w:val="TableText0"/>
              <w:rPr>
                <w:szCs w:val="18"/>
                <w:lang w:val="en-AU"/>
              </w:rPr>
            </w:pPr>
            <w:r w:rsidRPr="000F3C8B">
              <w:rPr>
                <w:szCs w:val="18"/>
                <w:lang w:val="en-AU"/>
              </w:rPr>
              <w:t>Expert advice</w:t>
            </w:r>
          </w:p>
        </w:tc>
      </w:tr>
      <w:tr w:rsidR="00275F6A" w:rsidRPr="00C605D6" w:rsidTr="00ED3C73">
        <w:trPr>
          <w:trHeight w:val="227"/>
        </w:trPr>
        <w:tc>
          <w:tcPr>
            <w:tcW w:w="3554" w:type="dxa"/>
          </w:tcPr>
          <w:p w:rsidR="00275F6A" w:rsidRPr="000F3C8B" w:rsidRDefault="00275F6A" w:rsidP="00275F6A">
            <w:pPr>
              <w:pStyle w:val="TableText0"/>
              <w:rPr>
                <w:b/>
                <w:lang w:val="en-AU"/>
              </w:rPr>
            </w:pPr>
            <w:r w:rsidRPr="000F3C8B">
              <w:rPr>
                <w:b/>
                <w:lang w:val="en-AU"/>
              </w:rPr>
              <w:t xml:space="preserve">Other inputs </w:t>
            </w:r>
          </w:p>
        </w:tc>
        <w:tc>
          <w:tcPr>
            <w:tcW w:w="898" w:type="dxa"/>
          </w:tcPr>
          <w:p w:rsidR="00275F6A" w:rsidRPr="000F3C8B" w:rsidRDefault="00275F6A" w:rsidP="00275F6A">
            <w:pPr>
              <w:pStyle w:val="TableText0"/>
              <w:rPr>
                <w:i/>
                <w:szCs w:val="18"/>
                <w:lang w:val="en-AU"/>
              </w:rPr>
            </w:pPr>
          </w:p>
        </w:tc>
        <w:tc>
          <w:tcPr>
            <w:tcW w:w="849" w:type="dxa"/>
          </w:tcPr>
          <w:p w:rsidR="00275F6A" w:rsidRPr="000F3C8B" w:rsidRDefault="00275F6A" w:rsidP="00275F6A">
            <w:pPr>
              <w:pStyle w:val="TableText0"/>
              <w:rPr>
                <w:i/>
                <w:szCs w:val="18"/>
                <w:lang w:val="en-AU"/>
              </w:rPr>
            </w:pPr>
          </w:p>
        </w:tc>
        <w:tc>
          <w:tcPr>
            <w:tcW w:w="850" w:type="dxa"/>
          </w:tcPr>
          <w:p w:rsidR="00275F6A" w:rsidRPr="000F3C8B" w:rsidRDefault="00275F6A" w:rsidP="00275F6A">
            <w:pPr>
              <w:pStyle w:val="TableText0"/>
              <w:rPr>
                <w:i/>
                <w:szCs w:val="18"/>
                <w:lang w:val="en-AU"/>
              </w:rPr>
            </w:pPr>
          </w:p>
        </w:tc>
        <w:tc>
          <w:tcPr>
            <w:tcW w:w="1986" w:type="dxa"/>
            <w:vAlign w:val="center"/>
          </w:tcPr>
          <w:p w:rsidR="00275F6A" w:rsidRPr="000F3C8B" w:rsidRDefault="00275F6A" w:rsidP="00275F6A">
            <w:pPr>
              <w:pStyle w:val="TableText0"/>
              <w:rPr>
                <w:i/>
                <w:szCs w:val="18"/>
                <w:lang w:val="en-AU"/>
              </w:rPr>
            </w:pPr>
          </w:p>
        </w:tc>
      </w:tr>
      <w:tr w:rsidR="00275F6A" w:rsidRPr="00C605D6" w:rsidTr="00ED3C73">
        <w:trPr>
          <w:trHeight w:val="227"/>
        </w:trPr>
        <w:tc>
          <w:tcPr>
            <w:tcW w:w="3554" w:type="dxa"/>
            <w:vAlign w:val="center"/>
          </w:tcPr>
          <w:p w:rsidR="00275F6A" w:rsidRPr="000F3C8B" w:rsidRDefault="00275F6A" w:rsidP="00275F6A">
            <w:pPr>
              <w:pStyle w:val="TableText0"/>
              <w:rPr>
                <w:szCs w:val="18"/>
                <w:lang w:val="en-AU"/>
              </w:rPr>
            </w:pPr>
            <w:r w:rsidRPr="000F3C8B">
              <w:rPr>
                <w:szCs w:val="18"/>
                <w:lang w:val="en-AU"/>
              </w:rPr>
              <w:t>Survival after stent (weeks)</w:t>
            </w:r>
          </w:p>
        </w:tc>
        <w:tc>
          <w:tcPr>
            <w:tcW w:w="898" w:type="dxa"/>
            <w:vAlign w:val="center"/>
          </w:tcPr>
          <w:p w:rsidR="00275F6A" w:rsidRPr="000F3C8B" w:rsidRDefault="00275F6A" w:rsidP="0007443E">
            <w:pPr>
              <w:pStyle w:val="TableText0"/>
              <w:jc w:val="right"/>
              <w:rPr>
                <w:szCs w:val="18"/>
                <w:lang w:val="en-AU"/>
              </w:rPr>
            </w:pPr>
            <w:r w:rsidRPr="000F3C8B">
              <w:rPr>
                <w:szCs w:val="18"/>
                <w:lang w:val="en-AU"/>
              </w:rPr>
              <w:t>48.36</w:t>
            </w:r>
          </w:p>
        </w:tc>
        <w:tc>
          <w:tcPr>
            <w:tcW w:w="849" w:type="dxa"/>
            <w:vAlign w:val="center"/>
          </w:tcPr>
          <w:p w:rsidR="00275F6A" w:rsidRPr="00C605D6" w:rsidRDefault="00275F6A" w:rsidP="0007443E">
            <w:pPr>
              <w:pStyle w:val="TableText0"/>
              <w:jc w:val="right"/>
              <w:rPr>
                <w:color w:val="000000"/>
                <w:szCs w:val="18"/>
                <w:lang w:val="en-US"/>
              </w:rPr>
            </w:pPr>
            <w:r w:rsidRPr="00C605D6">
              <w:rPr>
                <w:color w:val="000000"/>
                <w:szCs w:val="18"/>
                <w:lang w:val="en-US"/>
              </w:rPr>
              <w:t>24.18</w:t>
            </w:r>
          </w:p>
        </w:tc>
        <w:tc>
          <w:tcPr>
            <w:tcW w:w="850" w:type="dxa"/>
            <w:vAlign w:val="center"/>
          </w:tcPr>
          <w:p w:rsidR="00275F6A" w:rsidRPr="00C605D6" w:rsidRDefault="00275F6A" w:rsidP="0007443E">
            <w:pPr>
              <w:pStyle w:val="TableText0"/>
              <w:jc w:val="right"/>
              <w:rPr>
                <w:color w:val="000000"/>
                <w:szCs w:val="18"/>
                <w:lang w:val="en-US"/>
              </w:rPr>
            </w:pPr>
            <w:r w:rsidRPr="00C605D6">
              <w:rPr>
                <w:color w:val="000000"/>
                <w:szCs w:val="18"/>
                <w:lang w:val="en-US"/>
              </w:rPr>
              <w:t>52</w:t>
            </w:r>
          </w:p>
        </w:tc>
        <w:tc>
          <w:tcPr>
            <w:tcW w:w="1986" w:type="dxa"/>
            <w:vAlign w:val="center"/>
          </w:tcPr>
          <w:p w:rsidR="00275F6A" w:rsidRPr="000F3C8B" w:rsidRDefault="00275F6A" w:rsidP="00ED3C73">
            <w:pPr>
              <w:pStyle w:val="TableText0"/>
              <w:rPr>
                <w:szCs w:val="18"/>
                <w:lang w:val="en-AU"/>
              </w:rPr>
            </w:pPr>
            <w:r w:rsidRPr="000F3C8B">
              <w:rPr>
                <w:szCs w:val="18"/>
                <w:lang w:val="en-AU"/>
              </w:rPr>
              <w:t>Estimated from American Cancer Society (2007)</w:t>
            </w:r>
            <w:r w:rsidR="00ED3C73" w:rsidRPr="00ED3C73">
              <w:rPr>
                <w:szCs w:val="18"/>
                <w:vertAlign w:val="superscript"/>
                <w:lang w:val="en-AU"/>
              </w:rPr>
              <w:t>a</w:t>
            </w:r>
          </w:p>
        </w:tc>
      </w:tr>
      <w:tr w:rsidR="00275F6A" w:rsidRPr="00C605D6" w:rsidTr="00ED3C73">
        <w:trPr>
          <w:trHeight w:val="227"/>
        </w:trPr>
        <w:tc>
          <w:tcPr>
            <w:tcW w:w="3554" w:type="dxa"/>
            <w:vAlign w:val="center"/>
          </w:tcPr>
          <w:p w:rsidR="00275F6A" w:rsidRPr="000F3C8B" w:rsidRDefault="00275F6A" w:rsidP="00275F6A">
            <w:pPr>
              <w:pStyle w:val="TableText0"/>
              <w:rPr>
                <w:szCs w:val="18"/>
                <w:lang w:val="en-AU"/>
              </w:rPr>
            </w:pPr>
            <w:r w:rsidRPr="000F3C8B">
              <w:rPr>
                <w:szCs w:val="18"/>
                <w:lang w:val="en-AU"/>
              </w:rPr>
              <w:t>Weeks with a bridge to surgery colostomy</w:t>
            </w:r>
          </w:p>
        </w:tc>
        <w:tc>
          <w:tcPr>
            <w:tcW w:w="898" w:type="dxa"/>
            <w:vAlign w:val="center"/>
          </w:tcPr>
          <w:p w:rsidR="00275F6A" w:rsidRPr="000F3C8B" w:rsidRDefault="00275F6A" w:rsidP="0007443E">
            <w:pPr>
              <w:pStyle w:val="TableText0"/>
              <w:jc w:val="right"/>
              <w:rPr>
                <w:szCs w:val="18"/>
                <w:lang w:val="en-AU"/>
              </w:rPr>
            </w:pPr>
            <w:r w:rsidRPr="000F3C8B">
              <w:rPr>
                <w:szCs w:val="18"/>
                <w:lang w:val="en-AU"/>
              </w:rPr>
              <w:t>4</w:t>
            </w:r>
            <w:r w:rsidR="0099603A" w:rsidRPr="000F3C8B">
              <w:rPr>
                <w:szCs w:val="18"/>
                <w:lang w:val="en-AU"/>
              </w:rPr>
              <w:t xml:space="preserve">   </w:t>
            </w:r>
          </w:p>
        </w:tc>
        <w:tc>
          <w:tcPr>
            <w:tcW w:w="849" w:type="dxa"/>
            <w:vAlign w:val="center"/>
          </w:tcPr>
          <w:p w:rsidR="00275F6A" w:rsidRPr="00C605D6" w:rsidRDefault="00275F6A" w:rsidP="0007443E">
            <w:pPr>
              <w:pStyle w:val="TableText0"/>
              <w:jc w:val="right"/>
              <w:rPr>
                <w:color w:val="000000"/>
                <w:szCs w:val="18"/>
                <w:lang w:val="en-US"/>
              </w:rPr>
            </w:pPr>
            <w:r w:rsidRPr="00C605D6">
              <w:rPr>
                <w:color w:val="000000"/>
                <w:szCs w:val="18"/>
                <w:lang w:val="en-US"/>
              </w:rPr>
              <w:t>2</w:t>
            </w:r>
          </w:p>
        </w:tc>
        <w:tc>
          <w:tcPr>
            <w:tcW w:w="850" w:type="dxa"/>
            <w:vAlign w:val="center"/>
          </w:tcPr>
          <w:p w:rsidR="00275F6A" w:rsidRPr="00C605D6" w:rsidRDefault="00275F6A" w:rsidP="0007443E">
            <w:pPr>
              <w:pStyle w:val="TableText0"/>
              <w:jc w:val="right"/>
              <w:rPr>
                <w:color w:val="000000"/>
                <w:szCs w:val="18"/>
                <w:lang w:val="en-US"/>
              </w:rPr>
            </w:pPr>
            <w:r w:rsidRPr="00C605D6">
              <w:rPr>
                <w:color w:val="000000"/>
                <w:szCs w:val="18"/>
                <w:lang w:val="en-US"/>
              </w:rPr>
              <w:t>6</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Singh </w:t>
            </w:r>
            <w:r w:rsidR="0099603A" w:rsidRPr="000F3C8B">
              <w:rPr>
                <w:szCs w:val="18"/>
                <w:lang w:val="en-AU"/>
              </w:rPr>
              <w:t xml:space="preserve">et al </w:t>
            </w:r>
            <w:r w:rsidRPr="000F3C8B">
              <w:rPr>
                <w:szCs w:val="18"/>
                <w:lang w:val="en-AU"/>
              </w:rPr>
              <w:t>(2006)</w:t>
            </w:r>
          </w:p>
        </w:tc>
      </w:tr>
      <w:tr w:rsidR="00275F6A" w:rsidRPr="00C605D6" w:rsidTr="00ED3C73">
        <w:trPr>
          <w:trHeight w:val="227"/>
        </w:trPr>
        <w:tc>
          <w:tcPr>
            <w:tcW w:w="3554" w:type="dxa"/>
            <w:vAlign w:val="center"/>
          </w:tcPr>
          <w:p w:rsidR="00275F6A" w:rsidRPr="000F3C8B" w:rsidRDefault="00275F6A" w:rsidP="00275F6A">
            <w:pPr>
              <w:pStyle w:val="TableText0"/>
              <w:rPr>
                <w:szCs w:val="18"/>
                <w:lang w:val="en-AU"/>
              </w:rPr>
            </w:pPr>
            <w:r w:rsidRPr="000F3C8B">
              <w:rPr>
                <w:szCs w:val="18"/>
                <w:lang w:val="en-AU"/>
              </w:rPr>
              <w:t>Weeks till second stage Hartmann’s</w:t>
            </w:r>
          </w:p>
        </w:tc>
        <w:tc>
          <w:tcPr>
            <w:tcW w:w="898" w:type="dxa"/>
            <w:vAlign w:val="center"/>
          </w:tcPr>
          <w:p w:rsidR="00275F6A" w:rsidRPr="000F3C8B" w:rsidRDefault="00275F6A" w:rsidP="0007443E">
            <w:pPr>
              <w:pStyle w:val="TableText0"/>
              <w:jc w:val="right"/>
              <w:rPr>
                <w:szCs w:val="18"/>
                <w:lang w:val="en-AU"/>
              </w:rPr>
            </w:pPr>
            <w:r w:rsidRPr="000F3C8B">
              <w:rPr>
                <w:szCs w:val="18"/>
                <w:lang w:val="en-AU"/>
              </w:rPr>
              <w:t>8</w:t>
            </w:r>
          </w:p>
        </w:tc>
        <w:tc>
          <w:tcPr>
            <w:tcW w:w="849" w:type="dxa"/>
            <w:vAlign w:val="center"/>
          </w:tcPr>
          <w:p w:rsidR="00275F6A" w:rsidRPr="00C605D6" w:rsidRDefault="00275F6A" w:rsidP="0007443E">
            <w:pPr>
              <w:pStyle w:val="TableText0"/>
              <w:jc w:val="right"/>
              <w:rPr>
                <w:color w:val="000000"/>
                <w:szCs w:val="18"/>
                <w:lang w:val="en-US"/>
              </w:rPr>
            </w:pPr>
            <w:r w:rsidRPr="00C605D6">
              <w:rPr>
                <w:color w:val="000000"/>
                <w:szCs w:val="18"/>
                <w:lang w:val="en-US"/>
              </w:rPr>
              <w:t>4</w:t>
            </w:r>
          </w:p>
        </w:tc>
        <w:tc>
          <w:tcPr>
            <w:tcW w:w="850" w:type="dxa"/>
            <w:vAlign w:val="center"/>
          </w:tcPr>
          <w:p w:rsidR="00275F6A" w:rsidRPr="00C605D6" w:rsidRDefault="00275F6A" w:rsidP="0007443E">
            <w:pPr>
              <w:pStyle w:val="TableText0"/>
              <w:jc w:val="right"/>
              <w:rPr>
                <w:color w:val="000000"/>
                <w:szCs w:val="18"/>
                <w:lang w:val="en-US"/>
              </w:rPr>
            </w:pPr>
            <w:r w:rsidRPr="00C605D6">
              <w:rPr>
                <w:color w:val="000000"/>
                <w:szCs w:val="18"/>
                <w:lang w:val="en-US"/>
              </w:rPr>
              <w:t>12</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Singh </w:t>
            </w:r>
            <w:r w:rsidR="0099603A" w:rsidRPr="000F3C8B">
              <w:rPr>
                <w:szCs w:val="18"/>
                <w:lang w:val="en-AU"/>
              </w:rPr>
              <w:t xml:space="preserve">et al </w:t>
            </w:r>
            <w:r w:rsidRPr="000F3C8B">
              <w:rPr>
                <w:szCs w:val="18"/>
                <w:lang w:val="en-AU"/>
              </w:rPr>
              <w:t>(2006)</w:t>
            </w:r>
          </w:p>
        </w:tc>
      </w:tr>
      <w:tr w:rsidR="00275F6A" w:rsidRPr="00C605D6" w:rsidTr="00ED3C73">
        <w:trPr>
          <w:trHeight w:val="227"/>
        </w:trPr>
        <w:tc>
          <w:tcPr>
            <w:tcW w:w="3554" w:type="dxa"/>
          </w:tcPr>
          <w:p w:rsidR="00275F6A" w:rsidRPr="000F3C8B" w:rsidRDefault="00275F6A" w:rsidP="00275F6A">
            <w:pPr>
              <w:pStyle w:val="TableText0"/>
              <w:rPr>
                <w:b/>
                <w:lang w:val="en-AU"/>
              </w:rPr>
            </w:pPr>
            <w:r w:rsidRPr="000F3C8B">
              <w:rPr>
                <w:b/>
                <w:lang w:val="en-AU"/>
              </w:rPr>
              <w:t>Utility</w:t>
            </w:r>
          </w:p>
        </w:tc>
        <w:tc>
          <w:tcPr>
            <w:tcW w:w="898" w:type="dxa"/>
          </w:tcPr>
          <w:p w:rsidR="00275F6A" w:rsidRPr="000F3C8B" w:rsidRDefault="00275F6A" w:rsidP="0007443E">
            <w:pPr>
              <w:pStyle w:val="TableText0"/>
              <w:jc w:val="right"/>
              <w:rPr>
                <w:szCs w:val="18"/>
                <w:lang w:val="en-AU"/>
              </w:rPr>
            </w:pPr>
          </w:p>
        </w:tc>
        <w:tc>
          <w:tcPr>
            <w:tcW w:w="849" w:type="dxa"/>
          </w:tcPr>
          <w:p w:rsidR="00275F6A" w:rsidRPr="000F3C8B" w:rsidRDefault="00275F6A" w:rsidP="0007443E">
            <w:pPr>
              <w:pStyle w:val="TableText0"/>
              <w:jc w:val="right"/>
              <w:rPr>
                <w:szCs w:val="18"/>
                <w:lang w:val="en-AU"/>
              </w:rPr>
            </w:pPr>
          </w:p>
        </w:tc>
        <w:tc>
          <w:tcPr>
            <w:tcW w:w="850" w:type="dxa"/>
          </w:tcPr>
          <w:p w:rsidR="00275F6A" w:rsidRPr="000F3C8B" w:rsidRDefault="00275F6A" w:rsidP="0007443E">
            <w:pPr>
              <w:pStyle w:val="TableText0"/>
              <w:jc w:val="right"/>
              <w:rPr>
                <w:szCs w:val="18"/>
                <w:lang w:val="en-AU"/>
              </w:rPr>
            </w:pPr>
          </w:p>
        </w:tc>
        <w:tc>
          <w:tcPr>
            <w:tcW w:w="1986" w:type="dxa"/>
            <w:vAlign w:val="center"/>
          </w:tcPr>
          <w:p w:rsidR="00275F6A" w:rsidRPr="000F3C8B" w:rsidRDefault="00275F6A" w:rsidP="00275F6A">
            <w:pPr>
              <w:pStyle w:val="TableText0"/>
              <w:rPr>
                <w:szCs w:val="18"/>
                <w:lang w:val="en-AU"/>
              </w:rPr>
            </w:pPr>
          </w:p>
        </w:tc>
      </w:tr>
      <w:tr w:rsidR="00275F6A" w:rsidRPr="00C605D6" w:rsidTr="00ED3C73">
        <w:trPr>
          <w:trHeight w:val="143"/>
        </w:trPr>
        <w:tc>
          <w:tcPr>
            <w:tcW w:w="3554" w:type="dxa"/>
            <w:vAlign w:val="center"/>
          </w:tcPr>
          <w:p w:rsidR="00275F6A" w:rsidRPr="000F3C8B" w:rsidRDefault="00275F6A" w:rsidP="006A3655">
            <w:pPr>
              <w:pStyle w:val="TableText0"/>
              <w:rPr>
                <w:lang w:val="en-AU"/>
              </w:rPr>
            </w:pPr>
            <w:r w:rsidRPr="000F3C8B">
              <w:rPr>
                <w:lang w:val="en-AU"/>
              </w:rPr>
              <w:t xml:space="preserve">Utility stage II / III without colostomy </w:t>
            </w:r>
          </w:p>
        </w:tc>
        <w:tc>
          <w:tcPr>
            <w:tcW w:w="898" w:type="dxa"/>
            <w:vAlign w:val="center"/>
          </w:tcPr>
          <w:p w:rsidR="00275F6A" w:rsidRPr="000F3C8B" w:rsidRDefault="00275F6A" w:rsidP="0007443E">
            <w:pPr>
              <w:pStyle w:val="TableText0"/>
              <w:jc w:val="right"/>
              <w:rPr>
                <w:lang w:val="en-AU"/>
              </w:rPr>
            </w:pPr>
            <w:r w:rsidRPr="000F3C8B">
              <w:rPr>
                <w:lang w:val="en-AU"/>
              </w:rPr>
              <w:t>0.59</w:t>
            </w:r>
          </w:p>
        </w:tc>
        <w:tc>
          <w:tcPr>
            <w:tcW w:w="849" w:type="dxa"/>
            <w:vAlign w:val="center"/>
          </w:tcPr>
          <w:p w:rsidR="00275F6A" w:rsidRPr="000F3C8B" w:rsidRDefault="00275F6A" w:rsidP="0007443E">
            <w:pPr>
              <w:pStyle w:val="TableText0"/>
              <w:jc w:val="right"/>
              <w:rPr>
                <w:lang w:val="en-AU"/>
              </w:rPr>
            </w:pPr>
            <w:r w:rsidRPr="000F3C8B">
              <w:rPr>
                <w:lang w:val="en-AU"/>
              </w:rPr>
              <w:t>0.54</w:t>
            </w:r>
          </w:p>
        </w:tc>
        <w:tc>
          <w:tcPr>
            <w:tcW w:w="850" w:type="dxa"/>
            <w:vAlign w:val="center"/>
          </w:tcPr>
          <w:p w:rsidR="00275F6A" w:rsidRPr="000F3C8B" w:rsidRDefault="00275F6A" w:rsidP="0007443E">
            <w:pPr>
              <w:pStyle w:val="TableText0"/>
              <w:jc w:val="right"/>
              <w:rPr>
                <w:lang w:val="en-AU"/>
              </w:rPr>
            </w:pPr>
            <w:r w:rsidRPr="000F3C8B">
              <w:rPr>
                <w:lang w:val="en-AU"/>
              </w:rPr>
              <w:t>0.64</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Ness </w:t>
            </w:r>
            <w:r w:rsidR="0099603A" w:rsidRPr="000F3C8B">
              <w:rPr>
                <w:szCs w:val="18"/>
                <w:lang w:val="en-AU"/>
              </w:rPr>
              <w:t xml:space="preserve">et al </w:t>
            </w:r>
            <w:r w:rsidRPr="000F3C8B">
              <w:rPr>
                <w:szCs w:val="18"/>
                <w:lang w:val="en-AU"/>
              </w:rPr>
              <w:t>(1999)</w:t>
            </w:r>
          </w:p>
        </w:tc>
      </w:tr>
      <w:tr w:rsidR="00275F6A" w:rsidRPr="00C605D6" w:rsidTr="00ED3C73">
        <w:trPr>
          <w:trHeight w:val="227"/>
        </w:trPr>
        <w:tc>
          <w:tcPr>
            <w:tcW w:w="3554" w:type="dxa"/>
            <w:vAlign w:val="center"/>
          </w:tcPr>
          <w:p w:rsidR="00275F6A" w:rsidRPr="000F3C8B" w:rsidRDefault="00275F6A" w:rsidP="006A3655">
            <w:pPr>
              <w:pStyle w:val="TableText0"/>
              <w:rPr>
                <w:lang w:val="en-AU"/>
              </w:rPr>
            </w:pPr>
            <w:r w:rsidRPr="000F3C8B">
              <w:rPr>
                <w:lang w:val="en-AU"/>
              </w:rPr>
              <w:t>Utility stage II / III with permanent ostomy</w:t>
            </w:r>
          </w:p>
        </w:tc>
        <w:tc>
          <w:tcPr>
            <w:tcW w:w="898" w:type="dxa"/>
            <w:vAlign w:val="center"/>
          </w:tcPr>
          <w:p w:rsidR="00275F6A" w:rsidRPr="000F3C8B" w:rsidRDefault="00275F6A" w:rsidP="0007443E">
            <w:pPr>
              <w:pStyle w:val="TableText0"/>
              <w:jc w:val="right"/>
              <w:rPr>
                <w:lang w:val="en-AU"/>
              </w:rPr>
            </w:pPr>
            <w:r w:rsidRPr="000F3C8B">
              <w:rPr>
                <w:lang w:val="en-AU"/>
              </w:rPr>
              <w:t>0.50</w:t>
            </w:r>
          </w:p>
        </w:tc>
        <w:tc>
          <w:tcPr>
            <w:tcW w:w="849" w:type="dxa"/>
            <w:vAlign w:val="center"/>
          </w:tcPr>
          <w:p w:rsidR="00275F6A" w:rsidRPr="000F3C8B" w:rsidRDefault="00275F6A" w:rsidP="0007443E">
            <w:pPr>
              <w:pStyle w:val="TableText0"/>
              <w:jc w:val="right"/>
              <w:rPr>
                <w:lang w:val="en-AU"/>
              </w:rPr>
            </w:pPr>
            <w:r w:rsidRPr="000F3C8B">
              <w:rPr>
                <w:lang w:val="en-AU"/>
              </w:rPr>
              <w:t>0.44</w:t>
            </w:r>
          </w:p>
        </w:tc>
        <w:tc>
          <w:tcPr>
            <w:tcW w:w="850" w:type="dxa"/>
            <w:vAlign w:val="center"/>
          </w:tcPr>
          <w:p w:rsidR="00275F6A" w:rsidRPr="000F3C8B" w:rsidRDefault="00275F6A" w:rsidP="0007443E">
            <w:pPr>
              <w:pStyle w:val="TableText0"/>
              <w:jc w:val="right"/>
              <w:rPr>
                <w:lang w:val="en-AU"/>
              </w:rPr>
            </w:pPr>
            <w:r w:rsidRPr="000F3C8B">
              <w:rPr>
                <w:lang w:val="en-AU"/>
              </w:rPr>
              <w:t>0.56</w:t>
            </w:r>
          </w:p>
        </w:tc>
        <w:tc>
          <w:tcPr>
            <w:tcW w:w="1986" w:type="dxa"/>
            <w:vAlign w:val="center"/>
          </w:tcPr>
          <w:p w:rsidR="00275F6A" w:rsidRPr="000F3C8B" w:rsidRDefault="00275F6A" w:rsidP="00275F6A">
            <w:pPr>
              <w:pStyle w:val="TableText0"/>
              <w:rPr>
                <w:szCs w:val="18"/>
                <w:lang w:val="en-AU"/>
              </w:rPr>
            </w:pPr>
            <w:r w:rsidRPr="000F3C8B">
              <w:rPr>
                <w:szCs w:val="18"/>
                <w:lang w:val="en-AU"/>
              </w:rPr>
              <w:t xml:space="preserve">Ness </w:t>
            </w:r>
            <w:r w:rsidR="0099603A" w:rsidRPr="000F3C8B">
              <w:rPr>
                <w:szCs w:val="18"/>
                <w:lang w:val="en-AU"/>
              </w:rPr>
              <w:t xml:space="preserve">et al </w:t>
            </w:r>
            <w:r w:rsidRPr="000F3C8B">
              <w:rPr>
                <w:szCs w:val="18"/>
                <w:lang w:val="en-AU"/>
              </w:rPr>
              <w:t>(1999)</w:t>
            </w:r>
          </w:p>
        </w:tc>
      </w:tr>
      <w:tr w:rsidR="00275F6A" w:rsidRPr="00C605D6" w:rsidTr="00ED3C73">
        <w:trPr>
          <w:trHeight w:val="227"/>
        </w:trPr>
        <w:tc>
          <w:tcPr>
            <w:tcW w:w="3554" w:type="dxa"/>
            <w:vAlign w:val="center"/>
          </w:tcPr>
          <w:p w:rsidR="00275F6A" w:rsidRPr="000F3C8B" w:rsidRDefault="00275F6A" w:rsidP="006A3655">
            <w:pPr>
              <w:pStyle w:val="TableText0"/>
              <w:rPr>
                <w:lang w:val="en-AU"/>
              </w:rPr>
            </w:pPr>
            <w:r w:rsidRPr="000F3C8B">
              <w:rPr>
                <w:lang w:val="en-AU"/>
              </w:rPr>
              <w:t>Utility of death</w:t>
            </w:r>
          </w:p>
        </w:tc>
        <w:tc>
          <w:tcPr>
            <w:tcW w:w="898" w:type="dxa"/>
            <w:vAlign w:val="center"/>
          </w:tcPr>
          <w:p w:rsidR="00275F6A" w:rsidRPr="000F3C8B" w:rsidRDefault="00275F6A" w:rsidP="0007443E">
            <w:pPr>
              <w:pStyle w:val="TableText0"/>
              <w:jc w:val="right"/>
              <w:rPr>
                <w:lang w:val="en-AU"/>
              </w:rPr>
            </w:pPr>
            <w:r w:rsidRPr="000F3C8B">
              <w:rPr>
                <w:lang w:val="en-AU"/>
              </w:rPr>
              <w:t>0</w:t>
            </w:r>
          </w:p>
        </w:tc>
        <w:tc>
          <w:tcPr>
            <w:tcW w:w="849" w:type="dxa"/>
            <w:vAlign w:val="center"/>
          </w:tcPr>
          <w:p w:rsidR="00275F6A" w:rsidRPr="000F3C8B" w:rsidRDefault="00275F6A" w:rsidP="0007443E">
            <w:pPr>
              <w:pStyle w:val="TableText0"/>
              <w:jc w:val="right"/>
              <w:rPr>
                <w:lang w:val="en-AU"/>
              </w:rPr>
            </w:pPr>
            <w:r w:rsidRPr="000F3C8B">
              <w:rPr>
                <w:lang w:val="en-AU"/>
              </w:rPr>
              <w:t>0</w:t>
            </w:r>
          </w:p>
        </w:tc>
        <w:tc>
          <w:tcPr>
            <w:tcW w:w="850" w:type="dxa"/>
            <w:vAlign w:val="center"/>
          </w:tcPr>
          <w:p w:rsidR="00275F6A" w:rsidRPr="000F3C8B" w:rsidRDefault="00275F6A" w:rsidP="0007443E">
            <w:pPr>
              <w:pStyle w:val="TableText0"/>
              <w:jc w:val="right"/>
              <w:rPr>
                <w:lang w:val="en-AU"/>
              </w:rPr>
            </w:pPr>
            <w:r w:rsidRPr="000F3C8B">
              <w:rPr>
                <w:lang w:val="en-AU"/>
              </w:rPr>
              <w:t>0</w:t>
            </w:r>
          </w:p>
        </w:tc>
        <w:tc>
          <w:tcPr>
            <w:tcW w:w="1986" w:type="dxa"/>
            <w:vAlign w:val="center"/>
          </w:tcPr>
          <w:p w:rsidR="00275F6A" w:rsidRPr="000F3C8B" w:rsidRDefault="00275F6A" w:rsidP="00275F6A">
            <w:pPr>
              <w:pStyle w:val="TableText0"/>
              <w:rPr>
                <w:szCs w:val="18"/>
                <w:lang w:val="en-AU"/>
              </w:rPr>
            </w:pPr>
            <w:r w:rsidRPr="000F3C8B">
              <w:rPr>
                <w:szCs w:val="18"/>
                <w:lang w:val="en-AU"/>
              </w:rPr>
              <w:t>Assumption</w:t>
            </w:r>
          </w:p>
        </w:tc>
      </w:tr>
      <w:tr w:rsidR="00275F6A" w:rsidRPr="00C605D6" w:rsidTr="00ED3C73">
        <w:trPr>
          <w:trHeight w:val="227"/>
        </w:trPr>
        <w:tc>
          <w:tcPr>
            <w:tcW w:w="3554" w:type="dxa"/>
            <w:vAlign w:val="bottom"/>
          </w:tcPr>
          <w:p w:rsidR="00275F6A" w:rsidRPr="006A3655" w:rsidRDefault="00275F6A" w:rsidP="00275F6A">
            <w:pPr>
              <w:pStyle w:val="TableText0"/>
              <w:rPr>
                <w:b/>
                <w:color w:val="000000"/>
                <w:szCs w:val="18"/>
                <w:lang w:val="en-US"/>
              </w:rPr>
            </w:pPr>
            <w:r w:rsidRPr="000F3C8B">
              <w:rPr>
                <w:b/>
                <w:lang w:val="en-AU"/>
              </w:rPr>
              <w:t>Costs</w:t>
            </w:r>
          </w:p>
        </w:tc>
        <w:tc>
          <w:tcPr>
            <w:tcW w:w="898" w:type="dxa"/>
            <w:vAlign w:val="bottom"/>
          </w:tcPr>
          <w:p w:rsidR="00275F6A" w:rsidRPr="00C605D6" w:rsidRDefault="00275F6A" w:rsidP="0007443E">
            <w:pPr>
              <w:pStyle w:val="TableText0"/>
              <w:jc w:val="right"/>
              <w:rPr>
                <w:color w:val="000000"/>
                <w:szCs w:val="18"/>
                <w:lang w:val="en-US"/>
              </w:rPr>
            </w:pPr>
          </w:p>
        </w:tc>
        <w:tc>
          <w:tcPr>
            <w:tcW w:w="849" w:type="dxa"/>
            <w:vAlign w:val="bottom"/>
          </w:tcPr>
          <w:p w:rsidR="00275F6A" w:rsidRPr="00C605D6" w:rsidRDefault="00275F6A" w:rsidP="0007443E">
            <w:pPr>
              <w:pStyle w:val="TableText0"/>
              <w:jc w:val="right"/>
              <w:rPr>
                <w:color w:val="000000"/>
                <w:szCs w:val="18"/>
                <w:lang w:val="en-US"/>
              </w:rPr>
            </w:pPr>
          </w:p>
        </w:tc>
        <w:tc>
          <w:tcPr>
            <w:tcW w:w="850" w:type="dxa"/>
            <w:vAlign w:val="bottom"/>
          </w:tcPr>
          <w:p w:rsidR="00275F6A" w:rsidRPr="00C605D6" w:rsidRDefault="00275F6A" w:rsidP="0007443E">
            <w:pPr>
              <w:pStyle w:val="TableText0"/>
              <w:jc w:val="right"/>
              <w:rPr>
                <w:color w:val="000000"/>
                <w:szCs w:val="18"/>
                <w:lang w:val="en-US"/>
              </w:rPr>
            </w:pPr>
          </w:p>
        </w:tc>
        <w:tc>
          <w:tcPr>
            <w:tcW w:w="1986" w:type="dxa"/>
            <w:vMerge w:val="restart"/>
            <w:vAlign w:val="center"/>
          </w:tcPr>
          <w:p w:rsidR="00275F6A" w:rsidRPr="000F3C8B" w:rsidRDefault="00275F6A" w:rsidP="006A3655">
            <w:pPr>
              <w:pStyle w:val="TableText0"/>
              <w:rPr>
                <w:lang w:val="en-AU"/>
              </w:rPr>
            </w:pPr>
            <w:r w:rsidRPr="000F3C8B">
              <w:rPr>
                <w:lang w:val="en-AU"/>
              </w:rPr>
              <w:t>See costing section for further details for all cost estimates</w:t>
            </w: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 xml:space="preserve">Cost of </w:t>
            </w:r>
            <w:r w:rsidR="00987ADE">
              <w:rPr>
                <w:lang w:val="en-US"/>
              </w:rPr>
              <w:t>pre-operative</w:t>
            </w:r>
            <w:r w:rsidRPr="00C605D6">
              <w:rPr>
                <w:lang w:val="en-US"/>
              </w:rPr>
              <w:t xml:space="preserve"> procedures</w:t>
            </w:r>
          </w:p>
        </w:tc>
        <w:tc>
          <w:tcPr>
            <w:tcW w:w="898" w:type="dxa"/>
            <w:vAlign w:val="bottom"/>
          </w:tcPr>
          <w:p w:rsidR="00275F6A" w:rsidRPr="00C605D6" w:rsidRDefault="00275F6A" w:rsidP="0007443E">
            <w:pPr>
              <w:pStyle w:val="TableText0"/>
              <w:jc w:val="right"/>
              <w:rPr>
                <w:lang w:val="en-US"/>
              </w:rPr>
            </w:pPr>
            <w:r w:rsidRPr="00C605D6">
              <w:rPr>
                <w:lang w:val="en-US"/>
              </w:rPr>
              <w:t>$1,683</w:t>
            </w:r>
          </w:p>
        </w:tc>
        <w:tc>
          <w:tcPr>
            <w:tcW w:w="849" w:type="dxa"/>
            <w:vAlign w:val="bottom"/>
          </w:tcPr>
          <w:p w:rsidR="00275F6A" w:rsidRPr="00C605D6" w:rsidRDefault="00275F6A" w:rsidP="0007443E">
            <w:pPr>
              <w:pStyle w:val="TableText0"/>
              <w:jc w:val="right"/>
              <w:rPr>
                <w:lang w:val="en-US"/>
              </w:rPr>
            </w:pPr>
            <w:r w:rsidRPr="00C605D6">
              <w:rPr>
                <w:lang w:val="en-US"/>
              </w:rPr>
              <w:t>$842</w:t>
            </w:r>
          </w:p>
        </w:tc>
        <w:tc>
          <w:tcPr>
            <w:tcW w:w="850" w:type="dxa"/>
            <w:vAlign w:val="bottom"/>
          </w:tcPr>
          <w:p w:rsidR="00275F6A" w:rsidRPr="00C605D6" w:rsidRDefault="00275F6A" w:rsidP="0007443E">
            <w:pPr>
              <w:pStyle w:val="TableText0"/>
              <w:jc w:val="right"/>
              <w:rPr>
                <w:lang w:val="en-US"/>
              </w:rPr>
            </w:pPr>
            <w:r w:rsidRPr="00C605D6">
              <w:rPr>
                <w:lang w:val="en-US"/>
              </w:rPr>
              <w:t>$2,525</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 xml:space="preserve">Cost of second </w:t>
            </w:r>
            <w:r w:rsidR="00987ADE">
              <w:rPr>
                <w:lang w:val="en-US"/>
              </w:rPr>
              <w:t>pre-operative</w:t>
            </w:r>
            <w:r w:rsidRPr="00C605D6">
              <w:rPr>
                <w:lang w:val="en-US"/>
              </w:rPr>
              <w:t xml:space="preserve"> procedure</w:t>
            </w:r>
          </w:p>
        </w:tc>
        <w:tc>
          <w:tcPr>
            <w:tcW w:w="898" w:type="dxa"/>
            <w:vAlign w:val="bottom"/>
          </w:tcPr>
          <w:p w:rsidR="00275F6A" w:rsidRPr="00C605D6" w:rsidRDefault="00275F6A" w:rsidP="0007443E">
            <w:pPr>
              <w:pStyle w:val="TableText0"/>
              <w:jc w:val="right"/>
              <w:rPr>
                <w:lang w:val="en-US"/>
              </w:rPr>
            </w:pPr>
            <w:r w:rsidRPr="00C605D6">
              <w:rPr>
                <w:lang w:val="en-US"/>
              </w:rPr>
              <w:t>$753</w:t>
            </w:r>
          </w:p>
        </w:tc>
        <w:tc>
          <w:tcPr>
            <w:tcW w:w="849" w:type="dxa"/>
            <w:vAlign w:val="bottom"/>
          </w:tcPr>
          <w:p w:rsidR="00275F6A" w:rsidRPr="00C605D6" w:rsidRDefault="00275F6A" w:rsidP="0007443E">
            <w:pPr>
              <w:pStyle w:val="TableText0"/>
              <w:jc w:val="right"/>
              <w:rPr>
                <w:lang w:val="en-US"/>
              </w:rPr>
            </w:pPr>
            <w:r w:rsidRPr="00C605D6">
              <w:rPr>
                <w:lang w:val="en-US"/>
              </w:rPr>
              <w:t>$377</w:t>
            </w:r>
          </w:p>
        </w:tc>
        <w:tc>
          <w:tcPr>
            <w:tcW w:w="850" w:type="dxa"/>
            <w:vAlign w:val="bottom"/>
          </w:tcPr>
          <w:p w:rsidR="00275F6A" w:rsidRPr="00C605D6" w:rsidRDefault="00275F6A" w:rsidP="0007443E">
            <w:pPr>
              <w:pStyle w:val="TableText0"/>
              <w:jc w:val="right"/>
              <w:rPr>
                <w:lang w:val="en-US"/>
              </w:rPr>
            </w:pPr>
            <w:r w:rsidRPr="00C605D6">
              <w:rPr>
                <w:lang w:val="en-US"/>
              </w:rPr>
              <w:t>$1,130</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stent procedure</w:t>
            </w:r>
          </w:p>
        </w:tc>
        <w:tc>
          <w:tcPr>
            <w:tcW w:w="898" w:type="dxa"/>
            <w:vAlign w:val="bottom"/>
          </w:tcPr>
          <w:p w:rsidR="00275F6A" w:rsidRPr="00C605D6" w:rsidRDefault="00275F6A" w:rsidP="0007443E">
            <w:pPr>
              <w:pStyle w:val="TableText0"/>
              <w:jc w:val="right"/>
              <w:rPr>
                <w:lang w:val="en-US"/>
              </w:rPr>
            </w:pPr>
            <w:r w:rsidRPr="00C605D6">
              <w:rPr>
                <w:lang w:val="en-US"/>
              </w:rPr>
              <w:t>$5,968</w:t>
            </w:r>
          </w:p>
        </w:tc>
        <w:tc>
          <w:tcPr>
            <w:tcW w:w="849" w:type="dxa"/>
            <w:vAlign w:val="bottom"/>
          </w:tcPr>
          <w:p w:rsidR="00275F6A" w:rsidRPr="00C605D6" w:rsidRDefault="00275F6A" w:rsidP="0007443E">
            <w:pPr>
              <w:pStyle w:val="TableText0"/>
              <w:jc w:val="right"/>
              <w:rPr>
                <w:lang w:val="en-US"/>
              </w:rPr>
            </w:pPr>
            <w:r w:rsidRPr="00C605D6">
              <w:rPr>
                <w:lang w:val="en-US"/>
              </w:rPr>
              <w:t>$2,984</w:t>
            </w:r>
          </w:p>
        </w:tc>
        <w:tc>
          <w:tcPr>
            <w:tcW w:w="850" w:type="dxa"/>
            <w:vAlign w:val="bottom"/>
          </w:tcPr>
          <w:p w:rsidR="00275F6A" w:rsidRPr="00C605D6" w:rsidRDefault="00275F6A" w:rsidP="0007443E">
            <w:pPr>
              <w:pStyle w:val="TableText0"/>
              <w:jc w:val="right"/>
              <w:rPr>
                <w:lang w:val="en-US"/>
              </w:rPr>
            </w:pPr>
            <w:r w:rsidRPr="00C605D6">
              <w:rPr>
                <w:lang w:val="en-US"/>
              </w:rPr>
              <w:t>$8,952</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colostomy procedure</w:t>
            </w:r>
          </w:p>
        </w:tc>
        <w:tc>
          <w:tcPr>
            <w:tcW w:w="898" w:type="dxa"/>
            <w:vAlign w:val="bottom"/>
          </w:tcPr>
          <w:p w:rsidR="00275F6A" w:rsidRPr="00C605D6" w:rsidRDefault="00275F6A" w:rsidP="0007443E">
            <w:pPr>
              <w:pStyle w:val="TableText0"/>
              <w:jc w:val="right"/>
              <w:rPr>
                <w:lang w:val="en-US"/>
              </w:rPr>
            </w:pPr>
            <w:r w:rsidRPr="00C605D6">
              <w:rPr>
                <w:lang w:val="en-US"/>
              </w:rPr>
              <w:t>$3,146</w:t>
            </w:r>
          </w:p>
        </w:tc>
        <w:tc>
          <w:tcPr>
            <w:tcW w:w="849" w:type="dxa"/>
            <w:vAlign w:val="bottom"/>
          </w:tcPr>
          <w:p w:rsidR="00275F6A" w:rsidRPr="00C605D6" w:rsidRDefault="00275F6A" w:rsidP="0007443E">
            <w:pPr>
              <w:pStyle w:val="TableText0"/>
              <w:jc w:val="right"/>
              <w:rPr>
                <w:lang w:val="en-US"/>
              </w:rPr>
            </w:pPr>
            <w:r w:rsidRPr="00C605D6">
              <w:rPr>
                <w:lang w:val="en-US"/>
              </w:rPr>
              <w:t>$1,573</w:t>
            </w:r>
          </w:p>
        </w:tc>
        <w:tc>
          <w:tcPr>
            <w:tcW w:w="850" w:type="dxa"/>
            <w:vAlign w:val="bottom"/>
          </w:tcPr>
          <w:p w:rsidR="00275F6A" w:rsidRPr="00C605D6" w:rsidRDefault="00275F6A" w:rsidP="0007443E">
            <w:pPr>
              <w:pStyle w:val="TableText0"/>
              <w:jc w:val="right"/>
              <w:rPr>
                <w:lang w:val="en-US"/>
              </w:rPr>
            </w:pPr>
            <w:r w:rsidRPr="00C605D6">
              <w:rPr>
                <w:lang w:val="en-US"/>
              </w:rPr>
              <w:t>$4,719</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Hartmann’s procedure</w:t>
            </w:r>
          </w:p>
        </w:tc>
        <w:tc>
          <w:tcPr>
            <w:tcW w:w="898" w:type="dxa"/>
            <w:vAlign w:val="bottom"/>
          </w:tcPr>
          <w:p w:rsidR="00275F6A" w:rsidRPr="00C605D6" w:rsidRDefault="00275F6A" w:rsidP="0007443E">
            <w:pPr>
              <w:pStyle w:val="TableText0"/>
              <w:jc w:val="right"/>
              <w:rPr>
                <w:lang w:val="en-US"/>
              </w:rPr>
            </w:pPr>
            <w:r w:rsidRPr="00C605D6">
              <w:rPr>
                <w:lang w:val="en-US"/>
              </w:rPr>
              <w:t>$6,202</w:t>
            </w:r>
          </w:p>
        </w:tc>
        <w:tc>
          <w:tcPr>
            <w:tcW w:w="849" w:type="dxa"/>
            <w:vAlign w:val="bottom"/>
          </w:tcPr>
          <w:p w:rsidR="00275F6A" w:rsidRPr="00C605D6" w:rsidRDefault="00275F6A" w:rsidP="0007443E">
            <w:pPr>
              <w:pStyle w:val="TableText0"/>
              <w:jc w:val="right"/>
              <w:rPr>
                <w:lang w:val="en-US"/>
              </w:rPr>
            </w:pPr>
            <w:r w:rsidRPr="00C605D6">
              <w:rPr>
                <w:lang w:val="en-US"/>
              </w:rPr>
              <w:t>$3,101</w:t>
            </w:r>
          </w:p>
        </w:tc>
        <w:tc>
          <w:tcPr>
            <w:tcW w:w="850" w:type="dxa"/>
            <w:vAlign w:val="bottom"/>
          </w:tcPr>
          <w:p w:rsidR="00275F6A" w:rsidRPr="00C605D6" w:rsidRDefault="00275F6A" w:rsidP="0007443E">
            <w:pPr>
              <w:pStyle w:val="TableText0"/>
              <w:jc w:val="right"/>
              <w:rPr>
                <w:lang w:val="en-US"/>
              </w:rPr>
            </w:pPr>
            <w:r w:rsidRPr="00C605D6">
              <w:rPr>
                <w:lang w:val="en-US"/>
              </w:rPr>
              <w:t>$9,303</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lastRenderedPageBreak/>
              <w:t>Cost of second stage Hartmann’s</w:t>
            </w:r>
          </w:p>
        </w:tc>
        <w:tc>
          <w:tcPr>
            <w:tcW w:w="898" w:type="dxa"/>
            <w:vAlign w:val="bottom"/>
          </w:tcPr>
          <w:p w:rsidR="00275F6A" w:rsidRPr="00C605D6" w:rsidRDefault="00275F6A" w:rsidP="0007443E">
            <w:pPr>
              <w:pStyle w:val="TableText0"/>
              <w:jc w:val="right"/>
              <w:rPr>
                <w:lang w:val="en-US"/>
              </w:rPr>
            </w:pPr>
            <w:r w:rsidRPr="00C605D6">
              <w:rPr>
                <w:lang w:val="en-US"/>
              </w:rPr>
              <w:t>$6,990</w:t>
            </w:r>
          </w:p>
        </w:tc>
        <w:tc>
          <w:tcPr>
            <w:tcW w:w="849" w:type="dxa"/>
            <w:vAlign w:val="bottom"/>
          </w:tcPr>
          <w:p w:rsidR="00275F6A" w:rsidRPr="00C605D6" w:rsidRDefault="00275F6A" w:rsidP="0007443E">
            <w:pPr>
              <w:pStyle w:val="TableText0"/>
              <w:jc w:val="right"/>
              <w:rPr>
                <w:lang w:val="en-US"/>
              </w:rPr>
            </w:pPr>
            <w:r w:rsidRPr="00C605D6">
              <w:rPr>
                <w:lang w:val="en-US"/>
              </w:rPr>
              <w:t>$3,495</w:t>
            </w:r>
          </w:p>
        </w:tc>
        <w:tc>
          <w:tcPr>
            <w:tcW w:w="850" w:type="dxa"/>
            <w:vAlign w:val="bottom"/>
          </w:tcPr>
          <w:p w:rsidR="00275F6A" w:rsidRPr="00C605D6" w:rsidRDefault="00275F6A" w:rsidP="0007443E">
            <w:pPr>
              <w:pStyle w:val="TableText0"/>
              <w:jc w:val="right"/>
              <w:rPr>
                <w:lang w:val="en-US"/>
              </w:rPr>
            </w:pPr>
            <w:r w:rsidRPr="00C605D6">
              <w:rPr>
                <w:lang w:val="en-US"/>
              </w:rPr>
              <w:t>$10,049</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resection and primary anastomosis</w:t>
            </w:r>
          </w:p>
        </w:tc>
        <w:tc>
          <w:tcPr>
            <w:tcW w:w="898" w:type="dxa"/>
            <w:vAlign w:val="bottom"/>
          </w:tcPr>
          <w:p w:rsidR="00275F6A" w:rsidRPr="00C605D6" w:rsidRDefault="00275F6A" w:rsidP="0007443E">
            <w:pPr>
              <w:pStyle w:val="TableText0"/>
              <w:jc w:val="right"/>
              <w:rPr>
                <w:lang w:val="en-US"/>
              </w:rPr>
            </w:pPr>
            <w:r w:rsidRPr="00C605D6">
              <w:rPr>
                <w:lang w:val="en-US"/>
              </w:rPr>
              <w:t>$7,616</w:t>
            </w:r>
          </w:p>
        </w:tc>
        <w:tc>
          <w:tcPr>
            <w:tcW w:w="849" w:type="dxa"/>
            <w:vAlign w:val="bottom"/>
          </w:tcPr>
          <w:p w:rsidR="00275F6A" w:rsidRPr="00C605D6" w:rsidRDefault="00275F6A" w:rsidP="0007443E">
            <w:pPr>
              <w:pStyle w:val="TableText0"/>
              <w:jc w:val="right"/>
              <w:rPr>
                <w:lang w:val="en-US"/>
              </w:rPr>
            </w:pPr>
            <w:r w:rsidRPr="00C605D6">
              <w:rPr>
                <w:lang w:val="en-US"/>
              </w:rPr>
              <w:t>$3,808</w:t>
            </w:r>
          </w:p>
        </w:tc>
        <w:tc>
          <w:tcPr>
            <w:tcW w:w="850" w:type="dxa"/>
            <w:vAlign w:val="bottom"/>
          </w:tcPr>
          <w:p w:rsidR="00275F6A" w:rsidRPr="00C605D6" w:rsidRDefault="00275F6A" w:rsidP="0007443E">
            <w:pPr>
              <w:pStyle w:val="TableText0"/>
              <w:jc w:val="right"/>
              <w:rPr>
                <w:lang w:val="en-US"/>
              </w:rPr>
            </w:pPr>
            <w:r w:rsidRPr="00C605D6">
              <w:rPr>
                <w:lang w:val="en-US"/>
              </w:rPr>
              <w:t>$11,424</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per diem hospital stay colostomy</w:t>
            </w:r>
          </w:p>
        </w:tc>
        <w:tc>
          <w:tcPr>
            <w:tcW w:w="898" w:type="dxa"/>
            <w:vAlign w:val="bottom"/>
          </w:tcPr>
          <w:p w:rsidR="00275F6A" w:rsidRPr="00C605D6" w:rsidRDefault="00275F6A" w:rsidP="0007443E">
            <w:pPr>
              <w:pStyle w:val="TableText0"/>
              <w:jc w:val="right"/>
              <w:rPr>
                <w:lang w:val="en-US"/>
              </w:rPr>
            </w:pPr>
            <w:r w:rsidRPr="00C605D6">
              <w:rPr>
                <w:lang w:val="en-US"/>
              </w:rPr>
              <w:t>$800</w:t>
            </w:r>
          </w:p>
        </w:tc>
        <w:tc>
          <w:tcPr>
            <w:tcW w:w="849" w:type="dxa"/>
            <w:vAlign w:val="bottom"/>
          </w:tcPr>
          <w:p w:rsidR="00275F6A" w:rsidRPr="00C605D6" w:rsidRDefault="00275F6A" w:rsidP="0007443E">
            <w:pPr>
              <w:pStyle w:val="TableText0"/>
              <w:jc w:val="right"/>
              <w:rPr>
                <w:lang w:val="en-US"/>
              </w:rPr>
            </w:pPr>
            <w:r w:rsidRPr="00C605D6">
              <w:rPr>
                <w:lang w:val="en-US"/>
              </w:rPr>
              <w:t>$400</w:t>
            </w:r>
          </w:p>
        </w:tc>
        <w:tc>
          <w:tcPr>
            <w:tcW w:w="850" w:type="dxa"/>
            <w:vAlign w:val="bottom"/>
          </w:tcPr>
          <w:p w:rsidR="00275F6A" w:rsidRPr="00C605D6" w:rsidRDefault="00275F6A" w:rsidP="0007443E">
            <w:pPr>
              <w:pStyle w:val="TableText0"/>
              <w:jc w:val="right"/>
              <w:rPr>
                <w:lang w:val="en-US"/>
              </w:rPr>
            </w:pPr>
            <w:r w:rsidRPr="00C605D6">
              <w:rPr>
                <w:lang w:val="en-US"/>
              </w:rPr>
              <w:t>$1,201</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per diem hospital stay stent</w:t>
            </w:r>
          </w:p>
        </w:tc>
        <w:tc>
          <w:tcPr>
            <w:tcW w:w="898" w:type="dxa"/>
            <w:vAlign w:val="bottom"/>
          </w:tcPr>
          <w:p w:rsidR="00275F6A" w:rsidRPr="00C605D6" w:rsidRDefault="00275F6A" w:rsidP="0007443E">
            <w:pPr>
              <w:pStyle w:val="TableText0"/>
              <w:jc w:val="right"/>
              <w:rPr>
                <w:lang w:val="en-US"/>
              </w:rPr>
            </w:pPr>
            <w:r w:rsidRPr="00C605D6">
              <w:rPr>
                <w:lang w:val="en-US"/>
              </w:rPr>
              <w:t>$672</w:t>
            </w:r>
          </w:p>
        </w:tc>
        <w:tc>
          <w:tcPr>
            <w:tcW w:w="849" w:type="dxa"/>
            <w:vAlign w:val="bottom"/>
          </w:tcPr>
          <w:p w:rsidR="00275F6A" w:rsidRPr="00C605D6" w:rsidRDefault="00275F6A" w:rsidP="0007443E">
            <w:pPr>
              <w:pStyle w:val="TableText0"/>
              <w:jc w:val="right"/>
              <w:rPr>
                <w:lang w:val="en-US"/>
              </w:rPr>
            </w:pPr>
            <w:r w:rsidRPr="00C605D6">
              <w:rPr>
                <w:lang w:val="en-US"/>
              </w:rPr>
              <w:t>$336</w:t>
            </w:r>
          </w:p>
        </w:tc>
        <w:tc>
          <w:tcPr>
            <w:tcW w:w="850" w:type="dxa"/>
            <w:vAlign w:val="bottom"/>
          </w:tcPr>
          <w:p w:rsidR="00275F6A" w:rsidRPr="00C605D6" w:rsidRDefault="00275F6A" w:rsidP="0007443E">
            <w:pPr>
              <w:pStyle w:val="TableText0"/>
              <w:jc w:val="right"/>
              <w:rPr>
                <w:lang w:val="en-US"/>
              </w:rPr>
            </w:pPr>
            <w:r w:rsidRPr="00C605D6">
              <w:rPr>
                <w:lang w:val="en-US"/>
              </w:rPr>
              <w:t>$1,007</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99603A">
            <w:pPr>
              <w:pStyle w:val="TableText0"/>
              <w:rPr>
                <w:lang w:val="en-US"/>
              </w:rPr>
            </w:pPr>
            <w:r w:rsidRPr="00C605D6">
              <w:rPr>
                <w:lang w:val="en-US"/>
              </w:rPr>
              <w:t>Cost per diem hospital stay Hartmann’s/primary anastomosis or second stage</w:t>
            </w:r>
          </w:p>
        </w:tc>
        <w:tc>
          <w:tcPr>
            <w:tcW w:w="898" w:type="dxa"/>
            <w:vAlign w:val="bottom"/>
          </w:tcPr>
          <w:p w:rsidR="00275F6A" w:rsidRPr="00C605D6" w:rsidRDefault="00275F6A" w:rsidP="0007443E">
            <w:pPr>
              <w:pStyle w:val="TableText0"/>
              <w:jc w:val="right"/>
              <w:rPr>
                <w:lang w:val="en-US"/>
              </w:rPr>
            </w:pPr>
            <w:r w:rsidRPr="00C605D6">
              <w:rPr>
                <w:lang w:val="en-US"/>
              </w:rPr>
              <w:t>$796</w:t>
            </w:r>
          </w:p>
        </w:tc>
        <w:tc>
          <w:tcPr>
            <w:tcW w:w="849" w:type="dxa"/>
            <w:vAlign w:val="bottom"/>
          </w:tcPr>
          <w:p w:rsidR="00275F6A" w:rsidRPr="00C605D6" w:rsidRDefault="00275F6A" w:rsidP="0007443E">
            <w:pPr>
              <w:pStyle w:val="TableText0"/>
              <w:jc w:val="right"/>
              <w:rPr>
                <w:lang w:val="en-US"/>
              </w:rPr>
            </w:pPr>
            <w:r w:rsidRPr="00C605D6">
              <w:rPr>
                <w:lang w:val="en-US"/>
              </w:rPr>
              <w:t>$398</w:t>
            </w:r>
          </w:p>
        </w:tc>
        <w:tc>
          <w:tcPr>
            <w:tcW w:w="850" w:type="dxa"/>
            <w:vAlign w:val="bottom"/>
          </w:tcPr>
          <w:p w:rsidR="00275F6A" w:rsidRPr="00C605D6" w:rsidRDefault="00275F6A" w:rsidP="0007443E">
            <w:pPr>
              <w:pStyle w:val="TableText0"/>
              <w:jc w:val="right"/>
              <w:rPr>
                <w:lang w:val="en-US"/>
              </w:rPr>
            </w:pPr>
            <w:r w:rsidRPr="00C605D6">
              <w:rPr>
                <w:lang w:val="en-US"/>
              </w:rPr>
              <w:t>$1,195</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intensive care and attendance</w:t>
            </w:r>
          </w:p>
        </w:tc>
        <w:tc>
          <w:tcPr>
            <w:tcW w:w="898" w:type="dxa"/>
            <w:vAlign w:val="bottom"/>
          </w:tcPr>
          <w:p w:rsidR="00275F6A" w:rsidRPr="00C605D6" w:rsidRDefault="00275F6A" w:rsidP="0007443E">
            <w:pPr>
              <w:pStyle w:val="TableText0"/>
              <w:jc w:val="right"/>
              <w:rPr>
                <w:lang w:val="en-US"/>
              </w:rPr>
            </w:pPr>
            <w:r w:rsidRPr="00C605D6">
              <w:rPr>
                <w:lang w:val="en-US"/>
              </w:rPr>
              <w:t>$2,557</w:t>
            </w:r>
          </w:p>
        </w:tc>
        <w:tc>
          <w:tcPr>
            <w:tcW w:w="849" w:type="dxa"/>
            <w:vAlign w:val="bottom"/>
          </w:tcPr>
          <w:p w:rsidR="00275F6A" w:rsidRPr="00C605D6" w:rsidRDefault="00275F6A" w:rsidP="0007443E">
            <w:pPr>
              <w:pStyle w:val="TableText0"/>
              <w:jc w:val="right"/>
              <w:rPr>
                <w:lang w:val="en-US"/>
              </w:rPr>
            </w:pPr>
            <w:r w:rsidRPr="00C605D6">
              <w:rPr>
                <w:lang w:val="en-US"/>
              </w:rPr>
              <w:t>$1,279</w:t>
            </w:r>
          </w:p>
        </w:tc>
        <w:tc>
          <w:tcPr>
            <w:tcW w:w="850" w:type="dxa"/>
            <w:vAlign w:val="bottom"/>
          </w:tcPr>
          <w:p w:rsidR="00275F6A" w:rsidRPr="00C605D6" w:rsidRDefault="00275F6A" w:rsidP="0007443E">
            <w:pPr>
              <w:pStyle w:val="TableText0"/>
              <w:jc w:val="right"/>
              <w:rPr>
                <w:lang w:val="en-US"/>
              </w:rPr>
            </w:pPr>
            <w:r w:rsidRPr="00C605D6">
              <w:rPr>
                <w:lang w:val="en-US"/>
              </w:rPr>
              <w:t>$3,836</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palliation</w:t>
            </w:r>
          </w:p>
        </w:tc>
        <w:tc>
          <w:tcPr>
            <w:tcW w:w="898" w:type="dxa"/>
            <w:vAlign w:val="bottom"/>
          </w:tcPr>
          <w:p w:rsidR="00275F6A" w:rsidRPr="00C605D6" w:rsidRDefault="00275F6A" w:rsidP="0007443E">
            <w:pPr>
              <w:pStyle w:val="TableText0"/>
              <w:jc w:val="right"/>
              <w:rPr>
                <w:lang w:val="en-US"/>
              </w:rPr>
            </w:pPr>
            <w:r w:rsidRPr="00C605D6">
              <w:rPr>
                <w:lang w:val="en-US"/>
              </w:rPr>
              <w:t>$6,073</w:t>
            </w:r>
          </w:p>
        </w:tc>
        <w:tc>
          <w:tcPr>
            <w:tcW w:w="849" w:type="dxa"/>
            <w:vAlign w:val="bottom"/>
          </w:tcPr>
          <w:p w:rsidR="00275F6A" w:rsidRPr="00C605D6" w:rsidRDefault="00275F6A" w:rsidP="0007443E">
            <w:pPr>
              <w:pStyle w:val="TableText0"/>
              <w:jc w:val="right"/>
              <w:rPr>
                <w:lang w:val="en-US"/>
              </w:rPr>
            </w:pPr>
            <w:r w:rsidRPr="00C605D6">
              <w:rPr>
                <w:lang w:val="en-US"/>
              </w:rPr>
              <w:t>$3,037</w:t>
            </w:r>
          </w:p>
        </w:tc>
        <w:tc>
          <w:tcPr>
            <w:tcW w:w="850" w:type="dxa"/>
            <w:vAlign w:val="bottom"/>
          </w:tcPr>
          <w:p w:rsidR="00275F6A" w:rsidRPr="00C605D6" w:rsidRDefault="00275F6A" w:rsidP="0007443E">
            <w:pPr>
              <w:pStyle w:val="TableText0"/>
              <w:jc w:val="right"/>
              <w:rPr>
                <w:lang w:val="en-US"/>
              </w:rPr>
            </w:pPr>
            <w:r w:rsidRPr="00C605D6">
              <w:rPr>
                <w:lang w:val="en-US"/>
              </w:rPr>
              <w:t>$9,110</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daily post operative procedures</w:t>
            </w:r>
          </w:p>
        </w:tc>
        <w:tc>
          <w:tcPr>
            <w:tcW w:w="898" w:type="dxa"/>
            <w:vAlign w:val="bottom"/>
          </w:tcPr>
          <w:p w:rsidR="00275F6A" w:rsidRPr="00C605D6" w:rsidRDefault="00275F6A" w:rsidP="0007443E">
            <w:pPr>
              <w:pStyle w:val="TableText0"/>
              <w:jc w:val="right"/>
              <w:rPr>
                <w:lang w:val="en-US"/>
              </w:rPr>
            </w:pPr>
            <w:r w:rsidRPr="00C605D6">
              <w:rPr>
                <w:lang w:val="en-US"/>
              </w:rPr>
              <w:t>$28</w:t>
            </w:r>
          </w:p>
        </w:tc>
        <w:tc>
          <w:tcPr>
            <w:tcW w:w="849" w:type="dxa"/>
            <w:vAlign w:val="bottom"/>
          </w:tcPr>
          <w:p w:rsidR="00275F6A" w:rsidRPr="00C605D6" w:rsidRDefault="00275F6A" w:rsidP="0007443E">
            <w:pPr>
              <w:pStyle w:val="TableText0"/>
              <w:jc w:val="right"/>
              <w:rPr>
                <w:lang w:val="en-US"/>
              </w:rPr>
            </w:pPr>
            <w:r w:rsidRPr="00C605D6">
              <w:rPr>
                <w:lang w:val="en-US"/>
              </w:rPr>
              <w:t>$14</w:t>
            </w:r>
          </w:p>
        </w:tc>
        <w:tc>
          <w:tcPr>
            <w:tcW w:w="850" w:type="dxa"/>
            <w:vAlign w:val="bottom"/>
          </w:tcPr>
          <w:p w:rsidR="00275F6A" w:rsidRPr="00C605D6" w:rsidRDefault="00275F6A" w:rsidP="0007443E">
            <w:pPr>
              <w:pStyle w:val="TableText0"/>
              <w:jc w:val="right"/>
              <w:rPr>
                <w:lang w:val="en-US"/>
              </w:rPr>
            </w:pPr>
            <w:r w:rsidRPr="00C605D6">
              <w:rPr>
                <w:lang w:val="en-US"/>
              </w:rPr>
              <w:t>$42</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 xml:space="preserve">Cost of </w:t>
            </w:r>
            <w:r w:rsidR="00D06AF9">
              <w:rPr>
                <w:lang w:val="en-US"/>
              </w:rPr>
              <w:t>post-operative</w:t>
            </w:r>
            <w:r w:rsidRPr="00C605D6">
              <w:rPr>
                <w:lang w:val="en-US"/>
              </w:rPr>
              <w:t xml:space="preserve"> radiographs</w:t>
            </w:r>
          </w:p>
        </w:tc>
        <w:tc>
          <w:tcPr>
            <w:tcW w:w="898" w:type="dxa"/>
            <w:vAlign w:val="bottom"/>
          </w:tcPr>
          <w:p w:rsidR="00275F6A" w:rsidRPr="00C605D6" w:rsidRDefault="00275F6A" w:rsidP="0007443E">
            <w:pPr>
              <w:pStyle w:val="TableText0"/>
              <w:jc w:val="right"/>
              <w:rPr>
                <w:lang w:val="en-US"/>
              </w:rPr>
            </w:pPr>
            <w:r w:rsidRPr="00C605D6">
              <w:rPr>
                <w:lang w:val="en-US"/>
              </w:rPr>
              <w:t>$71</w:t>
            </w:r>
          </w:p>
        </w:tc>
        <w:tc>
          <w:tcPr>
            <w:tcW w:w="849" w:type="dxa"/>
            <w:vAlign w:val="bottom"/>
          </w:tcPr>
          <w:p w:rsidR="00275F6A" w:rsidRPr="00C605D6" w:rsidRDefault="00275F6A" w:rsidP="0007443E">
            <w:pPr>
              <w:pStyle w:val="TableText0"/>
              <w:jc w:val="right"/>
              <w:rPr>
                <w:lang w:val="en-US"/>
              </w:rPr>
            </w:pPr>
            <w:r w:rsidRPr="00C605D6">
              <w:rPr>
                <w:lang w:val="en-US"/>
              </w:rPr>
              <w:t>$36</w:t>
            </w:r>
          </w:p>
        </w:tc>
        <w:tc>
          <w:tcPr>
            <w:tcW w:w="850" w:type="dxa"/>
            <w:vAlign w:val="bottom"/>
          </w:tcPr>
          <w:p w:rsidR="00275F6A" w:rsidRPr="00C605D6" w:rsidRDefault="00275F6A" w:rsidP="0007443E">
            <w:pPr>
              <w:pStyle w:val="TableText0"/>
              <w:jc w:val="right"/>
              <w:rPr>
                <w:lang w:val="en-US"/>
              </w:rPr>
            </w:pPr>
            <w:r w:rsidRPr="00C605D6">
              <w:rPr>
                <w:lang w:val="en-US"/>
              </w:rPr>
              <w:t>$107</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 xml:space="preserve">Cost of </w:t>
            </w:r>
            <w:r w:rsidR="00D06AF9">
              <w:rPr>
                <w:lang w:val="en-US"/>
              </w:rPr>
              <w:t>post-operative</w:t>
            </w:r>
            <w:r w:rsidRPr="00C605D6">
              <w:rPr>
                <w:lang w:val="en-US"/>
              </w:rPr>
              <w:t xml:space="preserve"> specialist visits stent</w:t>
            </w:r>
          </w:p>
        </w:tc>
        <w:tc>
          <w:tcPr>
            <w:tcW w:w="898" w:type="dxa"/>
            <w:vAlign w:val="bottom"/>
          </w:tcPr>
          <w:p w:rsidR="00275F6A" w:rsidRPr="00C605D6" w:rsidRDefault="00275F6A" w:rsidP="0007443E">
            <w:pPr>
              <w:pStyle w:val="TableText0"/>
              <w:jc w:val="right"/>
              <w:rPr>
                <w:lang w:val="en-US"/>
              </w:rPr>
            </w:pPr>
            <w:r w:rsidRPr="00C605D6">
              <w:rPr>
                <w:lang w:val="en-US"/>
              </w:rPr>
              <w:t>$93</w:t>
            </w:r>
          </w:p>
        </w:tc>
        <w:tc>
          <w:tcPr>
            <w:tcW w:w="849" w:type="dxa"/>
            <w:vAlign w:val="bottom"/>
          </w:tcPr>
          <w:p w:rsidR="00275F6A" w:rsidRPr="00C605D6" w:rsidRDefault="00275F6A" w:rsidP="0007443E">
            <w:pPr>
              <w:pStyle w:val="TableText0"/>
              <w:jc w:val="right"/>
              <w:rPr>
                <w:lang w:val="en-US"/>
              </w:rPr>
            </w:pPr>
            <w:r w:rsidRPr="00C605D6">
              <w:rPr>
                <w:lang w:val="en-US"/>
              </w:rPr>
              <w:t>$47</w:t>
            </w:r>
          </w:p>
        </w:tc>
        <w:tc>
          <w:tcPr>
            <w:tcW w:w="850" w:type="dxa"/>
            <w:vAlign w:val="bottom"/>
          </w:tcPr>
          <w:p w:rsidR="00275F6A" w:rsidRPr="00C605D6" w:rsidRDefault="00275F6A" w:rsidP="0007443E">
            <w:pPr>
              <w:pStyle w:val="TableText0"/>
              <w:jc w:val="right"/>
              <w:rPr>
                <w:lang w:val="en-US"/>
              </w:rPr>
            </w:pPr>
            <w:r w:rsidRPr="00C605D6">
              <w:rPr>
                <w:lang w:val="en-US"/>
              </w:rPr>
              <w:t>$140</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stomal bag</w:t>
            </w:r>
          </w:p>
        </w:tc>
        <w:tc>
          <w:tcPr>
            <w:tcW w:w="898" w:type="dxa"/>
            <w:vAlign w:val="bottom"/>
          </w:tcPr>
          <w:p w:rsidR="00275F6A" w:rsidRPr="00C605D6" w:rsidRDefault="00275F6A" w:rsidP="0007443E">
            <w:pPr>
              <w:pStyle w:val="TableText0"/>
              <w:jc w:val="right"/>
              <w:rPr>
                <w:lang w:val="en-US"/>
              </w:rPr>
            </w:pPr>
            <w:r w:rsidRPr="00C605D6">
              <w:rPr>
                <w:lang w:val="en-US"/>
              </w:rPr>
              <w:t>$5</w:t>
            </w:r>
          </w:p>
        </w:tc>
        <w:tc>
          <w:tcPr>
            <w:tcW w:w="849" w:type="dxa"/>
            <w:vAlign w:val="bottom"/>
          </w:tcPr>
          <w:p w:rsidR="00275F6A" w:rsidRPr="00C605D6" w:rsidRDefault="00275F6A" w:rsidP="0007443E">
            <w:pPr>
              <w:pStyle w:val="TableText0"/>
              <w:jc w:val="right"/>
              <w:rPr>
                <w:lang w:val="en-US"/>
              </w:rPr>
            </w:pPr>
            <w:r w:rsidRPr="00C605D6">
              <w:rPr>
                <w:lang w:val="en-US"/>
              </w:rPr>
              <w:t>$3</w:t>
            </w:r>
          </w:p>
        </w:tc>
        <w:tc>
          <w:tcPr>
            <w:tcW w:w="850" w:type="dxa"/>
            <w:vAlign w:val="bottom"/>
          </w:tcPr>
          <w:p w:rsidR="00275F6A" w:rsidRPr="00C605D6" w:rsidRDefault="00275F6A" w:rsidP="0007443E">
            <w:pPr>
              <w:pStyle w:val="TableText0"/>
              <w:jc w:val="right"/>
              <w:rPr>
                <w:lang w:val="en-US"/>
              </w:rPr>
            </w:pPr>
            <w:r w:rsidRPr="00C605D6">
              <w:rPr>
                <w:lang w:val="en-US"/>
              </w:rPr>
              <w:t>$8</w:t>
            </w:r>
          </w:p>
        </w:tc>
        <w:tc>
          <w:tcPr>
            <w:tcW w:w="1986" w:type="dxa"/>
            <w:vMerge/>
            <w:vAlign w:val="bottom"/>
          </w:tcPr>
          <w:p w:rsidR="00275F6A" w:rsidRPr="00C605D6" w:rsidRDefault="00275F6A" w:rsidP="00275F6A">
            <w:pPr>
              <w:pStyle w:val="TableText0"/>
              <w:rPr>
                <w:color w:val="000000"/>
                <w:szCs w:val="18"/>
                <w:lang w:val="en-US"/>
              </w:rPr>
            </w:pPr>
          </w:p>
        </w:tc>
      </w:tr>
      <w:tr w:rsidR="00275F6A" w:rsidRPr="00C605D6" w:rsidTr="00ED3C73">
        <w:trPr>
          <w:trHeight w:val="227"/>
        </w:trPr>
        <w:tc>
          <w:tcPr>
            <w:tcW w:w="3554" w:type="dxa"/>
          </w:tcPr>
          <w:p w:rsidR="00275F6A" w:rsidRPr="00C605D6" w:rsidRDefault="00275F6A" w:rsidP="006A3655">
            <w:pPr>
              <w:pStyle w:val="TableText0"/>
              <w:rPr>
                <w:lang w:val="en-US"/>
              </w:rPr>
            </w:pPr>
            <w:r w:rsidRPr="00C605D6">
              <w:rPr>
                <w:lang w:val="en-US"/>
              </w:rPr>
              <w:t>Cost of stomal therapist</w:t>
            </w:r>
          </w:p>
        </w:tc>
        <w:tc>
          <w:tcPr>
            <w:tcW w:w="898" w:type="dxa"/>
            <w:vAlign w:val="bottom"/>
          </w:tcPr>
          <w:p w:rsidR="00275F6A" w:rsidRPr="00C605D6" w:rsidRDefault="00275F6A" w:rsidP="0007443E">
            <w:pPr>
              <w:pStyle w:val="TableText0"/>
              <w:jc w:val="right"/>
              <w:rPr>
                <w:lang w:val="en-US"/>
              </w:rPr>
            </w:pPr>
            <w:r w:rsidRPr="00C605D6">
              <w:rPr>
                <w:lang w:val="en-US"/>
              </w:rPr>
              <w:t>$42</w:t>
            </w:r>
          </w:p>
        </w:tc>
        <w:tc>
          <w:tcPr>
            <w:tcW w:w="849" w:type="dxa"/>
            <w:vAlign w:val="bottom"/>
          </w:tcPr>
          <w:p w:rsidR="00275F6A" w:rsidRPr="00C605D6" w:rsidRDefault="00275F6A" w:rsidP="0007443E">
            <w:pPr>
              <w:pStyle w:val="TableText0"/>
              <w:jc w:val="right"/>
              <w:rPr>
                <w:lang w:val="en-US"/>
              </w:rPr>
            </w:pPr>
            <w:r w:rsidRPr="00C605D6">
              <w:rPr>
                <w:lang w:val="en-US"/>
              </w:rPr>
              <w:t>$21</w:t>
            </w:r>
          </w:p>
        </w:tc>
        <w:tc>
          <w:tcPr>
            <w:tcW w:w="850" w:type="dxa"/>
            <w:vAlign w:val="bottom"/>
          </w:tcPr>
          <w:p w:rsidR="00275F6A" w:rsidRPr="00C605D6" w:rsidRDefault="00275F6A" w:rsidP="0007443E">
            <w:pPr>
              <w:pStyle w:val="TableText0"/>
              <w:jc w:val="right"/>
              <w:rPr>
                <w:lang w:val="en-US"/>
              </w:rPr>
            </w:pPr>
            <w:r w:rsidRPr="00C605D6">
              <w:rPr>
                <w:lang w:val="en-US"/>
              </w:rPr>
              <w:t>$63</w:t>
            </w:r>
          </w:p>
        </w:tc>
        <w:tc>
          <w:tcPr>
            <w:tcW w:w="1986" w:type="dxa"/>
            <w:vMerge/>
            <w:vAlign w:val="bottom"/>
          </w:tcPr>
          <w:p w:rsidR="00275F6A" w:rsidRPr="00C605D6" w:rsidRDefault="00275F6A" w:rsidP="00275F6A">
            <w:pPr>
              <w:pStyle w:val="TableText0"/>
              <w:rPr>
                <w:color w:val="000000"/>
                <w:szCs w:val="18"/>
                <w:lang w:val="en-US"/>
              </w:rPr>
            </w:pPr>
          </w:p>
        </w:tc>
      </w:tr>
    </w:tbl>
    <w:p w:rsidR="00275F6A" w:rsidRPr="00C605D6" w:rsidRDefault="00ED3C73" w:rsidP="006A3655">
      <w:pPr>
        <w:pStyle w:val="TableNotes"/>
      </w:pPr>
      <w:r w:rsidRPr="00ED3C73">
        <w:t xml:space="preserve">a  </w:t>
      </w:r>
      <w:r w:rsidR="00275F6A" w:rsidRPr="00C605D6">
        <w:t>See details of calculation below under mortality</w:t>
      </w:r>
    </w:p>
    <w:p w:rsidR="00F71B25" w:rsidRDefault="00F71B25" w:rsidP="0078270E">
      <w:pPr>
        <w:pStyle w:val="Heading3"/>
      </w:pPr>
      <w:r>
        <w:t>Estimate of effectiveness</w:t>
      </w:r>
    </w:p>
    <w:p w:rsidR="00F71B25" w:rsidRDefault="00F71B25" w:rsidP="0078270E">
      <w:r>
        <w:t>The clinical and technical success of the SEMS procedure was taken from Khot et al (2002). The mortality rate of Hartmann’s procedure or colostomy was 12 per cent, which represents death from emergency surgery. The probability of death from an elective surgery (</w:t>
      </w:r>
      <w:r w:rsidR="003617AD">
        <w:t>bridge to surgery</w:t>
      </w:r>
      <w:r>
        <w:t xml:space="preserve"> following </w:t>
      </w:r>
      <w:r w:rsidR="0099603A">
        <w:rPr>
          <w:szCs w:val="18"/>
        </w:rPr>
        <w:t xml:space="preserve">either </w:t>
      </w:r>
      <w:r>
        <w:t>a colostomy or SEMS) was 4 per cent in the model. The probability of having a permanent stoma after a Hartmann’s procedure was 40 per cent (Tilney et al 2007). This was supported by expert advice (range 30-50%).</w:t>
      </w:r>
    </w:p>
    <w:p w:rsidR="00F71B25" w:rsidRDefault="00F71B25" w:rsidP="0078270E">
      <w:pPr>
        <w:pStyle w:val="Heading3"/>
      </w:pPr>
      <w:r>
        <w:t>Mortality</w:t>
      </w:r>
    </w:p>
    <w:p w:rsidR="00F71B25" w:rsidRDefault="00F71B25" w:rsidP="0078270E">
      <w:r>
        <w:t xml:space="preserve">There is no evidence of differences in long-term survival between patients that receive SEMS and those receiving resection or emergency surgery (Tilney et al 2007). Overall survival (in addition to procedure related mortality) was incorporated into the model using the </w:t>
      </w:r>
      <w:r w:rsidR="0099603A">
        <w:t>five</w:t>
      </w:r>
      <w:r>
        <w:t xml:space="preserve">-year survival rates for Duke’s stage B colorectal cancer. The </w:t>
      </w:r>
      <w:r w:rsidR="0099603A">
        <w:t>five</w:t>
      </w:r>
      <w:r>
        <w:t>-year survival rate of 70 per cent was converted into a one</w:t>
      </w:r>
      <w:r w:rsidR="0099603A">
        <w:t>-</w:t>
      </w:r>
      <w:r>
        <w:t xml:space="preserve">year probability of death of 7 per cent. The number of weeks applied in the model was 48.36 [52 weeks*(1-0.07)] to take into account the 7 per cent expected to die from cancer in that year. A palliation cost was also attributed to those patients expected to die in the first year. </w:t>
      </w:r>
    </w:p>
    <w:p w:rsidR="00F71B25" w:rsidRDefault="00F71B25" w:rsidP="00D10AF7">
      <w:pPr>
        <w:pStyle w:val="Heading3"/>
      </w:pPr>
      <w:r>
        <w:t>Length of hospital stay</w:t>
      </w:r>
    </w:p>
    <w:p w:rsidR="00F71B25" w:rsidRDefault="00F71B25" w:rsidP="00D10AF7">
      <w:r>
        <w:t xml:space="preserve">All of the LOS values were sourced from expert opinion. The estimated LOS used in the base case analysis was 5 days (SEMS), 10 days (colostomy), 10 days (Hartmann’s) and 7 days (resection with primary anastomosis). An additional ICU stay of </w:t>
      </w:r>
      <w:r w:rsidR="0099603A">
        <w:t xml:space="preserve">one </w:t>
      </w:r>
      <w:r>
        <w:t xml:space="preserve">day and </w:t>
      </w:r>
      <w:r w:rsidR="0099603A">
        <w:t xml:space="preserve">two </w:t>
      </w:r>
      <w:r>
        <w:t xml:space="preserve">days was attributed to colostomy and Hartmann’s procedure, respectively. </w:t>
      </w:r>
    </w:p>
    <w:p w:rsidR="00F71B25" w:rsidRDefault="00F71B25" w:rsidP="00D10AF7">
      <w:pPr>
        <w:pStyle w:val="Heading3"/>
      </w:pPr>
      <w:r>
        <w:t>Complications</w:t>
      </w:r>
    </w:p>
    <w:p w:rsidR="00F71B25" w:rsidRDefault="00F71B25" w:rsidP="00D10AF7">
      <w:r>
        <w:t>For those receiving a colostomy, it was assumed that 25 per cent of patients would experience a complication that would require an additional two days stay in hospital. This figure is derived from Varadarajulu et al (2011).</w:t>
      </w:r>
    </w:p>
    <w:p w:rsidR="00F71B25" w:rsidRDefault="00F71B25" w:rsidP="00D10AF7">
      <w:pPr>
        <w:pStyle w:val="Heading3"/>
      </w:pPr>
      <w:r>
        <w:lastRenderedPageBreak/>
        <w:t>Utility</w:t>
      </w:r>
    </w:p>
    <w:p w:rsidR="00F71B25" w:rsidRDefault="00F71B25" w:rsidP="00D10AF7">
      <w:r>
        <w:t xml:space="preserve">Quality of life was incorporated into the model by assigning a utility of </w:t>
      </w:r>
      <w:r w:rsidR="00AF5AC8">
        <w:t xml:space="preserve">zero </w:t>
      </w:r>
      <w:r>
        <w:t>for those who immediately die from the surgical procedure.A utility of 0.59 was assigned to those who had a resection with primary anastomosis or Hartmann’s procedure that was successfully completed in two stages (this represents stage II/III rectal cancer treated with resection/chemotherapy/radiation therapy). For those patients with a permanent stoma, a utility of 0.50 was assigned to account for the quality of life decrement for living with a permanent stoma. This value represents stage II/III rectal cancer treated with resection/chemotherapy/radiation therapy and permanent ostomy. All of the utility values were taken from Ness et al (1999).</w:t>
      </w:r>
    </w:p>
    <w:p w:rsidR="00F71B25" w:rsidRDefault="00F71B25" w:rsidP="00D10AF7">
      <w:pPr>
        <w:pStyle w:val="Heading2"/>
      </w:pPr>
      <w:bookmarkStart w:id="254" w:name="_Toc352924437"/>
      <w:r>
        <w:t>Cost-effectiveness results</w:t>
      </w:r>
      <w:bookmarkEnd w:id="254"/>
    </w:p>
    <w:p w:rsidR="00F71B25" w:rsidRDefault="00F71B25" w:rsidP="00D10AF7">
      <w:r>
        <w:t>For the base case analysis, the total cost of a SEMS procedure was estimated to be $29,729. This value includes the costs of a re-stent procedure, stoma creation or Hartmann’s procedure in cases of a stent failure.  The total average cost for patients that received ‘</w:t>
      </w:r>
      <w:r w:rsidR="00DF03CC">
        <w:t>multi-stage</w:t>
      </w:r>
      <w:r>
        <w:t xml:space="preserve"> surgery’ (either a colostomy or a Hartmann’s procedure) was estimated to be $30,169. This represents a cost savings of $440.</w:t>
      </w:r>
    </w:p>
    <w:p w:rsidR="00F71B25" w:rsidRDefault="00F71B25" w:rsidP="00D10AF7">
      <w:r>
        <w:t>The estimated average patient receiving SEMS would gain 0.510 QALYs compared to 0.458 QALYs in the ‘</w:t>
      </w:r>
      <w:r w:rsidR="00DF03CC">
        <w:t>multi-stage</w:t>
      </w:r>
      <w:r>
        <w:t xml:space="preserve"> surgery’ group. This yields an incremental benefit of 0.052 QALYs per patient. This benefit is due to difference in mortality rates between an emergency procedure and an elective procedure. </w:t>
      </w:r>
    </w:p>
    <w:p w:rsidR="00F71B25" w:rsidRDefault="00F71B25" w:rsidP="00D10AF7">
      <w:r>
        <w:t>In terms of cost-effectiveness, SEMS dominated colostomy. In other words it provide</w:t>
      </w:r>
      <w:r w:rsidR="00AF5AC8">
        <w:t>d</w:t>
      </w:r>
      <w:r>
        <w:t xml:space="preserve"> additional benefit at lower costs (</w:t>
      </w:r>
      <w:r w:rsidR="006F654A">
        <w:t xml:space="preserve">See </w:t>
      </w:r>
      <w:r w:rsidR="002736ED">
        <w:fldChar w:fldCharType="begin"/>
      </w:r>
      <w:r w:rsidR="002736ED">
        <w:instrText xml:space="preserve"> REF _Ref324950506 \h </w:instrText>
      </w:r>
      <w:r w:rsidR="002736ED">
        <w:fldChar w:fldCharType="separate"/>
      </w:r>
      <w:r w:rsidR="0071544A">
        <w:t xml:space="preserve">Table </w:t>
      </w:r>
      <w:r w:rsidR="0071544A">
        <w:rPr>
          <w:noProof/>
        </w:rPr>
        <w:t>61</w:t>
      </w:r>
      <w:r w:rsidR="002736ED">
        <w:fldChar w:fldCharType="end"/>
      </w:r>
      <w:r>
        <w:t>).</w:t>
      </w:r>
    </w:p>
    <w:p w:rsidR="00D10AF7" w:rsidRPr="00C605D6" w:rsidRDefault="002736ED" w:rsidP="002736ED">
      <w:pPr>
        <w:pStyle w:val="Caption"/>
      </w:pPr>
      <w:bookmarkStart w:id="255" w:name="_Ref324950506"/>
      <w:bookmarkStart w:id="256" w:name="_Toc327522105"/>
      <w:r>
        <w:t xml:space="preserve">Table </w:t>
      </w:r>
      <w:fldSimple w:instr=" SEQ Table \* ARABIC ">
        <w:r w:rsidR="0071544A">
          <w:rPr>
            <w:noProof/>
          </w:rPr>
          <w:t>61</w:t>
        </w:r>
      </w:fldSimple>
      <w:bookmarkEnd w:id="255"/>
      <w:r w:rsidR="00D10AF7" w:rsidRPr="00C605D6">
        <w:tab/>
        <w:t xml:space="preserve">Summary of cost-effectiveness analysis for </w:t>
      </w:r>
      <w:r w:rsidR="003617AD">
        <w:t>bridge to surgery</w:t>
      </w:r>
      <w:r w:rsidR="00D10AF7">
        <w:t xml:space="preserve"> (SEMS </w:t>
      </w:r>
      <w:r w:rsidR="006430D4">
        <w:t>vs</w:t>
      </w:r>
      <w:r w:rsidR="00D10AF7">
        <w:t xml:space="preserve"> </w:t>
      </w:r>
      <w:r w:rsidR="00DF03CC">
        <w:t>multi-stage</w:t>
      </w:r>
      <w:r w:rsidR="00D10AF7">
        <w:t xml:space="preserve"> surgery)</w:t>
      </w:r>
      <w:bookmarkEnd w:id="256"/>
    </w:p>
    <w:tbl>
      <w:tblPr>
        <w:tblW w:w="8414" w:type="dxa"/>
        <w:tblInd w:w="720" w:type="dxa"/>
        <w:tblBorders>
          <w:top w:val="single" w:sz="12" w:space="0" w:color="auto"/>
          <w:bottom w:val="single" w:sz="12" w:space="0" w:color="auto"/>
        </w:tblBorders>
        <w:tblLayout w:type="fixed"/>
        <w:tblLook w:val="00A0" w:firstRow="1" w:lastRow="0" w:firstColumn="1" w:lastColumn="0" w:noHBand="0" w:noVBand="0"/>
      </w:tblPr>
      <w:tblGrid>
        <w:gridCol w:w="1145"/>
        <w:gridCol w:w="1418"/>
        <w:gridCol w:w="1644"/>
        <w:gridCol w:w="1049"/>
        <w:gridCol w:w="1755"/>
        <w:gridCol w:w="1403"/>
      </w:tblGrid>
      <w:tr w:rsidR="00D10AF7" w:rsidRPr="00C605D6" w:rsidTr="00ED3C73">
        <w:trPr>
          <w:trHeight w:val="300"/>
        </w:trPr>
        <w:tc>
          <w:tcPr>
            <w:tcW w:w="1145" w:type="dxa"/>
            <w:tcBorders>
              <w:top w:val="single" w:sz="12" w:space="0" w:color="auto"/>
              <w:bottom w:val="single" w:sz="4" w:space="0" w:color="auto"/>
            </w:tcBorders>
            <w:noWrap/>
            <w:vAlign w:val="bottom"/>
          </w:tcPr>
          <w:p w:rsidR="00D10AF7" w:rsidRPr="000952FA" w:rsidRDefault="00D10AF7" w:rsidP="000952FA">
            <w:pPr>
              <w:pStyle w:val="TableHeading"/>
            </w:pPr>
            <w:r w:rsidRPr="000952FA">
              <w:t> </w:t>
            </w:r>
          </w:p>
        </w:tc>
        <w:tc>
          <w:tcPr>
            <w:tcW w:w="1418" w:type="dxa"/>
            <w:tcBorders>
              <w:top w:val="single" w:sz="12" w:space="0" w:color="auto"/>
              <w:bottom w:val="single" w:sz="4" w:space="0" w:color="auto"/>
            </w:tcBorders>
            <w:noWrap/>
            <w:vAlign w:val="bottom"/>
          </w:tcPr>
          <w:p w:rsidR="00D10AF7" w:rsidRPr="000952FA" w:rsidRDefault="00D10AF7" w:rsidP="00ED3C73">
            <w:pPr>
              <w:pStyle w:val="TableHeading"/>
              <w:jc w:val="center"/>
            </w:pPr>
            <w:r w:rsidRPr="000952FA">
              <w:t xml:space="preserve">Average </w:t>
            </w:r>
            <w:r w:rsidR="00AF5AC8" w:rsidRPr="000952FA">
              <w:t>c</w:t>
            </w:r>
            <w:r w:rsidRPr="000952FA">
              <w:t>ost</w:t>
            </w:r>
          </w:p>
        </w:tc>
        <w:tc>
          <w:tcPr>
            <w:tcW w:w="1644" w:type="dxa"/>
            <w:tcBorders>
              <w:top w:val="single" w:sz="12" w:space="0" w:color="auto"/>
              <w:bottom w:val="single" w:sz="4" w:space="0" w:color="auto"/>
            </w:tcBorders>
            <w:noWrap/>
            <w:vAlign w:val="bottom"/>
          </w:tcPr>
          <w:p w:rsidR="00D10AF7" w:rsidRPr="000952FA" w:rsidRDefault="00D10AF7" w:rsidP="00ED3C73">
            <w:pPr>
              <w:pStyle w:val="TableHeading"/>
              <w:jc w:val="center"/>
            </w:pPr>
            <w:r w:rsidRPr="000952FA">
              <w:t xml:space="preserve">Incremental </w:t>
            </w:r>
            <w:r w:rsidR="00AF5AC8" w:rsidRPr="000952FA">
              <w:t>c</w:t>
            </w:r>
            <w:r w:rsidRPr="000952FA">
              <w:t>ost</w:t>
            </w:r>
          </w:p>
        </w:tc>
        <w:tc>
          <w:tcPr>
            <w:tcW w:w="1049" w:type="dxa"/>
            <w:tcBorders>
              <w:top w:val="single" w:sz="12" w:space="0" w:color="auto"/>
              <w:bottom w:val="single" w:sz="4" w:space="0" w:color="auto"/>
            </w:tcBorders>
            <w:vAlign w:val="bottom"/>
          </w:tcPr>
          <w:p w:rsidR="00D10AF7" w:rsidRPr="000952FA" w:rsidRDefault="00D10AF7" w:rsidP="00ED3C73">
            <w:pPr>
              <w:pStyle w:val="TableHeading"/>
              <w:jc w:val="center"/>
            </w:pPr>
            <w:r w:rsidRPr="000952FA">
              <w:t>QALYs</w:t>
            </w:r>
          </w:p>
        </w:tc>
        <w:tc>
          <w:tcPr>
            <w:tcW w:w="1755" w:type="dxa"/>
            <w:tcBorders>
              <w:top w:val="single" w:sz="12" w:space="0" w:color="auto"/>
              <w:bottom w:val="single" w:sz="4" w:space="0" w:color="auto"/>
            </w:tcBorders>
            <w:vAlign w:val="bottom"/>
          </w:tcPr>
          <w:p w:rsidR="00D10AF7" w:rsidRPr="000952FA" w:rsidRDefault="00D10AF7" w:rsidP="00ED3C73">
            <w:pPr>
              <w:pStyle w:val="TableHeading"/>
              <w:jc w:val="center"/>
            </w:pPr>
            <w:r w:rsidRPr="000952FA">
              <w:t>Incremental QALYs</w:t>
            </w:r>
          </w:p>
        </w:tc>
        <w:tc>
          <w:tcPr>
            <w:tcW w:w="1403" w:type="dxa"/>
            <w:tcBorders>
              <w:top w:val="single" w:sz="12" w:space="0" w:color="auto"/>
              <w:bottom w:val="single" w:sz="4" w:space="0" w:color="auto"/>
            </w:tcBorders>
            <w:vAlign w:val="bottom"/>
          </w:tcPr>
          <w:p w:rsidR="00D10AF7" w:rsidRPr="000952FA" w:rsidRDefault="00D10AF7" w:rsidP="00ED3C73">
            <w:pPr>
              <w:pStyle w:val="TableHeading"/>
              <w:jc w:val="center"/>
            </w:pPr>
            <w:r w:rsidRPr="000952FA">
              <w:t>ICER</w:t>
            </w:r>
          </w:p>
        </w:tc>
      </w:tr>
      <w:tr w:rsidR="00D10AF7" w:rsidRPr="00C605D6" w:rsidTr="00ED3C73">
        <w:trPr>
          <w:trHeight w:val="227"/>
        </w:trPr>
        <w:tc>
          <w:tcPr>
            <w:tcW w:w="1145" w:type="dxa"/>
            <w:tcBorders>
              <w:top w:val="single" w:sz="4" w:space="0" w:color="auto"/>
            </w:tcBorders>
            <w:noWrap/>
            <w:vAlign w:val="bottom"/>
          </w:tcPr>
          <w:p w:rsidR="00D10AF7" w:rsidRPr="00C605D6" w:rsidRDefault="00D10AF7" w:rsidP="00D10AF7">
            <w:pPr>
              <w:pStyle w:val="TableText0"/>
              <w:rPr>
                <w:lang w:val="en-US"/>
              </w:rPr>
            </w:pPr>
            <w:r w:rsidRPr="00C605D6">
              <w:rPr>
                <w:lang w:val="en-US"/>
              </w:rPr>
              <w:t>Stent</w:t>
            </w:r>
          </w:p>
        </w:tc>
        <w:tc>
          <w:tcPr>
            <w:tcW w:w="1418" w:type="dxa"/>
            <w:tcBorders>
              <w:top w:val="single" w:sz="4" w:space="0" w:color="auto"/>
            </w:tcBorders>
            <w:noWrap/>
            <w:vAlign w:val="bottom"/>
          </w:tcPr>
          <w:p w:rsidR="00D10AF7" w:rsidRPr="00C605D6" w:rsidRDefault="00D10AF7" w:rsidP="00ED3C73">
            <w:pPr>
              <w:pStyle w:val="TableText0"/>
              <w:jc w:val="right"/>
              <w:rPr>
                <w:lang w:val="en-US"/>
              </w:rPr>
            </w:pPr>
            <w:r w:rsidRPr="00C605D6">
              <w:rPr>
                <w:lang w:val="en-US"/>
              </w:rPr>
              <w:t>$29,729</w:t>
            </w:r>
          </w:p>
        </w:tc>
        <w:tc>
          <w:tcPr>
            <w:tcW w:w="1644" w:type="dxa"/>
            <w:tcBorders>
              <w:top w:val="single" w:sz="4" w:space="0" w:color="auto"/>
            </w:tcBorders>
            <w:noWrap/>
            <w:vAlign w:val="bottom"/>
          </w:tcPr>
          <w:p w:rsidR="00D10AF7" w:rsidRPr="00C605D6" w:rsidRDefault="00D10AF7" w:rsidP="00ED3C73">
            <w:pPr>
              <w:pStyle w:val="TableText0"/>
              <w:jc w:val="right"/>
              <w:rPr>
                <w:lang w:val="en-US"/>
              </w:rPr>
            </w:pPr>
          </w:p>
        </w:tc>
        <w:tc>
          <w:tcPr>
            <w:tcW w:w="1049" w:type="dxa"/>
            <w:tcBorders>
              <w:top w:val="single" w:sz="4" w:space="0" w:color="auto"/>
            </w:tcBorders>
            <w:vAlign w:val="bottom"/>
          </w:tcPr>
          <w:p w:rsidR="00D10AF7" w:rsidRPr="00C605D6" w:rsidRDefault="00D10AF7" w:rsidP="00ED3C73">
            <w:pPr>
              <w:pStyle w:val="TableText0"/>
              <w:jc w:val="right"/>
              <w:rPr>
                <w:lang w:val="en-US"/>
              </w:rPr>
            </w:pPr>
            <w:r w:rsidRPr="00C605D6">
              <w:rPr>
                <w:lang w:val="en-US"/>
              </w:rPr>
              <w:t>0.510</w:t>
            </w:r>
          </w:p>
        </w:tc>
        <w:tc>
          <w:tcPr>
            <w:tcW w:w="1755" w:type="dxa"/>
            <w:tcBorders>
              <w:top w:val="single" w:sz="4" w:space="0" w:color="auto"/>
            </w:tcBorders>
            <w:vAlign w:val="bottom"/>
          </w:tcPr>
          <w:p w:rsidR="00D10AF7" w:rsidRPr="00C605D6" w:rsidRDefault="00D10AF7" w:rsidP="00ED3C73">
            <w:pPr>
              <w:pStyle w:val="TableText0"/>
              <w:jc w:val="right"/>
              <w:rPr>
                <w:lang w:val="en-US"/>
              </w:rPr>
            </w:pPr>
          </w:p>
        </w:tc>
        <w:tc>
          <w:tcPr>
            <w:tcW w:w="1403" w:type="dxa"/>
            <w:tcBorders>
              <w:top w:val="single" w:sz="4" w:space="0" w:color="auto"/>
            </w:tcBorders>
            <w:vAlign w:val="bottom"/>
          </w:tcPr>
          <w:p w:rsidR="00D10AF7" w:rsidRPr="00C605D6" w:rsidRDefault="00D10AF7" w:rsidP="00ED3C73">
            <w:pPr>
              <w:pStyle w:val="TableText0"/>
              <w:jc w:val="center"/>
              <w:rPr>
                <w:lang w:val="en-US"/>
              </w:rPr>
            </w:pPr>
          </w:p>
        </w:tc>
      </w:tr>
      <w:tr w:rsidR="00D10AF7" w:rsidRPr="00C605D6" w:rsidTr="00ED3C73">
        <w:trPr>
          <w:trHeight w:val="227"/>
        </w:trPr>
        <w:tc>
          <w:tcPr>
            <w:tcW w:w="1145" w:type="dxa"/>
            <w:noWrap/>
            <w:vAlign w:val="bottom"/>
          </w:tcPr>
          <w:p w:rsidR="00D10AF7" w:rsidRPr="00C605D6" w:rsidRDefault="00D10AF7" w:rsidP="00D10AF7">
            <w:pPr>
              <w:pStyle w:val="TableText0"/>
              <w:rPr>
                <w:lang w:val="en-US"/>
              </w:rPr>
            </w:pPr>
            <w:r w:rsidRPr="00C605D6">
              <w:rPr>
                <w:lang w:val="en-US"/>
              </w:rPr>
              <w:t>Colostomy</w:t>
            </w:r>
          </w:p>
        </w:tc>
        <w:tc>
          <w:tcPr>
            <w:tcW w:w="1418" w:type="dxa"/>
            <w:noWrap/>
            <w:vAlign w:val="bottom"/>
          </w:tcPr>
          <w:p w:rsidR="00D10AF7" w:rsidRPr="00C605D6" w:rsidRDefault="00D10AF7" w:rsidP="00ED3C73">
            <w:pPr>
              <w:pStyle w:val="TableText0"/>
              <w:jc w:val="right"/>
              <w:rPr>
                <w:lang w:val="en-US"/>
              </w:rPr>
            </w:pPr>
            <w:r w:rsidRPr="00C605D6">
              <w:rPr>
                <w:lang w:val="en-US"/>
              </w:rPr>
              <w:t>$30,169</w:t>
            </w:r>
          </w:p>
        </w:tc>
        <w:tc>
          <w:tcPr>
            <w:tcW w:w="1644" w:type="dxa"/>
            <w:noWrap/>
            <w:vAlign w:val="bottom"/>
          </w:tcPr>
          <w:p w:rsidR="00D10AF7" w:rsidRPr="00C605D6" w:rsidRDefault="00D10AF7" w:rsidP="00ED3C73">
            <w:pPr>
              <w:pStyle w:val="TableText0"/>
              <w:jc w:val="right"/>
              <w:rPr>
                <w:lang w:val="en-US"/>
              </w:rPr>
            </w:pPr>
            <w:r w:rsidRPr="00C605D6">
              <w:rPr>
                <w:lang w:val="en-US"/>
              </w:rPr>
              <w:t>-$440</w:t>
            </w:r>
          </w:p>
        </w:tc>
        <w:tc>
          <w:tcPr>
            <w:tcW w:w="1049" w:type="dxa"/>
            <w:vAlign w:val="bottom"/>
          </w:tcPr>
          <w:p w:rsidR="00D10AF7" w:rsidRPr="00C605D6" w:rsidRDefault="00D10AF7" w:rsidP="00ED3C73">
            <w:pPr>
              <w:pStyle w:val="TableText0"/>
              <w:jc w:val="right"/>
              <w:rPr>
                <w:lang w:val="en-US"/>
              </w:rPr>
            </w:pPr>
            <w:r w:rsidRPr="00C605D6">
              <w:rPr>
                <w:lang w:val="en-US"/>
              </w:rPr>
              <w:t>0.458</w:t>
            </w:r>
          </w:p>
        </w:tc>
        <w:tc>
          <w:tcPr>
            <w:tcW w:w="1755" w:type="dxa"/>
            <w:vAlign w:val="bottom"/>
          </w:tcPr>
          <w:p w:rsidR="00D10AF7" w:rsidRPr="00C605D6" w:rsidRDefault="00D10AF7" w:rsidP="00ED3C73">
            <w:pPr>
              <w:pStyle w:val="TableText0"/>
              <w:jc w:val="right"/>
              <w:rPr>
                <w:lang w:val="en-US"/>
              </w:rPr>
            </w:pPr>
            <w:r w:rsidRPr="00C605D6">
              <w:rPr>
                <w:lang w:val="en-US"/>
              </w:rPr>
              <w:t>0.052</w:t>
            </w:r>
          </w:p>
        </w:tc>
        <w:tc>
          <w:tcPr>
            <w:tcW w:w="1403" w:type="dxa"/>
            <w:vAlign w:val="bottom"/>
          </w:tcPr>
          <w:p w:rsidR="00D10AF7" w:rsidRPr="00C605D6" w:rsidRDefault="00D10AF7" w:rsidP="00ED3C73">
            <w:pPr>
              <w:pStyle w:val="TableText0"/>
              <w:jc w:val="center"/>
              <w:rPr>
                <w:lang w:val="en-US"/>
              </w:rPr>
            </w:pPr>
            <w:r w:rsidRPr="00C605D6">
              <w:rPr>
                <w:lang w:val="en-US"/>
              </w:rPr>
              <w:t>Dominated</w:t>
            </w:r>
          </w:p>
        </w:tc>
      </w:tr>
    </w:tbl>
    <w:p w:rsidR="00D10AF7" w:rsidRPr="00ED3C73" w:rsidRDefault="00ED3C73" w:rsidP="0007443E">
      <w:pPr>
        <w:pStyle w:val="TableNotes"/>
        <w:rPr>
          <w:lang w:val="en-AU"/>
        </w:rPr>
      </w:pPr>
      <w:r>
        <w:t>ICER: Incremental cost-effectiveness ratio</w:t>
      </w:r>
      <w:r>
        <w:rPr>
          <w:lang w:val="en-AU"/>
        </w:rPr>
        <w:t xml:space="preserve">; </w:t>
      </w:r>
      <w:r w:rsidR="00AF5AC8">
        <w:t>QA</w:t>
      </w:r>
      <w:r>
        <w:t>LY: Quality-adjusted light year</w:t>
      </w:r>
      <w:r>
        <w:rPr>
          <w:lang w:val="en-AU"/>
        </w:rPr>
        <w:t>.</w:t>
      </w:r>
    </w:p>
    <w:p w:rsidR="00F71B25" w:rsidRDefault="00F71B25" w:rsidP="000952FA">
      <w:pPr>
        <w:pStyle w:val="Heading3"/>
      </w:pPr>
      <w:r>
        <w:t>Sensitivity analysis</w:t>
      </w:r>
    </w:p>
    <w:p w:rsidR="00ED3C73" w:rsidRDefault="00F71B25" w:rsidP="00ED3C73">
      <w:r>
        <w:t>The results of this one-way sensitivity analysis can be seen in</w:t>
      </w:r>
      <w:r w:rsidR="0004410B">
        <w:t xml:space="preserve"> </w:t>
      </w:r>
      <w:r w:rsidR="0004410B">
        <w:fldChar w:fldCharType="begin"/>
      </w:r>
      <w:r w:rsidR="0004410B">
        <w:instrText xml:space="preserve"> REF _Ref327455579 \h </w:instrText>
      </w:r>
      <w:r w:rsidR="0004410B">
        <w:fldChar w:fldCharType="separate"/>
      </w:r>
      <w:r w:rsidR="0071544A">
        <w:t xml:space="preserve">Figure </w:t>
      </w:r>
      <w:r w:rsidR="0071544A">
        <w:rPr>
          <w:noProof/>
        </w:rPr>
        <w:t>12</w:t>
      </w:r>
      <w:r w:rsidR="0004410B">
        <w:fldChar w:fldCharType="end"/>
      </w:r>
      <w:r>
        <w:t>. Only those parameters that crossed the $0 line are displayed</w:t>
      </w:r>
      <w:r w:rsidR="00AF5AC8">
        <w:t>;</w:t>
      </w:r>
      <w:r>
        <w:t xml:space="preserve"> all other parameters can be found in</w:t>
      </w:r>
      <w:r w:rsidR="006139A8">
        <w:t xml:space="preserve"> Appendix </w:t>
      </w:r>
      <w:r w:rsidR="00F76B65">
        <w:t>J</w:t>
      </w:r>
      <w:r>
        <w:t>.</w:t>
      </w:r>
      <w:bookmarkStart w:id="257" w:name="_Ref324950551"/>
      <w:bookmarkStart w:id="258" w:name="_Ref327450586"/>
    </w:p>
    <w:p w:rsidR="0004410B" w:rsidRDefault="0004410B" w:rsidP="0004410B">
      <w:pPr>
        <w:pStyle w:val="Caption"/>
      </w:pPr>
      <w:bookmarkStart w:id="259" w:name="_Ref327455579"/>
      <w:bookmarkStart w:id="260" w:name="_Toc327522135"/>
      <w:r>
        <w:lastRenderedPageBreak/>
        <w:t xml:space="preserve">Figure </w:t>
      </w:r>
      <w:r>
        <w:fldChar w:fldCharType="begin"/>
      </w:r>
      <w:r>
        <w:instrText xml:space="preserve"> SEQ Figure \* ARABIC </w:instrText>
      </w:r>
      <w:r>
        <w:fldChar w:fldCharType="separate"/>
      </w:r>
      <w:proofErr w:type="gramStart"/>
      <w:r w:rsidR="0071544A">
        <w:rPr>
          <w:noProof/>
        </w:rPr>
        <w:t>12</w:t>
      </w:r>
      <w:r>
        <w:fldChar w:fldCharType="end"/>
      </w:r>
      <w:bookmarkEnd w:id="259"/>
      <w:r>
        <w:tab/>
        <w:t>One-way sensitivity analysis</w:t>
      </w:r>
      <w:proofErr w:type="gramEnd"/>
      <w:r>
        <w:t xml:space="preserve"> (SEMS vs multi-stage surgery)</w:t>
      </w:r>
      <w:bookmarkEnd w:id="260"/>
    </w:p>
    <w:bookmarkEnd w:id="257"/>
    <w:bookmarkEnd w:id="258"/>
    <w:p w:rsidR="00222E1A" w:rsidRPr="00A35CF0" w:rsidRDefault="00516B5D" w:rsidP="0004410B">
      <w:pPr>
        <w:pStyle w:val="Caption"/>
        <w:rPr>
          <w:sz w:val="16"/>
          <w:szCs w:val="16"/>
        </w:rPr>
      </w:pPr>
      <w:r>
        <w:rPr>
          <w:b w:val="0"/>
          <w:bCs w:val="0"/>
          <w:noProof/>
          <w:sz w:val="16"/>
        </w:rPr>
        <w:drawing>
          <wp:inline distT="0" distB="0" distL="0" distR="0" wp14:anchorId="0A2CD435" wp14:editId="74D5A6C7">
            <wp:extent cx="5338445" cy="3548380"/>
            <wp:effectExtent l="0" t="0" r="0" b="0"/>
            <wp:docPr id="1773" name="Picture 1773" title="Figure 12 One-way sensitivity analysis (SEMS vs multi-stag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8445" cy="3548380"/>
                    </a:xfrm>
                    <a:prstGeom prst="rect">
                      <a:avLst/>
                    </a:prstGeom>
                    <a:noFill/>
                  </pic:spPr>
                </pic:pic>
              </a:graphicData>
            </a:graphic>
          </wp:inline>
        </w:drawing>
      </w:r>
      <w:r w:rsidR="00344A31" w:rsidRPr="0004410B">
        <w:rPr>
          <w:b w:val="0"/>
          <w:bCs w:val="0"/>
          <w:sz w:val="16"/>
          <w:lang w:val="x-none" w:eastAsia="x-none"/>
        </w:rPr>
        <w:t xml:space="preserve">ICER: Incremental cost-effectiveness ratio; ICU: Intensive care unit; </w:t>
      </w:r>
      <w:r w:rsidR="00222E1A" w:rsidRPr="0004410B">
        <w:rPr>
          <w:b w:val="0"/>
          <w:bCs w:val="0"/>
          <w:sz w:val="16"/>
          <w:lang w:val="x-none" w:eastAsia="x-none"/>
        </w:rPr>
        <w:t xml:space="preserve">LOS: Length of </w:t>
      </w:r>
      <w:r w:rsidR="00017CD0" w:rsidRPr="0004410B">
        <w:rPr>
          <w:b w:val="0"/>
          <w:bCs w:val="0"/>
          <w:sz w:val="16"/>
          <w:lang w:val="x-none" w:eastAsia="x-none"/>
        </w:rPr>
        <w:t xml:space="preserve">hospital </w:t>
      </w:r>
      <w:r w:rsidR="00222E1A" w:rsidRPr="0004410B">
        <w:rPr>
          <w:b w:val="0"/>
          <w:bCs w:val="0"/>
          <w:sz w:val="16"/>
          <w:lang w:val="x-none" w:eastAsia="x-none"/>
        </w:rPr>
        <w:t>stay</w:t>
      </w:r>
      <w:r w:rsidR="00344A31" w:rsidRPr="0004410B">
        <w:rPr>
          <w:b w:val="0"/>
          <w:bCs w:val="0"/>
          <w:sz w:val="16"/>
          <w:lang w:val="x-none" w:eastAsia="x-none"/>
        </w:rPr>
        <w:t>; QALY: Q</w:t>
      </w:r>
      <w:r w:rsidR="00222E1A" w:rsidRPr="0004410B">
        <w:rPr>
          <w:b w:val="0"/>
          <w:bCs w:val="0"/>
          <w:sz w:val="16"/>
          <w:lang w:val="x-none" w:eastAsia="x-none"/>
        </w:rPr>
        <w:t>uality adjusted life year</w:t>
      </w:r>
    </w:p>
    <w:p w:rsidR="00F71B25" w:rsidRDefault="00F71B25" w:rsidP="000952FA">
      <w:r>
        <w:t xml:space="preserve">Based on the sensitivity analysis, it can be seen that the efficacy of the SEMS procedure (both technical and clinical success) is a main driver in the model. </w:t>
      </w:r>
    </w:p>
    <w:p w:rsidR="00F71B25" w:rsidRDefault="00F71B25" w:rsidP="000952FA">
      <w:r>
        <w:t xml:space="preserve">The critical point </w:t>
      </w:r>
      <w:r w:rsidR="00AF5AC8">
        <w:t>at</w:t>
      </w:r>
      <w:r>
        <w:t xml:space="preserve"> which the parameter causes SEMS to be more costly than the comparator (in other words when the cost per QALY = $0) can be seen in</w:t>
      </w:r>
      <w:r w:rsidR="00D67221">
        <w:t xml:space="preserve"> </w:t>
      </w:r>
      <w:r w:rsidR="00D67221">
        <w:fldChar w:fldCharType="begin"/>
      </w:r>
      <w:r w:rsidR="00D67221">
        <w:instrText xml:space="preserve"> REF _Ref324950855 \h </w:instrText>
      </w:r>
      <w:r w:rsidR="00D67221">
        <w:fldChar w:fldCharType="separate"/>
      </w:r>
      <w:r w:rsidR="0071544A">
        <w:t xml:space="preserve">Table </w:t>
      </w:r>
      <w:r w:rsidR="0071544A">
        <w:rPr>
          <w:noProof/>
        </w:rPr>
        <w:t>62</w:t>
      </w:r>
      <w:r w:rsidR="00D67221">
        <w:fldChar w:fldCharType="end"/>
      </w:r>
      <w:r>
        <w:t xml:space="preserve">. At any values greater than these critical points, there is an associated cost per QALY gained. </w:t>
      </w:r>
    </w:p>
    <w:p w:rsidR="000952FA" w:rsidRPr="00C605D6" w:rsidRDefault="00D67221" w:rsidP="00D67221">
      <w:pPr>
        <w:pStyle w:val="Caption"/>
      </w:pPr>
      <w:bookmarkStart w:id="261" w:name="_Ref324950855"/>
      <w:bookmarkStart w:id="262" w:name="_Toc327522106"/>
      <w:r>
        <w:lastRenderedPageBreak/>
        <w:t xml:space="preserve">Table </w:t>
      </w:r>
      <w:fldSimple w:instr=" SEQ Table \* ARABIC ">
        <w:r w:rsidR="0071544A">
          <w:rPr>
            <w:noProof/>
          </w:rPr>
          <w:t>62</w:t>
        </w:r>
      </w:fldSimple>
      <w:bookmarkEnd w:id="261"/>
      <w:r w:rsidR="003F3CA9">
        <w:tab/>
      </w:r>
      <w:r w:rsidR="000952FA" w:rsidRPr="00C605D6">
        <w:t xml:space="preserve">Critical point for parameters (Cost SEMS = Cost of </w:t>
      </w:r>
      <w:r w:rsidR="00DF03CC">
        <w:t>multi-stage</w:t>
      </w:r>
      <w:r w:rsidR="000952FA" w:rsidRPr="00C605D6">
        <w:t xml:space="preserve"> surgery)</w:t>
      </w:r>
      <w:bookmarkEnd w:id="262"/>
    </w:p>
    <w:tbl>
      <w:tblPr>
        <w:tblW w:w="7099" w:type="dxa"/>
        <w:tblInd w:w="829" w:type="dxa"/>
        <w:tblBorders>
          <w:top w:val="single" w:sz="12" w:space="0" w:color="auto"/>
          <w:bottom w:val="single" w:sz="12" w:space="0" w:color="auto"/>
        </w:tblBorders>
        <w:tblLayout w:type="fixed"/>
        <w:tblLook w:val="00A0" w:firstRow="1" w:lastRow="0" w:firstColumn="1" w:lastColumn="0" w:noHBand="0" w:noVBand="0"/>
      </w:tblPr>
      <w:tblGrid>
        <w:gridCol w:w="4264"/>
        <w:gridCol w:w="2835"/>
      </w:tblGrid>
      <w:tr w:rsidR="000952FA" w:rsidRPr="00C605D6" w:rsidTr="00974F80">
        <w:trPr>
          <w:trHeight w:val="300"/>
        </w:trPr>
        <w:tc>
          <w:tcPr>
            <w:tcW w:w="4264" w:type="dxa"/>
            <w:tcBorders>
              <w:top w:val="single" w:sz="12" w:space="0" w:color="auto"/>
              <w:bottom w:val="single" w:sz="4" w:space="0" w:color="auto"/>
            </w:tcBorders>
            <w:noWrap/>
            <w:vAlign w:val="bottom"/>
          </w:tcPr>
          <w:p w:rsidR="00A975CB" w:rsidRPr="00A975CB" w:rsidRDefault="000952FA" w:rsidP="00A975CB">
            <w:pPr>
              <w:pStyle w:val="TableHeading0"/>
            </w:pPr>
            <w:r w:rsidRPr="00C605D6">
              <w:t>Parameter</w:t>
            </w:r>
          </w:p>
        </w:tc>
        <w:tc>
          <w:tcPr>
            <w:tcW w:w="2835" w:type="dxa"/>
            <w:tcBorders>
              <w:top w:val="single" w:sz="12" w:space="0" w:color="auto"/>
              <w:bottom w:val="single" w:sz="4" w:space="0" w:color="auto"/>
            </w:tcBorders>
            <w:noWrap/>
            <w:vAlign w:val="bottom"/>
          </w:tcPr>
          <w:p w:rsidR="00A975CB" w:rsidRDefault="00A975CB" w:rsidP="00A975CB">
            <w:pPr>
              <w:pStyle w:val="TableHeading0"/>
              <w:rPr>
                <w:bCs/>
              </w:rPr>
            </w:pPr>
            <w:r>
              <w:rPr>
                <w:bCs/>
              </w:rPr>
              <w:t xml:space="preserve">Critical point </w:t>
            </w:r>
          </w:p>
          <w:p w:rsidR="00A975CB" w:rsidRPr="00A975CB" w:rsidRDefault="00A975CB" w:rsidP="00A975CB">
            <w:pPr>
              <w:pStyle w:val="TableHeading0"/>
              <w:rPr>
                <w:bCs/>
              </w:rPr>
            </w:pPr>
            <w:r>
              <w:rPr>
                <w:bCs/>
              </w:rPr>
              <w:t xml:space="preserve">(SEMS </w:t>
            </w:r>
            <w:r w:rsidR="006430D4">
              <w:rPr>
                <w:bCs/>
              </w:rPr>
              <w:t>vs</w:t>
            </w:r>
            <w:r w:rsidR="00DF03CC">
              <w:rPr>
                <w:bCs/>
              </w:rPr>
              <w:t>multi-stage</w:t>
            </w:r>
            <w:r w:rsidR="00AF5AC8">
              <w:rPr>
                <w:bCs/>
              </w:rPr>
              <w:t xml:space="preserve"> </w:t>
            </w:r>
            <w:r w:rsidRPr="00A975CB">
              <w:rPr>
                <w:bCs/>
              </w:rPr>
              <w:t>surgery)</w:t>
            </w:r>
          </w:p>
        </w:tc>
      </w:tr>
      <w:tr w:rsidR="000952FA" w:rsidRPr="00C605D6" w:rsidTr="00974F80">
        <w:trPr>
          <w:trHeight w:val="227"/>
        </w:trPr>
        <w:tc>
          <w:tcPr>
            <w:tcW w:w="4264" w:type="dxa"/>
            <w:tcBorders>
              <w:top w:val="single" w:sz="4" w:space="0" w:color="auto"/>
            </w:tcBorders>
            <w:noWrap/>
            <w:vAlign w:val="bottom"/>
          </w:tcPr>
          <w:p w:rsidR="000952FA" w:rsidRPr="00C605D6" w:rsidRDefault="000952FA" w:rsidP="000952FA">
            <w:pPr>
              <w:pStyle w:val="TableText0"/>
              <w:rPr>
                <w:color w:val="000000"/>
                <w:lang w:val="en-US"/>
              </w:rPr>
            </w:pPr>
            <w:r w:rsidRPr="000F3C8B">
              <w:rPr>
                <w:lang w:val="en-AU"/>
              </w:rPr>
              <w:t>Probability of stent technical success</w:t>
            </w:r>
          </w:p>
        </w:tc>
        <w:tc>
          <w:tcPr>
            <w:tcW w:w="2835" w:type="dxa"/>
            <w:tcBorders>
              <w:top w:val="single" w:sz="4" w:space="0" w:color="auto"/>
            </w:tcBorders>
            <w:noWrap/>
            <w:vAlign w:val="bottom"/>
          </w:tcPr>
          <w:p w:rsidR="000952FA" w:rsidRPr="00C605D6" w:rsidRDefault="000952FA" w:rsidP="00ED3C73">
            <w:pPr>
              <w:pStyle w:val="TableText0"/>
              <w:jc w:val="right"/>
              <w:rPr>
                <w:color w:val="000000"/>
                <w:lang w:val="en-US"/>
              </w:rPr>
            </w:pPr>
            <w:r w:rsidRPr="000F3C8B">
              <w:rPr>
                <w:lang w:val="en-AU"/>
              </w:rPr>
              <w:t>≤ 0.86</w:t>
            </w:r>
          </w:p>
        </w:tc>
      </w:tr>
      <w:tr w:rsidR="000952FA" w:rsidRPr="00C605D6" w:rsidTr="00974F80">
        <w:trPr>
          <w:trHeight w:val="227"/>
        </w:trPr>
        <w:tc>
          <w:tcPr>
            <w:tcW w:w="4264" w:type="dxa"/>
            <w:noWrap/>
            <w:vAlign w:val="bottom"/>
          </w:tcPr>
          <w:p w:rsidR="000952FA" w:rsidRPr="00C605D6" w:rsidRDefault="000952FA" w:rsidP="000952FA">
            <w:pPr>
              <w:pStyle w:val="TableText0"/>
              <w:rPr>
                <w:color w:val="000000"/>
                <w:lang w:val="en-US"/>
              </w:rPr>
            </w:pPr>
            <w:r w:rsidRPr="000F3C8B">
              <w:rPr>
                <w:lang w:val="en-AU"/>
              </w:rPr>
              <w:t>Probability of stent clinical success</w:t>
            </w:r>
          </w:p>
        </w:tc>
        <w:tc>
          <w:tcPr>
            <w:tcW w:w="2835" w:type="dxa"/>
            <w:noWrap/>
            <w:vAlign w:val="bottom"/>
          </w:tcPr>
          <w:p w:rsidR="000952FA" w:rsidRPr="00C605D6" w:rsidRDefault="000952FA" w:rsidP="00ED3C73">
            <w:pPr>
              <w:pStyle w:val="TableText0"/>
              <w:jc w:val="right"/>
              <w:rPr>
                <w:color w:val="000000"/>
                <w:lang w:val="en-US"/>
              </w:rPr>
            </w:pPr>
            <w:r w:rsidRPr="000F3C8B">
              <w:rPr>
                <w:lang w:val="en-AU"/>
              </w:rPr>
              <w:t>≤ 0.47</w:t>
            </w:r>
          </w:p>
        </w:tc>
      </w:tr>
      <w:tr w:rsidR="000952FA" w:rsidRPr="00C605D6" w:rsidTr="00974F80">
        <w:trPr>
          <w:trHeight w:val="227"/>
        </w:trPr>
        <w:tc>
          <w:tcPr>
            <w:tcW w:w="4264" w:type="dxa"/>
            <w:noWrap/>
            <w:vAlign w:val="bottom"/>
          </w:tcPr>
          <w:p w:rsidR="000952FA" w:rsidRPr="00C605D6" w:rsidRDefault="000952FA" w:rsidP="000952FA">
            <w:pPr>
              <w:pStyle w:val="TableText0"/>
              <w:rPr>
                <w:color w:val="000000"/>
                <w:lang w:val="en-US"/>
              </w:rPr>
            </w:pPr>
            <w:r w:rsidRPr="000F3C8B">
              <w:rPr>
                <w:lang w:val="en-AU"/>
              </w:rPr>
              <w:t>Length of stay stent</w:t>
            </w:r>
          </w:p>
        </w:tc>
        <w:tc>
          <w:tcPr>
            <w:tcW w:w="2835" w:type="dxa"/>
            <w:noWrap/>
            <w:vAlign w:val="bottom"/>
          </w:tcPr>
          <w:p w:rsidR="000952FA" w:rsidRPr="00C605D6" w:rsidRDefault="000952FA" w:rsidP="00ED3C73">
            <w:pPr>
              <w:pStyle w:val="TableText0"/>
              <w:jc w:val="right"/>
              <w:rPr>
                <w:color w:val="000000"/>
                <w:lang w:val="en-US"/>
              </w:rPr>
            </w:pPr>
            <w:r w:rsidRPr="000F3C8B">
              <w:rPr>
                <w:lang w:val="en-AU"/>
              </w:rPr>
              <w:t>≥ 5.8</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Length of stay colostomy</w:t>
            </w:r>
          </w:p>
        </w:tc>
        <w:tc>
          <w:tcPr>
            <w:tcW w:w="2835" w:type="dxa"/>
            <w:noWrap/>
            <w:vAlign w:val="bottom"/>
          </w:tcPr>
          <w:p w:rsidR="000952FA" w:rsidRPr="00C605D6" w:rsidRDefault="000952FA" w:rsidP="00ED3C73">
            <w:pPr>
              <w:pStyle w:val="TableText0"/>
              <w:jc w:val="right"/>
              <w:rPr>
                <w:color w:val="000000"/>
                <w:lang w:val="en-US"/>
              </w:rPr>
            </w:pPr>
            <w:r w:rsidRPr="000F3C8B">
              <w:rPr>
                <w:lang w:val="en-AU"/>
              </w:rPr>
              <w:t>≤ 8.2</w:t>
            </w:r>
          </w:p>
        </w:tc>
      </w:tr>
      <w:tr w:rsidR="000952FA" w:rsidRPr="00C605D6" w:rsidTr="00974F80">
        <w:trPr>
          <w:trHeight w:val="227"/>
        </w:trPr>
        <w:tc>
          <w:tcPr>
            <w:tcW w:w="4264" w:type="dxa"/>
            <w:noWrap/>
            <w:vAlign w:val="bottom"/>
          </w:tcPr>
          <w:p w:rsidR="000952FA" w:rsidRPr="00C605D6" w:rsidRDefault="000952FA" w:rsidP="000952FA">
            <w:pPr>
              <w:pStyle w:val="TableText0"/>
              <w:rPr>
                <w:color w:val="000000"/>
                <w:lang w:val="en-US"/>
              </w:rPr>
            </w:pPr>
            <w:r w:rsidRPr="000F3C8B">
              <w:rPr>
                <w:lang w:val="en-AU"/>
              </w:rPr>
              <w:t>Length of stay Hartmann’s procedure</w:t>
            </w:r>
          </w:p>
        </w:tc>
        <w:tc>
          <w:tcPr>
            <w:tcW w:w="2835" w:type="dxa"/>
            <w:noWrap/>
            <w:vAlign w:val="bottom"/>
          </w:tcPr>
          <w:p w:rsidR="000952FA" w:rsidRPr="00C605D6" w:rsidRDefault="000952FA" w:rsidP="00ED3C73">
            <w:pPr>
              <w:pStyle w:val="TableText0"/>
              <w:jc w:val="right"/>
              <w:rPr>
                <w:color w:val="000000"/>
                <w:lang w:val="en-US"/>
              </w:rPr>
            </w:pPr>
            <w:r w:rsidRPr="000F3C8B">
              <w:rPr>
                <w:lang w:val="en-AU"/>
              </w:rPr>
              <w:t>≤ 7.8</w:t>
            </w:r>
          </w:p>
        </w:tc>
      </w:tr>
      <w:tr w:rsidR="000952FA" w:rsidRPr="00C605D6" w:rsidTr="00974F80">
        <w:trPr>
          <w:trHeight w:val="227"/>
        </w:trPr>
        <w:tc>
          <w:tcPr>
            <w:tcW w:w="4264" w:type="dxa"/>
            <w:noWrap/>
            <w:vAlign w:val="bottom"/>
          </w:tcPr>
          <w:p w:rsidR="000952FA" w:rsidRPr="00C605D6" w:rsidRDefault="000952FA" w:rsidP="000952FA">
            <w:pPr>
              <w:pStyle w:val="TableText0"/>
              <w:rPr>
                <w:color w:val="000000"/>
                <w:lang w:val="en-US"/>
              </w:rPr>
            </w:pPr>
            <w:r w:rsidRPr="000F3C8B">
              <w:rPr>
                <w:lang w:val="en-AU"/>
              </w:rPr>
              <w:t>Length of stay primary anastomosis</w:t>
            </w:r>
          </w:p>
        </w:tc>
        <w:tc>
          <w:tcPr>
            <w:tcW w:w="2835" w:type="dxa"/>
            <w:noWrap/>
            <w:vAlign w:val="bottom"/>
          </w:tcPr>
          <w:p w:rsidR="000952FA" w:rsidRPr="00C605D6" w:rsidRDefault="000952FA" w:rsidP="00ED3C73">
            <w:pPr>
              <w:pStyle w:val="TableText0"/>
              <w:jc w:val="right"/>
              <w:rPr>
                <w:color w:val="000000"/>
                <w:lang w:val="en-US"/>
              </w:rPr>
            </w:pPr>
            <w:r w:rsidRPr="000F3C8B">
              <w:rPr>
                <w:lang w:val="en-AU"/>
              </w:rPr>
              <w:t>≤ 8.9</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Length of stay ICU Hartmann’s</w:t>
            </w:r>
          </w:p>
        </w:tc>
        <w:tc>
          <w:tcPr>
            <w:tcW w:w="2835" w:type="dxa"/>
            <w:noWrap/>
            <w:vAlign w:val="bottom"/>
          </w:tcPr>
          <w:p w:rsidR="000952FA" w:rsidRPr="000F3C8B" w:rsidRDefault="000952FA" w:rsidP="00ED3C73">
            <w:pPr>
              <w:pStyle w:val="TableText0"/>
              <w:jc w:val="right"/>
              <w:rPr>
                <w:lang w:val="en-AU"/>
              </w:rPr>
            </w:pPr>
            <w:r w:rsidRPr="000F3C8B">
              <w:rPr>
                <w:lang w:val="en-AU"/>
              </w:rPr>
              <w:t>≤ 1.4</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Length of stay for Hartmann’s reversal</w:t>
            </w:r>
          </w:p>
        </w:tc>
        <w:tc>
          <w:tcPr>
            <w:tcW w:w="2835" w:type="dxa"/>
            <w:noWrap/>
            <w:vAlign w:val="bottom"/>
          </w:tcPr>
          <w:p w:rsidR="000952FA" w:rsidRPr="000F3C8B" w:rsidRDefault="000952FA" w:rsidP="00ED3C73">
            <w:pPr>
              <w:pStyle w:val="TableText0"/>
              <w:jc w:val="right"/>
              <w:rPr>
                <w:lang w:val="en-AU"/>
              </w:rPr>
            </w:pPr>
            <w:r w:rsidRPr="000F3C8B">
              <w:rPr>
                <w:lang w:val="en-AU"/>
              </w:rPr>
              <w:t>≤ 5.9</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hospital stay colostomy</w:t>
            </w:r>
          </w:p>
        </w:tc>
        <w:tc>
          <w:tcPr>
            <w:tcW w:w="2835" w:type="dxa"/>
            <w:noWrap/>
            <w:vAlign w:val="bottom"/>
          </w:tcPr>
          <w:p w:rsidR="000952FA" w:rsidRPr="000F3C8B" w:rsidRDefault="000952FA" w:rsidP="00ED3C73">
            <w:pPr>
              <w:pStyle w:val="TableText0"/>
              <w:jc w:val="right"/>
              <w:rPr>
                <w:lang w:val="en-AU"/>
              </w:rPr>
            </w:pPr>
            <w:r w:rsidRPr="000F3C8B">
              <w:rPr>
                <w:lang w:val="en-AU"/>
              </w:rPr>
              <w:t>≤ $655</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hospital stay stent</w:t>
            </w:r>
          </w:p>
        </w:tc>
        <w:tc>
          <w:tcPr>
            <w:tcW w:w="2835" w:type="dxa"/>
            <w:noWrap/>
            <w:vAlign w:val="bottom"/>
          </w:tcPr>
          <w:p w:rsidR="000952FA" w:rsidRPr="000F3C8B" w:rsidRDefault="000952FA" w:rsidP="00ED3C73">
            <w:pPr>
              <w:pStyle w:val="TableText0"/>
              <w:jc w:val="right"/>
              <w:rPr>
                <w:lang w:val="en-AU"/>
              </w:rPr>
            </w:pPr>
            <w:r w:rsidRPr="000F3C8B">
              <w:rPr>
                <w:lang w:val="en-AU"/>
              </w:rPr>
              <w:t>≤ $791</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hospital stay Hartmann’s procedure</w:t>
            </w:r>
          </w:p>
        </w:tc>
        <w:tc>
          <w:tcPr>
            <w:tcW w:w="2835" w:type="dxa"/>
            <w:noWrap/>
            <w:vAlign w:val="bottom"/>
          </w:tcPr>
          <w:p w:rsidR="000952FA" w:rsidRPr="000F3C8B" w:rsidRDefault="000952FA" w:rsidP="00ED3C73">
            <w:pPr>
              <w:pStyle w:val="TableText0"/>
              <w:jc w:val="right"/>
              <w:rPr>
                <w:lang w:val="en-AU"/>
              </w:rPr>
            </w:pPr>
            <w:r w:rsidRPr="000F3C8B">
              <w:rPr>
                <w:lang w:val="en-AU"/>
              </w:rPr>
              <w:t>≤ $680</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hospital stay resection with primary anastomosis</w:t>
            </w:r>
          </w:p>
        </w:tc>
        <w:tc>
          <w:tcPr>
            <w:tcW w:w="2835" w:type="dxa"/>
            <w:noWrap/>
            <w:vAlign w:val="bottom"/>
          </w:tcPr>
          <w:p w:rsidR="000952FA" w:rsidRPr="000F3C8B" w:rsidRDefault="000952FA" w:rsidP="00ED3C73">
            <w:pPr>
              <w:pStyle w:val="TableText0"/>
              <w:jc w:val="right"/>
              <w:rPr>
                <w:lang w:val="en-AU"/>
              </w:rPr>
            </w:pPr>
            <w:r w:rsidRPr="000F3C8B">
              <w:rPr>
                <w:lang w:val="en-AU"/>
              </w:rPr>
              <w:t>≤ $1,020</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ICU Hartmann’s</w:t>
            </w:r>
          </w:p>
        </w:tc>
        <w:tc>
          <w:tcPr>
            <w:tcW w:w="2835" w:type="dxa"/>
            <w:noWrap/>
            <w:vAlign w:val="bottom"/>
          </w:tcPr>
          <w:p w:rsidR="000952FA" w:rsidRPr="000F3C8B" w:rsidRDefault="000952FA" w:rsidP="00ED3C73">
            <w:pPr>
              <w:pStyle w:val="TableText0"/>
              <w:jc w:val="right"/>
              <w:rPr>
                <w:lang w:val="en-AU"/>
              </w:rPr>
            </w:pPr>
            <w:r w:rsidRPr="000F3C8B">
              <w:rPr>
                <w:lang w:val="en-AU"/>
              </w:rPr>
              <w:t>≤ $1,968</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stent</w:t>
            </w:r>
          </w:p>
        </w:tc>
        <w:tc>
          <w:tcPr>
            <w:tcW w:w="2835" w:type="dxa"/>
            <w:noWrap/>
            <w:vAlign w:val="bottom"/>
          </w:tcPr>
          <w:p w:rsidR="000952FA" w:rsidRPr="000F3C8B" w:rsidRDefault="000952FA" w:rsidP="00ED3C73">
            <w:pPr>
              <w:pStyle w:val="TableText0"/>
              <w:jc w:val="right"/>
              <w:rPr>
                <w:lang w:val="en-AU"/>
              </w:rPr>
            </w:pPr>
            <w:r w:rsidRPr="000F3C8B">
              <w:rPr>
                <w:lang w:val="en-AU"/>
              </w:rPr>
              <w:t>≥ $6,392</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resection with primary anastomosis</w:t>
            </w:r>
          </w:p>
        </w:tc>
        <w:tc>
          <w:tcPr>
            <w:tcW w:w="2835" w:type="dxa"/>
            <w:noWrap/>
            <w:vAlign w:val="bottom"/>
          </w:tcPr>
          <w:p w:rsidR="000952FA" w:rsidRPr="000F3C8B" w:rsidRDefault="000952FA" w:rsidP="00ED3C73">
            <w:pPr>
              <w:pStyle w:val="TableText0"/>
              <w:jc w:val="right"/>
              <w:rPr>
                <w:lang w:val="en-AU"/>
              </w:rPr>
            </w:pPr>
            <w:r w:rsidRPr="000F3C8B">
              <w:rPr>
                <w:lang w:val="en-AU"/>
              </w:rPr>
              <w:t>≤ $8,503</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Cost of Hartmann’s procedure</w:t>
            </w:r>
          </w:p>
        </w:tc>
        <w:tc>
          <w:tcPr>
            <w:tcW w:w="2835" w:type="dxa"/>
            <w:noWrap/>
            <w:vAlign w:val="bottom"/>
          </w:tcPr>
          <w:p w:rsidR="000952FA" w:rsidRPr="000F3C8B" w:rsidRDefault="000952FA" w:rsidP="00ED3C73">
            <w:pPr>
              <w:pStyle w:val="TableText0"/>
              <w:jc w:val="right"/>
              <w:rPr>
                <w:lang w:val="en-AU"/>
              </w:rPr>
            </w:pPr>
            <w:r w:rsidRPr="000F3C8B">
              <w:rPr>
                <w:lang w:val="en-AU"/>
              </w:rPr>
              <w:t>≤ $4,509</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Probability of resection with primary anastomosis</w:t>
            </w:r>
          </w:p>
        </w:tc>
        <w:tc>
          <w:tcPr>
            <w:tcW w:w="2835" w:type="dxa"/>
            <w:noWrap/>
            <w:vAlign w:val="bottom"/>
          </w:tcPr>
          <w:p w:rsidR="000952FA" w:rsidRPr="000F3C8B" w:rsidRDefault="000952FA" w:rsidP="00ED3C73">
            <w:pPr>
              <w:pStyle w:val="TableText0"/>
              <w:jc w:val="right"/>
              <w:rPr>
                <w:lang w:val="en-AU"/>
              </w:rPr>
            </w:pPr>
            <w:r w:rsidRPr="000F3C8B">
              <w:rPr>
                <w:lang w:val="en-AU"/>
              </w:rPr>
              <w:t>≤ 0.40</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Probability of Hartmann’s (split between Hartmann’s/ colostomy)</w:t>
            </w:r>
          </w:p>
        </w:tc>
        <w:tc>
          <w:tcPr>
            <w:tcW w:w="2835" w:type="dxa"/>
            <w:noWrap/>
            <w:vAlign w:val="bottom"/>
          </w:tcPr>
          <w:p w:rsidR="000952FA" w:rsidRPr="000F3C8B" w:rsidRDefault="000952FA" w:rsidP="00ED3C73">
            <w:pPr>
              <w:pStyle w:val="TableText0"/>
              <w:jc w:val="right"/>
              <w:rPr>
                <w:lang w:val="en-AU"/>
              </w:rPr>
            </w:pPr>
            <w:r w:rsidRPr="000F3C8B">
              <w:rPr>
                <w:lang w:val="en-AU"/>
              </w:rPr>
              <w:t>≤ 0.70</w:t>
            </w:r>
          </w:p>
        </w:tc>
      </w:tr>
      <w:tr w:rsidR="000952FA" w:rsidRPr="00C605D6" w:rsidTr="00974F80">
        <w:trPr>
          <w:trHeight w:val="227"/>
        </w:trPr>
        <w:tc>
          <w:tcPr>
            <w:tcW w:w="4264" w:type="dxa"/>
            <w:noWrap/>
            <w:vAlign w:val="bottom"/>
          </w:tcPr>
          <w:p w:rsidR="000952FA" w:rsidRPr="000F3C8B" w:rsidRDefault="000952FA" w:rsidP="000952FA">
            <w:pPr>
              <w:pStyle w:val="TableText0"/>
              <w:rPr>
                <w:lang w:val="en-AU"/>
              </w:rPr>
            </w:pPr>
            <w:r w:rsidRPr="000F3C8B">
              <w:rPr>
                <w:lang w:val="en-AU"/>
              </w:rPr>
              <w:t>Probability of death from emergency surgery</w:t>
            </w:r>
          </w:p>
        </w:tc>
        <w:tc>
          <w:tcPr>
            <w:tcW w:w="2835" w:type="dxa"/>
            <w:noWrap/>
            <w:vAlign w:val="bottom"/>
          </w:tcPr>
          <w:p w:rsidR="000952FA" w:rsidRPr="000F3C8B" w:rsidRDefault="000952FA" w:rsidP="00ED3C73">
            <w:pPr>
              <w:pStyle w:val="TableText0"/>
              <w:jc w:val="right"/>
              <w:rPr>
                <w:lang w:val="en-AU"/>
              </w:rPr>
            </w:pPr>
            <w:r w:rsidRPr="000F3C8B">
              <w:rPr>
                <w:lang w:val="en-AU"/>
              </w:rPr>
              <w:t>≤ 0.18</w:t>
            </w:r>
          </w:p>
        </w:tc>
      </w:tr>
    </w:tbl>
    <w:p w:rsidR="000952FA" w:rsidRPr="00ED3C73" w:rsidRDefault="00ED3C73" w:rsidP="0007443E">
      <w:pPr>
        <w:pStyle w:val="TableNotes"/>
        <w:rPr>
          <w:lang w:val="en-AU"/>
        </w:rPr>
      </w:pPr>
      <w:r>
        <w:t>ICU: Intensive care unit</w:t>
      </w:r>
      <w:r>
        <w:rPr>
          <w:lang w:val="en-AU"/>
        </w:rPr>
        <w:t xml:space="preserve">; </w:t>
      </w:r>
      <w:r w:rsidR="00AF5AC8">
        <w:t>SEMS:</w:t>
      </w:r>
      <w:r>
        <w:t xml:space="preserve"> Self-expanding metallic stent</w:t>
      </w:r>
      <w:r>
        <w:rPr>
          <w:lang w:val="en-AU"/>
        </w:rPr>
        <w:t>.</w:t>
      </w:r>
    </w:p>
    <w:p w:rsidR="00F71B25" w:rsidRDefault="00F71B25" w:rsidP="00872DDD">
      <w:pPr>
        <w:pStyle w:val="Heading3"/>
      </w:pPr>
      <w:r>
        <w:t>Sensitivity analysis regarding the SEMS procedure co-payment</w:t>
      </w:r>
    </w:p>
    <w:p w:rsidR="00F71B25" w:rsidRDefault="00F71B25" w:rsidP="00872DDD">
      <w:r>
        <w:t>As previously discussed</w:t>
      </w:r>
      <w:r w:rsidR="00AF5AC8">
        <w:t>,</w:t>
      </w:r>
      <w:r>
        <w:t xml:space="preserve"> the co-payment is likely </w:t>
      </w:r>
      <w:r w:rsidR="00AF5AC8">
        <w:t xml:space="preserve">to be </w:t>
      </w:r>
      <w:r>
        <w:t xml:space="preserve">underestimated and the total cost of the SEMS procedure and co-payment are likely to be higher than an estimated $650 (100% MBS fee). If the co-payment in the </w:t>
      </w:r>
      <w:r w:rsidR="003617AD">
        <w:t>bridge to surgery</w:t>
      </w:r>
      <w:r>
        <w:t xml:space="preserve"> group is greater than $761, SEMS is not </w:t>
      </w:r>
      <w:r w:rsidR="00AF5AC8">
        <w:t xml:space="preserve">a </w:t>
      </w:r>
      <w:r>
        <w:t xml:space="preserve">cost savings compared to </w:t>
      </w:r>
      <w:r w:rsidR="00DF03CC">
        <w:t>multi-stage</w:t>
      </w:r>
      <w:r>
        <w:t xml:space="preserve"> surgery.  At a value greater than $761 and less than $3,150, SEMS is still considered cost-effective at a willingness-to-pay threshold of $50,000 per QALY.  </w:t>
      </w:r>
    </w:p>
    <w:p w:rsidR="00F71B25" w:rsidRDefault="00F71B25" w:rsidP="00872DDD">
      <w:pPr>
        <w:pStyle w:val="Heading2"/>
      </w:pPr>
      <w:bookmarkStart w:id="263" w:name="_Toc352924438"/>
      <w:r>
        <w:t xml:space="preserve">Patients unfit for </w:t>
      </w:r>
      <w:r w:rsidR="00DF03CC">
        <w:t>multi-stage</w:t>
      </w:r>
      <w:r>
        <w:t xml:space="preserve"> surgery </w:t>
      </w:r>
      <w:r w:rsidR="000F4537">
        <w:t xml:space="preserve">who </w:t>
      </w:r>
      <w:r>
        <w:t>receive palliation only (best supportive care)</w:t>
      </w:r>
      <w:bookmarkEnd w:id="263"/>
    </w:p>
    <w:p w:rsidR="00F71B25" w:rsidRDefault="00F71B25" w:rsidP="00872DDD">
      <w:r>
        <w:t>For patients who are unfit for surgery</w:t>
      </w:r>
      <w:r w:rsidR="000F4537">
        <w:t>,</w:t>
      </w:r>
      <w:r>
        <w:t xml:space="preserve"> a cost analysis was conducted to compare the incremental cost of SEMS compared to best supportive care (in this case, the treatment costs of palliation)</w:t>
      </w:r>
      <w:r w:rsidR="00425540">
        <w:t xml:space="preserve"> (</w:t>
      </w:r>
      <w:r w:rsidR="006F654A">
        <w:t xml:space="preserve">See </w:t>
      </w:r>
      <w:r w:rsidR="00425540">
        <w:fldChar w:fldCharType="begin"/>
      </w:r>
      <w:r w:rsidR="00425540">
        <w:instrText xml:space="preserve"> REF _Ref324950942 \h </w:instrText>
      </w:r>
      <w:r w:rsidR="00425540">
        <w:fldChar w:fldCharType="separate"/>
      </w:r>
      <w:r w:rsidR="0071544A">
        <w:t xml:space="preserve">Table </w:t>
      </w:r>
      <w:r w:rsidR="0071544A">
        <w:rPr>
          <w:noProof/>
        </w:rPr>
        <w:t>63</w:t>
      </w:r>
      <w:r w:rsidR="00425540">
        <w:fldChar w:fldCharType="end"/>
      </w:r>
      <w:r w:rsidR="00425540">
        <w:t>)</w:t>
      </w:r>
      <w:r>
        <w:t xml:space="preserve">. Based on expert opinion, patients receiving SEMS would require </w:t>
      </w:r>
      <w:r w:rsidR="000F4537">
        <w:t xml:space="preserve">five </w:t>
      </w:r>
      <w:r>
        <w:t xml:space="preserve">days in hospital with no ICU. </w:t>
      </w:r>
    </w:p>
    <w:p w:rsidR="000F4537" w:rsidRDefault="000F4537" w:rsidP="00872DDD"/>
    <w:p w:rsidR="000F4537" w:rsidRDefault="000F4537" w:rsidP="00872DDD"/>
    <w:p w:rsidR="00872DDD" w:rsidRPr="00C605D6" w:rsidRDefault="00D67221" w:rsidP="00D67221">
      <w:pPr>
        <w:pStyle w:val="Caption"/>
      </w:pPr>
      <w:bookmarkStart w:id="264" w:name="_Ref324950942"/>
      <w:bookmarkStart w:id="265" w:name="_Toc327522107"/>
      <w:r>
        <w:t xml:space="preserve">Table </w:t>
      </w:r>
      <w:fldSimple w:instr=" SEQ Table \* ARABIC ">
        <w:r w:rsidR="0071544A">
          <w:rPr>
            <w:noProof/>
          </w:rPr>
          <w:t>63</w:t>
        </w:r>
      </w:fldSimple>
      <w:bookmarkEnd w:id="264"/>
      <w:r w:rsidR="00872DDD" w:rsidRPr="00C605D6">
        <w:tab/>
        <w:t>Summary of cost analysis for palliation</w:t>
      </w:r>
      <w:r w:rsidR="00872DDD">
        <w:t xml:space="preserve"> only (BSC)</w:t>
      </w:r>
      <w:bookmarkEnd w:id="265"/>
    </w:p>
    <w:tbl>
      <w:tblPr>
        <w:tblW w:w="6564" w:type="dxa"/>
        <w:tblInd w:w="720" w:type="dxa"/>
        <w:tblBorders>
          <w:top w:val="single" w:sz="12" w:space="0" w:color="auto"/>
          <w:bottom w:val="single" w:sz="12" w:space="0" w:color="auto"/>
        </w:tblBorders>
        <w:tblLook w:val="00A0" w:firstRow="1" w:lastRow="0" w:firstColumn="1" w:lastColumn="0" w:noHBand="0" w:noVBand="0"/>
      </w:tblPr>
      <w:tblGrid>
        <w:gridCol w:w="2476"/>
        <w:gridCol w:w="1984"/>
        <w:gridCol w:w="2104"/>
      </w:tblGrid>
      <w:tr w:rsidR="00872DDD" w:rsidRPr="00C605D6" w:rsidTr="006E0238">
        <w:trPr>
          <w:trHeight w:val="353"/>
        </w:trPr>
        <w:tc>
          <w:tcPr>
            <w:tcW w:w="2476" w:type="dxa"/>
            <w:tcBorders>
              <w:top w:val="single" w:sz="12" w:space="0" w:color="auto"/>
              <w:bottom w:val="single" w:sz="4" w:space="0" w:color="auto"/>
            </w:tcBorders>
            <w:noWrap/>
            <w:vAlign w:val="bottom"/>
          </w:tcPr>
          <w:p w:rsidR="00872DDD" w:rsidRPr="00C605D6" w:rsidRDefault="00872DDD" w:rsidP="004E680E">
            <w:pPr>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eastAsia="en-US"/>
              </w:rPr>
              <w:t> </w:t>
            </w:r>
          </w:p>
        </w:tc>
        <w:tc>
          <w:tcPr>
            <w:tcW w:w="1984" w:type="dxa"/>
            <w:tcBorders>
              <w:top w:val="single" w:sz="12" w:space="0" w:color="auto"/>
              <w:bottom w:val="single" w:sz="4" w:space="0" w:color="auto"/>
            </w:tcBorders>
            <w:noWrap/>
            <w:vAlign w:val="bottom"/>
          </w:tcPr>
          <w:p w:rsidR="00872DDD" w:rsidRPr="00C605D6" w:rsidRDefault="00872DDD" w:rsidP="000F4537">
            <w:pPr>
              <w:pStyle w:val="TableHeading0"/>
              <w:jc w:val="right"/>
              <w:rPr>
                <w:lang w:val="en-US"/>
              </w:rPr>
            </w:pPr>
            <w:r w:rsidRPr="00C605D6">
              <w:t>SEMS</w:t>
            </w:r>
          </w:p>
        </w:tc>
        <w:tc>
          <w:tcPr>
            <w:tcW w:w="2104" w:type="dxa"/>
            <w:tcBorders>
              <w:top w:val="single" w:sz="12" w:space="0" w:color="auto"/>
              <w:bottom w:val="single" w:sz="4" w:space="0" w:color="auto"/>
            </w:tcBorders>
            <w:noWrap/>
            <w:vAlign w:val="bottom"/>
          </w:tcPr>
          <w:p w:rsidR="00872DDD" w:rsidRPr="00C605D6" w:rsidRDefault="00872DDD" w:rsidP="0007443E">
            <w:pPr>
              <w:pStyle w:val="TableHeading0"/>
              <w:jc w:val="right"/>
              <w:rPr>
                <w:lang w:val="en-US"/>
              </w:rPr>
            </w:pPr>
            <w:r>
              <w:t>Palliation only (</w:t>
            </w:r>
            <w:r w:rsidRPr="00C605D6">
              <w:t>BSC</w:t>
            </w:r>
            <w:r>
              <w:t>)</w:t>
            </w:r>
          </w:p>
        </w:tc>
      </w:tr>
      <w:tr w:rsidR="00872DDD" w:rsidRPr="00C605D6" w:rsidTr="006E0238">
        <w:trPr>
          <w:trHeight w:val="227"/>
        </w:trPr>
        <w:tc>
          <w:tcPr>
            <w:tcW w:w="6564" w:type="dxa"/>
            <w:gridSpan w:val="3"/>
            <w:tcBorders>
              <w:top w:val="single" w:sz="4" w:space="0" w:color="auto"/>
            </w:tcBorders>
            <w:noWrap/>
            <w:vAlign w:val="bottom"/>
          </w:tcPr>
          <w:p w:rsidR="00872DDD" w:rsidRPr="00083B85" w:rsidRDefault="00987ADE" w:rsidP="002D352A">
            <w:pPr>
              <w:pStyle w:val="TableText0"/>
              <w:rPr>
                <w:i/>
                <w:lang w:val="en-US"/>
              </w:rPr>
            </w:pPr>
            <w:r w:rsidRPr="000F3C8B">
              <w:rPr>
                <w:i/>
                <w:lang w:val="en-AU"/>
              </w:rPr>
              <w:lastRenderedPageBreak/>
              <w:t>Pre-operative</w:t>
            </w:r>
            <w:r w:rsidR="00872DDD" w:rsidRPr="000F3C8B">
              <w:rPr>
                <w:i/>
                <w:lang w:val="en-AU"/>
              </w:rPr>
              <w:t xml:space="preserve"> costs</w:t>
            </w: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Consumables</w:t>
            </w:r>
          </w:p>
        </w:tc>
        <w:tc>
          <w:tcPr>
            <w:tcW w:w="1984" w:type="dxa"/>
            <w:noWrap/>
            <w:vAlign w:val="bottom"/>
          </w:tcPr>
          <w:p w:rsidR="00872DDD" w:rsidRPr="00C605D6" w:rsidRDefault="00872DDD" w:rsidP="0007443E">
            <w:pPr>
              <w:pStyle w:val="TableText0"/>
              <w:jc w:val="right"/>
              <w:rPr>
                <w:lang w:val="en-US"/>
              </w:rPr>
            </w:pPr>
            <w:r w:rsidRPr="00C605D6">
              <w:rPr>
                <w:lang w:val="en-US"/>
              </w:rPr>
              <w:t>$0</w:t>
            </w:r>
          </w:p>
        </w:tc>
        <w:tc>
          <w:tcPr>
            <w:tcW w:w="2104" w:type="dxa"/>
            <w:noWrap/>
            <w:vAlign w:val="bottom"/>
          </w:tcPr>
          <w:p w:rsidR="00872DDD" w:rsidRPr="00C605D6" w:rsidRDefault="00872DDD" w:rsidP="0007443E">
            <w:pPr>
              <w:pStyle w:val="TableText0"/>
              <w:jc w:val="right"/>
              <w:rPr>
                <w:lang w:val="en-US"/>
              </w:rPr>
            </w:pPr>
            <w:r w:rsidRPr="00C605D6">
              <w:rPr>
                <w:lang w:val="en-US"/>
              </w:rPr>
              <w:t>$0</w:t>
            </w: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C605D6">
              <w:rPr>
                <w:bCs/>
                <w:lang w:val="en-US"/>
              </w:rPr>
              <w:t>MBS fees</w:t>
            </w:r>
          </w:p>
        </w:tc>
        <w:tc>
          <w:tcPr>
            <w:tcW w:w="1984" w:type="dxa"/>
            <w:noWrap/>
            <w:vAlign w:val="bottom"/>
          </w:tcPr>
          <w:p w:rsidR="00872DDD" w:rsidRPr="00C605D6" w:rsidRDefault="00872DDD" w:rsidP="0007443E">
            <w:pPr>
              <w:pStyle w:val="TableText0"/>
              <w:jc w:val="right"/>
              <w:rPr>
                <w:lang w:val="en-US"/>
              </w:rPr>
            </w:pPr>
            <w:r w:rsidRPr="00C605D6">
              <w:rPr>
                <w:lang w:val="en-US"/>
              </w:rPr>
              <w:t>$963</w:t>
            </w:r>
          </w:p>
        </w:tc>
        <w:tc>
          <w:tcPr>
            <w:tcW w:w="2104" w:type="dxa"/>
            <w:noWrap/>
            <w:vAlign w:val="bottom"/>
          </w:tcPr>
          <w:p w:rsidR="00872DDD" w:rsidRPr="00C605D6" w:rsidRDefault="00872DDD" w:rsidP="0007443E">
            <w:pPr>
              <w:pStyle w:val="TableText0"/>
              <w:jc w:val="right"/>
              <w:rPr>
                <w:lang w:val="en-US"/>
              </w:rPr>
            </w:pPr>
            <w:r w:rsidRPr="00C605D6">
              <w:rPr>
                <w:lang w:val="en-US"/>
              </w:rPr>
              <w:t>$963</w:t>
            </w: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Patient/insurer costs</w:t>
            </w:r>
          </w:p>
        </w:tc>
        <w:tc>
          <w:tcPr>
            <w:tcW w:w="1984" w:type="dxa"/>
            <w:noWrap/>
            <w:vAlign w:val="bottom"/>
          </w:tcPr>
          <w:p w:rsidR="00872DDD" w:rsidRPr="00C605D6" w:rsidRDefault="00872DDD" w:rsidP="0007443E">
            <w:pPr>
              <w:pStyle w:val="TableText0"/>
              <w:jc w:val="right"/>
              <w:rPr>
                <w:lang w:val="en-US"/>
              </w:rPr>
            </w:pPr>
            <w:r w:rsidRPr="00C605D6">
              <w:rPr>
                <w:lang w:val="en-US"/>
              </w:rPr>
              <w:t>$719</w:t>
            </w:r>
          </w:p>
        </w:tc>
        <w:tc>
          <w:tcPr>
            <w:tcW w:w="2104" w:type="dxa"/>
            <w:noWrap/>
            <w:vAlign w:val="bottom"/>
          </w:tcPr>
          <w:p w:rsidR="00872DDD" w:rsidRPr="00C605D6" w:rsidRDefault="00872DDD" w:rsidP="0007443E">
            <w:pPr>
              <w:pStyle w:val="TableText0"/>
              <w:jc w:val="right"/>
              <w:rPr>
                <w:lang w:val="en-US"/>
              </w:rPr>
            </w:pPr>
            <w:r w:rsidRPr="00C605D6">
              <w:rPr>
                <w:lang w:val="en-US"/>
              </w:rPr>
              <w:t>$719</w:t>
            </w:r>
          </w:p>
        </w:tc>
      </w:tr>
      <w:tr w:rsidR="00872DDD" w:rsidRPr="00C605D6" w:rsidTr="006E0238">
        <w:trPr>
          <w:trHeight w:val="227"/>
        </w:trPr>
        <w:tc>
          <w:tcPr>
            <w:tcW w:w="2476" w:type="dxa"/>
            <w:noWrap/>
            <w:vAlign w:val="bottom"/>
          </w:tcPr>
          <w:p w:rsidR="00872DDD" w:rsidRPr="002D352A" w:rsidRDefault="00872DDD" w:rsidP="002D352A">
            <w:pPr>
              <w:pStyle w:val="TableText0"/>
              <w:rPr>
                <w:b/>
                <w:bCs/>
                <w:lang w:val="en-US"/>
              </w:rPr>
            </w:pPr>
            <w:r w:rsidRPr="002D352A">
              <w:rPr>
                <w:b/>
                <w:bCs/>
                <w:lang w:val="en-US"/>
              </w:rPr>
              <w:t xml:space="preserve">Total </w:t>
            </w:r>
            <w:r w:rsidR="000F4537" w:rsidRPr="002D352A">
              <w:rPr>
                <w:b/>
                <w:bCs/>
                <w:lang w:val="en-US"/>
              </w:rPr>
              <w:t>pre-operative</w:t>
            </w:r>
          </w:p>
        </w:tc>
        <w:tc>
          <w:tcPr>
            <w:tcW w:w="1984" w:type="dxa"/>
            <w:noWrap/>
            <w:vAlign w:val="bottom"/>
          </w:tcPr>
          <w:p w:rsidR="00872DDD" w:rsidRPr="00C605D6" w:rsidRDefault="00872DDD" w:rsidP="0007443E">
            <w:pPr>
              <w:pStyle w:val="TableText0"/>
              <w:jc w:val="right"/>
              <w:rPr>
                <w:bCs/>
                <w:lang w:val="en-US"/>
              </w:rPr>
            </w:pPr>
            <w:r w:rsidRPr="00C605D6">
              <w:rPr>
                <w:bCs/>
                <w:lang w:val="en-US"/>
              </w:rPr>
              <w:t>$1,683</w:t>
            </w:r>
          </w:p>
        </w:tc>
        <w:tc>
          <w:tcPr>
            <w:tcW w:w="2104" w:type="dxa"/>
            <w:noWrap/>
            <w:vAlign w:val="bottom"/>
          </w:tcPr>
          <w:p w:rsidR="00872DDD" w:rsidRPr="00C605D6" w:rsidRDefault="00872DDD" w:rsidP="0007443E">
            <w:pPr>
              <w:pStyle w:val="TableText0"/>
              <w:jc w:val="right"/>
              <w:rPr>
                <w:bCs/>
                <w:lang w:val="en-US"/>
              </w:rPr>
            </w:pPr>
            <w:r w:rsidRPr="00C605D6">
              <w:rPr>
                <w:bCs/>
                <w:lang w:val="en-US"/>
              </w:rPr>
              <w:t>$1,683</w:t>
            </w:r>
          </w:p>
        </w:tc>
      </w:tr>
      <w:tr w:rsidR="00872DDD" w:rsidRPr="00C605D6" w:rsidTr="006E0238">
        <w:trPr>
          <w:trHeight w:val="227"/>
        </w:trPr>
        <w:tc>
          <w:tcPr>
            <w:tcW w:w="6564" w:type="dxa"/>
            <w:gridSpan w:val="3"/>
            <w:noWrap/>
            <w:vAlign w:val="bottom"/>
          </w:tcPr>
          <w:p w:rsidR="00872DDD" w:rsidRPr="00083B85" w:rsidRDefault="00872DDD" w:rsidP="002D352A">
            <w:pPr>
              <w:pStyle w:val="TableText0"/>
              <w:rPr>
                <w:i/>
                <w:lang w:val="en-US"/>
              </w:rPr>
            </w:pPr>
            <w:r w:rsidRPr="000F3C8B">
              <w:rPr>
                <w:i/>
                <w:lang w:val="en-AU"/>
              </w:rPr>
              <w:t>Procedural  costs</w:t>
            </w: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Consumables</w:t>
            </w:r>
          </w:p>
        </w:tc>
        <w:tc>
          <w:tcPr>
            <w:tcW w:w="1984" w:type="dxa"/>
            <w:noWrap/>
            <w:vAlign w:val="bottom"/>
          </w:tcPr>
          <w:p w:rsidR="00872DDD" w:rsidRPr="00C605D6" w:rsidRDefault="00872DDD" w:rsidP="0007443E">
            <w:pPr>
              <w:pStyle w:val="TableText0"/>
              <w:jc w:val="right"/>
              <w:rPr>
                <w:lang w:val="en-US"/>
              </w:rPr>
            </w:pPr>
            <w:r w:rsidRPr="00C605D6">
              <w:rPr>
                <w:lang w:val="en-US"/>
              </w:rPr>
              <w:t>$3,535</w:t>
            </w:r>
          </w:p>
        </w:tc>
        <w:tc>
          <w:tcPr>
            <w:tcW w:w="2104" w:type="dxa"/>
            <w:noWrap/>
            <w:vAlign w:val="bottom"/>
          </w:tcPr>
          <w:p w:rsidR="00872DDD" w:rsidRPr="00C605D6" w:rsidRDefault="00872DDD" w:rsidP="0007443E">
            <w:pPr>
              <w:pStyle w:val="TableText0"/>
              <w:jc w:val="right"/>
              <w:rPr>
                <w:lang w:val="en-US"/>
              </w:rPr>
            </w:pP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MBS fees and theatre costs</w:t>
            </w:r>
          </w:p>
        </w:tc>
        <w:tc>
          <w:tcPr>
            <w:tcW w:w="1984" w:type="dxa"/>
            <w:noWrap/>
            <w:vAlign w:val="bottom"/>
          </w:tcPr>
          <w:p w:rsidR="00872DDD" w:rsidRPr="00C605D6" w:rsidRDefault="00872DDD" w:rsidP="0007443E">
            <w:pPr>
              <w:pStyle w:val="TableText0"/>
              <w:jc w:val="right"/>
              <w:rPr>
                <w:lang w:val="en-US"/>
              </w:rPr>
            </w:pPr>
            <w:r w:rsidRPr="00C605D6">
              <w:rPr>
                <w:lang w:val="en-US"/>
              </w:rPr>
              <w:t>$1,840</w:t>
            </w:r>
          </w:p>
        </w:tc>
        <w:tc>
          <w:tcPr>
            <w:tcW w:w="2104" w:type="dxa"/>
            <w:noWrap/>
            <w:vAlign w:val="bottom"/>
          </w:tcPr>
          <w:p w:rsidR="00872DDD" w:rsidRPr="00C605D6" w:rsidRDefault="00872DDD" w:rsidP="0007443E">
            <w:pPr>
              <w:pStyle w:val="TableText0"/>
              <w:jc w:val="right"/>
              <w:rPr>
                <w:lang w:val="en-US"/>
              </w:rPr>
            </w:pP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Patient/insurer costs</w:t>
            </w:r>
          </w:p>
        </w:tc>
        <w:tc>
          <w:tcPr>
            <w:tcW w:w="1984" w:type="dxa"/>
            <w:noWrap/>
            <w:vAlign w:val="bottom"/>
          </w:tcPr>
          <w:p w:rsidR="00872DDD" w:rsidRPr="00C605D6" w:rsidRDefault="00872DDD" w:rsidP="0007443E">
            <w:pPr>
              <w:pStyle w:val="TableText0"/>
              <w:jc w:val="right"/>
              <w:rPr>
                <w:lang w:val="en-US"/>
              </w:rPr>
            </w:pPr>
            <w:r w:rsidRPr="00C605D6">
              <w:rPr>
                <w:lang w:val="en-US"/>
              </w:rPr>
              <w:t>$593</w:t>
            </w:r>
          </w:p>
        </w:tc>
        <w:tc>
          <w:tcPr>
            <w:tcW w:w="2104" w:type="dxa"/>
            <w:noWrap/>
            <w:vAlign w:val="bottom"/>
          </w:tcPr>
          <w:p w:rsidR="00872DDD" w:rsidRPr="00C605D6" w:rsidRDefault="00872DDD" w:rsidP="0007443E">
            <w:pPr>
              <w:pStyle w:val="TableText0"/>
              <w:jc w:val="right"/>
              <w:rPr>
                <w:lang w:val="en-US"/>
              </w:rPr>
            </w:pPr>
          </w:p>
        </w:tc>
      </w:tr>
      <w:tr w:rsidR="00872DDD" w:rsidRPr="00C605D6" w:rsidTr="006E0238">
        <w:trPr>
          <w:trHeight w:val="227"/>
        </w:trPr>
        <w:tc>
          <w:tcPr>
            <w:tcW w:w="2476" w:type="dxa"/>
            <w:noWrap/>
            <w:vAlign w:val="bottom"/>
          </w:tcPr>
          <w:p w:rsidR="00872DDD" w:rsidRPr="002D352A" w:rsidRDefault="00872DDD" w:rsidP="002D352A">
            <w:pPr>
              <w:pStyle w:val="TableText0"/>
              <w:rPr>
                <w:b/>
                <w:bCs/>
                <w:lang w:val="en-US"/>
              </w:rPr>
            </w:pPr>
            <w:r w:rsidRPr="002D352A">
              <w:rPr>
                <w:b/>
                <w:bCs/>
                <w:lang w:val="en-US"/>
              </w:rPr>
              <w:t>Total procedural costs</w:t>
            </w:r>
          </w:p>
        </w:tc>
        <w:tc>
          <w:tcPr>
            <w:tcW w:w="1984" w:type="dxa"/>
            <w:noWrap/>
            <w:vAlign w:val="bottom"/>
          </w:tcPr>
          <w:p w:rsidR="00872DDD" w:rsidRPr="00C605D6" w:rsidRDefault="00872DDD" w:rsidP="0007443E">
            <w:pPr>
              <w:pStyle w:val="TableText0"/>
              <w:jc w:val="right"/>
              <w:rPr>
                <w:bCs/>
                <w:lang w:val="en-US"/>
              </w:rPr>
            </w:pPr>
            <w:r w:rsidRPr="00C605D6">
              <w:rPr>
                <w:bCs/>
                <w:lang w:val="en-US"/>
              </w:rPr>
              <w:t>$5,968</w:t>
            </w:r>
          </w:p>
        </w:tc>
        <w:tc>
          <w:tcPr>
            <w:tcW w:w="2104" w:type="dxa"/>
            <w:noWrap/>
            <w:vAlign w:val="bottom"/>
          </w:tcPr>
          <w:p w:rsidR="00872DDD" w:rsidRPr="00C605D6" w:rsidRDefault="00872DDD" w:rsidP="0007443E">
            <w:pPr>
              <w:pStyle w:val="TableText0"/>
              <w:jc w:val="right"/>
              <w:rPr>
                <w:bCs/>
                <w:lang w:val="en-US"/>
              </w:rPr>
            </w:pPr>
          </w:p>
        </w:tc>
      </w:tr>
      <w:tr w:rsidR="00872DDD" w:rsidRPr="00C605D6" w:rsidTr="006E0238">
        <w:trPr>
          <w:trHeight w:val="227"/>
        </w:trPr>
        <w:tc>
          <w:tcPr>
            <w:tcW w:w="6564" w:type="dxa"/>
            <w:gridSpan w:val="3"/>
            <w:noWrap/>
            <w:vAlign w:val="bottom"/>
          </w:tcPr>
          <w:p w:rsidR="00872DDD" w:rsidRPr="00083B85" w:rsidRDefault="00872DDD" w:rsidP="002D352A">
            <w:pPr>
              <w:pStyle w:val="TableText0"/>
              <w:rPr>
                <w:i/>
                <w:lang w:val="en-US"/>
              </w:rPr>
            </w:pPr>
            <w:r w:rsidRPr="00083B85">
              <w:rPr>
                <w:i/>
                <w:lang w:val="en-US"/>
              </w:rPr>
              <w:t>Hospital stay costs</w:t>
            </w: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Consumables</w:t>
            </w:r>
          </w:p>
        </w:tc>
        <w:tc>
          <w:tcPr>
            <w:tcW w:w="1984" w:type="dxa"/>
            <w:noWrap/>
            <w:vAlign w:val="bottom"/>
          </w:tcPr>
          <w:p w:rsidR="00872DDD" w:rsidRPr="00C605D6" w:rsidRDefault="00872DDD" w:rsidP="0007443E">
            <w:pPr>
              <w:pStyle w:val="TableText0"/>
              <w:jc w:val="right"/>
              <w:rPr>
                <w:lang w:val="en-US"/>
              </w:rPr>
            </w:pPr>
            <w:r w:rsidRPr="00C605D6">
              <w:rPr>
                <w:lang w:val="en-US"/>
              </w:rPr>
              <w:t>$0</w:t>
            </w:r>
          </w:p>
        </w:tc>
        <w:tc>
          <w:tcPr>
            <w:tcW w:w="2104" w:type="dxa"/>
            <w:noWrap/>
            <w:vAlign w:val="bottom"/>
          </w:tcPr>
          <w:p w:rsidR="00872DDD" w:rsidRPr="00C605D6" w:rsidRDefault="00872DDD" w:rsidP="002D352A">
            <w:pPr>
              <w:pStyle w:val="TableText0"/>
              <w:rPr>
                <w:lang w:val="en-US"/>
              </w:rPr>
            </w:pP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 xml:space="preserve">MBS fees </w:t>
            </w:r>
          </w:p>
        </w:tc>
        <w:tc>
          <w:tcPr>
            <w:tcW w:w="1984" w:type="dxa"/>
            <w:noWrap/>
            <w:vAlign w:val="bottom"/>
          </w:tcPr>
          <w:p w:rsidR="00872DDD" w:rsidRPr="00C605D6" w:rsidRDefault="00872DDD" w:rsidP="0007443E">
            <w:pPr>
              <w:pStyle w:val="TableText0"/>
              <w:jc w:val="right"/>
              <w:rPr>
                <w:lang w:val="en-US"/>
              </w:rPr>
            </w:pPr>
            <w:r w:rsidRPr="00C605D6">
              <w:rPr>
                <w:lang w:val="en-US"/>
              </w:rPr>
              <w:t>0</w:t>
            </w:r>
          </w:p>
        </w:tc>
        <w:tc>
          <w:tcPr>
            <w:tcW w:w="2104" w:type="dxa"/>
            <w:noWrap/>
            <w:vAlign w:val="bottom"/>
          </w:tcPr>
          <w:p w:rsidR="00872DDD" w:rsidRPr="00C605D6" w:rsidRDefault="00872DDD" w:rsidP="002D352A">
            <w:pPr>
              <w:pStyle w:val="TableText0"/>
              <w:rPr>
                <w:lang w:val="en-US"/>
              </w:rPr>
            </w:pP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Patient/insurer costs</w:t>
            </w:r>
          </w:p>
        </w:tc>
        <w:tc>
          <w:tcPr>
            <w:tcW w:w="1984" w:type="dxa"/>
            <w:noWrap/>
            <w:vAlign w:val="bottom"/>
          </w:tcPr>
          <w:p w:rsidR="00872DDD" w:rsidRPr="00C605D6" w:rsidRDefault="00872DDD" w:rsidP="0007443E">
            <w:pPr>
              <w:pStyle w:val="TableText0"/>
              <w:jc w:val="right"/>
              <w:rPr>
                <w:lang w:val="en-US"/>
              </w:rPr>
            </w:pPr>
            <w:r w:rsidRPr="00C605D6">
              <w:rPr>
                <w:lang w:val="en-US"/>
              </w:rPr>
              <w:t>$3,358</w:t>
            </w:r>
          </w:p>
        </w:tc>
        <w:tc>
          <w:tcPr>
            <w:tcW w:w="2104" w:type="dxa"/>
            <w:noWrap/>
            <w:vAlign w:val="bottom"/>
          </w:tcPr>
          <w:p w:rsidR="00872DDD" w:rsidRPr="00C605D6" w:rsidRDefault="00872DDD" w:rsidP="002D352A">
            <w:pPr>
              <w:pStyle w:val="TableText0"/>
              <w:rPr>
                <w:lang w:val="en-US"/>
              </w:rPr>
            </w:pPr>
          </w:p>
        </w:tc>
      </w:tr>
      <w:tr w:rsidR="00872DDD" w:rsidRPr="00C605D6" w:rsidTr="006E0238">
        <w:trPr>
          <w:trHeight w:val="227"/>
        </w:trPr>
        <w:tc>
          <w:tcPr>
            <w:tcW w:w="2476" w:type="dxa"/>
            <w:noWrap/>
            <w:vAlign w:val="bottom"/>
          </w:tcPr>
          <w:p w:rsidR="00872DDD" w:rsidRPr="002D352A" w:rsidRDefault="00872DDD" w:rsidP="002D352A">
            <w:pPr>
              <w:pStyle w:val="TableText0"/>
              <w:rPr>
                <w:b/>
                <w:bCs/>
                <w:lang w:val="en-US"/>
              </w:rPr>
            </w:pPr>
            <w:r w:rsidRPr="002D352A">
              <w:rPr>
                <w:b/>
                <w:bCs/>
                <w:lang w:val="en-US"/>
              </w:rPr>
              <w:t>Total hospital stay</w:t>
            </w:r>
          </w:p>
        </w:tc>
        <w:tc>
          <w:tcPr>
            <w:tcW w:w="1984" w:type="dxa"/>
            <w:noWrap/>
            <w:vAlign w:val="bottom"/>
          </w:tcPr>
          <w:p w:rsidR="00872DDD" w:rsidRPr="00C605D6" w:rsidRDefault="00872DDD" w:rsidP="0007443E">
            <w:pPr>
              <w:pStyle w:val="TableText0"/>
              <w:jc w:val="right"/>
              <w:rPr>
                <w:bCs/>
                <w:lang w:val="en-US"/>
              </w:rPr>
            </w:pPr>
            <w:r w:rsidRPr="00C605D6">
              <w:rPr>
                <w:bCs/>
                <w:lang w:val="en-US"/>
              </w:rPr>
              <w:t>$3,358</w:t>
            </w:r>
          </w:p>
        </w:tc>
        <w:tc>
          <w:tcPr>
            <w:tcW w:w="2104" w:type="dxa"/>
            <w:noWrap/>
            <w:vAlign w:val="bottom"/>
          </w:tcPr>
          <w:p w:rsidR="00872DDD" w:rsidRPr="00C605D6" w:rsidRDefault="00872DDD" w:rsidP="002D352A">
            <w:pPr>
              <w:pStyle w:val="TableText0"/>
              <w:rPr>
                <w:bCs/>
                <w:lang w:val="en-US"/>
              </w:rPr>
            </w:pPr>
          </w:p>
        </w:tc>
      </w:tr>
      <w:tr w:rsidR="00872DDD" w:rsidRPr="00C605D6" w:rsidTr="006E0238">
        <w:trPr>
          <w:trHeight w:val="227"/>
        </w:trPr>
        <w:tc>
          <w:tcPr>
            <w:tcW w:w="6564" w:type="dxa"/>
            <w:gridSpan w:val="3"/>
            <w:noWrap/>
            <w:vAlign w:val="bottom"/>
          </w:tcPr>
          <w:p w:rsidR="00872DDD" w:rsidRPr="00083B85" w:rsidRDefault="00872DDD" w:rsidP="002D352A">
            <w:pPr>
              <w:pStyle w:val="TableText0"/>
              <w:rPr>
                <w:i/>
                <w:lang w:val="en-US"/>
              </w:rPr>
            </w:pPr>
            <w:r w:rsidRPr="00083B85">
              <w:rPr>
                <w:i/>
                <w:lang w:val="en-US"/>
              </w:rPr>
              <w:t>Post-operative costs</w:t>
            </w: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C605D6">
              <w:rPr>
                <w:lang w:val="en-US"/>
              </w:rPr>
              <w:t>Consumables</w:t>
            </w:r>
          </w:p>
        </w:tc>
        <w:tc>
          <w:tcPr>
            <w:tcW w:w="1984" w:type="dxa"/>
            <w:noWrap/>
            <w:vAlign w:val="bottom"/>
          </w:tcPr>
          <w:p w:rsidR="00872DDD" w:rsidRPr="00C605D6" w:rsidRDefault="00872DDD" w:rsidP="0007443E">
            <w:pPr>
              <w:pStyle w:val="TableText0"/>
              <w:jc w:val="right"/>
              <w:rPr>
                <w:lang w:val="en-US"/>
              </w:rPr>
            </w:pPr>
            <w:r w:rsidRPr="00C605D6">
              <w:rPr>
                <w:lang w:val="en-US"/>
              </w:rPr>
              <w:t>$0</w:t>
            </w:r>
          </w:p>
        </w:tc>
        <w:tc>
          <w:tcPr>
            <w:tcW w:w="2104" w:type="dxa"/>
            <w:noWrap/>
            <w:vAlign w:val="bottom"/>
          </w:tcPr>
          <w:p w:rsidR="00872DDD" w:rsidRPr="00C605D6" w:rsidRDefault="00872DDD" w:rsidP="002D352A">
            <w:pPr>
              <w:pStyle w:val="TableText0"/>
              <w:rPr>
                <w:lang w:val="en-US"/>
              </w:rPr>
            </w:pP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C605D6">
              <w:rPr>
                <w:lang w:val="en-US"/>
              </w:rPr>
              <w:t>MBS fees</w:t>
            </w:r>
          </w:p>
        </w:tc>
        <w:tc>
          <w:tcPr>
            <w:tcW w:w="1984" w:type="dxa"/>
            <w:noWrap/>
            <w:vAlign w:val="bottom"/>
          </w:tcPr>
          <w:p w:rsidR="00872DDD" w:rsidRPr="00C605D6" w:rsidRDefault="00872DDD" w:rsidP="0007443E">
            <w:pPr>
              <w:pStyle w:val="TableText0"/>
              <w:jc w:val="right"/>
              <w:rPr>
                <w:lang w:val="en-US"/>
              </w:rPr>
            </w:pPr>
            <w:r w:rsidRPr="00C605D6">
              <w:rPr>
                <w:lang w:val="en-US"/>
              </w:rPr>
              <w:t>$185</w:t>
            </w:r>
          </w:p>
        </w:tc>
        <w:tc>
          <w:tcPr>
            <w:tcW w:w="2104" w:type="dxa"/>
            <w:noWrap/>
            <w:vAlign w:val="bottom"/>
          </w:tcPr>
          <w:p w:rsidR="00872DDD" w:rsidRPr="00C605D6" w:rsidRDefault="00872DDD" w:rsidP="002D352A">
            <w:pPr>
              <w:pStyle w:val="TableText0"/>
              <w:rPr>
                <w:lang w:val="en-US"/>
              </w:rPr>
            </w:pPr>
          </w:p>
        </w:tc>
      </w:tr>
      <w:tr w:rsidR="00872DDD" w:rsidRPr="00C605D6" w:rsidTr="006E0238">
        <w:trPr>
          <w:trHeight w:val="227"/>
        </w:trPr>
        <w:tc>
          <w:tcPr>
            <w:tcW w:w="2476" w:type="dxa"/>
            <w:noWrap/>
            <w:vAlign w:val="bottom"/>
          </w:tcPr>
          <w:p w:rsidR="00872DDD" w:rsidRPr="00C605D6" w:rsidRDefault="00872DDD" w:rsidP="002D352A">
            <w:pPr>
              <w:pStyle w:val="TableText0"/>
              <w:rPr>
                <w:lang w:val="en-US"/>
              </w:rPr>
            </w:pPr>
            <w:r w:rsidRPr="000F3C8B">
              <w:rPr>
                <w:lang w:val="en-AU"/>
              </w:rPr>
              <w:t>Patient/insurer costs</w:t>
            </w:r>
          </w:p>
        </w:tc>
        <w:tc>
          <w:tcPr>
            <w:tcW w:w="1984" w:type="dxa"/>
            <w:noWrap/>
            <w:vAlign w:val="bottom"/>
          </w:tcPr>
          <w:p w:rsidR="00872DDD" w:rsidRPr="00C605D6" w:rsidRDefault="00872DDD" w:rsidP="0007443E">
            <w:pPr>
              <w:pStyle w:val="TableText0"/>
              <w:jc w:val="right"/>
              <w:rPr>
                <w:lang w:val="en-US"/>
              </w:rPr>
            </w:pPr>
            <w:r w:rsidRPr="00C605D6">
              <w:rPr>
                <w:lang w:val="en-US"/>
              </w:rPr>
              <w:t>$147</w:t>
            </w:r>
          </w:p>
        </w:tc>
        <w:tc>
          <w:tcPr>
            <w:tcW w:w="2104" w:type="dxa"/>
            <w:noWrap/>
            <w:vAlign w:val="bottom"/>
          </w:tcPr>
          <w:p w:rsidR="00872DDD" w:rsidRPr="00C605D6" w:rsidRDefault="00872DDD" w:rsidP="002D352A">
            <w:pPr>
              <w:pStyle w:val="TableText0"/>
              <w:rPr>
                <w:lang w:val="en-US"/>
              </w:rPr>
            </w:pPr>
          </w:p>
        </w:tc>
      </w:tr>
      <w:tr w:rsidR="00872DDD" w:rsidRPr="00C605D6" w:rsidTr="006E0238">
        <w:trPr>
          <w:trHeight w:val="227"/>
        </w:trPr>
        <w:tc>
          <w:tcPr>
            <w:tcW w:w="2476" w:type="dxa"/>
            <w:noWrap/>
            <w:vAlign w:val="bottom"/>
          </w:tcPr>
          <w:p w:rsidR="00872DDD" w:rsidRPr="002D352A" w:rsidRDefault="00872DDD" w:rsidP="002D352A">
            <w:pPr>
              <w:pStyle w:val="TableText0"/>
              <w:rPr>
                <w:b/>
                <w:bCs/>
                <w:lang w:val="en-US"/>
              </w:rPr>
            </w:pPr>
            <w:r w:rsidRPr="002D352A">
              <w:rPr>
                <w:b/>
                <w:bCs/>
                <w:lang w:val="en-US"/>
              </w:rPr>
              <w:t>Total post-operative</w:t>
            </w:r>
          </w:p>
        </w:tc>
        <w:tc>
          <w:tcPr>
            <w:tcW w:w="1984" w:type="dxa"/>
            <w:noWrap/>
            <w:vAlign w:val="bottom"/>
          </w:tcPr>
          <w:p w:rsidR="00872DDD" w:rsidRPr="00C605D6" w:rsidRDefault="00872DDD" w:rsidP="0007443E">
            <w:pPr>
              <w:pStyle w:val="TableText0"/>
              <w:jc w:val="right"/>
              <w:rPr>
                <w:bCs/>
                <w:lang w:val="en-US"/>
              </w:rPr>
            </w:pPr>
            <w:r w:rsidRPr="00C605D6">
              <w:rPr>
                <w:bCs/>
                <w:lang w:val="en-US"/>
              </w:rPr>
              <w:t>$333</w:t>
            </w:r>
          </w:p>
        </w:tc>
        <w:tc>
          <w:tcPr>
            <w:tcW w:w="2104" w:type="dxa"/>
            <w:noWrap/>
            <w:vAlign w:val="bottom"/>
          </w:tcPr>
          <w:p w:rsidR="00872DDD" w:rsidRPr="00C605D6" w:rsidRDefault="00872DDD" w:rsidP="002D352A">
            <w:pPr>
              <w:pStyle w:val="TableText0"/>
              <w:rPr>
                <w:bCs/>
                <w:lang w:val="en-US"/>
              </w:rPr>
            </w:pPr>
          </w:p>
        </w:tc>
      </w:tr>
      <w:tr w:rsidR="00872DDD" w:rsidRPr="00C605D6" w:rsidTr="006E0238">
        <w:trPr>
          <w:trHeight w:val="227"/>
        </w:trPr>
        <w:tc>
          <w:tcPr>
            <w:tcW w:w="6564" w:type="dxa"/>
            <w:gridSpan w:val="3"/>
            <w:noWrap/>
            <w:vAlign w:val="bottom"/>
          </w:tcPr>
          <w:p w:rsidR="00872DDD" w:rsidRPr="00083B85" w:rsidRDefault="00872DDD" w:rsidP="002D352A">
            <w:pPr>
              <w:pStyle w:val="TableText0"/>
              <w:rPr>
                <w:bCs/>
                <w:i/>
                <w:lang w:val="en-US"/>
              </w:rPr>
            </w:pPr>
            <w:r w:rsidRPr="00083B85">
              <w:rPr>
                <w:bCs/>
                <w:i/>
                <w:lang w:val="en-US"/>
              </w:rPr>
              <w:t xml:space="preserve">Palliative </w:t>
            </w:r>
            <w:r w:rsidR="000F4537" w:rsidRPr="00083B85">
              <w:rPr>
                <w:bCs/>
                <w:i/>
                <w:lang w:val="en-US"/>
              </w:rPr>
              <w:t>c</w:t>
            </w:r>
            <w:r w:rsidRPr="00083B85">
              <w:rPr>
                <w:bCs/>
                <w:i/>
                <w:lang w:val="en-US"/>
              </w:rPr>
              <w:t>osts</w:t>
            </w:r>
          </w:p>
        </w:tc>
      </w:tr>
      <w:tr w:rsidR="00872DDD" w:rsidRPr="00C605D6" w:rsidTr="006E0238">
        <w:trPr>
          <w:trHeight w:val="227"/>
        </w:trPr>
        <w:tc>
          <w:tcPr>
            <w:tcW w:w="2476" w:type="dxa"/>
            <w:noWrap/>
            <w:vAlign w:val="bottom"/>
          </w:tcPr>
          <w:p w:rsidR="00872DDD" w:rsidRPr="00C605D6" w:rsidRDefault="00872DDD" w:rsidP="002D352A">
            <w:pPr>
              <w:pStyle w:val="TableText0"/>
              <w:rPr>
                <w:bCs/>
                <w:lang w:val="en-US"/>
              </w:rPr>
            </w:pPr>
            <w:r w:rsidRPr="00C605D6">
              <w:rPr>
                <w:bCs/>
                <w:lang w:val="en-US"/>
              </w:rPr>
              <w:t>Total estimated costs of palliation</w:t>
            </w:r>
          </w:p>
        </w:tc>
        <w:tc>
          <w:tcPr>
            <w:tcW w:w="1984" w:type="dxa"/>
            <w:noWrap/>
            <w:vAlign w:val="bottom"/>
          </w:tcPr>
          <w:p w:rsidR="00872DDD" w:rsidRPr="00C605D6" w:rsidRDefault="00872DDD" w:rsidP="0007443E">
            <w:pPr>
              <w:pStyle w:val="TableText0"/>
              <w:jc w:val="right"/>
              <w:rPr>
                <w:bCs/>
                <w:lang w:val="en-US"/>
              </w:rPr>
            </w:pPr>
            <w:r w:rsidRPr="00C605D6">
              <w:rPr>
                <w:bCs/>
                <w:lang w:val="en-US"/>
              </w:rPr>
              <w:t>$6,073</w:t>
            </w:r>
          </w:p>
        </w:tc>
        <w:tc>
          <w:tcPr>
            <w:tcW w:w="2104" w:type="dxa"/>
            <w:noWrap/>
            <w:vAlign w:val="bottom"/>
          </w:tcPr>
          <w:p w:rsidR="00872DDD" w:rsidRPr="00C605D6" w:rsidRDefault="00872DDD" w:rsidP="0007443E">
            <w:pPr>
              <w:pStyle w:val="TableText0"/>
              <w:jc w:val="right"/>
              <w:rPr>
                <w:bCs/>
                <w:lang w:val="en-US"/>
              </w:rPr>
            </w:pPr>
            <w:r w:rsidRPr="00C605D6">
              <w:rPr>
                <w:bCs/>
                <w:lang w:val="en-US"/>
              </w:rPr>
              <w:t>$6,073</w:t>
            </w:r>
          </w:p>
        </w:tc>
      </w:tr>
      <w:tr w:rsidR="00872DDD" w:rsidRPr="00C605D6" w:rsidTr="006E0238">
        <w:trPr>
          <w:trHeight w:val="300"/>
        </w:trPr>
        <w:tc>
          <w:tcPr>
            <w:tcW w:w="2476" w:type="dxa"/>
            <w:noWrap/>
            <w:vAlign w:val="bottom"/>
          </w:tcPr>
          <w:p w:rsidR="00872DDD" w:rsidRPr="002D352A" w:rsidRDefault="00872DDD" w:rsidP="002D352A">
            <w:pPr>
              <w:pStyle w:val="TableText0"/>
              <w:rPr>
                <w:b/>
                <w:bCs/>
                <w:lang w:val="en-US"/>
              </w:rPr>
            </w:pPr>
            <w:r w:rsidRPr="002D352A">
              <w:rPr>
                <w:b/>
                <w:bCs/>
                <w:lang w:val="en-US"/>
              </w:rPr>
              <w:t xml:space="preserve">Total </w:t>
            </w:r>
            <w:r w:rsidR="000F4537" w:rsidRPr="002D352A">
              <w:rPr>
                <w:b/>
                <w:bCs/>
                <w:lang w:val="en-US"/>
              </w:rPr>
              <w:t>c</w:t>
            </w:r>
            <w:r w:rsidRPr="002D352A">
              <w:rPr>
                <w:b/>
                <w:bCs/>
                <w:lang w:val="en-US"/>
              </w:rPr>
              <w:t>osts</w:t>
            </w:r>
          </w:p>
        </w:tc>
        <w:tc>
          <w:tcPr>
            <w:tcW w:w="1984" w:type="dxa"/>
            <w:noWrap/>
            <w:vAlign w:val="bottom"/>
          </w:tcPr>
          <w:p w:rsidR="00872DDD" w:rsidRPr="00C605D6" w:rsidRDefault="00872DDD" w:rsidP="0007443E">
            <w:pPr>
              <w:pStyle w:val="TableText0"/>
              <w:jc w:val="right"/>
              <w:rPr>
                <w:bCs/>
                <w:lang w:val="en-US"/>
              </w:rPr>
            </w:pPr>
            <w:r w:rsidRPr="00C605D6">
              <w:rPr>
                <w:bCs/>
                <w:lang w:val="en-US"/>
              </w:rPr>
              <w:t>$17,415</w:t>
            </w:r>
          </w:p>
        </w:tc>
        <w:tc>
          <w:tcPr>
            <w:tcW w:w="2104" w:type="dxa"/>
            <w:noWrap/>
            <w:vAlign w:val="bottom"/>
          </w:tcPr>
          <w:p w:rsidR="00872DDD" w:rsidRPr="00C605D6" w:rsidRDefault="00872DDD" w:rsidP="0007443E">
            <w:pPr>
              <w:pStyle w:val="TableText0"/>
              <w:jc w:val="right"/>
              <w:rPr>
                <w:bCs/>
                <w:lang w:val="en-US"/>
              </w:rPr>
            </w:pPr>
            <w:r w:rsidRPr="00C605D6">
              <w:rPr>
                <w:bCs/>
                <w:lang w:val="en-US"/>
              </w:rPr>
              <w:t>$7,756</w:t>
            </w:r>
          </w:p>
        </w:tc>
      </w:tr>
    </w:tbl>
    <w:p w:rsidR="00872DDD" w:rsidRPr="006E0238" w:rsidRDefault="00872DDD" w:rsidP="002D352A">
      <w:pPr>
        <w:pStyle w:val="TableNotes"/>
        <w:rPr>
          <w:lang w:val="en-AU"/>
        </w:rPr>
      </w:pPr>
      <w:r w:rsidRPr="00C605D6">
        <w:t xml:space="preserve">BSC: </w:t>
      </w:r>
      <w:r w:rsidR="000F4537" w:rsidRPr="00C605D6">
        <w:t>B</w:t>
      </w:r>
      <w:r w:rsidRPr="00C605D6">
        <w:t>est supportive care</w:t>
      </w:r>
      <w:r w:rsidR="000F4537">
        <w:t>; MBS: Medicare Benefits Schedule</w:t>
      </w:r>
      <w:r w:rsidR="006E0238">
        <w:rPr>
          <w:lang w:val="en-AU"/>
        </w:rPr>
        <w:t>;</w:t>
      </w:r>
      <w:r w:rsidR="006E0238" w:rsidRPr="006E0238">
        <w:t xml:space="preserve"> </w:t>
      </w:r>
      <w:r w:rsidR="006E0238">
        <w:t>SEMS: Self-expanding metallic stent</w:t>
      </w:r>
      <w:r w:rsidR="006E0238">
        <w:rPr>
          <w:lang w:val="en-AU"/>
        </w:rPr>
        <w:t>.</w:t>
      </w:r>
    </w:p>
    <w:p w:rsidR="00F71B25" w:rsidRDefault="00F71B25" w:rsidP="002D352A">
      <w:pPr>
        <w:pStyle w:val="Heading2"/>
      </w:pPr>
      <w:bookmarkStart w:id="266" w:name="_Toc352924439"/>
      <w:r>
        <w:t>Financial implications</w:t>
      </w:r>
      <w:bookmarkEnd w:id="266"/>
    </w:p>
    <w:p w:rsidR="00F71B25" w:rsidRDefault="00F71B25" w:rsidP="002D352A">
      <w:pPr>
        <w:pStyle w:val="Heading3"/>
      </w:pPr>
      <w:r>
        <w:t xml:space="preserve">Patients fit for </w:t>
      </w:r>
      <w:r w:rsidR="00DF03CC">
        <w:t>multi-stage</w:t>
      </w:r>
      <w:r>
        <w:t xml:space="preserve"> surgery</w:t>
      </w:r>
    </w:p>
    <w:p w:rsidR="00F71B25" w:rsidRDefault="00F71B25" w:rsidP="0091046D">
      <w:r>
        <w:t xml:space="preserve">An epidemiological approach, based on the incidence of colorectal cancer in Australia, was used to estimate the cost per annum of providing SEMS instead of colostomy or Hartmann’s </w:t>
      </w:r>
      <w:r w:rsidR="000F4537">
        <w:t xml:space="preserve">procedure </w:t>
      </w:r>
      <w:r>
        <w:t>for treatment of malignant colorectal obstruction.  The data sources used in the estimation of the eligible population are shown in</w:t>
      </w:r>
      <w:r w:rsidR="00425540">
        <w:t xml:space="preserve"> </w:t>
      </w:r>
      <w:r w:rsidR="00425540">
        <w:fldChar w:fldCharType="begin"/>
      </w:r>
      <w:r w:rsidR="00425540">
        <w:instrText xml:space="preserve"> REF _Ref324950966 \h </w:instrText>
      </w:r>
      <w:r w:rsidR="00425540">
        <w:fldChar w:fldCharType="separate"/>
      </w:r>
      <w:r w:rsidR="0071544A">
        <w:t xml:space="preserve">Table </w:t>
      </w:r>
      <w:r w:rsidR="0071544A">
        <w:rPr>
          <w:noProof/>
        </w:rPr>
        <w:t>64</w:t>
      </w:r>
      <w:r w:rsidR="00425540">
        <w:fldChar w:fldCharType="end"/>
      </w:r>
      <w:r>
        <w:t>.</w:t>
      </w:r>
    </w:p>
    <w:p w:rsidR="002D352A" w:rsidRPr="00C605D6" w:rsidRDefault="00425540" w:rsidP="00425540">
      <w:pPr>
        <w:pStyle w:val="Caption"/>
      </w:pPr>
      <w:bookmarkStart w:id="267" w:name="_Ref324950966"/>
      <w:bookmarkStart w:id="268" w:name="_Toc327522108"/>
      <w:r>
        <w:lastRenderedPageBreak/>
        <w:t xml:space="preserve">Table </w:t>
      </w:r>
      <w:fldSimple w:instr=" SEQ Table \* ARABIC ">
        <w:r w:rsidR="0071544A">
          <w:rPr>
            <w:noProof/>
          </w:rPr>
          <w:t>64</w:t>
        </w:r>
      </w:fldSimple>
      <w:bookmarkEnd w:id="267"/>
      <w:r w:rsidR="003F3CA9">
        <w:tab/>
      </w:r>
      <w:r w:rsidR="00DD2362">
        <w:t>Data sources used in estimating the</w:t>
      </w:r>
      <w:r w:rsidR="00DD2362" w:rsidRPr="00C605D6">
        <w:t xml:space="preserve"> </w:t>
      </w:r>
      <w:r w:rsidR="002D352A" w:rsidRPr="00C605D6">
        <w:t>number of colorectal cancer cases</w:t>
      </w:r>
      <w:bookmarkEnd w:id="268"/>
    </w:p>
    <w:tbl>
      <w:tblPr>
        <w:tblW w:w="7423" w:type="dxa"/>
        <w:tblInd w:w="840" w:type="dxa"/>
        <w:tblBorders>
          <w:top w:val="single" w:sz="12" w:space="0" w:color="auto"/>
          <w:bottom w:val="single" w:sz="12" w:space="0" w:color="auto"/>
        </w:tblBorders>
        <w:tblLook w:val="00A0" w:firstRow="1" w:lastRow="0" w:firstColumn="1" w:lastColumn="0" w:noHBand="0" w:noVBand="0"/>
      </w:tblPr>
      <w:tblGrid>
        <w:gridCol w:w="2835"/>
        <w:gridCol w:w="2288"/>
        <w:gridCol w:w="2300"/>
      </w:tblGrid>
      <w:tr w:rsidR="002D352A" w:rsidRPr="00C605D6" w:rsidTr="00974F80">
        <w:trPr>
          <w:trHeight w:val="300"/>
        </w:trPr>
        <w:tc>
          <w:tcPr>
            <w:tcW w:w="2835" w:type="dxa"/>
            <w:tcBorders>
              <w:top w:val="single" w:sz="12" w:space="0" w:color="auto"/>
              <w:bottom w:val="single" w:sz="4" w:space="0" w:color="auto"/>
            </w:tcBorders>
            <w:shd w:val="clear" w:color="000000" w:fill="FFFFFF"/>
            <w:noWrap/>
            <w:vAlign w:val="bottom"/>
          </w:tcPr>
          <w:p w:rsidR="002D352A" w:rsidRPr="00C605D6" w:rsidRDefault="002D352A" w:rsidP="0091046D">
            <w:pPr>
              <w:pStyle w:val="TableHeading0"/>
            </w:pPr>
            <w:r w:rsidRPr="00C605D6">
              <w:t>Parameter</w:t>
            </w:r>
          </w:p>
        </w:tc>
        <w:tc>
          <w:tcPr>
            <w:tcW w:w="2288" w:type="dxa"/>
            <w:tcBorders>
              <w:top w:val="single" w:sz="12" w:space="0" w:color="auto"/>
              <w:bottom w:val="single" w:sz="4" w:space="0" w:color="auto"/>
            </w:tcBorders>
            <w:shd w:val="clear" w:color="000000" w:fill="FFFFFF"/>
            <w:noWrap/>
            <w:vAlign w:val="bottom"/>
          </w:tcPr>
          <w:p w:rsidR="002D352A" w:rsidRPr="00C605D6" w:rsidRDefault="002D352A" w:rsidP="0091046D">
            <w:pPr>
              <w:pStyle w:val="TableHeading0"/>
            </w:pPr>
            <w:r w:rsidRPr="00C605D6">
              <w:t>Value</w:t>
            </w:r>
          </w:p>
        </w:tc>
        <w:tc>
          <w:tcPr>
            <w:tcW w:w="2300" w:type="dxa"/>
            <w:tcBorders>
              <w:top w:val="single" w:sz="12" w:space="0" w:color="auto"/>
              <w:bottom w:val="single" w:sz="4" w:space="0" w:color="auto"/>
            </w:tcBorders>
            <w:shd w:val="clear" w:color="000000" w:fill="FFFFFF"/>
            <w:noWrap/>
            <w:vAlign w:val="bottom"/>
          </w:tcPr>
          <w:p w:rsidR="002D352A" w:rsidRPr="00C605D6" w:rsidRDefault="002D352A" w:rsidP="0091046D">
            <w:pPr>
              <w:pStyle w:val="TableHeading0"/>
            </w:pPr>
            <w:r w:rsidRPr="00C605D6">
              <w:t>Source</w:t>
            </w:r>
          </w:p>
        </w:tc>
      </w:tr>
      <w:tr w:rsidR="002D352A" w:rsidRPr="00C605D6" w:rsidTr="00974F80">
        <w:trPr>
          <w:trHeight w:val="679"/>
        </w:trPr>
        <w:tc>
          <w:tcPr>
            <w:tcW w:w="2835" w:type="dxa"/>
            <w:tcBorders>
              <w:top w:val="single" w:sz="4" w:space="0" w:color="auto"/>
            </w:tcBorders>
            <w:shd w:val="clear" w:color="000000" w:fill="FFFFFF"/>
            <w:vAlign w:val="bottom"/>
          </w:tcPr>
          <w:p w:rsidR="002D352A" w:rsidRPr="00C605D6" w:rsidRDefault="002D352A" w:rsidP="0091046D">
            <w:pPr>
              <w:pStyle w:val="TableText0"/>
              <w:rPr>
                <w:lang w:val="en-US"/>
              </w:rPr>
            </w:pPr>
            <w:r w:rsidRPr="00C605D6">
              <w:rPr>
                <w:lang w:val="en-US"/>
              </w:rPr>
              <w:t>Australian population</w:t>
            </w:r>
          </w:p>
        </w:tc>
        <w:tc>
          <w:tcPr>
            <w:tcW w:w="2288" w:type="dxa"/>
            <w:tcBorders>
              <w:top w:val="single" w:sz="4" w:space="0" w:color="auto"/>
            </w:tcBorders>
            <w:shd w:val="clear" w:color="000000" w:fill="FFFFFF"/>
            <w:vAlign w:val="bottom"/>
          </w:tcPr>
          <w:p w:rsidR="002D352A" w:rsidRPr="00C605D6" w:rsidRDefault="002D352A" w:rsidP="0091046D">
            <w:pPr>
              <w:pStyle w:val="TableText0"/>
              <w:rPr>
                <w:lang w:val="en-US"/>
              </w:rPr>
            </w:pPr>
            <w:r w:rsidRPr="00C605D6">
              <w:rPr>
                <w:lang w:val="en-US"/>
              </w:rPr>
              <w:t>Males: 11,268,679</w:t>
            </w:r>
            <w:r w:rsidRPr="00C605D6">
              <w:rPr>
                <w:lang w:val="en-US"/>
              </w:rPr>
              <w:br/>
              <w:t>Females: 11,378,785</w:t>
            </w:r>
          </w:p>
        </w:tc>
        <w:tc>
          <w:tcPr>
            <w:tcW w:w="2300" w:type="dxa"/>
            <w:tcBorders>
              <w:top w:val="single" w:sz="4" w:space="0" w:color="auto"/>
            </w:tcBorders>
            <w:shd w:val="clear" w:color="000000" w:fill="FFFFFF"/>
            <w:vAlign w:val="bottom"/>
          </w:tcPr>
          <w:p w:rsidR="002D352A" w:rsidRPr="00C605D6" w:rsidRDefault="002D352A" w:rsidP="0091046D">
            <w:pPr>
              <w:pStyle w:val="TableText0"/>
              <w:rPr>
                <w:lang w:val="en-US"/>
              </w:rPr>
            </w:pPr>
            <w:r w:rsidRPr="00C605D6">
              <w:rPr>
                <w:lang w:val="en-US"/>
              </w:rPr>
              <w:t>Australian Bureau of Statistics data by age (Series B, 3222.0)</w:t>
            </w:r>
          </w:p>
        </w:tc>
      </w:tr>
      <w:tr w:rsidR="002D352A" w:rsidRPr="00C605D6" w:rsidTr="00974F80">
        <w:trPr>
          <w:trHeight w:val="972"/>
        </w:trPr>
        <w:tc>
          <w:tcPr>
            <w:tcW w:w="2835" w:type="dxa"/>
            <w:shd w:val="clear" w:color="000000" w:fill="FFFFFF"/>
            <w:vAlign w:val="bottom"/>
          </w:tcPr>
          <w:p w:rsidR="002D352A" w:rsidRPr="00C605D6" w:rsidRDefault="002D352A" w:rsidP="0091046D">
            <w:pPr>
              <w:pStyle w:val="TableText0"/>
              <w:rPr>
                <w:lang w:val="en-US"/>
              </w:rPr>
            </w:pPr>
            <w:r w:rsidRPr="00C605D6">
              <w:rPr>
                <w:lang w:val="en-US"/>
              </w:rPr>
              <w:t>Incidence rate of cancers of the colon, rectum and anus</w:t>
            </w:r>
          </w:p>
        </w:tc>
        <w:tc>
          <w:tcPr>
            <w:tcW w:w="2288" w:type="dxa"/>
            <w:shd w:val="clear" w:color="000000" w:fill="FFFFFF"/>
            <w:vAlign w:val="bottom"/>
          </w:tcPr>
          <w:p w:rsidR="002D352A" w:rsidRPr="00C605D6" w:rsidRDefault="002D352A" w:rsidP="0091046D">
            <w:pPr>
              <w:pStyle w:val="TableText0"/>
              <w:rPr>
                <w:lang w:val="en-US"/>
              </w:rPr>
            </w:pPr>
            <w:r w:rsidRPr="00C605D6">
              <w:rPr>
                <w:lang w:val="en-US"/>
              </w:rPr>
              <w:t>Males: 78.6 per 100,000</w:t>
            </w:r>
            <w:r w:rsidRPr="00C605D6">
              <w:rPr>
                <w:lang w:val="en-US"/>
              </w:rPr>
              <w:br/>
              <w:t>Females: 56.3 per 100,000</w:t>
            </w:r>
          </w:p>
        </w:tc>
        <w:tc>
          <w:tcPr>
            <w:tcW w:w="2300" w:type="dxa"/>
            <w:shd w:val="clear" w:color="000000" w:fill="FFFFFF"/>
            <w:vAlign w:val="bottom"/>
          </w:tcPr>
          <w:p w:rsidR="002D352A" w:rsidRPr="00C605D6" w:rsidRDefault="002D352A" w:rsidP="0091046D">
            <w:pPr>
              <w:pStyle w:val="TableText0"/>
              <w:rPr>
                <w:lang w:val="en-US"/>
              </w:rPr>
            </w:pPr>
            <w:r w:rsidRPr="00C605D6">
              <w:rPr>
                <w:lang w:val="en-US"/>
              </w:rPr>
              <w:t>Australian Institute of Health and Welfare: Cancer incidence projection Australia 2002 to 2011</w:t>
            </w:r>
          </w:p>
        </w:tc>
      </w:tr>
      <w:tr w:rsidR="002D352A" w:rsidRPr="00C605D6" w:rsidTr="00974F80">
        <w:trPr>
          <w:trHeight w:val="716"/>
        </w:trPr>
        <w:tc>
          <w:tcPr>
            <w:tcW w:w="2835" w:type="dxa"/>
            <w:shd w:val="clear" w:color="000000" w:fill="FFFFFF"/>
            <w:vAlign w:val="bottom"/>
          </w:tcPr>
          <w:p w:rsidR="002D352A" w:rsidRPr="00C605D6" w:rsidRDefault="002D352A" w:rsidP="0091046D">
            <w:pPr>
              <w:pStyle w:val="TableText0"/>
              <w:rPr>
                <w:lang w:val="en-US"/>
              </w:rPr>
            </w:pPr>
            <w:r w:rsidRPr="00C605D6">
              <w:rPr>
                <w:lang w:val="en-US"/>
              </w:rPr>
              <w:t xml:space="preserve">Proportion of anal cancers </w:t>
            </w:r>
          </w:p>
        </w:tc>
        <w:tc>
          <w:tcPr>
            <w:tcW w:w="2288" w:type="dxa"/>
            <w:shd w:val="clear" w:color="000000" w:fill="FFFFFF"/>
            <w:vAlign w:val="bottom"/>
          </w:tcPr>
          <w:p w:rsidR="002D352A" w:rsidRPr="00C605D6" w:rsidRDefault="002D352A" w:rsidP="0091046D">
            <w:pPr>
              <w:pStyle w:val="TableText0"/>
              <w:rPr>
                <w:lang w:val="en-US"/>
              </w:rPr>
            </w:pPr>
            <w:r w:rsidRPr="00C605D6">
              <w:rPr>
                <w:lang w:val="en-US"/>
              </w:rPr>
              <w:t>Males: 1.5%</w:t>
            </w:r>
            <w:r w:rsidRPr="00C605D6">
              <w:rPr>
                <w:lang w:val="en-US"/>
              </w:rPr>
              <w:br/>
              <w:t>Females: 2.7%</w:t>
            </w:r>
          </w:p>
        </w:tc>
        <w:tc>
          <w:tcPr>
            <w:tcW w:w="2300" w:type="dxa"/>
            <w:shd w:val="clear" w:color="000000" w:fill="FFFFFF"/>
            <w:vAlign w:val="bottom"/>
          </w:tcPr>
          <w:p w:rsidR="002D352A" w:rsidRPr="00C605D6" w:rsidRDefault="002D352A" w:rsidP="0091046D">
            <w:pPr>
              <w:pStyle w:val="TableText0"/>
              <w:rPr>
                <w:lang w:val="en-US"/>
              </w:rPr>
            </w:pPr>
            <w:r w:rsidRPr="00C605D6">
              <w:rPr>
                <w:lang w:val="en-US"/>
              </w:rPr>
              <w:t>AIHW Australian Cancer  incidence and Mortality (ACIM) books (Excel pivot table)</w:t>
            </w:r>
          </w:p>
        </w:tc>
      </w:tr>
      <w:tr w:rsidR="002D352A" w:rsidRPr="00C605D6" w:rsidTr="00974F80">
        <w:trPr>
          <w:trHeight w:val="412"/>
        </w:trPr>
        <w:tc>
          <w:tcPr>
            <w:tcW w:w="2835" w:type="dxa"/>
            <w:shd w:val="clear" w:color="000000" w:fill="FFFFFF"/>
            <w:vAlign w:val="bottom"/>
          </w:tcPr>
          <w:p w:rsidR="002D352A" w:rsidRPr="00C605D6" w:rsidRDefault="002D352A" w:rsidP="0091046D">
            <w:pPr>
              <w:pStyle w:val="TableText0"/>
              <w:rPr>
                <w:lang w:val="en-US"/>
              </w:rPr>
            </w:pPr>
            <w:r w:rsidRPr="00C605D6">
              <w:rPr>
                <w:lang w:val="en-US"/>
              </w:rPr>
              <w:t>Incidence of obstruction</w:t>
            </w:r>
          </w:p>
        </w:tc>
        <w:tc>
          <w:tcPr>
            <w:tcW w:w="2288" w:type="dxa"/>
            <w:shd w:val="clear" w:color="000000" w:fill="FFFFFF"/>
            <w:noWrap/>
            <w:vAlign w:val="bottom"/>
          </w:tcPr>
          <w:p w:rsidR="002D352A" w:rsidRPr="00C605D6" w:rsidRDefault="002D352A" w:rsidP="0091046D">
            <w:pPr>
              <w:pStyle w:val="TableText0"/>
              <w:rPr>
                <w:lang w:val="en-US"/>
              </w:rPr>
            </w:pPr>
            <w:r w:rsidRPr="00C605D6">
              <w:rPr>
                <w:lang w:val="en-US"/>
              </w:rPr>
              <w:t>8-29%</w:t>
            </w:r>
          </w:p>
        </w:tc>
        <w:tc>
          <w:tcPr>
            <w:tcW w:w="2300" w:type="dxa"/>
            <w:shd w:val="clear" w:color="000000" w:fill="FFFFFF"/>
            <w:vAlign w:val="bottom"/>
          </w:tcPr>
          <w:p w:rsidR="002D352A" w:rsidRPr="00C605D6" w:rsidRDefault="002D352A" w:rsidP="0091046D">
            <w:pPr>
              <w:pStyle w:val="TableText0"/>
              <w:rPr>
                <w:lang w:val="en-US"/>
              </w:rPr>
            </w:pPr>
            <w:r w:rsidRPr="00C605D6">
              <w:rPr>
                <w:lang w:val="en-US"/>
              </w:rPr>
              <w:t xml:space="preserve">Varadarajulu </w:t>
            </w:r>
            <w:r w:rsidR="00200166">
              <w:rPr>
                <w:lang w:val="en-US"/>
              </w:rPr>
              <w:t xml:space="preserve">et al </w:t>
            </w:r>
            <w:r w:rsidRPr="00C605D6">
              <w:rPr>
                <w:lang w:val="en-US"/>
              </w:rPr>
              <w:t>(2011)</w:t>
            </w:r>
            <w:r w:rsidRPr="00C605D6" w:rsidDel="00B30BBC">
              <w:rPr>
                <w:lang w:val="en-US"/>
              </w:rPr>
              <w:t xml:space="preserve"> </w:t>
            </w:r>
          </w:p>
        </w:tc>
      </w:tr>
      <w:tr w:rsidR="002D352A" w:rsidRPr="00C605D6" w:rsidTr="00974F80">
        <w:trPr>
          <w:trHeight w:val="418"/>
        </w:trPr>
        <w:tc>
          <w:tcPr>
            <w:tcW w:w="2835" w:type="dxa"/>
            <w:shd w:val="clear" w:color="000000" w:fill="FFFFFF"/>
            <w:vAlign w:val="bottom"/>
          </w:tcPr>
          <w:p w:rsidR="002D352A" w:rsidRPr="00C605D6" w:rsidRDefault="002D352A" w:rsidP="0091046D">
            <w:pPr>
              <w:pStyle w:val="TableText0"/>
              <w:rPr>
                <w:lang w:val="en-US"/>
              </w:rPr>
            </w:pPr>
            <w:r w:rsidRPr="00C605D6">
              <w:rPr>
                <w:lang w:val="en-US"/>
              </w:rPr>
              <w:t>Incidence of left-sided malignancies</w:t>
            </w:r>
          </w:p>
        </w:tc>
        <w:tc>
          <w:tcPr>
            <w:tcW w:w="2288" w:type="dxa"/>
            <w:shd w:val="clear" w:color="000000" w:fill="FFFFFF"/>
            <w:noWrap/>
            <w:vAlign w:val="bottom"/>
          </w:tcPr>
          <w:p w:rsidR="002D352A" w:rsidRPr="00C605D6" w:rsidRDefault="002D352A" w:rsidP="0091046D">
            <w:pPr>
              <w:pStyle w:val="TableText0"/>
              <w:rPr>
                <w:lang w:val="en-US"/>
              </w:rPr>
            </w:pPr>
            <w:r w:rsidRPr="00C605D6">
              <w:rPr>
                <w:lang w:val="en-US"/>
              </w:rPr>
              <w:t>75%</w:t>
            </w:r>
          </w:p>
        </w:tc>
        <w:tc>
          <w:tcPr>
            <w:tcW w:w="2300" w:type="dxa"/>
            <w:shd w:val="clear" w:color="000000" w:fill="FFFFFF"/>
            <w:vAlign w:val="bottom"/>
          </w:tcPr>
          <w:p w:rsidR="002D352A" w:rsidRPr="00C605D6" w:rsidRDefault="002D352A" w:rsidP="0091046D">
            <w:pPr>
              <w:pStyle w:val="TableText0"/>
              <w:rPr>
                <w:lang w:val="en-US"/>
              </w:rPr>
            </w:pPr>
            <w:r w:rsidRPr="00C605D6">
              <w:rPr>
                <w:lang w:val="en-US"/>
              </w:rPr>
              <w:t>Application for SEMS</w:t>
            </w:r>
          </w:p>
        </w:tc>
      </w:tr>
      <w:tr w:rsidR="002D352A" w:rsidRPr="00C605D6" w:rsidTr="00974F80">
        <w:trPr>
          <w:trHeight w:val="416"/>
        </w:trPr>
        <w:tc>
          <w:tcPr>
            <w:tcW w:w="2835" w:type="dxa"/>
            <w:shd w:val="clear" w:color="000000" w:fill="FFFFFF"/>
            <w:vAlign w:val="bottom"/>
          </w:tcPr>
          <w:p w:rsidR="002D352A" w:rsidRPr="00C605D6" w:rsidRDefault="002D352A" w:rsidP="0091046D">
            <w:pPr>
              <w:pStyle w:val="TableText0"/>
              <w:rPr>
                <w:lang w:val="en-US"/>
              </w:rPr>
            </w:pPr>
            <w:r w:rsidRPr="00C605D6">
              <w:rPr>
                <w:lang w:val="en-US"/>
              </w:rPr>
              <w:t>Percentage eligible for curative surgery (</w:t>
            </w:r>
            <w:r w:rsidR="00511134">
              <w:rPr>
                <w:lang w:val="en-US"/>
              </w:rPr>
              <w:t>single-stage</w:t>
            </w:r>
            <w:r w:rsidRPr="00C605D6">
              <w:rPr>
                <w:lang w:val="en-US"/>
              </w:rPr>
              <w:t>)</w:t>
            </w:r>
          </w:p>
        </w:tc>
        <w:tc>
          <w:tcPr>
            <w:tcW w:w="2288" w:type="dxa"/>
            <w:shd w:val="clear" w:color="000000" w:fill="FFFFFF"/>
            <w:noWrap/>
            <w:vAlign w:val="bottom"/>
          </w:tcPr>
          <w:p w:rsidR="002D352A" w:rsidRPr="00C605D6" w:rsidRDefault="002D352A" w:rsidP="0091046D">
            <w:pPr>
              <w:pStyle w:val="TableText0"/>
              <w:rPr>
                <w:lang w:val="en-US"/>
              </w:rPr>
            </w:pPr>
            <w:r w:rsidRPr="00C605D6">
              <w:rPr>
                <w:lang w:val="en-US"/>
              </w:rPr>
              <w:t>50%</w:t>
            </w:r>
          </w:p>
        </w:tc>
        <w:tc>
          <w:tcPr>
            <w:tcW w:w="2300" w:type="dxa"/>
            <w:shd w:val="clear" w:color="000000" w:fill="FFFFFF"/>
            <w:vAlign w:val="bottom"/>
          </w:tcPr>
          <w:p w:rsidR="002D352A" w:rsidRPr="00C605D6" w:rsidRDefault="002D352A" w:rsidP="0091046D">
            <w:pPr>
              <w:pStyle w:val="TableText0"/>
              <w:rPr>
                <w:lang w:val="en-US"/>
              </w:rPr>
            </w:pPr>
            <w:r w:rsidRPr="00C605D6">
              <w:rPr>
                <w:lang w:val="en-US"/>
              </w:rPr>
              <w:t xml:space="preserve">Xinopoulos </w:t>
            </w:r>
            <w:r w:rsidR="00200166">
              <w:rPr>
                <w:lang w:val="en-US"/>
              </w:rPr>
              <w:t xml:space="preserve">et al </w:t>
            </w:r>
            <w:r w:rsidRPr="00C605D6">
              <w:rPr>
                <w:lang w:val="en-US"/>
              </w:rPr>
              <w:t>(2004)</w:t>
            </w:r>
            <w:r w:rsidRPr="00C605D6" w:rsidDel="00B30BBC">
              <w:rPr>
                <w:lang w:val="en-US"/>
              </w:rPr>
              <w:t xml:space="preserve"> </w:t>
            </w:r>
          </w:p>
        </w:tc>
      </w:tr>
      <w:tr w:rsidR="002D352A" w:rsidRPr="00C605D6" w:rsidTr="00974F80">
        <w:trPr>
          <w:trHeight w:val="422"/>
        </w:trPr>
        <w:tc>
          <w:tcPr>
            <w:tcW w:w="2835" w:type="dxa"/>
            <w:shd w:val="clear" w:color="000000" w:fill="FFFFFF"/>
            <w:vAlign w:val="bottom"/>
          </w:tcPr>
          <w:p w:rsidR="002D352A" w:rsidRPr="00C605D6" w:rsidRDefault="002D352A" w:rsidP="0091046D">
            <w:pPr>
              <w:pStyle w:val="TableText0"/>
              <w:rPr>
                <w:lang w:val="en-US"/>
              </w:rPr>
            </w:pPr>
            <w:r w:rsidRPr="00C605D6">
              <w:rPr>
                <w:lang w:val="en-US"/>
              </w:rPr>
              <w:t>Percentage who are treated for palliation</w:t>
            </w:r>
          </w:p>
        </w:tc>
        <w:tc>
          <w:tcPr>
            <w:tcW w:w="2288" w:type="dxa"/>
            <w:shd w:val="clear" w:color="000000" w:fill="FFFFFF"/>
            <w:noWrap/>
            <w:vAlign w:val="bottom"/>
          </w:tcPr>
          <w:p w:rsidR="002D352A" w:rsidRPr="00C605D6" w:rsidRDefault="002D352A" w:rsidP="0091046D">
            <w:pPr>
              <w:pStyle w:val="TableText0"/>
              <w:rPr>
                <w:lang w:val="en-US"/>
              </w:rPr>
            </w:pPr>
            <w:r w:rsidRPr="00C605D6">
              <w:rPr>
                <w:lang w:val="en-US"/>
              </w:rPr>
              <w:t>30%</w:t>
            </w:r>
          </w:p>
        </w:tc>
        <w:tc>
          <w:tcPr>
            <w:tcW w:w="2300" w:type="dxa"/>
            <w:shd w:val="clear" w:color="000000" w:fill="FFFFFF"/>
            <w:vAlign w:val="bottom"/>
          </w:tcPr>
          <w:p w:rsidR="002D352A" w:rsidRPr="00C605D6" w:rsidRDefault="002D352A" w:rsidP="0091046D">
            <w:pPr>
              <w:pStyle w:val="TableText0"/>
              <w:rPr>
                <w:lang w:val="en-US"/>
              </w:rPr>
            </w:pPr>
            <w:r w:rsidRPr="00C605D6">
              <w:rPr>
                <w:lang w:val="en-US"/>
              </w:rPr>
              <w:t>Assumption</w:t>
            </w:r>
          </w:p>
        </w:tc>
      </w:tr>
    </w:tbl>
    <w:p w:rsidR="002D352A" w:rsidRPr="006E0238" w:rsidRDefault="002D352A" w:rsidP="006E0238">
      <w:pPr>
        <w:pStyle w:val="TableNotes"/>
      </w:pPr>
    </w:p>
    <w:p w:rsidR="00F71B25" w:rsidRDefault="00F71B25" w:rsidP="0091046D">
      <w:pPr>
        <w:pStyle w:val="Heading4"/>
      </w:pPr>
      <w:r>
        <w:t>Estimated number of colorectal cancer cases</w:t>
      </w:r>
    </w:p>
    <w:p w:rsidR="00F71B25" w:rsidRDefault="00F71B25" w:rsidP="0091046D">
      <w:r>
        <w:t xml:space="preserve">The total estimated Australian population for 2011 was taken from the Australian Bureau of Statistics projected population statistics. The estimated incidence of colon cancer was sourced from the AIHW Cancer Incidence Projections 2001 to 2011. The estimates include ICD-10: C18-C21. For the purposes of this report, we excluded C21 from the estimation, as this code represents anal cancers. The percentage of cases of anal cancer was taken from the AIHW cancer incidence data cubes and subtracted off the total estimate. </w:t>
      </w:r>
      <w:r w:rsidR="00425540">
        <w:fldChar w:fldCharType="begin"/>
      </w:r>
      <w:r w:rsidR="00425540">
        <w:instrText xml:space="preserve"> REF _Ref324950989 \h </w:instrText>
      </w:r>
      <w:r w:rsidR="00425540">
        <w:fldChar w:fldCharType="separate"/>
      </w:r>
      <w:r w:rsidR="0071544A">
        <w:t xml:space="preserve">Table </w:t>
      </w:r>
      <w:r w:rsidR="0071544A">
        <w:rPr>
          <w:noProof/>
        </w:rPr>
        <w:t>65</w:t>
      </w:r>
      <w:r w:rsidR="00425540">
        <w:fldChar w:fldCharType="end"/>
      </w:r>
      <w:r w:rsidR="00425540">
        <w:t xml:space="preserve"> </w:t>
      </w:r>
      <w:r>
        <w:t xml:space="preserve">summarises the approach to estimate the number of colorectal cancer cases. </w:t>
      </w:r>
    </w:p>
    <w:p w:rsidR="0091046D" w:rsidRPr="00C605D6" w:rsidRDefault="00425540" w:rsidP="00425540">
      <w:pPr>
        <w:pStyle w:val="Caption"/>
      </w:pPr>
      <w:bookmarkStart w:id="269" w:name="_Ref324950989"/>
      <w:bookmarkStart w:id="270" w:name="_Toc327522109"/>
      <w:r>
        <w:t xml:space="preserve">Table </w:t>
      </w:r>
      <w:fldSimple w:instr=" SEQ Table \* ARABIC ">
        <w:r w:rsidR="0071544A">
          <w:rPr>
            <w:noProof/>
          </w:rPr>
          <w:t>65</w:t>
        </w:r>
      </w:fldSimple>
      <w:bookmarkEnd w:id="269"/>
      <w:r w:rsidR="00D84BEA">
        <w:tab/>
      </w:r>
      <w:r w:rsidR="0091046D" w:rsidRPr="00C605D6">
        <w:t>Estimated number of colorectal cancer cases</w:t>
      </w:r>
      <w:bookmarkEnd w:id="270"/>
    </w:p>
    <w:tbl>
      <w:tblPr>
        <w:tblW w:w="7490" w:type="dxa"/>
        <w:tblInd w:w="840" w:type="dxa"/>
        <w:tblLook w:val="00A0" w:firstRow="1" w:lastRow="0" w:firstColumn="1" w:lastColumn="0" w:noHBand="0" w:noVBand="0"/>
      </w:tblPr>
      <w:tblGrid>
        <w:gridCol w:w="6095"/>
        <w:gridCol w:w="1395"/>
      </w:tblGrid>
      <w:tr w:rsidR="006E0238" w:rsidRPr="00C605D6" w:rsidTr="00BE6913">
        <w:trPr>
          <w:trHeight w:val="300"/>
        </w:trPr>
        <w:tc>
          <w:tcPr>
            <w:tcW w:w="6095" w:type="dxa"/>
            <w:tcBorders>
              <w:top w:val="single" w:sz="12" w:space="0" w:color="auto"/>
              <w:bottom w:val="single" w:sz="4" w:space="0" w:color="auto"/>
            </w:tcBorders>
            <w:shd w:val="clear" w:color="000000" w:fill="FFFFFF"/>
            <w:noWrap/>
            <w:vAlign w:val="bottom"/>
          </w:tcPr>
          <w:p w:rsidR="006E0238" w:rsidRPr="00C605D6" w:rsidRDefault="006E0238" w:rsidP="004E680E">
            <w:pPr>
              <w:keepNext/>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p w:rsidR="006E0238" w:rsidRPr="00C605D6" w:rsidRDefault="006E0238" w:rsidP="004E680E">
            <w:pPr>
              <w:keepNext/>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395" w:type="dxa"/>
            <w:tcBorders>
              <w:top w:val="single" w:sz="12" w:space="0" w:color="auto"/>
              <w:bottom w:val="single" w:sz="4" w:space="0" w:color="auto"/>
            </w:tcBorders>
            <w:shd w:val="clear" w:color="000000" w:fill="FFFFFF"/>
            <w:noWrap/>
            <w:vAlign w:val="bottom"/>
          </w:tcPr>
          <w:p w:rsidR="006E0238" w:rsidRPr="00C605D6" w:rsidRDefault="006E0238" w:rsidP="0091046D">
            <w:pPr>
              <w:pStyle w:val="TableHeading0"/>
              <w:jc w:val="right"/>
            </w:pPr>
            <w:r w:rsidRPr="00C605D6">
              <w:t>2012</w:t>
            </w:r>
          </w:p>
        </w:tc>
      </w:tr>
      <w:tr w:rsidR="006E0238" w:rsidRPr="00C605D6" w:rsidTr="00BE6913">
        <w:trPr>
          <w:trHeight w:val="227"/>
        </w:trPr>
        <w:tc>
          <w:tcPr>
            <w:tcW w:w="6095" w:type="dxa"/>
            <w:tcBorders>
              <w:top w:val="single" w:sz="4" w:space="0" w:color="auto"/>
            </w:tcBorders>
            <w:shd w:val="clear" w:color="000000" w:fill="FFFFFF"/>
            <w:noWrap/>
            <w:vAlign w:val="bottom"/>
          </w:tcPr>
          <w:p w:rsidR="006E0238" w:rsidRPr="00C605D6" w:rsidRDefault="006E0238" w:rsidP="006E0238">
            <w:pPr>
              <w:pStyle w:val="TableText0"/>
              <w:rPr>
                <w:lang w:val="en-US"/>
              </w:rPr>
            </w:pPr>
            <w:r w:rsidRPr="00C605D6">
              <w:rPr>
                <w:lang w:val="en-US"/>
              </w:rPr>
              <w:t>Population males (2012)</w:t>
            </w:r>
          </w:p>
        </w:tc>
        <w:tc>
          <w:tcPr>
            <w:tcW w:w="1395" w:type="dxa"/>
            <w:tcBorders>
              <w:top w:val="single" w:sz="4" w:space="0" w:color="auto"/>
            </w:tcBorders>
            <w:shd w:val="clear" w:color="000000" w:fill="FFFFFF"/>
            <w:noWrap/>
            <w:vAlign w:val="bottom"/>
          </w:tcPr>
          <w:p w:rsidR="006E0238" w:rsidRPr="00C605D6" w:rsidRDefault="006E0238" w:rsidP="0091046D">
            <w:pPr>
              <w:pStyle w:val="TableText0"/>
              <w:jc w:val="right"/>
              <w:rPr>
                <w:lang w:val="en-US"/>
              </w:rPr>
            </w:pPr>
            <w:r w:rsidRPr="00C605D6">
              <w:rPr>
                <w:lang w:val="en-US"/>
              </w:rPr>
              <w:t>11,268,679</w:t>
            </w:r>
          </w:p>
        </w:tc>
      </w:tr>
      <w:tr w:rsidR="0091046D" w:rsidRPr="00C605D6" w:rsidTr="00325D51">
        <w:trPr>
          <w:trHeight w:val="227"/>
        </w:trPr>
        <w:tc>
          <w:tcPr>
            <w:tcW w:w="6095" w:type="dxa"/>
            <w:shd w:val="clear" w:color="000000" w:fill="FFFFFF"/>
            <w:noWrap/>
            <w:vAlign w:val="bottom"/>
          </w:tcPr>
          <w:p w:rsidR="0091046D" w:rsidRPr="00C605D6" w:rsidRDefault="00200166" w:rsidP="006E0238">
            <w:pPr>
              <w:pStyle w:val="TableText0"/>
              <w:rPr>
                <w:lang w:val="en-US"/>
              </w:rPr>
            </w:pPr>
            <w:r w:rsidRPr="00C605D6">
              <w:rPr>
                <w:lang w:val="en-US"/>
              </w:rPr>
              <w:t>Incidence rate of colon, rectal and anal cancer</w:t>
            </w:r>
          </w:p>
        </w:tc>
        <w:tc>
          <w:tcPr>
            <w:tcW w:w="1395" w:type="dxa"/>
            <w:shd w:val="clear" w:color="000000" w:fill="FFFFFF"/>
            <w:noWrap/>
            <w:vAlign w:val="bottom"/>
          </w:tcPr>
          <w:p w:rsidR="0091046D" w:rsidRPr="00C605D6" w:rsidRDefault="0091046D" w:rsidP="0091046D">
            <w:pPr>
              <w:pStyle w:val="TableText0"/>
              <w:jc w:val="right"/>
              <w:rPr>
                <w:lang w:val="en-US"/>
              </w:rPr>
            </w:pPr>
            <w:r w:rsidRPr="00C605D6">
              <w:rPr>
                <w:lang w:val="en-US"/>
              </w:rPr>
              <w:t>8,857</w:t>
            </w:r>
          </w:p>
        </w:tc>
      </w:tr>
      <w:tr w:rsidR="006E0238" w:rsidRPr="00C605D6" w:rsidTr="00BE6913">
        <w:trPr>
          <w:trHeight w:val="227"/>
        </w:trPr>
        <w:tc>
          <w:tcPr>
            <w:tcW w:w="6095" w:type="dxa"/>
            <w:shd w:val="clear" w:color="000000" w:fill="FFFFFF"/>
            <w:noWrap/>
            <w:vAlign w:val="bottom"/>
          </w:tcPr>
          <w:p w:rsidR="006E0238" w:rsidRPr="00C605D6" w:rsidRDefault="006E0238" w:rsidP="006E0238">
            <w:pPr>
              <w:pStyle w:val="TableText0"/>
              <w:rPr>
                <w:lang w:val="en-US"/>
              </w:rPr>
            </w:pPr>
            <w:r w:rsidRPr="00C605D6">
              <w:rPr>
                <w:lang w:val="en-US"/>
              </w:rPr>
              <w:t>Estimated number of anal cancers</w:t>
            </w:r>
          </w:p>
        </w:tc>
        <w:tc>
          <w:tcPr>
            <w:tcW w:w="1395" w:type="dxa"/>
            <w:shd w:val="clear" w:color="000000" w:fill="FFFFFF"/>
            <w:noWrap/>
            <w:vAlign w:val="bottom"/>
          </w:tcPr>
          <w:p w:rsidR="006E0238" w:rsidRPr="00C605D6" w:rsidRDefault="006E0238" w:rsidP="0091046D">
            <w:pPr>
              <w:pStyle w:val="TableText0"/>
              <w:jc w:val="right"/>
              <w:rPr>
                <w:lang w:val="en-US"/>
              </w:rPr>
            </w:pPr>
            <w:r w:rsidRPr="00C605D6">
              <w:rPr>
                <w:lang w:val="en-US"/>
              </w:rPr>
              <w:t>151</w:t>
            </w:r>
          </w:p>
        </w:tc>
      </w:tr>
      <w:tr w:rsidR="0091046D" w:rsidRPr="00C605D6" w:rsidTr="00325D51">
        <w:trPr>
          <w:trHeight w:val="227"/>
        </w:trPr>
        <w:tc>
          <w:tcPr>
            <w:tcW w:w="6095" w:type="dxa"/>
            <w:shd w:val="clear" w:color="000000" w:fill="FFFFFF"/>
            <w:noWrap/>
            <w:vAlign w:val="bottom"/>
          </w:tcPr>
          <w:p w:rsidR="0091046D" w:rsidRPr="00C605D6" w:rsidRDefault="00200166" w:rsidP="006E0238">
            <w:pPr>
              <w:pStyle w:val="TableText0"/>
              <w:rPr>
                <w:lang w:val="en-US"/>
              </w:rPr>
            </w:pPr>
            <w:r w:rsidRPr="00C605D6">
              <w:rPr>
                <w:lang w:val="en-US"/>
              </w:rPr>
              <w:t>Estimated number of colorectal cancers</w:t>
            </w:r>
          </w:p>
        </w:tc>
        <w:tc>
          <w:tcPr>
            <w:tcW w:w="1395" w:type="dxa"/>
            <w:shd w:val="clear" w:color="000000" w:fill="FFFFFF"/>
            <w:noWrap/>
            <w:vAlign w:val="bottom"/>
          </w:tcPr>
          <w:p w:rsidR="0091046D" w:rsidRPr="0091046D" w:rsidRDefault="0091046D" w:rsidP="0091046D">
            <w:pPr>
              <w:pStyle w:val="TableText0"/>
              <w:jc w:val="right"/>
              <w:rPr>
                <w:bCs/>
                <w:lang w:val="en-US"/>
              </w:rPr>
            </w:pPr>
            <w:r w:rsidRPr="0091046D">
              <w:rPr>
                <w:bCs/>
                <w:lang w:val="en-US"/>
              </w:rPr>
              <w:t>8,707</w:t>
            </w:r>
          </w:p>
        </w:tc>
      </w:tr>
      <w:tr w:rsidR="006E0238" w:rsidRPr="00C605D6" w:rsidTr="00BE6913">
        <w:trPr>
          <w:trHeight w:val="227"/>
        </w:trPr>
        <w:tc>
          <w:tcPr>
            <w:tcW w:w="6095" w:type="dxa"/>
            <w:shd w:val="clear" w:color="000000" w:fill="FFFFFF"/>
            <w:noWrap/>
            <w:vAlign w:val="bottom"/>
          </w:tcPr>
          <w:p w:rsidR="006E0238" w:rsidRPr="00C605D6" w:rsidRDefault="006E0238" w:rsidP="006E0238">
            <w:pPr>
              <w:pStyle w:val="TableText0"/>
              <w:rPr>
                <w:lang w:val="en-US"/>
              </w:rPr>
            </w:pPr>
            <w:r w:rsidRPr="00C605D6">
              <w:rPr>
                <w:lang w:val="en-US"/>
              </w:rPr>
              <w:t>Population females (2012)</w:t>
            </w:r>
          </w:p>
        </w:tc>
        <w:tc>
          <w:tcPr>
            <w:tcW w:w="1395" w:type="dxa"/>
            <w:shd w:val="clear" w:color="000000" w:fill="FFFFFF"/>
            <w:noWrap/>
            <w:vAlign w:val="bottom"/>
          </w:tcPr>
          <w:p w:rsidR="006E0238" w:rsidRPr="00C605D6" w:rsidRDefault="006E0238" w:rsidP="0091046D">
            <w:pPr>
              <w:pStyle w:val="TableText0"/>
              <w:jc w:val="right"/>
              <w:rPr>
                <w:lang w:val="en-US"/>
              </w:rPr>
            </w:pPr>
            <w:r w:rsidRPr="00C605D6">
              <w:rPr>
                <w:lang w:val="en-US"/>
              </w:rPr>
              <w:t>11,378,785</w:t>
            </w:r>
          </w:p>
        </w:tc>
      </w:tr>
      <w:tr w:rsidR="0091046D" w:rsidRPr="00C605D6" w:rsidTr="00325D51">
        <w:trPr>
          <w:trHeight w:val="227"/>
        </w:trPr>
        <w:tc>
          <w:tcPr>
            <w:tcW w:w="6095" w:type="dxa"/>
            <w:shd w:val="clear" w:color="000000" w:fill="FFFFFF"/>
            <w:noWrap/>
            <w:vAlign w:val="bottom"/>
          </w:tcPr>
          <w:p w:rsidR="0091046D" w:rsidRPr="00C605D6" w:rsidRDefault="00200166" w:rsidP="006E0238">
            <w:pPr>
              <w:pStyle w:val="TableText0"/>
              <w:rPr>
                <w:lang w:val="en-US"/>
              </w:rPr>
            </w:pPr>
            <w:r w:rsidRPr="00C605D6">
              <w:rPr>
                <w:lang w:val="en-US"/>
              </w:rPr>
              <w:t>Incidence rate of colon, rectal and anal cancer</w:t>
            </w:r>
          </w:p>
        </w:tc>
        <w:tc>
          <w:tcPr>
            <w:tcW w:w="1395" w:type="dxa"/>
            <w:shd w:val="clear" w:color="000000" w:fill="FFFFFF"/>
            <w:noWrap/>
            <w:vAlign w:val="bottom"/>
          </w:tcPr>
          <w:p w:rsidR="0091046D" w:rsidRPr="00C605D6" w:rsidRDefault="0091046D" w:rsidP="0091046D">
            <w:pPr>
              <w:pStyle w:val="TableText0"/>
              <w:jc w:val="right"/>
              <w:rPr>
                <w:lang w:val="en-US"/>
              </w:rPr>
            </w:pPr>
            <w:r w:rsidRPr="00C605D6">
              <w:rPr>
                <w:lang w:val="en-US"/>
              </w:rPr>
              <w:t>6,406</w:t>
            </w:r>
          </w:p>
        </w:tc>
      </w:tr>
      <w:tr w:rsidR="006E0238" w:rsidRPr="00C605D6" w:rsidTr="00BE6913">
        <w:trPr>
          <w:trHeight w:val="227"/>
        </w:trPr>
        <w:tc>
          <w:tcPr>
            <w:tcW w:w="6095" w:type="dxa"/>
            <w:shd w:val="clear" w:color="000000" w:fill="FFFFFF"/>
            <w:noWrap/>
            <w:vAlign w:val="bottom"/>
          </w:tcPr>
          <w:p w:rsidR="006E0238" w:rsidRPr="00C605D6" w:rsidRDefault="006E0238" w:rsidP="006E0238">
            <w:pPr>
              <w:pStyle w:val="TableText0"/>
              <w:rPr>
                <w:lang w:val="en-US"/>
              </w:rPr>
            </w:pPr>
            <w:r w:rsidRPr="00C605D6">
              <w:rPr>
                <w:lang w:val="en-US"/>
              </w:rPr>
              <w:t>Estimated number of anal cancers</w:t>
            </w:r>
          </w:p>
        </w:tc>
        <w:tc>
          <w:tcPr>
            <w:tcW w:w="1395" w:type="dxa"/>
            <w:shd w:val="clear" w:color="000000" w:fill="FFFFFF"/>
            <w:noWrap/>
            <w:vAlign w:val="bottom"/>
          </w:tcPr>
          <w:p w:rsidR="006E0238" w:rsidRPr="00C605D6" w:rsidRDefault="006E0238" w:rsidP="0091046D">
            <w:pPr>
              <w:pStyle w:val="TableText0"/>
              <w:jc w:val="right"/>
              <w:rPr>
                <w:lang w:val="en-US"/>
              </w:rPr>
            </w:pPr>
            <w:r w:rsidRPr="00C605D6">
              <w:rPr>
                <w:lang w:val="en-US"/>
              </w:rPr>
              <w:t>173</w:t>
            </w:r>
          </w:p>
        </w:tc>
      </w:tr>
      <w:tr w:rsidR="006E0238" w:rsidRPr="00C605D6" w:rsidTr="00BE6913">
        <w:trPr>
          <w:trHeight w:val="227"/>
        </w:trPr>
        <w:tc>
          <w:tcPr>
            <w:tcW w:w="6095" w:type="dxa"/>
            <w:shd w:val="clear" w:color="000000" w:fill="FFFFFF"/>
            <w:noWrap/>
            <w:vAlign w:val="bottom"/>
          </w:tcPr>
          <w:p w:rsidR="006E0238" w:rsidRPr="00C605D6" w:rsidRDefault="006E0238" w:rsidP="006E0238">
            <w:pPr>
              <w:pStyle w:val="TableText0"/>
              <w:rPr>
                <w:lang w:val="en-US"/>
              </w:rPr>
            </w:pPr>
            <w:r w:rsidRPr="00C605D6">
              <w:rPr>
                <w:lang w:val="en-US"/>
              </w:rPr>
              <w:t>Estimated number of colorectal cancers</w:t>
            </w:r>
          </w:p>
        </w:tc>
        <w:tc>
          <w:tcPr>
            <w:tcW w:w="1395" w:type="dxa"/>
            <w:shd w:val="clear" w:color="000000" w:fill="FFFFFF"/>
            <w:noWrap/>
            <w:vAlign w:val="bottom"/>
          </w:tcPr>
          <w:p w:rsidR="006E0238" w:rsidRPr="0091046D" w:rsidRDefault="006E0238" w:rsidP="0091046D">
            <w:pPr>
              <w:pStyle w:val="TableText0"/>
              <w:jc w:val="right"/>
              <w:rPr>
                <w:bCs/>
                <w:lang w:val="en-US"/>
              </w:rPr>
            </w:pPr>
            <w:r w:rsidRPr="0091046D">
              <w:rPr>
                <w:bCs/>
                <w:lang w:val="en-US"/>
              </w:rPr>
              <w:t>6,233</w:t>
            </w:r>
          </w:p>
        </w:tc>
      </w:tr>
      <w:tr w:rsidR="0091046D" w:rsidRPr="00C605D6" w:rsidTr="00325D51">
        <w:trPr>
          <w:trHeight w:val="227"/>
        </w:trPr>
        <w:tc>
          <w:tcPr>
            <w:tcW w:w="6095" w:type="dxa"/>
            <w:tcBorders>
              <w:bottom w:val="single" w:sz="12" w:space="0" w:color="auto"/>
            </w:tcBorders>
            <w:shd w:val="clear" w:color="000000" w:fill="FFFFFF"/>
            <w:noWrap/>
            <w:vAlign w:val="bottom"/>
          </w:tcPr>
          <w:p w:rsidR="0091046D" w:rsidRPr="00C605D6" w:rsidRDefault="0091046D" w:rsidP="006E0238">
            <w:pPr>
              <w:pStyle w:val="TableText0"/>
              <w:rPr>
                <w:b/>
                <w:bCs/>
                <w:lang w:val="en-US"/>
              </w:rPr>
            </w:pPr>
            <w:r w:rsidRPr="00C605D6">
              <w:rPr>
                <w:b/>
                <w:bCs/>
                <w:lang w:val="en-US"/>
              </w:rPr>
              <w:t>Total estimated number of colorectal cancer cases</w:t>
            </w:r>
          </w:p>
        </w:tc>
        <w:tc>
          <w:tcPr>
            <w:tcW w:w="1395" w:type="dxa"/>
            <w:tcBorders>
              <w:bottom w:val="single" w:sz="12" w:space="0" w:color="auto"/>
            </w:tcBorders>
            <w:shd w:val="clear" w:color="000000" w:fill="FFFFFF"/>
            <w:noWrap/>
            <w:vAlign w:val="bottom"/>
          </w:tcPr>
          <w:p w:rsidR="0091046D" w:rsidRPr="00C605D6" w:rsidRDefault="0091046D" w:rsidP="0091046D">
            <w:pPr>
              <w:pStyle w:val="TableText0"/>
              <w:jc w:val="right"/>
              <w:rPr>
                <w:b/>
                <w:bCs/>
                <w:lang w:val="en-US"/>
              </w:rPr>
            </w:pPr>
            <w:r w:rsidRPr="00C605D6">
              <w:rPr>
                <w:b/>
                <w:bCs/>
                <w:lang w:val="en-US"/>
              </w:rPr>
              <w:t>14,940</w:t>
            </w:r>
          </w:p>
        </w:tc>
      </w:tr>
    </w:tbl>
    <w:p w:rsidR="0091046D" w:rsidRDefault="0091046D" w:rsidP="006E0238">
      <w:pPr>
        <w:pStyle w:val="TableNotes"/>
      </w:pPr>
    </w:p>
    <w:p w:rsidR="0091046D" w:rsidRDefault="0091046D" w:rsidP="00F71B25">
      <w:pPr>
        <w:ind w:left="0"/>
      </w:pPr>
    </w:p>
    <w:p w:rsidR="00F71B25" w:rsidRDefault="00F71B25" w:rsidP="0091046D">
      <w:pPr>
        <w:pStyle w:val="Heading3"/>
      </w:pPr>
      <w:r>
        <w:lastRenderedPageBreak/>
        <w:t>Estimated number of patients requiring treatment</w:t>
      </w:r>
    </w:p>
    <w:p w:rsidR="00F71B25" w:rsidRDefault="00F71B25" w:rsidP="0091046D">
      <w:r>
        <w:t>The estimated incidence of bowel obstruction in patients with colorectal cancer varies widely. Varadarajulu et al (2011) reported an incidence of between 8 to 29 per cent. A report by the Royal College of Surgeons reported that between 15 to 20 per cent of patients with colonic cancer present with symptoms of acute bowel obstruction (Trompetas 2008)</w:t>
      </w:r>
      <w:r w:rsidR="0011511D">
        <w:t>, w</w:t>
      </w:r>
      <w:r>
        <w:t xml:space="preserve">hereas Tinley et al (2007) and Osman et al (2000) reported 15 per cent and 30 per cent, respectively. </w:t>
      </w:r>
    </w:p>
    <w:p w:rsidR="00F71B25" w:rsidRDefault="00F71B25" w:rsidP="0091046D">
      <w:r>
        <w:t>The estimated number of patients requiring the procedure for bowel obstruction is presented in</w:t>
      </w:r>
      <w:r w:rsidR="00425540">
        <w:t xml:space="preserve"> </w:t>
      </w:r>
      <w:r w:rsidR="00425540">
        <w:fldChar w:fldCharType="begin"/>
      </w:r>
      <w:r w:rsidR="00425540">
        <w:instrText xml:space="preserve"> REF _Ref324951019 \h </w:instrText>
      </w:r>
      <w:r w:rsidR="00425540">
        <w:fldChar w:fldCharType="separate"/>
      </w:r>
      <w:r w:rsidR="0071544A">
        <w:t xml:space="preserve">Table </w:t>
      </w:r>
      <w:r w:rsidR="0071544A">
        <w:rPr>
          <w:noProof/>
        </w:rPr>
        <w:t>66</w:t>
      </w:r>
      <w:r w:rsidR="00425540">
        <w:fldChar w:fldCharType="end"/>
      </w:r>
      <w:r>
        <w:t>. The low (and high) estimate is based on 8 per cent (29%) of colorectal cancer patients with bowel obstruction. Of these patients, 75 per cent would be expected to have left</w:t>
      </w:r>
      <w:r w:rsidR="00F64A32">
        <w:t>-</w:t>
      </w:r>
      <w:r>
        <w:t xml:space="preserve">sided malignancies (as per the applicant) and 50 per cent would be eligible for single-stage surgery (Xinopoulos et al 2004). Of those not eligible for </w:t>
      </w:r>
      <w:r w:rsidR="00511134">
        <w:t>single-stage</w:t>
      </w:r>
      <w:r>
        <w:t xml:space="preserve"> surgery, 30 per cent would be treated with palliative treatment and the rest would be eligible for a second stage of a two-stage resection (Deans et al 1994).</w:t>
      </w:r>
    </w:p>
    <w:p w:rsidR="00F71B25" w:rsidRDefault="00F71B25" w:rsidP="0091046D">
      <w:r>
        <w:t>In summary</w:t>
      </w:r>
      <w:r w:rsidR="00F64A32">
        <w:t>,</w:t>
      </w:r>
      <w:r>
        <w:t xml:space="preserve"> the number of patients eligible for SEMS insertion for palliation ranges between 134 and 487. The number of patients eligible for SEMS for </w:t>
      </w:r>
      <w:r w:rsidR="003617AD">
        <w:t>bridge to surgery</w:t>
      </w:r>
      <w:r>
        <w:t xml:space="preserve"> ranges between 314 and 1,137.</w:t>
      </w:r>
    </w:p>
    <w:p w:rsidR="0091046D" w:rsidRPr="00325D51" w:rsidRDefault="00425540" w:rsidP="00425540">
      <w:pPr>
        <w:pStyle w:val="Caption"/>
      </w:pPr>
      <w:bookmarkStart w:id="271" w:name="_Ref324951019"/>
      <w:bookmarkStart w:id="272" w:name="_Toc277759676"/>
      <w:bookmarkStart w:id="273" w:name="_Toc327522110"/>
      <w:r>
        <w:t xml:space="preserve">Table </w:t>
      </w:r>
      <w:fldSimple w:instr=" SEQ Table \* ARABIC ">
        <w:r w:rsidR="0071544A">
          <w:rPr>
            <w:noProof/>
          </w:rPr>
          <w:t>66</w:t>
        </w:r>
      </w:fldSimple>
      <w:bookmarkEnd w:id="271"/>
      <w:r w:rsidR="0091046D" w:rsidRPr="00325D51">
        <w:tab/>
      </w:r>
      <w:bookmarkEnd w:id="272"/>
      <w:r w:rsidR="0091046D" w:rsidRPr="00325D51">
        <w:t>Estimated number of patients to receive treatment</w:t>
      </w:r>
      <w:bookmarkEnd w:id="273"/>
    </w:p>
    <w:tbl>
      <w:tblPr>
        <w:tblW w:w="8203" w:type="dxa"/>
        <w:tblInd w:w="836" w:type="dxa"/>
        <w:tblBorders>
          <w:top w:val="single" w:sz="12" w:space="0" w:color="auto"/>
          <w:bottom w:val="single" w:sz="12" w:space="0" w:color="auto"/>
        </w:tblBorders>
        <w:tblLook w:val="00A0" w:firstRow="1" w:lastRow="0" w:firstColumn="1" w:lastColumn="0" w:noHBand="0" w:noVBand="0"/>
      </w:tblPr>
      <w:tblGrid>
        <w:gridCol w:w="4942"/>
        <w:gridCol w:w="1701"/>
        <w:gridCol w:w="1560"/>
      </w:tblGrid>
      <w:tr w:rsidR="006E0238" w:rsidRPr="00C605D6" w:rsidTr="00BE6913">
        <w:trPr>
          <w:trHeight w:val="300"/>
        </w:trPr>
        <w:tc>
          <w:tcPr>
            <w:tcW w:w="4942" w:type="dxa"/>
            <w:tcBorders>
              <w:top w:val="single" w:sz="12" w:space="0" w:color="auto"/>
              <w:bottom w:val="single" w:sz="4" w:space="0" w:color="auto"/>
            </w:tcBorders>
            <w:noWrap/>
            <w:vAlign w:val="bottom"/>
          </w:tcPr>
          <w:p w:rsidR="006E0238" w:rsidRPr="00C605D6" w:rsidRDefault="006E0238" w:rsidP="00325D51">
            <w:pPr>
              <w:pStyle w:val="TableText0"/>
              <w:rPr>
                <w:lang w:val="en-US"/>
              </w:rPr>
            </w:pPr>
            <w:r w:rsidRPr="00C605D6">
              <w:rPr>
                <w:lang w:val="en-US"/>
              </w:rPr>
              <w:t> </w:t>
            </w:r>
          </w:p>
        </w:tc>
        <w:tc>
          <w:tcPr>
            <w:tcW w:w="1701" w:type="dxa"/>
            <w:tcBorders>
              <w:top w:val="single" w:sz="12" w:space="0" w:color="auto"/>
              <w:bottom w:val="single" w:sz="4" w:space="0" w:color="auto"/>
            </w:tcBorders>
            <w:noWrap/>
            <w:vAlign w:val="bottom"/>
          </w:tcPr>
          <w:p w:rsidR="006E0238" w:rsidRPr="00C605D6" w:rsidRDefault="006E0238" w:rsidP="0007443E">
            <w:pPr>
              <w:pStyle w:val="TableHeading"/>
              <w:jc w:val="right"/>
              <w:rPr>
                <w:lang w:val="en-US"/>
              </w:rPr>
            </w:pPr>
            <w:r w:rsidRPr="00C605D6">
              <w:rPr>
                <w:lang w:val="en-US"/>
              </w:rPr>
              <w:t>Low (8%)</w:t>
            </w:r>
          </w:p>
        </w:tc>
        <w:tc>
          <w:tcPr>
            <w:tcW w:w="1560" w:type="dxa"/>
            <w:tcBorders>
              <w:top w:val="single" w:sz="12" w:space="0" w:color="auto"/>
              <w:bottom w:val="single" w:sz="4" w:space="0" w:color="auto"/>
            </w:tcBorders>
            <w:noWrap/>
            <w:vAlign w:val="bottom"/>
          </w:tcPr>
          <w:p w:rsidR="006E0238" w:rsidRPr="00C605D6" w:rsidRDefault="006E0238" w:rsidP="0007443E">
            <w:pPr>
              <w:pStyle w:val="TableHeading"/>
              <w:jc w:val="right"/>
              <w:rPr>
                <w:lang w:val="en-US"/>
              </w:rPr>
            </w:pPr>
            <w:r w:rsidRPr="00C605D6">
              <w:rPr>
                <w:lang w:val="en-US"/>
              </w:rPr>
              <w:t>High (29%)</w:t>
            </w:r>
          </w:p>
        </w:tc>
      </w:tr>
      <w:tr w:rsidR="0091046D" w:rsidRPr="00C605D6" w:rsidTr="00325D51">
        <w:trPr>
          <w:trHeight w:val="227"/>
        </w:trPr>
        <w:tc>
          <w:tcPr>
            <w:tcW w:w="4942" w:type="dxa"/>
            <w:tcBorders>
              <w:top w:val="single" w:sz="4" w:space="0" w:color="auto"/>
            </w:tcBorders>
            <w:noWrap/>
            <w:vAlign w:val="bottom"/>
          </w:tcPr>
          <w:p w:rsidR="0091046D" w:rsidRPr="00C605D6" w:rsidRDefault="0091046D" w:rsidP="00325D51">
            <w:pPr>
              <w:pStyle w:val="TableText0"/>
              <w:rPr>
                <w:lang w:val="en-US"/>
              </w:rPr>
            </w:pPr>
            <w:r w:rsidRPr="00C605D6">
              <w:rPr>
                <w:lang w:val="en-US"/>
              </w:rPr>
              <w:t>Estimated number of colorectal cancer cases</w:t>
            </w:r>
          </w:p>
        </w:tc>
        <w:tc>
          <w:tcPr>
            <w:tcW w:w="1701" w:type="dxa"/>
            <w:tcBorders>
              <w:top w:val="single" w:sz="4" w:space="0" w:color="auto"/>
            </w:tcBorders>
            <w:noWrap/>
            <w:vAlign w:val="bottom"/>
          </w:tcPr>
          <w:p w:rsidR="0091046D" w:rsidRPr="00C605D6" w:rsidRDefault="0091046D" w:rsidP="0007443E">
            <w:pPr>
              <w:pStyle w:val="TableText0"/>
              <w:jc w:val="right"/>
              <w:rPr>
                <w:lang w:val="en-US"/>
              </w:rPr>
            </w:pPr>
            <w:r w:rsidRPr="00C605D6">
              <w:rPr>
                <w:lang w:val="en-US"/>
              </w:rPr>
              <w:t>14,940</w:t>
            </w:r>
          </w:p>
        </w:tc>
        <w:tc>
          <w:tcPr>
            <w:tcW w:w="1560" w:type="dxa"/>
            <w:tcBorders>
              <w:top w:val="single" w:sz="4" w:space="0" w:color="auto"/>
            </w:tcBorders>
            <w:noWrap/>
            <w:vAlign w:val="bottom"/>
          </w:tcPr>
          <w:p w:rsidR="0091046D" w:rsidRPr="00C605D6" w:rsidRDefault="0091046D" w:rsidP="0007443E">
            <w:pPr>
              <w:pStyle w:val="TableText0"/>
              <w:jc w:val="right"/>
              <w:rPr>
                <w:lang w:val="en-US"/>
              </w:rPr>
            </w:pPr>
            <w:r w:rsidRPr="00C605D6">
              <w:rPr>
                <w:lang w:val="en-US"/>
              </w:rPr>
              <w:t>14,940</w:t>
            </w:r>
          </w:p>
        </w:tc>
      </w:tr>
      <w:tr w:rsidR="006E0238" w:rsidRPr="00C605D6" w:rsidTr="00BE6913">
        <w:trPr>
          <w:trHeight w:val="227"/>
        </w:trPr>
        <w:tc>
          <w:tcPr>
            <w:tcW w:w="4942" w:type="dxa"/>
            <w:noWrap/>
            <w:vAlign w:val="bottom"/>
          </w:tcPr>
          <w:p w:rsidR="006E0238" w:rsidRPr="00C605D6" w:rsidRDefault="006E0238" w:rsidP="00325D51">
            <w:pPr>
              <w:pStyle w:val="TableText0"/>
              <w:rPr>
                <w:lang w:val="en-US"/>
              </w:rPr>
            </w:pPr>
            <w:r w:rsidRPr="00C605D6">
              <w:rPr>
                <w:lang w:val="en-US"/>
              </w:rPr>
              <w:t>Incidence of obstruction (8%-29%)</w:t>
            </w:r>
          </w:p>
        </w:tc>
        <w:tc>
          <w:tcPr>
            <w:tcW w:w="1701" w:type="dxa"/>
            <w:noWrap/>
            <w:vAlign w:val="bottom"/>
          </w:tcPr>
          <w:p w:rsidR="006E0238" w:rsidRPr="00C605D6" w:rsidRDefault="006E0238" w:rsidP="0007443E">
            <w:pPr>
              <w:pStyle w:val="TableText0"/>
              <w:jc w:val="right"/>
              <w:rPr>
                <w:lang w:val="en-US"/>
              </w:rPr>
            </w:pPr>
            <w:r w:rsidRPr="00C605D6">
              <w:rPr>
                <w:lang w:val="en-US"/>
              </w:rPr>
              <w:t>1,195</w:t>
            </w:r>
          </w:p>
        </w:tc>
        <w:tc>
          <w:tcPr>
            <w:tcW w:w="1560" w:type="dxa"/>
            <w:noWrap/>
            <w:vAlign w:val="bottom"/>
          </w:tcPr>
          <w:p w:rsidR="006E0238" w:rsidRPr="00C605D6" w:rsidRDefault="006E0238" w:rsidP="0007443E">
            <w:pPr>
              <w:pStyle w:val="TableText0"/>
              <w:jc w:val="right"/>
              <w:rPr>
                <w:lang w:val="en-US"/>
              </w:rPr>
            </w:pPr>
            <w:r w:rsidRPr="00C605D6">
              <w:rPr>
                <w:lang w:val="en-US"/>
              </w:rPr>
              <w:t>4,333</w:t>
            </w:r>
          </w:p>
        </w:tc>
      </w:tr>
      <w:tr w:rsidR="006E0238" w:rsidRPr="00C605D6" w:rsidTr="00BE6913">
        <w:trPr>
          <w:trHeight w:val="227"/>
        </w:trPr>
        <w:tc>
          <w:tcPr>
            <w:tcW w:w="4942" w:type="dxa"/>
            <w:noWrap/>
            <w:vAlign w:val="bottom"/>
          </w:tcPr>
          <w:p w:rsidR="006E0238" w:rsidRPr="00C605D6" w:rsidRDefault="006E0238" w:rsidP="00325D51">
            <w:pPr>
              <w:pStyle w:val="TableText0"/>
              <w:rPr>
                <w:lang w:val="en-US"/>
              </w:rPr>
            </w:pPr>
            <w:r w:rsidRPr="00C605D6">
              <w:rPr>
                <w:lang w:val="en-US"/>
              </w:rPr>
              <w:t>Percentage of left sided malignancies (75% )</w:t>
            </w:r>
          </w:p>
        </w:tc>
        <w:tc>
          <w:tcPr>
            <w:tcW w:w="1701" w:type="dxa"/>
            <w:noWrap/>
            <w:vAlign w:val="bottom"/>
          </w:tcPr>
          <w:p w:rsidR="006E0238" w:rsidRPr="00C605D6" w:rsidRDefault="006E0238" w:rsidP="0007443E">
            <w:pPr>
              <w:pStyle w:val="TableText0"/>
              <w:jc w:val="right"/>
              <w:rPr>
                <w:lang w:val="en-US"/>
              </w:rPr>
            </w:pPr>
            <w:r w:rsidRPr="00C605D6">
              <w:rPr>
                <w:lang w:val="en-US"/>
              </w:rPr>
              <w:t>896</w:t>
            </w:r>
          </w:p>
        </w:tc>
        <w:tc>
          <w:tcPr>
            <w:tcW w:w="1560" w:type="dxa"/>
            <w:noWrap/>
            <w:vAlign w:val="bottom"/>
          </w:tcPr>
          <w:p w:rsidR="006E0238" w:rsidRPr="00C605D6" w:rsidRDefault="006E0238" w:rsidP="0007443E">
            <w:pPr>
              <w:pStyle w:val="TableText0"/>
              <w:jc w:val="right"/>
              <w:rPr>
                <w:lang w:val="en-US"/>
              </w:rPr>
            </w:pPr>
            <w:r w:rsidRPr="00C605D6">
              <w:rPr>
                <w:lang w:val="en-US"/>
              </w:rPr>
              <w:t>3,249</w:t>
            </w:r>
          </w:p>
        </w:tc>
      </w:tr>
      <w:tr w:rsidR="0091046D" w:rsidRPr="00C605D6" w:rsidTr="00325D51">
        <w:trPr>
          <w:trHeight w:val="227"/>
        </w:trPr>
        <w:tc>
          <w:tcPr>
            <w:tcW w:w="4942" w:type="dxa"/>
            <w:noWrap/>
            <w:vAlign w:val="bottom"/>
          </w:tcPr>
          <w:p w:rsidR="0091046D" w:rsidRPr="00C605D6" w:rsidRDefault="0091046D" w:rsidP="00325D51">
            <w:pPr>
              <w:pStyle w:val="TableText0"/>
              <w:rPr>
                <w:lang w:val="en-US"/>
              </w:rPr>
            </w:pPr>
            <w:r w:rsidRPr="00C605D6">
              <w:rPr>
                <w:lang w:val="en-US"/>
              </w:rPr>
              <w:t>Percentage eligible for curative surgery (</w:t>
            </w:r>
            <w:r w:rsidR="00511134">
              <w:rPr>
                <w:lang w:val="en-US"/>
              </w:rPr>
              <w:t>single-stage</w:t>
            </w:r>
            <w:r w:rsidRPr="00C605D6">
              <w:rPr>
                <w:lang w:val="en-US"/>
              </w:rPr>
              <w:t>) (50%)</w:t>
            </w:r>
          </w:p>
        </w:tc>
        <w:tc>
          <w:tcPr>
            <w:tcW w:w="1701" w:type="dxa"/>
            <w:noWrap/>
            <w:vAlign w:val="bottom"/>
          </w:tcPr>
          <w:p w:rsidR="0091046D" w:rsidRPr="00C605D6" w:rsidRDefault="0091046D" w:rsidP="0007443E">
            <w:pPr>
              <w:pStyle w:val="TableText0"/>
              <w:jc w:val="right"/>
              <w:rPr>
                <w:lang w:val="en-US"/>
              </w:rPr>
            </w:pPr>
            <w:r w:rsidRPr="00C605D6">
              <w:rPr>
                <w:lang w:val="en-US"/>
              </w:rPr>
              <w:t>448</w:t>
            </w:r>
          </w:p>
        </w:tc>
        <w:tc>
          <w:tcPr>
            <w:tcW w:w="1560" w:type="dxa"/>
            <w:noWrap/>
            <w:vAlign w:val="bottom"/>
          </w:tcPr>
          <w:p w:rsidR="0091046D" w:rsidRPr="00C605D6" w:rsidRDefault="0091046D" w:rsidP="0007443E">
            <w:pPr>
              <w:pStyle w:val="TableText0"/>
              <w:jc w:val="right"/>
              <w:rPr>
                <w:lang w:val="en-US"/>
              </w:rPr>
            </w:pPr>
            <w:r w:rsidRPr="00C605D6">
              <w:rPr>
                <w:lang w:val="en-US"/>
              </w:rPr>
              <w:t>1,625</w:t>
            </w:r>
          </w:p>
        </w:tc>
      </w:tr>
      <w:tr w:rsidR="0091046D" w:rsidRPr="00C605D6" w:rsidTr="00325D51">
        <w:trPr>
          <w:trHeight w:val="227"/>
        </w:trPr>
        <w:tc>
          <w:tcPr>
            <w:tcW w:w="4942" w:type="dxa"/>
            <w:noWrap/>
            <w:vAlign w:val="bottom"/>
          </w:tcPr>
          <w:p w:rsidR="0091046D" w:rsidRPr="00C605D6" w:rsidRDefault="0091046D" w:rsidP="00325D51">
            <w:pPr>
              <w:pStyle w:val="TableText0"/>
              <w:rPr>
                <w:lang w:val="en-US"/>
              </w:rPr>
            </w:pPr>
            <w:r w:rsidRPr="00C605D6">
              <w:rPr>
                <w:lang w:val="en-US"/>
              </w:rPr>
              <w:t>Estimated patients for palliative treatment (30%)</w:t>
            </w:r>
          </w:p>
        </w:tc>
        <w:tc>
          <w:tcPr>
            <w:tcW w:w="1701" w:type="dxa"/>
            <w:noWrap/>
            <w:vAlign w:val="bottom"/>
          </w:tcPr>
          <w:p w:rsidR="0091046D" w:rsidRPr="00C605D6" w:rsidRDefault="0091046D" w:rsidP="0007443E">
            <w:pPr>
              <w:pStyle w:val="TableText0"/>
              <w:jc w:val="right"/>
              <w:rPr>
                <w:lang w:val="en-US"/>
              </w:rPr>
            </w:pPr>
            <w:r w:rsidRPr="00C605D6">
              <w:rPr>
                <w:lang w:val="en-US"/>
              </w:rPr>
              <w:t>134</w:t>
            </w:r>
          </w:p>
        </w:tc>
        <w:tc>
          <w:tcPr>
            <w:tcW w:w="1560" w:type="dxa"/>
            <w:noWrap/>
            <w:vAlign w:val="bottom"/>
          </w:tcPr>
          <w:p w:rsidR="0091046D" w:rsidRPr="00C605D6" w:rsidRDefault="0091046D" w:rsidP="0007443E">
            <w:pPr>
              <w:pStyle w:val="TableText0"/>
              <w:jc w:val="right"/>
              <w:rPr>
                <w:lang w:val="en-US"/>
              </w:rPr>
            </w:pPr>
            <w:r w:rsidRPr="00C605D6">
              <w:rPr>
                <w:lang w:val="en-US"/>
              </w:rPr>
              <w:t>487</w:t>
            </w:r>
          </w:p>
        </w:tc>
      </w:tr>
      <w:tr w:rsidR="0091046D" w:rsidRPr="00C605D6" w:rsidTr="00325D51">
        <w:trPr>
          <w:trHeight w:val="227"/>
        </w:trPr>
        <w:tc>
          <w:tcPr>
            <w:tcW w:w="4942" w:type="dxa"/>
            <w:noWrap/>
            <w:vAlign w:val="bottom"/>
          </w:tcPr>
          <w:p w:rsidR="0091046D" w:rsidRPr="00C605D6" w:rsidRDefault="0091046D" w:rsidP="00325D51">
            <w:pPr>
              <w:pStyle w:val="TableText0"/>
              <w:rPr>
                <w:lang w:val="en-US"/>
              </w:rPr>
            </w:pPr>
            <w:r w:rsidRPr="00C605D6">
              <w:rPr>
                <w:lang w:val="en-US"/>
              </w:rPr>
              <w:t>Estimated patients fit for surgery (bridge to surgery)</w:t>
            </w:r>
          </w:p>
        </w:tc>
        <w:tc>
          <w:tcPr>
            <w:tcW w:w="1701" w:type="dxa"/>
            <w:noWrap/>
            <w:vAlign w:val="bottom"/>
          </w:tcPr>
          <w:p w:rsidR="0091046D" w:rsidRPr="00C605D6" w:rsidRDefault="0091046D" w:rsidP="0007443E">
            <w:pPr>
              <w:pStyle w:val="TableText0"/>
              <w:jc w:val="right"/>
              <w:rPr>
                <w:lang w:val="en-US"/>
              </w:rPr>
            </w:pPr>
            <w:r w:rsidRPr="00C605D6">
              <w:rPr>
                <w:lang w:val="en-US"/>
              </w:rPr>
              <w:t>314</w:t>
            </w:r>
          </w:p>
        </w:tc>
        <w:tc>
          <w:tcPr>
            <w:tcW w:w="1560" w:type="dxa"/>
            <w:noWrap/>
            <w:vAlign w:val="bottom"/>
          </w:tcPr>
          <w:p w:rsidR="0091046D" w:rsidRPr="00C605D6" w:rsidRDefault="0091046D" w:rsidP="0007443E">
            <w:pPr>
              <w:pStyle w:val="TableText0"/>
              <w:jc w:val="right"/>
              <w:rPr>
                <w:lang w:val="en-US"/>
              </w:rPr>
            </w:pPr>
            <w:r w:rsidRPr="00C605D6">
              <w:rPr>
                <w:lang w:val="en-US"/>
              </w:rPr>
              <w:t>1,137</w:t>
            </w:r>
          </w:p>
        </w:tc>
      </w:tr>
    </w:tbl>
    <w:p w:rsidR="0091046D" w:rsidRDefault="0091046D" w:rsidP="00F71B25">
      <w:pPr>
        <w:ind w:left="0"/>
      </w:pPr>
    </w:p>
    <w:p w:rsidR="00F71B25" w:rsidRDefault="00425540" w:rsidP="00325D51">
      <w:r>
        <w:fldChar w:fldCharType="begin"/>
      </w:r>
      <w:r>
        <w:instrText xml:space="preserve"> REF _Ref324951045 \h </w:instrText>
      </w:r>
      <w:r>
        <w:fldChar w:fldCharType="separate"/>
      </w:r>
      <w:r w:rsidR="0071544A">
        <w:t xml:space="preserve">Table </w:t>
      </w:r>
      <w:r w:rsidR="0071544A">
        <w:rPr>
          <w:noProof/>
        </w:rPr>
        <w:t>67</w:t>
      </w:r>
      <w:r>
        <w:fldChar w:fldCharType="end"/>
      </w:r>
      <w:r>
        <w:t xml:space="preserve"> </w:t>
      </w:r>
      <w:r w:rsidR="00F71B25">
        <w:t>presents the total cost of a SEMS insertion compared to a colostomy</w:t>
      </w:r>
      <w:r w:rsidR="00F64A32">
        <w:t>,</w:t>
      </w:r>
      <w:r w:rsidR="00F71B25">
        <w:t xml:space="preserve"> excluding the costs of palliation, stent failures or complications. These costs include the pre-operative costs, surgical costs, hospitalisation costs and post-operative costs.  As can be seen, a SEMS insertion has much higher surgical costs compared to a colostomy. However, overall the colostomy costs are higher due to the hospital costs incurred because of increased length of stay. </w:t>
      </w:r>
    </w:p>
    <w:p w:rsidR="00325D51" w:rsidRPr="00C605D6" w:rsidRDefault="00425540" w:rsidP="00425540">
      <w:pPr>
        <w:pStyle w:val="Caption"/>
      </w:pPr>
      <w:bookmarkStart w:id="274" w:name="_Ref324951045"/>
      <w:bookmarkStart w:id="275" w:name="_Toc327522111"/>
      <w:r>
        <w:lastRenderedPageBreak/>
        <w:t xml:space="preserve">Table </w:t>
      </w:r>
      <w:fldSimple w:instr=" SEQ Table \* ARABIC ">
        <w:r w:rsidR="0071544A">
          <w:rPr>
            <w:noProof/>
          </w:rPr>
          <w:t>67</w:t>
        </w:r>
      </w:fldSimple>
      <w:bookmarkEnd w:id="274"/>
      <w:r w:rsidR="003F3CA9">
        <w:tab/>
      </w:r>
      <w:r w:rsidR="00325D51" w:rsidRPr="00C605D6">
        <w:t>Estimated costs of SEMS versus</w:t>
      </w:r>
      <w:r w:rsidR="00F64A32" w:rsidRPr="00C605D6">
        <w:t xml:space="preserve"> colostomy </w:t>
      </w:r>
      <w:r w:rsidR="00325D51" w:rsidRPr="00C605D6">
        <w:t>(palliation)</w:t>
      </w:r>
      <w:bookmarkEnd w:id="275"/>
    </w:p>
    <w:tbl>
      <w:tblPr>
        <w:tblW w:w="6020" w:type="dxa"/>
        <w:tblInd w:w="720" w:type="dxa"/>
        <w:tblBorders>
          <w:top w:val="single" w:sz="12" w:space="0" w:color="auto"/>
          <w:bottom w:val="single" w:sz="12" w:space="0" w:color="auto"/>
        </w:tblBorders>
        <w:tblLook w:val="00A0" w:firstRow="1" w:lastRow="0" w:firstColumn="1" w:lastColumn="0" w:noHBand="0" w:noVBand="0"/>
      </w:tblPr>
      <w:tblGrid>
        <w:gridCol w:w="2618"/>
        <w:gridCol w:w="1701"/>
        <w:gridCol w:w="1701"/>
      </w:tblGrid>
      <w:tr w:rsidR="00325D51" w:rsidRPr="00C605D6" w:rsidTr="006E0238">
        <w:trPr>
          <w:trHeight w:val="300"/>
        </w:trPr>
        <w:tc>
          <w:tcPr>
            <w:tcW w:w="2618" w:type="dxa"/>
            <w:tcBorders>
              <w:top w:val="single" w:sz="12" w:space="0" w:color="auto"/>
              <w:bottom w:val="single" w:sz="4" w:space="0" w:color="auto"/>
            </w:tcBorders>
            <w:noWrap/>
            <w:vAlign w:val="bottom"/>
          </w:tcPr>
          <w:p w:rsidR="00325D51" w:rsidRPr="00C605D6" w:rsidRDefault="00325D51" w:rsidP="006943FA">
            <w:pPr>
              <w:keepNext/>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eastAsia="en-US"/>
              </w:rPr>
              <w:t xml:space="preserve">  </w:t>
            </w:r>
          </w:p>
        </w:tc>
        <w:tc>
          <w:tcPr>
            <w:tcW w:w="1701" w:type="dxa"/>
            <w:tcBorders>
              <w:top w:val="single" w:sz="12" w:space="0" w:color="auto"/>
              <w:bottom w:val="single" w:sz="4" w:space="0" w:color="auto"/>
            </w:tcBorders>
            <w:noWrap/>
            <w:vAlign w:val="bottom"/>
          </w:tcPr>
          <w:p w:rsidR="00325D51" w:rsidRPr="00C605D6" w:rsidRDefault="00325D51" w:rsidP="006943FA">
            <w:pPr>
              <w:pStyle w:val="TableHeading0"/>
              <w:jc w:val="right"/>
              <w:rPr>
                <w:lang w:val="en-US"/>
              </w:rPr>
            </w:pPr>
            <w:r w:rsidRPr="00C605D6">
              <w:t>SEMS</w:t>
            </w:r>
          </w:p>
        </w:tc>
        <w:tc>
          <w:tcPr>
            <w:tcW w:w="1701" w:type="dxa"/>
            <w:tcBorders>
              <w:top w:val="single" w:sz="12" w:space="0" w:color="auto"/>
              <w:bottom w:val="single" w:sz="4" w:space="0" w:color="auto"/>
            </w:tcBorders>
            <w:noWrap/>
            <w:vAlign w:val="bottom"/>
          </w:tcPr>
          <w:p w:rsidR="00325D51" w:rsidRPr="00C605D6" w:rsidRDefault="00325D51" w:rsidP="006943FA">
            <w:pPr>
              <w:pStyle w:val="TableHeading0"/>
              <w:jc w:val="right"/>
              <w:rPr>
                <w:lang w:val="en-US"/>
              </w:rPr>
            </w:pPr>
            <w:r w:rsidRPr="00C605D6">
              <w:t>Colostomy</w:t>
            </w:r>
          </w:p>
        </w:tc>
      </w:tr>
      <w:tr w:rsidR="00325D51" w:rsidRPr="00C605D6" w:rsidTr="006E0238">
        <w:trPr>
          <w:trHeight w:val="227"/>
        </w:trPr>
        <w:tc>
          <w:tcPr>
            <w:tcW w:w="2618" w:type="dxa"/>
            <w:tcBorders>
              <w:top w:val="single" w:sz="4" w:space="0" w:color="auto"/>
            </w:tcBorders>
            <w:noWrap/>
            <w:vAlign w:val="bottom"/>
          </w:tcPr>
          <w:p w:rsidR="00325D51" w:rsidRPr="00C605D6" w:rsidRDefault="00325D51" w:rsidP="006943FA">
            <w:pPr>
              <w:pStyle w:val="TableText0"/>
              <w:rPr>
                <w:lang w:val="en-US"/>
              </w:rPr>
            </w:pPr>
            <w:r w:rsidRPr="000F3C8B">
              <w:rPr>
                <w:lang w:val="en-AU"/>
              </w:rPr>
              <w:t>Consumables</w:t>
            </w:r>
          </w:p>
        </w:tc>
        <w:tc>
          <w:tcPr>
            <w:tcW w:w="1701" w:type="dxa"/>
            <w:tcBorders>
              <w:top w:val="single" w:sz="4" w:space="0" w:color="auto"/>
            </w:tcBorders>
            <w:noWrap/>
            <w:vAlign w:val="bottom"/>
          </w:tcPr>
          <w:p w:rsidR="00325D51" w:rsidRPr="00C605D6" w:rsidRDefault="00325D51" w:rsidP="006943FA">
            <w:pPr>
              <w:pStyle w:val="TableText0"/>
              <w:jc w:val="right"/>
              <w:rPr>
                <w:lang w:val="en-US"/>
              </w:rPr>
            </w:pPr>
            <w:r w:rsidRPr="00C605D6">
              <w:rPr>
                <w:lang w:val="en-US"/>
              </w:rPr>
              <w:t>$0</w:t>
            </w:r>
          </w:p>
        </w:tc>
        <w:tc>
          <w:tcPr>
            <w:tcW w:w="1701" w:type="dxa"/>
            <w:tcBorders>
              <w:top w:val="single" w:sz="4" w:space="0" w:color="auto"/>
            </w:tcBorders>
            <w:noWrap/>
            <w:vAlign w:val="bottom"/>
          </w:tcPr>
          <w:p w:rsidR="00325D51" w:rsidRPr="00C605D6" w:rsidRDefault="00325D51" w:rsidP="006943FA">
            <w:pPr>
              <w:pStyle w:val="TableText0"/>
              <w:jc w:val="right"/>
              <w:rPr>
                <w:lang w:val="en-US"/>
              </w:rPr>
            </w:pPr>
            <w:r w:rsidRPr="00C605D6">
              <w:rPr>
                <w:lang w:val="en-US"/>
              </w:rPr>
              <w:t>$0</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C605D6">
              <w:rPr>
                <w:bCs/>
                <w:lang w:val="en-US"/>
              </w:rPr>
              <w:t>MBS fees</w:t>
            </w:r>
          </w:p>
        </w:tc>
        <w:tc>
          <w:tcPr>
            <w:tcW w:w="1701" w:type="dxa"/>
            <w:noWrap/>
            <w:vAlign w:val="bottom"/>
          </w:tcPr>
          <w:p w:rsidR="00325D51" w:rsidRPr="00C605D6" w:rsidRDefault="00325D51" w:rsidP="006943FA">
            <w:pPr>
              <w:pStyle w:val="TableText0"/>
              <w:jc w:val="right"/>
              <w:rPr>
                <w:lang w:val="en-US"/>
              </w:rPr>
            </w:pPr>
            <w:r w:rsidRPr="00C605D6">
              <w:rPr>
                <w:lang w:val="en-US"/>
              </w:rPr>
              <w:t>$963</w:t>
            </w:r>
          </w:p>
        </w:tc>
        <w:tc>
          <w:tcPr>
            <w:tcW w:w="1701" w:type="dxa"/>
            <w:noWrap/>
            <w:vAlign w:val="bottom"/>
          </w:tcPr>
          <w:p w:rsidR="00325D51" w:rsidRPr="00C605D6" w:rsidRDefault="00325D51" w:rsidP="006943FA">
            <w:pPr>
              <w:pStyle w:val="TableText0"/>
              <w:jc w:val="right"/>
              <w:rPr>
                <w:lang w:val="en-US"/>
              </w:rPr>
            </w:pPr>
            <w:r w:rsidRPr="00C605D6">
              <w:rPr>
                <w:lang w:val="en-US"/>
              </w:rPr>
              <w:t>$963</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Patient/insurer costs</w:t>
            </w:r>
          </w:p>
        </w:tc>
        <w:tc>
          <w:tcPr>
            <w:tcW w:w="1701" w:type="dxa"/>
            <w:noWrap/>
            <w:vAlign w:val="bottom"/>
          </w:tcPr>
          <w:p w:rsidR="00325D51" w:rsidRPr="00C605D6" w:rsidRDefault="00325D51" w:rsidP="006943FA">
            <w:pPr>
              <w:pStyle w:val="TableText0"/>
              <w:jc w:val="right"/>
              <w:rPr>
                <w:lang w:val="en-US"/>
              </w:rPr>
            </w:pPr>
            <w:r w:rsidRPr="00C605D6">
              <w:rPr>
                <w:lang w:val="en-US"/>
              </w:rPr>
              <w:t>$719</w:t>
            </w:r>
          </w:p>
        </w:tc>
        <w:tc>
          <w:tcPr>
            <w:tcW w:w="1701" w:type="dxa"/>
            <w:noWrap/>
            <w:vAlign w:val="bottom"/>
          </w:tcPr>
          <w:p w:rsidR="00325D51" w:rsidRPr="00C605D6" w:rsidRDefault="00325D51" w:rsidP="006943FA">
            <w:pPr>
              <w:pStyle w:val="TableText0"/>
              <w:jc w:val="right"/>
              <w:rPr>
                <w:lang w:val="en-US"/>
              </w:rPr>
            </w:pPr>
            <w:r w:rsidRPr="00C605D6">
              <w:rPr>
                <w:lang w:val="en-US"/>
              </w:rPr>
              <w:t>$719</w:t>
            </w:r>
          </w:p>
        </w:tc>
      </w:tr>
      <w:tr w:rsidR="00325D51" w:rsidRPr="00C605D6" w:rsidTr="006E0238">
        <w:trPr>
          <w:trHeight w:val="227"/>
        </w:trPr>
        <w:tc>
          <w:tcPr>
            <w:tcW w:w="2618" w:type="dxa"/>
            <w:noWrap/>
            <w:vAlign w:val="bottom"/>
          </w:tcPr>
          <w:p w:rsidR="00325D51" w:rsidRPr="00C605D6" w:rsidRDefault="00325D51" w:rsidP="006943FA">
            <w:pPr>
              <w:pStyle w:val="TableText0"/>
              <w:rPr>
                <w:b/>
                <w:bCs/>
                <w:lang w:val="en-US"/>
              </w:rPr>
            </w:pPr>
            <w:r w:rsidRPr="00C605D6">
              <w:rPr>
                <w:b/>
                <w:bCs/>
                <w:lang w:val="en-US"/>
              </w:rPr>
              <w:t xml:space="preserve">Total </w:t>
            </w:r>
            <w:r w:rsidR="00F64A32" w:rsidRPr="00C605D6">
              <w:rPr>
                <w:b/>
                <w:bCs/>
                <w:lang w:val="en-US"/>
              </w:rPr>
              <w:t>pre-operative</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$1,683</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$1,683</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Consumables</w:t>
            </w:r>
          </w:p>
        </w:tc>
        <w:tc>
          <w:tcPr>
            <w:tcW w:w="1701" w:type="dxa"/>
            <w:noWrap/>
            <w:vAlign w:val="bottom"/>
          </w:tcPr>
          <w:p w:rsidR="00325D51" w:rsidRPr="00C605D6" w:rsidRDefault="00325D51" w:rsidP="006943FA">
            <w:pPr>
              <w:pStyle w:val="TableText0"/>
              <w:jc w:val="right"/>
              <w:rPr>
                <w:lang w:val="en-US"/>
              </w:rPr>
            </w:pPr>
            <w:r w:rsidRPr="00C605D6">
              <w:rPr>
                <w:lang w:val="en-US"/>
              </w:rPr>
              <w:t>$3,535</w:t>
            </w:r>
          </w:p>
        </w:tc>
        <w:tc>
          <w:tcPr>
            <w:tcW w:w="1701" w:type="dxa"/>
            <w:noWrap/>
            <w:vAlign w:val="bottom"/>
          </w:tcPr>
          <w:p w:rsidR="00325D51" w:rsidRPr="00C605D6" w:rsidRDefault="00325D51" w:rsidP="006943FA">
            <w:pPr>
              <w:pStyle w:val="TableText0"/>
              <w:jc w:val="right"/>
              <w:rPr>
                <w:lang w:val="en-US"/>
              </w:rPr>
            </w:pPr>
            <w:r w:rsidRPr="00C605D6">
              <w:rPr>
                <w:lang w:val="en-US"/>
              </w:rPr>
              <w:t>$5</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MBS fees and theatre costs</w:t>
            </w:r>
          </w:p>
        </w:tc>
        <w:tc>
          <w:tcPr>
            <w:tcW w:w="1701" w:type="dxa"/>
            <w:noWrap/>
            <w:vAlign w:val="bottom"/>
          </w:tcPr>
          <w:p w:rsidR="00325D51" w:rsidRPr="00C605D6" w:rsidRDefault="00325D51" w:rsidP="006943FA">
            <w:pPr>
              <w:pStyle w:val="TableText0"/>
              <w:jc w:val="right"/>
              <w:rPr>
                <w:lang w:val="en-US"/>
              </w:rPr>
            </w:pPr>
            <w:r w:rsidRPr="00C605D6">
              <w:rPr>
                <w:lang w:val="en-US"/>
              </w:rPr>
              <w:t>$1,840</w:t>
            </w:r>
          </w:p>
        </w:tc>
        <w:tc>
          <w:tcPr>
            <w:tcW w:w="1701" w:type="dxa"/>
            <w:noWrap/>
            <w:vAlign w:val="bottom"/>
          </w:tcPr>
          <w:p w:rsidR="00325D51" w:rsidRPr="00C605D6" w:rsidRDefault="00325D51" w:rsidP="006943FA">
            <w:pPr>
              <w:pStyle w:val="TableText0"/>
              <w:jc w:val="right"/>
              <w:rPr>
                <w:lang w:val="en-US"/>
              </w:rPr>
            </w:pPr>
            <w:r w:rsidRPr="00C605D6">
              <w:rPr>
                <w:lang w:val="en-US"/>
              </w:rPr>
              <w:t>$2,360</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Patient/insurer costs</w:t>
            </w:r>
            <w:r w:rsidRPr="000F3C8B" w:rsidDel="003F44AC">
              <w:rPr>
                <w:lang w:val="en-AU"/>
              </w:rPr>
              <w:t xml:space="preserve"> </w:t>
            </w:r>
          </w:p>
        </w:tc>
        <w:tc>
          <w:tcPr>
            <w:tcW w:w="1701" w:type="dxa"/>
            <w:noWrap/>
            <w:vAlign w:val="bottom"/>
          </w:tcPr>
          <w:p w:rsidR="00325D51" w:rsidRPr="00C605D6" w:rsidRDefault="00325D51" w:rsidP="006943FA">
            <w:pPr>
              <w:pStyle w:val="TableText0"/>
              <w:jc w:val="right"/>
              <w:rPr>
                <w:lang w:val="en-US"/>
              </w:rPr>
            </w:pPr>
            <w:r w:rsidRPr="00C605D6">
              <w:rPr>
                <w:lang w:val="en-US"/>
              </w:rPr>
              <w:t>$593</w:t>
            </w:r>
          </w:p>
        </w:tc>
        <w:tc>
          <w:tcPr>
            <w:tcW w:w="1701" w:type="dxa"/>
            <w:noWrap/>
            <w:vAlign w:val="bottom"/>
          </w:tcPr>
          <w:p w:rsidR="00325D51" w:rsidRPr="00C605D6" w:rsidRDefault="00325D51" w:rsidP="006943FA">
            <w:pPr>
              <w:pStyle w:val="TableText0"/>
              <w:jc w:val="right"/>
              <w:rPr>
                <w:lang w:val="en-US"/>
              </w:rPr>
            </w:pPr>
            <w:r w:rsidRPr="00C605D6">
              <w:rPr>
                <w:lang w:val="en-US"/>
              </w:rPr>
              <w:t>$781</w:t>
            </w:r>
          </w:p>
        </w:tc>
      </w:tr>
      <w:tr w:rsidR="00325D51" w:rsidRPr="00C605D6" w:rsidTr="006E0238">
        <w:trPr>
          <w:trHeight w:val="227"/>
        </w:trPr>
        <w:tc>
          <w:tcPr>
            <w:tcW w:w="2618" w:type="dxa"/>
            <w:noWrap/>
            <w:vAlign w:val="bottom"/>
          </w:tcPr>
          <w:p w:rsidR="00325D51" w:rsidRPr="00C605D6" w:rsidRDefault="00325D51" w:rsidP="006943FA">
            <w:pPr>
              <w:pStyle w:val="TableText0"/>
              <w:rPr>
                <w:b/>
                <w:bCs/>
                <w:lang w:val="en-US"/>
              </w:rPr>
            </w:pPr>
            <w:r w:rsidRPr="00C605D6">
              <w:rPr>
                <w:b/>
                <w:bCs/>
                <w:lang w:val="en-US"/>
              </w:rPr>
              <w:t>Total surgical</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$5,968</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$3,146</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Consumables</w:t>
            </w:r>
          </w:p>
        </w:tc>
        <w:tc>
          <w:tcPr>
            <w:tcW w:w="1701" w:type="dxa"/>
            <w:noWrap/>
            <w:vAlign w:val="bottom"/>
          </w:tcPr>
          <w:p w:rsidR="00325D51" w:rsidRPr="00C605D6" w:rsidRDefault="00325D51" w:rsidP="006943FA">
            <w:pPr>
              <w:pStyle w:val="TableText0"/>
              <w:jc w:val="right"/>
              <w:rPr>
                <w:lang w:val="en-US"/>
              </w:rPr>
            </w:pPr>
            <w:r w:rsidRPr="00C605D6">
              <w:rPr>
                <w:lang w:val="en-US"/>
              </w:rPr>
              <w:t>$0</w:t>
            </w:r>
          </w:p>
        </w:tc>
        <w:tc>
          <w:tcPr>
            <w:tcW w:w="1701" w:type="dxa"/>
            <w:noWrap/>
            <w:vAlign w:val="bottom"/>
          </w:tcPr>
          <w:p w:rsidR="00325D51" w:rsidRPr="00C605D6" w:rsidRDefault="00325D51" w:rsidP="006943FA">
            <w:pPr>
              <w:pStyle w:val="TableText0"/>
              <w:jc w:val="right"/>
              <w:rPr>
                <w:lang w:val="en-US"/>
              </w:rPr>
            </w:pPr>
            <w:r w:rsidRPr="00C605D6">
              <w:rPr>
                <w:lang w:val="en-US"/>
              </w:rPr>
              <w:t>$0</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 xml:space="preserve">MBS fees </w:t>
            </w:r>
          </w:p>
        </w:tc>
        <w:tc>
          <w:tcPr>
            <w:tcW w:w="1701" w:type="dxa"/>
            <w:noWrap/>
            <w:vAlign w:val="bottom"/>
          </w:tcPr>
          <w:p w:rsidR="00325D51" w:rsidRPr="00C605D6" w:rsidRDefault="00325D51" w:rsidP="006943FA">
            <w:pPr>
              <w:pStyle w:val="TableText0"/>
              <w:jc w:val="right"/>
              <w:rPr>
                <w:lang w:val="en-US"/>
              </w:rPr>
            </w:pPr>
            <w:r w:rsidRPr="00C605D6">
              <w:rPr>
                <w:lang w:val="en-US"/>
              </w:rPr>
              <w:t>$0</w:t>
            </w:r>
          </w:p>
        </w:tc>
        <w:tc>
          <w:tcPr>
            <w:tcW w:w="1701" w:type="dxa"/>
            <w:noWrap/>
            <w:vAlign w:val="bottom"/>
          </w:tcPr>
          <w:p w:rsidR="00325D51" w:rsidRPr="00C605D6" w:rsidRDefault="00325D51" w:rsidP="006943FA">
            <w:pPr>
              <w:pStyle w:val="TableText0"/>
              <w:jc w:val="right"/>
              <w:rPr>
                <w:lang w:val="en-US"/>
              </w:rPr>
            </w:pPr>
            <w:r w:rsidRPr="00C605D6">
              <w:rPr>
                <w:lang w:val="en-US"/>
              </w:rPr>
              <w:t>$267</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Patient/insurer costs</w:t>
            </w:r>
          </w:p>
        </w:tc>
        <w:tc>
          <w:tcPr>
            <w:tcW w:w="1701" w:type="dxa"/>
            <w:noWrap/>
            <w:vAlign w:val="bottom"/>
          </w:tcPr>
          <w:p w:rsidR="00325D51" w:rsidRPr="00C605D6" w:rsidRDefault="00325D51" w:rsidP="006943FA">
            <w:pPr>
              <w:pStyle w:val="TableText0"/>
              <w:jc w:val="right"/>
              <w:rPr>
                <w:lang w:val="en-US"/>
              </w:rPr>
            </w:pPr>
            <w:r w:rsidRPr="00C605D6">
              <w:rPr>
                <w:lang w:val="en-US"/>
              </w:rPr>
              <w:t>$1,746</w:t>
            </w:r>
          </w:p>
        </w:tc>
        <w:tc>
          <w:tcPr>
            <w:tcW w:w="1701" w:type="dxa"/>
            <w:noWrap/>
            <w:vAlign w:val="bottom"/>
          </w:tcPr>
          <w:p w:rsidR="00325D51" w:rsidRPr="00C605D6" w:rsidRDefault="00325D51" w:rsidP="006943FA">
            <w:pPr>
              <w:pStyle w:val="TableText0"/>
              <w:jc w:val="right"/>
              <w:rPr>
                <w:lang w:val="en-US"/>
              </w:rPr>
            </w:pPr>
            <w:r w:rsidRPr="00C605D6">
              <w:rPr>
                <w:lang w:val="en-US"/>
              </w:rPr>
              <w:t>$8,774</w:t>
            </w:r>
          </w:p>
        </w:tc>
      </w:tr>
      <w:tr w:rsidR="00325D51" w:rsidRPr="00C605D6" w:rsidTr="006E0238">
        <w:trPr>
          <w:trHeight w:val="227"/>
        </w:trPr>
        <w:tc>
          <w:tcPr>
            <w:tcW w:w="2618" w:type="dxa"/>
            <w:noWrap/>
            <w:vAlign w:val="bottom"/>
          </w:tcPr>
          <w:p w:rsidR="00325D51" w:rsidRPr="00C605D6" w:rsidRDefault="00325D51" w:rsidP="006943FA">
            <w:pPr>
              <w:pStyle w:val="TableText0"/>
              <w:rPr>
                <w:b/>
                <w:bCs/>
                <w:lang w:val="en-US"/>
              </w:rPr>
            </w:pPr>
            <w:r w:rsidRPr="00C605D6">
              <w:rPr>
                <w:b/>
                <w:bCs/>
                <w:lang w:val="en-US"/>
              </w:rPr>
              <w:t>Total hospital stay</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$1,746</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$9,0</w:t>
            </w:r>
            <w:r w:rsidR="009F6D8E">
              <w:rPr>
                <w:b/>
                <w:bCs/>
                <w:lang w:val="en-US"/>
              </w:rPr>
              <w:t>41</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C605D6">
              <w:rPr>
                <w:lang w:val="en-US"/>
              </w:rPr>
              <w:t>Consumables</w:t>
            </w:r>
          </w:p>
        </w:tc>
        <w:tc>
          <w:tcPr>
            <w:tcW w:w="1701" w:type="dxa"/>
            <w:noWrap/>
            <w:vAlign w:val="bottom"/>
          </w:tcPr>
          <w:p w:rsidR="00325D51" w:rsidRPr="00C605D6" w:rsidRDefault="00325D51" w:rsidP="006943FA">
            <w:pPr>
              <w:pStyle w:val="TableText0"/>
              <w:jc w:val="right"/>
              <w:rPr>
                <w:lang w:val="en-US"/>
              </w:rPr>
            </w:pPr>
            <w:r w:rsidRPr="00C605D6">
              <w:rPr>
                <w:lang w:val="en-US"/>
              </w:rPr>
              <w:t>$0</w:t>
            </w:r>
          </w:p>
        </w:tc>
        <w:tc>
          <w:tcPr>
            <w:tcW w:w="1701" w:type="dxa"/>
            <w:noWrap/>
            <w:vAlign w:val="bottom"/>
          </w:tcPr>
          <w:p w:rsidR="00325D51" w:rsidRPr="00C605D6" w:rsidRDefault="00325D51" w:rsidP="006943FA">
            <w:pPr>
              <w:pStyle w:val="TableText0"/>
              <w:jc w:val="right"/>
              <w:rPr>
                <w:lang w:val="en-US"/>
              </w:rPr>
            </w:pPr>
            <w:r w:rsidRPr="00C605D6">
              <w:rPr>
                <w:lang w:val="en-US"/>
              </w:rPr>
              <w:t>$779</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C605D6">
              <w:rPr>
                <w:lang w:val="en-US"/>
              </w:rPr>
              <w:t>MBS fees</w:t>
            </w:r>
          </w:p>
        </w:tc>
        <w:tc>
          <w:tcPr>
            <w:tcW w:w="1701" w:type="dxa"/>
            <w:noWrap/>
            <w:vAlign w:val="bottom"/>
          </w:tcPr>
          <w:p w:rsidR="00325D51" w:rsidRPr="00C605D6" w:rsidRDefault="00325D51" w:rsidP="006943FA">
            <w:pPr>
              <w:pStyle w:val="TableText0"/>
              <w:jc w:val="right"/>
              <w:rPr>
                <w:lang w:val="en-US"/>
              </w:rPr>
            </w:pPr>
            <w:r w:rsidRPr="00C605D6">
              <w:rPr>
                <w:lang w:val="en-US"/>
              </w:rPr>
              <w:t>$185</w:t>
            </w:r>
          </w:p>
        </w:tc>
        <w:tc>
          <w:tcPr>
            <w:tcW w:w="1701" w:type="dxa"/>
            <w:noWrap/>
            <w:vAlign w:val="bottom"/>
          </w:tcPr>
          <w:p w:rsidR="00325D51" w:rsidRPr="00C605D6" w:rsidRDefault="00325D51" w:rsidP="006943FA">
            <w:pPr>
              <w:pStyle w:val="TableText0"/>
              <w:jc w:val="right"/>
              <w:rPr>
                <w:lang w:val="en-US"/>
              </w:rPr>
            </w:pPr>
            <w:r w:rsidRPr="00C605D6">
              <w:rPr>
                <w:lang w:val="en-US"/>
              </w:rPr>
              <w:t>$105</w:t>
            </w:r>
          </w:p>
        </w:tc>
      </w:tr>
      <w:tr w:rsidR="00325D51" w:rsidRPr="00C605D6" w:rsidTr="006E0238">
        <w:trPr>
          <w:trHeight w:val="227"/>
        </w:trPr>
        <w:tc>
          <w:tcPr>
            <w:tcW w:w="2618" w:type="dxa"/>
            <w:noWrap/>
            <w:vAlign w:val="bottom"/>
          </w:tcPr>
          <w:p w:rsidR="00325D51" w:rsidRPr="00C605D6" w:rsidRDefault="00325D51" w:rsidP="006943FA">
            <w:pPr>
              <w:pStyle w:val="TableText0"/>
              <w:rPr>
                <w:lang w:val="en-US"/>
              </w:rPr>
            </w:pPr>
            <w:r w:rsidRPr="000F3C8B">
              <w:rPr>
                <w:lang w:val="en-AU"/>
              </w:rPr>
              <w:t>Patient/insurer costs</w:t>
            </w:r>
          </w:p>
        </w:tc>
        <w:tc>
          <w:tcPr>
            <w:tcW w:w="1701" w:type="dxa"/>
            <w:noWrap/>
            <w:vAlign w:val="bottom"/>
          </w:tcPr>
          <w:p w:rsidR="00325D51" w:rsidRPr="00C605D6" w:rsidRDefault="00325D51" w:rsidP="006943FA">
            <w:pPr>
              <w:pStyle w:val="TableText0"/>
              <w:jc w:val="right"/>
              <w:rPr>
                <w:lang w:val="en-US"/>
              </w:rPr>
            </w:pPr>
            <w:r w:rsidRPr="00C605D6">
              <w:rPr>
                <w:lang w:val="en-US"/>
              </w:rPr>
              <w:t>$147</w:t>
            </w:r>
          </w:p>
        </w:tc>
        <w:tc>
          <w:tcPr>
            <w:tcW w:w="1701" w:type="dxa"/>
            <w:noWrap/>
            <w:vAlign w:val="bottom"/>
          </w:tcPr>
          <w:p w:rsidR="00325D51" w:rsidRPr="00C605D6" w:rsidRDefault="00325D51" w:rsidP="006943FA">
            <w:pPr>
              <w:pStyle w:val="TableText0"/>
              <w:jc w:val="right"/>
              <w:rPr>
                <w:lang w:val="en-US"/>
              </w:rPr>
            </w:pPr>
            <w:r w:rsidRPr="00C605D6">
              <w:rPr>
                <w:lang w:val="en-US"/>
              </w:rPr>
              <w:t>$7</w:t>
            </w:r>
          </w:p>
        </w:tc>
      </w:tr>
      <w:tr w:rsidR="00325D51" w:rsidRPr="00C605D6" w:rsidTr="006E0238">
        <w:trPr>
          <w:trHeight w:val="227"/>
        </w:trPr>
        <w:tc>
          <w:tcPr>
            <w:tcW w:w="2618" w:type="dxa"/>
            <w:noWrap/>
            <w:vAlign w:val="bottom"/>
          </w:tcPr>
          <w:p w:rsidR="00325D51" w:rsidRPr="00C605D6" w:rsidRDefault="00325D51" w:rsidP="006943FA">
            <w:pPr>
              <w:pStyle w:val="TableText0"/>
              <w:rPr>
                <w:b/>
                <w:bCs/>
                <w:lang w:val="en-US"/>
              </w:rPr>
            </w:pPr>
            <w:r w:rsidRPr="00C605D6">
              <w:rPr>
                <w:b/>
                <w:bCs/>
                <w:lang w:val="en-US"/>
              </w:rPr>
              <w:t>Total post-operative</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$333</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$891</w:t>
            </w:r>
          </w:p>
        </w:tc>
      </w:tr>
      <w:tr w:rsidR="00325D51" w:rsidRPr="00C605D6" w:rsidTr="006E0238">
        <w:trPr>
          <w:trHeight w:val="300"/>
        </w:trPr>
        <w:tc>
          <w:tcPr>
            <w:tcW w:w="2618" w:type="dxa"/>
            <w:noWrap/>
            <w:vAlign w:val="bottom"/>
          </w:tcPr>
          <w:p w:rsidR="00325D51" w:rsidRPr="00C605D6" w:rsidRDefault="00325D51" w:rsidP="006943FA">
            <w:pPr>
              <w:pStyle w:val="TableText0"/>
              <w:rPr>
                <w:b/>
                <w:bCs/>
                <w:lang w:val="en-US"/>
              </w:rPr>
            </w:pPr>
            <w:r w:rsidRPr="00C605D6">
              <w:rPr>
                <w:b/>
                <w:bCs/>
                <w:lang w:val="en-US"/>
              </w:rPr>
              <w:t>Total</w:t>
            </w:r>
            <w:r w:rsidR="00F64A32" w:rsidRPr="00C605D6">
              <w:rPr>
                <w:b/>
                <w:bCs/>
                <w:lang w:val="en-US"/>
              </w:rPr>
              <w:t xml:space="preserve"> costs</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$9,790</w:t>
            </w:r>
          </w:p>
        </w:tc>
        <w:tc>
          <w:tcPr>
            <w:tcW w:w="1701" w:type="dxa"/>
            <w:noWrap/>
            <w:vAlign w:val="bottom"/>
          </w:tcPr>
          <w:p w:rsidR="00325D51" w:rsidRPr="00C605D6" w:rsidRDefault="00325D51" w:rsidP="006943FA">
            <w:pPr>
              <w:pStyle w:val="TableText0"/>
              <w:jc w:val="right"/>
              <w:rPr>
                <w:b/>
                <w:bCs/>
                <w:lang w:val="en-US"/>
              </w:rPr>
            </w:pPr>
            <w:r w:rsidRPr="00C605D6">
              <w:rPr>
                <w:b/>
                <w:bCs/>
                <w:lang w:val="en-US"/>
              </w:rPr>
              <w:t>$14,760</w:t>
            </w:r>
          </w:p>
        </w:tc>
      </w:tr>
    </w:tbl>
    <w:p w:rsidR="006E0238" w:rsidRDefault="006E0238" w:rsidP="006E0238">
      <w:pPr>
        <w:ind w:left="153" w:firstLine="567"/>
        <w:contextualSpacing/>
        <w:rPr>
          <w:rFonts w:ascii="Arial Narrow" w:hAnsi="Arial Narrow"/>
          <w:sz w:val="16"/>
          <w:szCs w:val="16"/>
        </w:rPr>
      </w:pPr>
      <w:r>
        <w:rPr>
          <w:rFonts w:ascii="Arial Narrow" w:hAnsi="Arial Narrow"/>
          <w:sz w:val="16"/>
          <w:szCs w:val="16"/>
        </w:rPr>
        <w:t>MBS: Medicare Benefits Schedule; SEMS: self-expanding metallic stents</w:t>
      </w:r>
    </w:p>
    <w:p w:rsidR="00F71B25" w:rsidRPr="00974F80" w:rsidRDefault="009F6D8E" w:rsidP="00974F80">
      <w:pPr>
        <w:ind w:left="153" w:firstLine="567"/>
        <w:rPr>
          <w:rFonts w:ascii="Arial Narrow" w:hAnsi="Arial Narrow"/>
          <w:sz w:val="16"/>
          <w:szCs w:val="16"/>
        </w:rPr>
      </w:pPr>
      <w:r w:rsidRPr="00974F80">
        <w:rPr>
          <w:rFonts w:ascii="Arial Narrow" w:hAnsi="Arial Narrow"/>
          <w:sz w:val="16"/>
          <w:szCs w:val="16"/>
        </w:rPr>
        <w:t xml:space="preserve">Note: Numbers may not </w:t>
      </w:r>
      <w:r w:rsidR="006E0238">
        <w:rPr>
          <w:rFonts w:ascii="Arial Narrow" w:hAnsi="Arial Narrow"/>
          <w:sz w:val="16"/>
          <w:szCs w:val="16"/>
        </w:rPr>
        <w:t>sum to total</w:t>
      </w:r>
      <w:r w:rsidRPr="00974F80">
        <w:rPr>
          <w:rFonts w:ascii="Arial Narrow" w:hAnsi="Arial Narrow"/>
          <w:sz w:val="16"/>
          <w:szCs w:val="16"/>
        </w:rPr>
        <w:t xml:space="preserve"> due to rounding. </w:t>
      </w:r>
    </w:p>
    <w:p w:rsidR="00F71B25" w:rsidRDefault="00F71B25" w:rsidP="00A92C25">
      <w:r>
        <w:t>Once stent failures, complications and palliation costs are accounted for, the overall average cost of a SEMS versus a colostomy still f</w:t>
      </w:r>
      <w:r w:rsidR="00425540">
        <w:t xml:space="preserve">avours stenting </w:t>
      </w:r>
      <w:r>
        <w:t>(</w:t>
      </w:r>
      <w:r w:rsidR="006F654A">
        <w:t xml:space="preserve">See </w:t>
      </w:r>
      <w:r w:rsidR="00425540">
        <w:fldChar w:fldCharType="begin"/>
      </w:r>
      <w:r w:rsidR="00425540">
        <w:instrText xml:space="preserve"> REF _Ref324951064 \h </w:instrText>
      </w:r>
      <w:r w:rsidR="00425540">
        <w:fldChar w:fldCharType="separate"/>
      </w:r>
      <w:r w:rsidR="0071544A">
        <w:t xml:space="preserve">Table </w:t>
      </w:r>
      <w:r w:rsidR="0071544A">
        <w:rPr>
          <w:noProof/>
        </w:rPr>
        <w:t>68</w:t>
      </w:r>
      <w:r w:rsidR="00425540">
        <w:fldChar w:fldCharType="end"/>
      </w:r>
      <w:r>
        <w:t>)</w:t>
      </w:r>
      <w:r w:rsidR="00425540">
        <w:t>.</w:t>
      </w:r>
    </w:p>
    <w:p w:rsidR="00A92C25" w:rsidRPr="00C605D6" w:rsidRDefault="00425540" w:rsidP="00425540">
      <w:pPr>
        <w:pStyle w:val="Caption"/>
      </w:pPr>
      <w:bookmarkStart w:id="276" w:name="_Ref324951064"/>
      <w:bookmarkStart w:id="277" w:name="_Toc327522112"/>
      <w:r>
        <w:t xml:space="preserve">Table </w:t>
      </w:r>
      <w:fldSimple w:instr=" SEQ Table \* ARABIC ">
        <w:r w:rsidR="0071544A">
          <w:rPr>
            <w:noProof/>
          </w:rPr>
          <w:t>68</w:t>
        </w:r>
      </w:fldSimple>
      <w:bookmarkEnd w:id="276"/>
      <w:r w:rsidR="003F3CA9">
        <w:tab/>
      </w:r>
      <w:r w:rsidR="00A92C25" w:rsidRPr="00C605D6">
        <w:t xml:space="preserve">Estimated total costs of SEMS versus </w:t>
      </w:r>
      <w:r w:rsidR="00F64A32" w:rsidRPr="00C605D6">
        <w:t>co</w:t>
      </w:r>
      <w:r w:rsidR="00A92C25" w:rsidRPr="00C605D6">
        <w:t>lostomy (palliation)</w:t>
      </w:r>
      <w:bookmarkEnd w:id="277"/>
    </w:p>
    <w:tbl>
      <w:tblPr>
        <w:tblW w:w="6204" w:type="dxa"/>
        <w:tblInd w:w="720" w:type="dxa"/>
        <w:tblBorders>
          <w:top w:val="single" w:sz="12" w:space="0" w:color="auto"/>
          <w:bottom w:val="single" w:sz="12" w:space="0" w:color="auto"/>
        </w:tblBorders>
        <w:tblLook w:val="00A0" w:firstRow="1" w:lastRow="0" w:firstColumn="1" w:lastColumn="0" w:noHBand="0" w:noVBand="0"/>
      </w:tblPr>
      <w:tblGrid>
        <w:gridCol w:w="3085"/>
        <w:gridCol w:w="1559"/>
        <w:gridCol w:w="1560"/>
      </w:tblGrid>
      <w:tr w:rsidR="00A92C25" w:rsidRPr="00C605D6" w:rsidTr="006E0238">
        <w:trPr>
          <w:trHeight w:val="227"/>
        </w:trPr>
        <w:tc>
          <w:tcPr>
            <w:tcW w:w="3085" w:type="dxa"/>
            <w:tcBorders>
              <w:top w:val="single" w:sz="12" w:space="0" w:color="auto"/>
              <w:bottom w:val="single" w:sz="4" w:space="0" w:color="auto"/>
            </w:tcBorders>
            <w:noWrap/>
            <w:vAlign w:val="bottom"/>
          </w:tcPr>
          <w:p w:rsidR="00A92C25" w:rsidRPr="00C605D6" w:rsidRDefault="00A92C25" w:rsidP="006E0238">
            <w:pPr>
              <w:keepNext/>
              <w:spacing w:after="0"/>
              <w:ind w:left="0"/>
              <w:rPr>
                <w:rFonts w:ascii="Arial Narrow" w:hAnsi="Arial Narrow"/>
                <w:color w:val="000000"/>
                <w:sz w:val="18"/>
                <w:szCs w:val="18"/>
                <w:lang w:val="en-US" w:eastAsia="en-US"/>
              </w:rPr>
            </w:pPr>
          </w:p>
        </w:tc>
        <w:tc>
          <w:tcPr>
            <w:tcW w:w="1559" w:type="dxa"/>
            <w:tcBorders>
              <w:top w:val="single" w:sz="12" w:space="0" w:color="auto"/>
              <w:bottom w:val="single" w:sz="4" w:space="0" w:color="auto"/>
            </w:tcBorders>
            <w:noWrap/>
            <w:vAlign w:val="bottom"/>
          </w:tcPr>
          <w:p w:rsidR="00A92C25" w:rsidRPr="00C605D6" w:rsidRDefault="00A92C25" w:rsidP="006E0238">
            <w:pPr>
              <w:pStyle w:val="TableHeading0"/>
              <w:jc w:val="right"/>
            </w:pPr>
            <w:r w:rsidRPr="00C605D6">
              <w:t>SEMS</w:t>
            </w:r>
          </w:p>
        </w:tc>
        <w:tc>
          <w:tcPr>
            <w:tcW w:w="1560" w:type="dxa"/>
            <w:tcBorders>
              <w:top w:val="single" w:sz="12" w:space="0" w:color="auto"/>
              <w:bottom w:val="single" w:sz="4" w:space="0" w:color="auto"/>
            </w:tcBorders>
            <w:noWrap/>
            <w:vAlign w:val="bottom"/>
          </w:tcPr>
          <w:p w:rsidR="00A92C25" w:rsidRPr="00C605D6" w:rsidRDefault="00A92C25" w:rsidP="006E0238">
            <w:pPr>
              <w:pStyle w:val="TableHeading0"/>
              <w:jc w:val="right"/>
            </w:pPr>
            <w:r w:rsidRPr="00C605D6">
              <w:t>Colostomy</w:t>
            </w:r>
          </w:p>
        </w:tc>
      </w:tr>
      <w:tr w:rsidR="00A92C25" w:rsidRPr="00C605D6" w:rsidTr="006E0238">
        <w:trPr>
          <w:trHeight w:val="227"/>
        </w:trPr>
        <w:tc>
          <w:tcPr>
            <w:tcW w:w="3085" w:type="dxa"/>
            <w:tcBorders>
              <w:top w:val="single" w:sz="4" w:space="0" w:color="auto"/>
            </w:tcBorders>
            <w:noWrap/>
            <w:vAlign w:val="bottom"/>
          </w:tcPr>
          <w:p w:rsidR="00A92C25" w:rsidRPr="00C605D6" w:rsidRDefault="00A92C25" w:rsidP="006E0238">
            <w:pPr>
              <w:pStyle w:val="TableText0"/>
              <w:rPr>
                <w:lang w:val="en-US"/>
              </w:rPr>
            </w:pPr>
            <w:r w:rsidRPr="00C605D6">
              <w:rPr>
                <w:lang w:val="en-US"/>
              </w:rPr>
              <w:t>Consumables</w:t>
            </w:r>
          </w:p>
        </w:tc>
        <w:tc>
          <w:tcPr>
            <w:tcW w:w="1559" w:type="dxa"/>
            <w:tcBorders>
              <w:top w:val="single" w:sz="4" w:space="0" w:color="auto"/>
            </w:tcBorders>
            <w:noWrap/>
            <w:vAlign w:val="bottom"/>
          </w:tcPr>
          <w:p w:rsidR="00A92C25" w:rsidRPr="00C605D6" w:rsidRDefault="00A92C25" w:rsidP="006E0238">
            <w:pPr>
              <w:pStyle w:val="TableText0"/>
              <w:jc w:val="right"/>
              <w:rPr>
                <w:lang w:val="en-US"/>
              </w:rPr>
            </w:pPr>
            <w:r w:rsidRPr="00C605D6">
              <w:rPr>
                <w:lang w:val="en-US"/>
              </w:rPr>
              <w:t>$3,902</w:t>
            </w:r>
          </w:p>
        </w:tc>
        <w:tc>
          <w:tcPr>
            <w:tcW w:w="1560" w:type="dxa"/>
            <w:tcBorders>
              <w:top w:val="single" w:sz="4" w:space="0" w:color="auto"/>
            </w:tcBorders>
            <w:noWrap/>
            <w:vAlign w:val="bottom"/>
          </w:tcPr>
          <w:p w:rsidR="00A92C25" w:rsidRPr="00C605D6" w:rsidRDefault="00A92C25" w:rsidP="006E0238">
            <w:pPr>
              <w:pStyle w:val="TableText0"/>
              <w:jc w:val="right"/>
              <w:rPr>
                <w:lang w:val="en-US"/>
              </w:rPr>
            </w:pPr>
            <w:r w:rsidRPr="00C605D6">
              <w:rPr>
                <w:lang w:val="en-US"/>
              </w:rPr>
              <w:t>$690</w:t>
            </w:r>
          </w:p>
        </w:tc>
      </w:tr>
      <w:tr w:rsidR="00A92C25" w:rsidRPr="00C605D6" w:rsidTr="006E0238">
        <w:trPr>
          <w:trHeight w:val="227"/>
        </w:trPr>
        <w:tc>
          <w:tcPr>
            <w:tcW w:w="3085" w:type="dxa"/>
            <w:noWrap/>
            <w:vAlign w:val="bottom"/>
          </w:tcPr>
          <w:p w:rsidR="00A92C25" w:rsidRPr="00C605D6" w:rsidRDefault="00A92C25" w:rsidP="006E0238">
            <w:pPr>
              <w:pStyle w:val="TableText0"/>
              <w:rPr>
                <w:lang w:val="en-US"/>
              </w:rPr>
            </w:pPr>
            <w:r w:rsidRPr="00C605D6">
              <w:rPr>
                <w:lang w:val="en-US"/>
              </w:rPr>
              <w:t>MBS fees</w:t>
            </w:r>
          </w:p>
        </w:tc>
        <w:tc>
          <w:tcPr>
            <w:tcW w:w="1559" w:type="dxa"/>
            <w:noWrap/>
            <w:vAlign w:val="bottom"/>
          </w:tcPr>
          <w:p w:rsidR="00A92C25" w:rsidRPr="00C605D6" w:rsidRDefault="00A92C25" w:rsidP="006E0238">
            <w:pPr>
              <w:pStyle w:val="TableText0"/>
              <w:jc w:val="right"/>
              <w:rPr>
                <w:lang w:val="en-US"/>
              </w:rPr>
            </w:pPr>
            <w:r w:rsidRPr="00C605D6">
              <w:rPr>
                <w:lang w:val="en-US"/>
              </w:rPr>
              <w:t>$9,659</w:t>
            </w:r>
          </w:p>
        </w:tc>
        <w:tc>
          <w:tcPr>
            <w:tcW w:w="1560" w:type="dxa"/>
            <w:noWrap/>
            <w:vAlign w:val="bottom"/>
          </w:tcPr>
          <w:p w:rsidR="00A92C25" w:rsidRPr="00C605D6" w:rsidRDefault="00A92C25" w:rsidP="006E0238">
            <w:pPr>
              <w:pStyle w:val="TableText0"/>
              <w:jc w:val="right"/>
              <w:rPr>
                <w:lang w:val="en-US"/>
              </w:rPr>
            </w:pPr>
            <w:r w:rsidRPr="00C605D6">
              <w:rPr>
                <w:lang w:val="en-US"/>
              </w:rPr>
              <w:t>$11,285</w:t>
            </w:r>
          </w:p>
        </w:tc>
      </w:tr>
      <w:tr w:rsidR="00A92C25" w:rsidRPr="00C605D6" w:rsidTr="006E0238">
        <w:trPr>
          <w:trHeight w:val="227"/>
        </w:trPr>
        <w:tc>
          <w:tcPr>
            <w:tcW w:w="3085" w:type="dxa"/>
            <w:noWrap/>
            <w:vAlign w:val="bottom"/>
          </w:tcPr>
          <w:p w:rsidR="00A92C25" w:rsidRPr="00C605D6" w:rsidRDefault="00A92C25" w:rsidP="006E0238">
            <w:pPr>
              <w:pStyle w:val="TableText0"/>
              <w:rPr>
                <w:lang w:val="en-US"/>
              </w:rPr>
            </w:pPr>
            <w:r w:rsidRPr="000F3C8B">
              <w:rPr>
                <w:lang w:val="en-AU"/>
              </w:rPr>
              <w:t>Patient/insurer costs</w:t>
            </w:r>
          </w:p>
        </w:tc>
        <w:tc>
          <w:tcPr>
            <w:tcW w:w="1559" w:type="dxa"/>
            <w:noWrap/>
            <w:vAlign w:val="bottom"/>
          </w:tcPr>
          <w:p w:rsidR="00A92C25" w:rsidRPr="00C605D6" w:rsidRDefault="00A92C25" w:rsidP="006E0238">
            <w:pPr>
              <w:pStyle w:val="TableText0"/>
              <w:jc w:val="right"/>
              <w:rPr>
                <w:lang w:val="en-US"/>
              </w:rPr>
            </w:pPr>
            <w:r w:rsidRPr="00C605D6">
              <w:rPr>
                <w:lang w:val="en-US"/>
              </w:rPr>
              <w:t>$4,248</w:t>
            </w:r>
          </w:p>
        </w:tc>
        <w:tc>
          <w:tcPr>
            <w:tcW w:w="1560" w:type="dxa"/>
            <w:noWrap/>
            <w:vAlign w:val="bottom"/>
          </w:tcPr>
          <w:p w:rsidR="00A92C25" w:rsidRPr="00C605D6" w:rsidRDefault="00A92C25" w:rsidP="006E0238">
            <w:pPr>
              <w:pStyle w:val="TableText0"/>
              <w:jc w:val="right"/>
              <w:rPr>
                <w:lang w:val="en-US"/>
              </w:rPr>
            </w:pPr>
            <w:r w:rsidRPr="00C605D6">
              <w:rPr>
                <w:lang w:val="en-US"/>
              </w:rPr>
              <w:t>$8,541</w:t>
            </w:r>
          </w:p>
        </w:tc>
      </w:tr>
      <w:tr w:rsidR="00A92C25" w:rsidRPr="00C605D6" w:rsidTr="006E0238">
        <w:trPr>
          <w:trHeight w:val="227"/>
        </w:trPr>
        <w:tc>
          <w:tcPr>
            <w:tcW w:w="3085" w:type="dxa"/>
            <w:noWrap/>
            <w:vAlign w:val="bottom"/>
          </w:tcPr>
          <w:p w:rsidR="00A92C25" w:rsidRPr="00C605D6" w:rsidRDefault="00A92C25" w:rsidP="006E0238">
            <w:pPr>
              <w:pStyle w:val="TableText0"/>
              <w:rPr>
                <w:b/>
                <w:bCs/>
                <w:lang w:val="en-US"/>
              </w:rPr>
            </w:pPr>
            <w:r w:rsidRPr="00C605D6">
              <w:rPr>
                <w:b/>
                <w:bCs/>
                <w:lang w:val="en-US"/>
              </w:rPr>
              <w:t>Total post-operative</w:t>
            </w:r>
          </w:p>
        </w:tc>
        <w:tc>
          <w:tcPr>
            <w:tcW w:w="1559" w:type="dxa"/>
            <w:noWrap/>
            <w:vAlign w:val="bottom"/>
          </w:tcPr>
          <w:p w:rsidR="00A92C25" w:rsidRPr="00C605D6" w:rsidRDefault="00A92C25" w:rsidP="006E0238">
            <w:pPr>
              <w:pStyle w:val="TableText0"/>
              <w:jc w:val="right"/>
              <w:rPr>
                <w:b/>
                <w:bCs/>
                <w:lang w:val="en-US"/>
              </w:rPr>
            </w:pPr>
            <w:r w:rsidRPr="00C605D6">
              <w:rPr>
                <w:b/>
                <w:bCs/>
                <w:lang w:val="en-US"/>
              </w:rPr>
              <w:t>$17,809</w:t>
            </w:r>
          </w:p>
        </w:tc>
        <w:tc>
          <w:tcPr>
            <w:tcW w:w="1560" w:type="dxa"/>
            <w:noWrap/>
            <w:vAlign w:val="bottom"/>
          </w:tcPr>
          <w:p w:rsidR="00A92C25" w:rsidRPr="00C605D6" w:rsidRDefault="00A92C25" w:rsidP="006E0238">
            <w:pPr>
              <w:pStyle w:val="TableText0"/>
              <w:jc w:val="right"/>
              <w:rPr>
                <w:b/>
                <w:bCs/>
                <w:lang w:val="en-US"/>
              </w:rPr>
            </w:pPr>
            <w:r w:rsidRPr="00C605D6">
              <w:rPr>
                <w:b/>
                <w:bCs/>
                <w:lang w:val="en-US"/>
              </w:rPr>
              <w:t>$20,516</w:t>
            </w:r>
          </w:p>
        </w:tc>
      </w:tr>
    </w:tbl>
    <w:p w:rsidR="00A92C25" w:rsidRDefault="006E0238" w:rsidP="006E0238">
      <w:pPr>
        <w:ind w:left="153" w:firstLine="567"/>
      </w:pPr>
      <w:r>
        <w:rPr>
          <w:rFonts w:ascii="Arial Narrow" w:hAnsi="Arial Narrow"/>
          <w:sz w:val="16"/>
          <w:szCs w:val="16"/>
        </w:rPr>
        <w:t>MBS: Medicare Benefits Schedule; SEMS: self-expanding metallic stents</w:t>
      </w:r>
    </w:p>
    <w:p w:rsidR="00F71B25" w:rsidRDefault="00425540" w:rsidP="00A92C25">
      <w:r>
        <w:fldChar w:fldCharType="begin"/>
      </w:r>
      <w:r>
        <w:instrText xml:space="preserve"> REF _Ref324951124 \h </w:instrText>
      </w:r>
      <w:r>
        <w:fldChar w:fldCharType="separate"/>
      </w:r>
      <w:r w:rsidR="0071544A">
        <w:t xml:space="preserve">Table </w:t>
      </w:r>
      <w:r w:rsidR="0071544A">
        <w:rPr>
          <w:noProof/>
        </w:rPr>
        <w:t>69</w:t>
      </w:r>
      <w:r>
        <w:fldChar w:fldCharType="end"/>
      </w:r>
      <w:r>
        <w:t xml:space="preserve"> </w:t>
      </w:r>
      <w:r w:rsidR="00F71B25">
        <w:t xml:space="preserve">and </w:t>
      </w:r>
      <w:r>
        <w:fldChar w:fldCharType="begin"/>
      </w:r>
      <w:r>
        <w:instrText xml:space="preserve"> REF _Ref324951151 \h </w:instrText>
      </w:r>
      <w:r>
        <w:fldChar w:fldCharType="separate"/>
      </w:r>
      <w:r w:rsidR="0071544A">
        <w:t xml:space="preserve">Table </w:t>
      </w:r>
      <w:r w:rsidR="0071544A">
        <w:rPr>
          <w:noProof/>
        </w:rPr>
        <w:t>70</w:t>
      </w:r>
      <w:r>
        <w:fldChar w:fldCharType="end"/>
      </w:r>
      <w:r>
        <w:t xml:space="preserve"> </w:t>
      </w:r>
      <w:r w:rsidR="00F71B25">
        <w:t>show the overall estimated impact of SEMS placement in lieu of a colostomy. If all patients who would have received colostomy received SEMS, the overall cost savings would be between $363,981(lower estimate) and $1,319,430 (upper limit). The cost savings are mainly due to lower MBS costs and lower patient/private health insurance costs due to short hospitalisation. However</w:t>
      </w:r>
      <w:r w:rsidR="00F64A32">
        <w:t>,</w:t>
      </w:r>
      <w:r w:rsidR="00F71B25">
        <w:t xml:space="preserve"> the cost savings are offset somewhat by an increased cost in consumables, given the high costs of the stent itself. </w:t>
      </w:r>
    </w:p>
    <w:p w:rsidR="00A92C25" w:rsidRPr="00C605D6" w:rsidRDefault="00425540" w:rsidP="00425540">
      <w:pPr>
        <w:pStyle w:val="Caption"/>
      </w:pPr>
      <w:bookmarkStart w:id="278" w:name="_Ref324951124"/>
      <w:bookmarkStart w:id="279" w:name="_Toc327522113"/>
      <w:r>
        <w:lastRenderedPageBreak/>
        <w:t xml:space="preserve">Table </w:t>
      </w:r>
      <w:fldSimple w:instr=" SEQ Table \* ARABIC ">
        <w:r w:rsidR="0071544A">
          <w:rPr>
            <w:noProof/>
          </w:rPr>
          <w:t>69</w:t>
        </w:r>
      </w:fldSimple>
      <w:bookmarkEnd w:id="278"/>
      <w:r w:rsidR="00A92C25" w:rsidRPr="00C605D6">
        <w:tab/>
        <w:t xml:space="preserve">Estimated total costs of SEMS versus </w:t>
      </w:r>
      <w:r w:rsidR="00F64A32" w:rsidRPr="00C605D6">
        <w:t>c</w:t>
      </w:r>
      <w:r w:rsidR="00A92C25" w:rsidRPr="00C605D6">
        <w:t>olostomy (lower limit)</w:t>
      </w:r>
      <w:bookmarkEnd w:id="279"/>
    </w:p>
    <w:tbl>
      <w:tblPr>
        <w:tblW w:w="6159" w:type="dxa"/>
        <w:tblInd w:w="720" w:type="dxa"/>
        <w:tblBorders>
          <w:top w:val="single" w:sz="12" w:space="0" w:color="auto"/>
          <w:bottom w:val="single" w:sz="12" w:space="0" w:color="auto"/>
        </w:tblBorders>
        <w:tblLook w:val="00A0" w:firstRow="1" w:lastRow="0" w:firstColumn="1" w:lastColumn="0" w:noHBand="0" w:noVBand="0"/>
      </w:tblPr>
      <w:tblGrid>
        <w:gridCol w:w="2988"/>
        <w:gridCol w:w="1559"/>
        <w:gridCol w:w="1612"/>
      </w:tblGrid>
      <w:tr w:rsidR="00A92C25" w:rsidRPr="00C605D6" w:rsidTr="006E0238">
        <w:trPr>
          <w:trHeight w:val="227"/>
        </w:trPr>
        <w:tc>
          <w:tcPr>
            <w:tcW w:w="2988" w:type="dxa"/>
            <w:tcBorders>
              <w:top w:val="single" w:sz="12" w:space="0" w:color="auto"/>
              <w:bottom w:val="single" w:sz="4" w:space="0" w:color="auto"/>
            </w:tcBorders>
            <w:noWrap/>
            <w:vAlign w:val="bottom"/>
          </w:tcPr>
          <w:p w:rsidR="00A92C25" w:rsidRPr="00C605D6" w:rsidRDefault="00A92C25" w:rsidP="006943FA">
            <w:pPr>
              <w:keepNext/>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559" w:type="dxa"/>
            <w:tcBorders>
              <w:top w:val="single" w:sz="12" w:space="0" w:color="auto"/>
              <w:bottom w:val="single" w:sz="4" w:space="0" w:color="auto"/>
            </w:tcBorders>
            <w:noWrap/>
            <w:vAlign w:val="bottom"/>
          </w:tcPr>
          <w:p w:rsidR="00A92C25" w:rsidRPr="00C605D6" w:rsidRDefault="00A92C25" w:rsidP="006943FA">
            <w:pPr>
              <w:pStyle w:val="TableHeading0"/>
              <w:jc w:val="right"/>
            </w:pPr>
            <w:r w:rsidRPr="00C605D6">
              <w:t>SEMS</w:t>
            </w:r>
          </w:p>
        </w:tc>
        <w:tc>
          <w:tcPr>
            <w:tcW w:w="1612" w:type="dxa"/>
            <w:tcBorders>
              <w:top w:val="single" w:sz="12" w:space="0" w:color="auto"/>
              <w:bottom w:val="single" w:sz="4" w:space="0" w:color="auto"/>
            </w:tcBorders>
            <w:noWrap/>
            <w:vAlign w:val="bottom"/>
          </w:tcPr>
          <w:p w:rsidR="00A92C25" w:rsidRPr="00C605D6" w:rsidRDefault="00A92C25" w:rsidP="006943FA">
            <w:pPr>
              <w:pStyle w:val="TableHeading0"/>
              <w:jc w:val="right"/>
            </w:pPr>
            <w:r w:rsidRPr="00C605D6">
              <w:t>Colostomy</w:t>
            </w:r>
          </w:p>
        </w:tc>
      </w:tr>
      <w:tr w:rsidR="00A92C25" w:rsidRPr="00C605D6" w:rsidTr="006E0238">
        <w:trPr>
          <w:trHeight w:val="227"/>
        </w:trPr>
        <w:tc>
          <w:tcPr>
            <w:tcW w:w="2988" w:type="dxa"/>
            <w:tcBorders>
              <w:top w:val="single" w:sz="4" w:space="0" w:color="auto"/>
            </w:tcBorders>
            <w:noWrap/>
            <w:vAlign w:val="bottom"/>
          </w:tcPr>
          <w:p w:rsidR="00A92C25" w:rsidRPr="00083B85" w:rsidRDefault="00A92C25" w:rsidP="006943FA">
            <w:pPr>
              <w:pStyle w:val="TableText0"/>
              <w:rPr>
                <w:lang w:val="en-US"/>
              </w:rPr>
            </w:pPr>
            <w:r w:rsidRPr="00083B85">
              <w:rPr>
                <w:lang w:val="en-US"/>
              </w:rPr>
              <w:t>Total cost per patient</w:t>
            </w:r>
          </w:p>
        </w:tc>
        <w:tc>
          <w:tcPr>
            <w:tcW w:w="1559" w:type="dxa"/>
            <w:tcBorders>
              <w:top w:val="single" w:sz="4" w:space="0" w:color="auto"/>
            </w:tcBorders>
            <w:noWrap/>
            <w:vAlign w:val="bottom"/>
          </w:tcPr>
          <w:p w:rsidR="00A92C25" w:rsidRPr="00083B85" w:rsidRDefault="00A92C25" w:rsidP="006943FA">
            <w:pPr>
              <w:pStyle w:val="TableText0"/>
              <w:jc w:val="right"/>
              <w:rPr>
                <w:lang w:val="en-US"/>
              </w:rPr>
            </w:pPr>
            <w:r w:rsidRPr="000F3C8B">
              <w:rPr>
                <w:lang w:val="en-AU"/>
              </w:rPr>
              <w:t>$17,809</w:t>
            </w:r>
          </w:p>
        </w:tc>
        <w:tc>
          <w:tcPr>
            <w:tcW w:w="1612" w:type="dxa"/>
            <w:tcBorders>
              <w:top w:val="single" w:sz="4" w:space="0" w:color="auto"/>
            </w:tcBorders>
            <w:noWrap/>
            <w:vAlign w:val="bottom"/>
          </w:tcPr>
          <w:p w:rsidR="00A92C25" w:rsidRPr="00083B85" w:rsidRDefault="00A92C25" w:rsidP="006943FA">
            <w:pPr>
              <w:pStyle w:val="TableText0"/>
              <w:jc w:val="right"/>
              <w:rPr>
                <w:lang w:val="en-US"/>
              </w:rPr>
            </w:pPr>
            <w:r w:rsidRPr="000F3C8B">
              <w:rPr>
                <w:lang w:val="en-AU"/>
              </w:rPr>
              <w:t>$20,516</w:t>
            </w:r>
          </w:p>
        </w:tc>
      </w:tr>
      <w:tr w:rsidR="00A92C25" w:rsidRPr="00C605D6" w:rsidTr="006E0238">
        <w:trPr>
          <w:trHeight w:val="227"/>
        </w:trPr>
        <w:tc>
          <w:tcPr>
            <w:tcW w:w="2988" w:type="dxa"/>
            <w:noWrap/>
            <w:vAlign w:val="bottom"/>
          </w:tcPr>
          <w:p w:rsidR="00A92C25" w:rsidRPr="00083B85" w:rsidRDefault="00A92C25" w:rsidP="006943FA">
            <w:pPr>
              <w:pStyle w:val="TableText0"/>
              <w:rPr>
                <w:lang w:val="en-US"/>
              </w:rPr>
            </w:pPr>
            <w:r w:rsidRPr="00083B85">
              <w:rPr>
                <w:lang w:val="en-US"/>
              </w:rPr>
              <w:t>Number of patients</w:t>
            </w:r>
          </w:p>
        </w:tc>
        <w:tc>
          <w:tcPr>
            <w:tcW w:w="1559" w:type="dxa"/>
            <w:noWrap/>
            <w:vAlign w:val="bottom"/>
          </w:tcPr>
          <w:p w:rsidR="00A92C25" w:rsidRPr="00083B85" w:rsidRDefault="00A92C25" w:rsidP="006943FA">
            <w:pPr>
              <w:pStyle w:val="TableText0"/>
              <w:jc w:val="right"/>
              <w:rPr>
                <w:lang w:val="en-US"/>
              </w:rPr>
            </w:pPr>
            <w:r w:rsidRPr="000F3C8B">
              <w:rPr>
                <w:lang w:val="en-AU"/>
              </w:rPr>
              <w:t xml:space="preserve">134 </w:t>
            </w:r>
          </w:p>
        </w:tc>
        <w:tc>
          <w:tcPr>
            <w:tcW w:w="1612" w:type="dxa"/>
            <w:noWrap/>
            <w:vAlign w:val="bottom"/>
          </w:tcPr>
          <w:p w:rsidR="00A92C25" w:rsidRPr="00083B85" w:rsidRDefault="00A92C25" w:rsidP="006943FA">
            <w:pPr>
              <w:pStyle w:val="TableText0"/>
              <w:jc w:val="right"/>
              <w:rPr>
                <w:lang w:val="en-US"/>
              </w:rPr>
            </w:pPr>
            <w:r w:rsidRPr="000F3C8B">
              <w:rPr>
                <w:lang w:val="en-AU"/>
              </w:rPr>
              <w:t xml:space="preserve">134 </w:t>
            </w:r>
          </w:p>
        </w:tc>
      </w:tr>
      <w:tr w:rsidR="00A92C25" w:rsidRPr="00C605D6" w:rsidTr="006E0238">
        <w:trPr>
          <w:trHeight w:val="227"/>
        </w:trPr>
        <w:tc>
          <w:tcPr>
            <w:tcW w:w="2988" w:type="dxa"/>
            <w:noWrap/>
            <w:vAlign w:val="bottom"/>
          </w:tcPr>
          <w:p w:rsidR="00A92C25" w:rsidRPr="00083B85" w:rsidRDefault="00A92C25" w:rsidP="006943FA">
            <w:pPr>
              <w:pStyle w:val="TableText0"/>
              <w:rPr>
                <w:i/>
                <w:iCs/>
                <w:lang w:val="en-US"/>
              </w:rPr>
            </w:pPr>
            <w:r w:rsidRPr="00083B85">
              <w:rPr>
                <w:i/>
                <w:iCs/>
                <w:lang w:val="en-US"/>
              </w:rPr>
              <w:t>Brea</w:t>
            </w:r>
            <w:r w:rsidR="00083B85">
              <w:rPr>
                <w:i/>
                <w:iCs/>
                <w:lang w:val="en-US"/>
              </w:rPr>
              <w:t>kdown of financial implications</w:t>
            </w:r>
          </w:p>
        </w:tc>
        <w:tc>
          <w:tcPr>
            <w:tcW w:w="1559" w:type="dxa"/>
            <w:noWrap/>
            <w:vAlign w:val="bottom"/>
          </w:tcPr>
          <w:p w:rsidR="00A92C25" w:rsidRPr="00083B85" w:rsidRDefault="00A92C25" w:rsidP="006943FA">
            <w:pPr>
              <w:pStyle w:val="TableText0"/>
              <w:jc w:val="right"/>
              <w:rPr>
                <w:lang w:val="en-US"/>
              </w:rPr>
            </w:pPr>
            <w:r w:rsidRPr="000F3C8B">
              <w:rPr>
                <w:lang w:val="en-AU"/>
              </w:rPr>
              <w:t> </w:t>
            </w:r>
          </w:p>
        </w:tc>
        <w:tc>
          <w:tcPr>
            <w:tcW w:w="1612" w:type="dxa"/>
            <w:noWrap/>
            <w:vAlign w:val="bottom"/>
          </w:tcPr>
          <w:p w:rsidR="00A92C25" w:rsidRPr="00083B85" w:rsidRDefault="00A92C25" w:rsidP="006943FA">
            <w:pPr>
              <w:pStyle w:val="TableText0"/>
              <w:jc w:val="right"/>
              <w:rPr>
                <w:lang w:val="en-US"/>
              </w:rPr>
            </w:pPr>
            <w:r w:rsidRPr="000F3C8B">
              <w:rPr>
                <w:lang w:val="en-AU"/>
              </w:rPr>
              <w:t> </w:t>
            </w:r>
          </w:p>
        </w:tc>
      </w:tr>
      <w:tr w:rsidR="00A92C25" w:rsidRPr="00C605D6" w:rsidTr="006E0238">
        <w:trPr>
          <w:trHeight w:val="227"/>
        </w:trPr>
        <w:tc>
          <w:tcPr>
            <w:tcW w:w="2988" w:type="dxa"/>
            <w:noWrap/>
            <w:vAlign w:val="bottom"/>
          </w:tcPr>
          <w:p w:rsidR="00A92C25" w:rsidRPr="00083B85" w:rsidRDefault="00A92C25" w:rsidP="006943FA">
            <w:pPr>
              <w:pStyle w:val="TableText0"/>
              <w:rPr>
                <w:lang w:val="en-US"/>
              </w:rPr>
            </w:pPr>
            <w:r w:rsidRPr="00083B85">
              <w:rPr>
                <w:lang w:val="en-US"/>
              </w:rPr>
              <w:t>Consumables</w:t>
            </w:r>
          </w:p>
        </w:tc>
        <w:tc>
          <w:tcPr>
            <w:tcW w:w="1559" w:type="dxa"/>
            <w:noWrap/>
            <w:vAlign w:val="bottom"/>
          </w:tcPr>
          <w:p w:rsidR="00A92C25" w:rsidRPr="00083B85" w:rsidRDefault="00A92C25" w:rsidP="006943FA">
            <w:pPr>
              <w:pStyle w:val="TableText0"/>
              <w:jc w:val="right"/>
              <w:rPr>
                <w:lang w:val="en-US"/>
              </w:rPr>
            </w:pPr>
            <w:r w:rsidRPr="000F3C8B">
              <w:rPr>
                <w:lang w:val="en-AU"/>
              </w:rPr>
              <w:t>$524,659</w:t>
            </w:r>
          </w:p>
        </w:tc>
        <w:tc>
          <w:tcPr>
            <w:tcW w:w="1612" w:type="dxa"/>
            <w:noWrap/>
            <w:vAlign w:val="bottom"/>
          </w:tcPr>
          <w:p w:rsidR="00A92C25" w:rsidRPr="00083B85" w:rsidRDefault="00A92C25" w:rsidP="006943FA">
            <w:pPr>
              <w:pStyle w:val="TableText0"/>
              <w:jc w:val="right"/>
              <w:rPr>
                <w:lang w:val="en-US"/>
              </w:rPr>
            </w:pPr>
            <w:r w:rsidRPr="000F3C8B">
              <w:rPr>
                <w:lang w:val="en-AU"/>
              </w:rPr>
              <w:t>$92,777</w:t>
            </w:r>
          </w:p>
        </w:tc>
      </w:tr>
      <w:tr w:rsidR="00A92C25" w:rsidRPr="00C605D6" w:rsidTr="006E0238">
        <w:trPr>
          <w:trHeight w:val="227"/>
        </w:trPr>
        <w:tc>
          <w:tcPr>
            <w:tcW w:w="2988" w:type="dxa"/>
            <w:noWrap/>
            <w:vAlign w:val="bottom"/>
          </w:tcPr>
          <w:p w:rsidR="00A92C25" w:rsidRPr="00083B85" w:rsidRDefault="00A92C25" w:rsidP="006943FA">
            <w:pPr>
              <w:pStyle w:val="TableText0"/>
              <w:rPr>
                <w:lang w:val="en-US"/>
              </w:rPr>
            </w:pPr>
            <w:r w:rsidRPr="00083B85">
              <w:rPr>
                <w:lang w:val="en-US"/>
              </w:rPr>
              <w:t xml:space="preserve">MBS </w:t>
            </w:r>
            <w:r w:rsidR="00F64A32" w:rsidRPr="00083B85">
              <w:rPr>
                <w:lang w:val="en-US"/>
              </w:rPr>
              <w:t>it</w:t>
            </w:r>
            <w:r w:rsidRPr="00083B85">
              <w:rPr>
                <w:lang w:val="en-US"/>
              </w:rPr>
              <w:t>ems</w:t>
            </w:r>
          </w:p>
        </w:tc>
        <w:tc>
          <w:tcPr>
            <w:tcW w:w="1559" w:type="dxa"/>
            <w:noWrap/>
            <w:vAlign w:val="bottom"/>
          </w:tcPr>
          <w:p w:rsidR="00A92C25" w:rsidRPr="00083B85" w:rsidRDefault="00A92C25" w:rsidP="006943FA">
            <w:pPr>
              <w:pStyle w:val="TableText0"/>
              <w:jc w:val="right"/>
              <w:rPr>
                <w:lang w:val="en-US"/>
              </w:rPr>
            </w:pPr>
            <w:r w:rsidRPr="000F3C8B">
              <w:rPr>
                <w:lang w:val="en-AU"/>
              </w:rPr>
              <w:t>$1,298,740</w:t>
            </w:r>
          </w:p>
        </w:tc>
        <w:tc>
          <w:tcPr>
            <w:tcW w:w="1612" w:type="dxa"/>
            <w:noWrap/>
            <w:vAlign w:val="bottom"/>
          </w:tcPr>
          <w:p w:rsidR="00A92C25" w:rsidRPr="00083B85" w:rsidRDefault="00A92C25" w:rsidP="006943FA">
            <w:pPr>
              <w:pStyle w:val="TableText0"/>
              <w:jc w:val="right"/>
              <w:rPr>
                <w:lang w:val="en-US"/>
              </w:rPr>
            </w:pPr>
            <w:r w:rsidRPr="000F3C8B">
              <w:rPr>
                <w:lang w:val="en-AU"/>
              </w:rPr>
              <w:t>$1,517,371</w:t>
            </w:r>
          </w:p>
        </w:tc>
      </w:tr>
      <w:tr w:rsidR="00A92C25" w:rsidRPr="00C605D6" w:rsidTr="006E0238">
        <w:trPr>
          <w:trHeight w:val="227"/>
        </w:trPr>
        <w:tc>
          <w:tcPr>
            <w:tcW w:w="2988" w:type="dxa"/>
            <w:noWrap/>
            <w:vAlign w:val="bottom"/>
          </w:tcPr>
          <w:p w:rsidR="00A92C25" w:rsidRPr="00083B85" w:rsidRDefault="00A92C25" w:rsidP="006943FA">
            <w:pPr>
              <w:pStyle w:val="TableText0"/>
              <w:rPr>
                <w:lang w:val="en-US"/>
              </w:rPr>
            </w:pPr>
            <w:r w:rsidRPr="000F3C8B">
              <w:rPr>
                <w:lang w:val="en-AU"/>
              </w:rPr>
              <w:t>Patient/insurer costs</w:t>
            </w:r>
          </w:p>
        </w:tc>
        <w:tc>
          <w:tcPr>
            <w:tcW w:w="1559" w:type="dxa"/>
            <w:noWrap/>
            <w:vAlign w:val="bottom"/>
          </w:tcPr>
          <w:p w:rsidR="00A92C25" w:rsidRPr="00083B85" w:rsidRDefault="00A92C25" w:rsidP="006943FA">
            <w:pPr>
              <w:pStyle w:val="TableText0"/>
              <w:jc w:val="right"/>
              <w:rPr>
                <w:lang w:val="en-US"/>
              </w:rPr>
            </w:pPr>
            <w:r w:rsidRPr="000F3C8B">
              <w:rPr>
                <w:lang w:val="en-AU"/>
              </w:rPr>
              <w:t>$571,182</w:t>
            </w:r>
          </w:p>
        </w:tc>
        <w:tc>
          <w:tcPr>
            <w:tcW w:w="1612" w:type="dxa"/>
            <w:noWrap/>
            <w:vAlign w:val="bottom"/>
          </w:tcPr>
          <w:p w:rsidR="00A92C25" w:rsidRPr="00083B85" w:rsidRDefault="00A92C25" w:rsidP="006943FA">
            <w:pPr>
              <w:pStyle w:val="TableText0"/>
              <w:jc w:val="right"/>
              <w:rPr>
                <w:lang w:val="en-US"/>
              </w:rPr>
            </w:pPr>
            <w:r w:rsidRPr="000F3C8B">
              <w:rPr>
                <w:lang w:val="en-AU"/>
              </w:rPr>
              <w:t>$1,148,415</w:t>
            </w:r>
          </w:p>
        </w:tc>
      </w:tr>
      <w:tr w:rsidR="00A92C25" w:rsidRPr="00C605D6" w:rsidTr="006E0238">
        <w:trPr>
          <w:trHeight w:val="227"/>
        </w:trPr>
        <w:tc>
          <w:tcPr>
            <w:tcW w:w="2988" w:type="dxa"/>
            <w:noWrap/>
            <w:vAlign w:val="bottom"/>
          </w:tcPr>
          <w:p w:rsidR="00A92C25" w:rsidRPr="00C605D6" w:rsidRDefault="00A92C25" w:rsidP="006943FA">
            <w:pPr>
              <w:pStyle w:val="TableText0"/>
              <w:rPr>
                <w:b/>
                <w:bCs/>
                <w:lang w:val="en-US"/>
              </w:rPr>
            </w:pPr>
            <w:r w:rsidRPr="00C605D6">
              <w:rPr>
                <w:b/>
                <w:bCs/>
                <w:lang w:val="en-US"/>
              </w:rPr>
              <w:t>Total financial implications</w:t>
            </w:r>
          </w:p>
        </w:tc>
        <w:tc>
          <w:tcPr>
            <w:tcW w:w="1559" w:type="dxa"/>
            <w:noWrap/>
            <w:vAlign w:val="bottom"/>
          </w:tcPr>
          <w:p w:rsidR="00A92C25" w:rsidRPr="00C605D6" w:rsidRDefault="00A92C25" w:rsidP="006943FA">
            <w:pPr>
              <w:pStyle w:val="TableText0"/>
              <w:jc w:val="right"/>
              <w:rPr>
                <w:b/>
                <w:bCs/>
                <w:lang w:val="en-US"/>
              </w:rPr>
            </w:pPr>
            <w:r w:rsidRPr="000F3C8B">
              <w:rPr>
                <w:b/>
                <w:bCs/>
                <w:lang w:val="en-AU"/>
              </w:rPr>
              <w:t>$2,394,582</w:t>
            </w:r>
          </w:p>
        </w:tc>
        <w:tc>
          <w:tcPr>
            <w:tcW w:w="1612" w:type="dxa"/>
            <w:noWrap/>
            <w:vAlign w:val="bottom"/>
          </w:tcPr>
          <w:p w:rsidR="00A92C25" w:rsidRPr="00C605D6" w:rsidRDefault="00A92C25" w:rsidP="006943FA">
            <w:pPr>
              <w:pStyle w:val="TableText0"/>
              <w:jc w:val="right"/>
              <w:rPr>
                <w:b/>
                <w:bCs/>
                <w:lang w:val="en-US"/>
              </w:rPr>
            </w:pPr>
            <w:r w:rsidRPr="000F3C8B">
              <w:rPr>
                <w:b/>
                <w:bCs/>
                <w:lang w:val="en-AU"/>
              </w:rPr>
              <w:t>$2,758,562</w:t>
            </w:r>
          </w:p>
        </w:tc>
      </w:tr>
      <w:tr w:rsidR="00A92C25" w:rsidRPr="00C605D6" w:rsidTr="006E0238">
        <w:trPr>
          <w:trHeight w:val="227"/>
        </w:trPr>
        <w:tc>
          <w:tcPr>
            <w:tcW w:w="2988" w:type="dxa"/>
            <w:shd w:val="clear" w:color="auto" w:fill="auto"/>
            <w:noWrap/>
            <w:vAlign w:val="bottom"/>
          </w:tcPr>
          <w:p w:rsidR="00A92C25" w:rsidRPr="00083B85" w:rsidRDefault="00A92C25" w:rsidP="006943FA">
            <w:pPr>
              <w:pStyle w:val="TableText0"/>
              <w:rPr>
                <w:i/>
                <w:iCs/>
                <w:lang w:val="en-US"/>
              </w:rPr>
            </w:pPr>
            <w:r w:rsidRPr="00083B85">
              <w:rPr>
                <w:i/>
                <w:iCs/>
                <w:lang w:val="en-US"/>
              </w:rPr>
              <w:t>I</w:t>
            </w:r>
            <w:r w:rsidR="00083B85">
              <w:rPr>
                <w:i/>
                <w:iCs/>
                <w:lang w:val="en-US"/>
              </w:rPr>
              <w:t>ncremental costs</w:t>
            </w:r>
          </w:p>
        </w:tc>
        <w:tc>
          <w:tcPr>
            <w:tcW w:w="1559" w:type="dxa"/>
            <w:shd w:val="clear" w:color="auto" w:fill="auto"/>
            <w:noWrap/>
            <w:vAlign w:val="bottom"/>
          </w:tcPr>
          <w:p w:rsidR="00A92C25" w:rsidRPr="00C605D6" w:rsidRDefault="00A92C25" w:rsidP="006943FA">
            <w:pPr>
              <w:pStyle w:val="TableText0"/>
              <w:jc w:val="right"/>
              <w:rPr>
                <w:lang w:val="en-US"/>
              </w:rPr>
            </w:pPr>
            <w:r w:rsidRPr="000F3C8B">
              <w:rPr>
                <w:lang w:val="en-AU"/>
              </w:rPr>
              <w:t> </w:t>
            </w:r>
          </w:p>
        </w:tc>
        <w:tc>
          <w:tcPr>
            <w:tcW w:w="1612" w:type="dxa"/>
            <w:shd w:val="clear" w:color="auto" w:fill="auto"/>
            <w:noWrap/>
            <w:vAlign w:val="bottom"/>
          </w:tcPr>
          <w:p w:rsidR="00A92C25" w:rsidRPr="00C605D6" w:rsidRDefault="00A92C25" w:rsidP="006943FA">
            <w:pPr>
              <w:pStyle w:val="TableText0"/>
              <w:jc w:val="right"/>
              <w:rPr>
                <w:lang w:val="en-US"/>
              </w:rPr>
            </w:pPr>
            <w:r w:rsidRPr="000F3C8B">
              <w:rPr>
                <w:lang w:val="en-AU"/>
              </w:rPr>
              <w:t> </w:t>
            </w:r>
          </w:p>
        </w:tc>
      </w:tr>
      <w:tr w:rsidR="00A92C25" w:rsidRPr="00C605D6" w:rsidTr="006E0238">
        <w:trPr>
          <w:trHeight w:val="227"/>
        </w:trPr>
        <w:tc>
          <w:tcPr>
            <w:tcW w:w="2988" w:type="dxa"/>
            <w:noWrap/>
            <w:vAlign w:val="bottom"/>
          </w:tcPr>
          <w:p w:rsidR="00A92C25" w:rsidRPr="00C605D6" w:rsidRDefault="00A92C25" w:rsidP="006943FA">
            <w:pPr>
              <w:pStyle w:val="TableText0"/>
              <w:rPr>
                <w:lang w:val="en-US"/>
              </w:rPr>
            </w:pPr>
            <w:r w:rsidRPr="00C605D6">
              <w:rPr>
                <w:lang w:val="en-US"/>
              </w:rPr>
              <w:t>Consumables</w:t>
            </w:r>
          </w:p>
        </w:tc>
        <w:tc>
          <w:tcPr>
            <w:tcW w:w="1559" w:type="dxa"/>
            <w:noWrap/>
            <w:vAlign w:val="bottom"/>
          </w:tcPr>
          <w:p w:rsidR="00A92C25" w:rsidRPr="00C605D6" w:rsidRDefault="00A92C25" w:rsidP="006943FA">
            <w:pPr>
              <w:pStyle w:val="TableText0"/>
              <w:jc w:val="right"/>
              <w:rPr>
                <w:lang w:val="en-US"/>
              </w:rPr>
            </w:pPr>
            <w:r w:rsidRPr="000F3C8B">
              <w:rPr>
                <w:lang w:val="en-AU"/>
              </w:rPr>
              <w:t> </w:t>
            </w:r>
          </w:p>
        </w:tc>
        <w:tc>
          <w:tcPr>
            <w:tcW w:w="1612" w:type="dxa"/>
            <w:noWrap/>
            <w:vAlign w:val="bottom"/>
          </w:tcPr>
          <w:p w:rsidR="00A92C25" w:rsidRPr="00C605D6" w:rsidRDefault="00A92C25" w:rsidP="006943FA">
            <w:pPr>
              <w:pStyle w:val="TableText0"/>
              <w:jc w:val="right"/>
              <w:rPr>
                <w:lang w:val="en-US"/>
              </w:rPr>
            </w:pPr>
            <w:r w:rsidRPr="000F3C8B">
              <w:rPr>
                <w:lang w:val="en-AU"/>
              </w:rPr>
              <w:t>$431,883</w:t>
            </w:r>
          </w:p>
        </w:tc>
      </w:tr>
      <w:tr w:rsidR="00A92C25" w:rsidRPr="005711B5" w:rsidTr="006E0238">
        <w:trPr>
          <w:trHeight w:val="227"/>
        </w:trPr>
        <w:tc>
          <w:tcPr>
            <w:tcW w:w="2988" w:type="dxa"/>
            <w:noWrap/>
            <w:vAlign w:val="bottom"/>
          </w:tcPr>
          <w:p w:rsidR="00A92C25" w:rsidRPr="00C605D6" w:rsidRDefault="00A92C25" w:rsidP="006943FA">
            <w:pPr>
              <w:pStyle w:val="TableText0"/>
              <w:rPr>
                <w:lang w:val="en-US"/>
              </w:rPr>
            </w:pPr>
            <w:r w:rsidRPr="00C605D6">
              <w:rPr>
                <w:lang w:val="en-US"/>
              </w:rPr>
              <w:t xml:space="preserve">MBS </w:t>
            </w:r>
            <w:r w:rsidR="003D2EE2" w:rsidRPr="00C605D6">
              <w:rPr>
                <w:lang w:val="en-US"/>
              </w:rPr>
              <w:t>it</w:t>
            </w:r>
            <w:r w:rsidRPr="00C605D6">
              <w:rPr>
                <w:lang w:val="en-US"/>
              </w:rPr>
              <w:t>ems</w:t>
            </w:r>
          </w:p>
        </w:tc>
        <w:tc>
          <w:tcPr>
            <w:tcW w:w="1559" w:type="dxa"/>
            <w:noWrap/>
            <w:vAlign w:val="bottom"/>
          </w:tcPr>
          <w:p w:rsidR="00A92C25" w:rsidRPr="00C605D6" w:rsidRDefault="00A92C25" w:rsidP="006943F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rPr>
              <w:t> </w:t>
            </w:r>
          </w:p>
        </w:tc>
        <w:tc>
          <w:tcPr>
            <w:tcW w:w="1612" w:type="dxa"/>
            <w:noWrap/>
            <w:vAlign w:val="bottom"/>
          </w:tcPr>
          <w:p w:rsidR="00A92C25" w:rsidRPr="005711B5" w:rsidRDefault="00A92C25" w:rsidP="006943FA">
            <w:pPr>
              <w:keepNext/>
              <w:spacing w:after="0"/>
              <w:ind w:left="0"/>
              <w:jc w:val="right"/>
              <w:rPr>
                <w:rFonts w:ascii="Arial Narrow" w:hAnsi="Arial Narrow"/>
                <w:sz w:val="18"/>
                <w:szCs w:val="18"/>
                <w:lang w:val="en-US" w:eastAsia="en-US"/>
              </w:rPr>
            </w:pPr>
            <w:r w:rsidRPr="005711B5">
              <w:rPr>
                <w:rFonts w:ascii="Arial Narrow" w:hAnsi="Arial Narrow"/>
                <w:sz w:val="18"/>
                <w:szCs w:val="18"/>
              </w:rPr>
              <w:t>-$218,630</w:t>
            </w:r>
          </w:p>
        </w:tc>
      </w:tr>
      <w:tr w:rsidR="00A92C25" w:rsidRPr="005711B5" w:rsidTr="006E0238">
        <w:trPr>
          <w:trHeight w:val="227"/>
        </w:trPr>
        <w:tc>
          <w:tcPr>
            <w:tcW w:w="2988" w:type="dxa"/>
            <w:noWrap/>
            <w:vAlign w:val="bottom"/>
          </w:tcPr>
          <w:p w:rsidR="00A92C25" w:rsidRPr="00C605D6" w:rsidRDefault="00A92C25" w:rsidP="006943FA">
            <w:pPr>
              <w:pStyle w:val="TableText0"/>
              <w:rPr>
                <w:lang w:val="en-US"/>
              </w:rPr>
            </w:pPr>
            <w:r w:rsidRPr="000F3C8B">
              <w:rPr>
                <w:lang w:val="en-AU"/>
              </w:rPr>
              <w:t>Patient/insurer costs</w:t>
            </w:r>
          </w:p>
        </w:tc>
        <w:tc>
          <w:tcPr>
            <w:tcW w:w="1559" w:type="dxa"/>
            <w:noWrap/>
            <w:vAlign w:val="bottom"/>
          </w:tcPr>
          <w:p w:rsidR="00A92C25" w:rsidRPr="00C605D6" w:rsidRDefault="00A92C25" w:rsidP="006943FA">
            <w:pPr>
              <w:keepNext/>
              <w:spacing w:after="0"/>
              <w:ind w:left="0"/>
              <w:jc w:val="right"/>
              <w:rPr>
                <w:rFonts w:ascii="Arial Narrow" w:hAnsi="Arial Narrow"/>
                <w:color w:val="000000"/>
                <w:sz w:val="18"/>
                <w:szCs w:val="18"/>
                <w:lang w:val="en-US" w:eastAsia="en-US"/>
              </w:rPr>
            </w:pPr>
            <w:r w:rsidRPr="00C605D6">
              <w:rPr>
                <w:rFonts w:ascii="Arial Narrow" w:hAnsi="Arial Narrow"/>
                <w:color w:val="000000"/>
                <w:sz w:val="18"/>
                <w:szCs w:val="18"/>
              </w:rPr>
              <w:t> </w:t>
            </w:r>
          </w:p>
        </w:tc>
        <w:tc>
          <w:tcPr>
            <w:tcW w:w="1612" w:type="dxa"/>
            <w:noWrap/>
            <w:vAlign w:val="bottom"/>
          </w:tcPr>
          <w:p w:rsidR="00A92C25" w:rsidRPr="005711B5" w:rsidRDefault="00A92C25" w:rsidP="006943FA">
            <w:pPr>
              <w:keepNext/>
              <w:spacing w:after="0"/>
              <w:ind w:left="0"/>
              <w:jc w:val="right"/>
              <w:rPr>
                <w:rFonts w:ascii="Arial Narrow" w:hAnsi="Arial Narrow"/>
                <w:sz w:val="18"/>
                <w:szCs w:val="18"/>
                <w:lang w:val="en-US" w:eastAsia="en-US"/>
              </w:rPr>
            </w:pPr>
            <w:r w:rsidRPr="005711B5">
              <w:rPr>
                <w:rFonts w:ascii="Arial Narrow" w:hAnsi="Arial Narrow"/>
                <w:sz w:val="18"/>
                <w:szCs w:val="18"/>
              </w:rPr>
              <w:t>-$577,233</w:t>
            </w:r>
          </w:p>
        </w:tc>
      </w:tr>
      <w:tr w:rsidR="00A92C25" w:rsidRPr="005711B5" w:rsidTr="006E0238">
        <w:trPr>
          <w:trHeight w:val="227"/>
        </w:trPr>
        <w:tc>
          <w:tcPr>
            <w:tcW w:w="2988" w:type="dxa"/>
            <w:noWrap/>
            <w:vAlign w:val="bottom"/>
          </w:tcPr>
          <w:p w:rsidR="00A92C25" w:rsidRPr="00C605D6" w:rsidRDefault="00A92C25" w:rsidP="006943FA">
            <w:pPr>
              <w:pStyle w:val="TableText0"/>
              <w:rPr>
                <w:b/>
                <w:bCs/>
                <w:lang w:val="en-US"/>
              </w:rPr>
            </w:pPr>
            <w:r w:rsidRPr="00C605D6">
              <w:rPr>
                <w:b/>
                <w:bCs/>
                <w:lang w:val="en-US"/>
              </w:rPr>
              <w:t xml:space="preserve">Total cost </w:t>
            </w:r>
          </w:p>
        </w:tc>
        <w:tc>
          <w:tcPr>
            <w:tcW w:w="1559" w:type="dxa"/>
            <w:noWrap/>
            <w:vAlign w:val="bottom"/>
          </w:tcPr>
          <w:p w:rsidR="00A92C25" w:rsidRPr="00C605D6" w:rsidRDefault="00A92C25" w:rsidP="006943FA">
            <w:pPr>
              <w:keepNext/>
              <w:spacing w:after="0"/>
              <w:ind w:left="0"/>
              <w:jc w:val="right"/>
              <w:rPr>
                <w:rFonts w:ascii="Arial Narrow" w:hAnsi="Arial Narrow"/>
                <w:b/>
                <w:bCs/>
                <w:color w:val="000000"/>
                <w:sz w:val="18"/>
                <w:szCs w:val="18"/>
                <w:lang w:val="en-US" w:eastAsia="en-US"/>
              </w:rPr>
            </w:pPr>
            <w:r w:rsidRPr="00C605D6">
              <w:rPr>
                <w:rFonts w:ascii="Arial Narrow" w:hAnsi="Arial Narrow"/>
                <w:b/>
                <w:bCs/>
                <w:color w:val="000000"/>
                <w:sz w:val="18"/>
                <w:szCs w:val="18"/>
              </w:rPr>
              <w:t> </w:t>
            </w:r>
          </w:p>
        </w:tc>
        <w:tc>
          <w:tcPr>
            <w:tcW w:w="1612" w:type="dxa"/>
            <w:noWrap/>
            <w:vAlign w:val="bottom"/>
          </w:tcPr>
          <w:p w:rsidR="00A92C25" w:rsidRPr="005711B5" w:rsidRDefault="00A92C25" w:rsidP="006943FA">
            <w:pPr>
              <w:keepNext/>
              <w:spacing w:after="0"/>
              <w:ind w:left="0"/>
              <w:jc w:val="right"/>
              <w:rPr>
                <w:rFonts w:ascii="Arial Narrow" w:hAnsi="Arial Narrow"/>
                <w:b/>
                <w:bCs/>
                <w:sz w:val="18"/>
                <w:szCs w:val="18"/>
                <w:lang w:val="en-US" w:eastAsia="en-US"/>
              </w:rPr>
            </w:pPr>
            <w:r w:rsidRPr="005711B5">
              <w:rPr>
                <w:rFonts w:ascii="Arial Narrow" w:hAnsi="Arial Narrow"/>
                <w:b/>
                <w:bCs/>
                <w:sz w:val="18"/>
                <w:szCs w:val="18"/>
              </w:rPr>
              <w:t>-$363,981</w:t>
            </w:r>
          </w:p>
        </w:tc>
      </w:tr>
    </w:tbl>
    <w:p w:rsidR="003D2EE2" w:rsidRPr="00C605D6" w:rsidRDefault="006E0238" w:rsidP="0007443E">
      <w:pPr>
        <w:pStyle w:val="TableNotes"/>
      </w:pPr>
      <w:r>
        <w:t>MBS: Medicare Benefits Schedule</w:t>
      </w:r>
      <w:r>
        <w:rPr>
          <w:lang w:val="en-AU"/>
        </w:rPr>
        <w:t xml:space="preserve">; </w:t>
      </w:r>
      <w:r w:rsidR="003D2EE2">
        <w:t xml:space="preserve">SEMS: Self-expanding </w:t>
      </w:r>
      <w:r>
        <w:t>metallic stent</w:t>
      </w:r>
      <w:r>
        <w:rPr>
          <w:lang w:val="en-AU"/>
        </w:rPr>
        <w:t>.</w:t>
      </w:r>
    </w:p>
    <w:p w:rsidR="00A92C25" w:rsidRPr="00C605D6" w:rsidRDefault="00425540" w:rsidP="00425540">
      <w:pPr>
        <w:pStyle w:val="Caption"/>
      </w:pPr>
      <w:bookmarkStart w:id="280" w:name="_Ref324951151"/>
      <w:bookmarkStart w:id="281" w:name="_Toc327522114"/>
      <w:r>
        <w:t xml:space="preserve">Table </w:t>
      </w:r>
      <w:fldSimple w:instr=" SEQ Table \* ARABIC ">
        <w:r w:rsidR="0071544A">
          <w:rPr>
            <w:noProof/>
          </w:rPr>
          <w:t>70</w:t>
        </w:r>
      </w:fldSimple>
      <w:bookmarkEnd w:id="280"/>
      <w:r w:rsidR="00A92C25" w:rsidRPr="00A92C25">
        <w:tab/>
        <w:t xml:space="preserve">Estimated total costs of SEMS versus </w:t>
      </w:r>
      <w:r w:rsidR="003D2EE2" w:rsidRPr="00A92C25">
        <w:t>c</w:t>
      </w:r>
      <w:r w:rsidR="00A92C25" w:rsidRPr="00A92C25">
        <w:t>olostomy (upper limit)</w:t>
      </w:r>
      <w:bookmarkEnd w:id="281"/>
    </w:p>
    <w:tbl>
      <w:tblPr>
        <w:tblW w:w="6431" w:type="dxa"/>
        <w:tblInd w:w="720" w:type="dxa"/>
        <w:tblBorders>
          <w:top w:val="single" w:sz="12" w:space="0" w:color="auto"/>
          <w:bottom w:val="single" w:sz="12" w:space="0" w:color="auto"/>
        </w:tblBorders>
        <w:tblLook w:val="00A0" w:firstRow="1" w:lastRow="0" w:firstColumn="1" w:lastColumn="0" w:noHBand="0" w:noVBand="0"/>
      </w:tblPr>
      <w:tblGrid>
        <w:gridCol w:w="3043"/>
        <w:gridCol w:w="1694"/>
        <w:gridCol w:w="1694"/>
      </w:tblGrid>
      <w:tr w:rsidR="00A92C25" w:rsidRPr="00C605D6" w:rsidTr="006E0238">
        <w:trPr>
          <w:trHeight w:val="227"/>
        </w:trPr>
        <w:tc>
          <w:tcPr>
            <w:tcW w:w="3043" w:type="dxa"/>
            <w:tcBorders>
              <w:top w:val="single" w:sz="12" w:space="0" w:color="auto"/>
              <w:bottom w:val="single" w:sz="4" w:space="0" w:color="auto"/>
            </w:tcBorders>
            <w:noWrap/>
            <w:vAlign w:val="bottom"/>
          </w:tcPr>
          <w:p w:rsidR="00A92C25" w:rsidRPr="00C605D6" w:rsidRDefault="00A92C25" w:rsidP="004E680E">
            <w:pPr>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694" w:type="dxa"/>
            <w:tcBorders>
              <w:top w:val="single" w:sz="12" w:space="0" w:color="auto"/>
              <w:bottom w:val="single" w:sz="4" w:space="0" w:color="auto"/>
            </w:tcBorders>
            <w:noWrap/>
            <w:vAlign w:val="bottom"/>
          </w:tcPr>
          <w:p w:rsidR="00A92C25" w:rsidRPr="00C605D6" w:rsidRDefault="00A92C25" w:rsidP="00A92C25">
            <w:pPr>
              <w:pStyle w:val="TableHeading0"/>
              <w:jc w:val="right"/>
            </w:pPr>
            <w:r w:rsidRPr="00C605D6">
              <w:t>SEMS</w:t>
            </w:r>
          </w:p>
        </w:tc>
        <w:tc>
          <w:tcPr>
            <w:tcW w:w="1694" w:type="dxa"/>
            <w:tcBorders>
              <w:top w:val="single" w:sz="12" w:space="0" w:color="auto"/>
              <w:bottom w:val="single" w:sz="4" w:space="0" w:color="auto"/>
            </w:tcBorders>
            <w:noWrap/>
            <w:vAlign w:val="bottom"/>
          </w:tcPr>
          <w:p w:rsidR="00A92C25" w:rsidRPr="00C605D6" w:rsidRDefault="00A92C25" w:rsidP="00A92C25">
            <w:pPr>
              <w:pStyle w:val="TableHeading0"/>
              <w:jc w:val="right"/>
            </w:pPr>
            <w:r w:rsidRPr="00C605D6">
              <w:t>Colostomy</w:t>
            </w:r>
          </w:p>
        </w:tc>
      </w:tr>
      <w:tr w:rsidR="00A92C25" w:rsidRPr="00C605D6" w:rsidTr="006E0238">
        <w:trPr>
          <w:trHeight w:val="227"/>
        </w:trPr>
        <w:tc>
          <w:tcPr>
            <w:tcW w:w="3043" w:type="dxa"/>
            <w:tcBorders>
              <w:top w:val="single" w:sz="4" w:space="0" w:color="auto"/>
            </w:tcBorders>
            <w:noWrap/>
            <w:vAlign w:val="bottom"/>
          </w:tcPr>
          <w:p w:rsidR="00A92C25" w:rsidRPr="00C605D6" w:rsidRDefault="00A92C25" w:rsidP="00A92C25">
            <w:pPr>
              <w:pStyle w:val="TableText0"/>
              <w:rPr>
                <w:lang w:val="en-US"/>
              </w:rPr>
            </w:pPr>
            <w:r w:rsidRPr="00C605D6">
              <w:rPr>
                <w:lang w:val="en-US"/>
              </w:rPr>
              <w:t>Total cost per patient</w:t>
            </w:r>
          </w:p>
        </w:tc>
        <w:tc>
          <w:tcPr>
            <w:tcW w:w="1694" w:type="dxa"/>
            <w:tcBorders>
              <w:top w:val="single" w:sz="4" w:space="0" w:color="auto"/>
            </w:tcBorders>
            <w:noWrap/>
            <w:vAlign w:val="bottom"/>
          </w:tcPr>
          <w:p w:rsidR="00A92C25" w:rsidRPr="00C605D6" w:rsidRDefault="00A92C25" w:rsidP="00A92C25">
            <w:pPr>
              <w:pStyle w:val="TableText0"/>
              <w:jc w:val="right"/>
              <w:rPr>
                <w:lang w:val="en-US"/>
              </w:rPr>
            </w:pPr>
            <w:r w:rsidRPr="000F3C8B">
              <w:rPr>
                <w:lang w:val="en-AU"/>
              </w:rPr>
              <w:t>$17,809</w:t>
            </w:r>
          </w:p>
        </w:tc>
        <w:tc>
          <w:tcPr>
            <w:tcW w:w="1694" w:type="dxa"/>
            <w:tcBorders>
              <w:top w:val="single" w:sz="4" w:space="0" w:color="auto"/>
            </w:tcBorders>
            <w:noWrap/>
            <w:vAlign w:val="bottom"/>
          </w:tcPr>
          <w:p w:rsidR="00A92C25" w:rsidRPr="00C605D6" w:rsidRDefault="00A92C25" w:rsidP="00A92C25">
            <w:pPr>
              <w:pStyle w:val="TableText0"/>
              <w:jc w:val="right"/>
              <w:rPr>
                <w:lang w:val="en-US"/>
              </w:rPr>
            </w:pPr>
            <w:r w:rsidRPr="000F3C8B">
              <w:rPr>
                <w:lang w:val="en-AU"/>
              </w:rPr>
              <w:t>$20,516</w:t>
            </w:r>
          </w:p>
        </w:tc>
      </w:tr>
      <w:tr w:rsidR="00A92C25" w:rsidRPr="00C605D6" w:rsidTr="006E0238">
        <w:trPr>
          <w:trHeight w:val="227"/>
        </w:trPr>
        <w:tc>
          <w:tcPr>
            <w:tcW w:w="3043" w:type="dxa"/>
            <w:noWrap/>
            <w:vAlign w:val="bottom"/>
          </w:tcPr>
          <w:p w:rsidR="00A92C25" w:rsidRPr="00C605D6" w:rsidRDefault="00A92C25" w:rsidP="00A92C25">
            <w:pPr>
              <w:pStyle w:val="TableText0"/>
              <w:rPr>
                <w:lang w:val="en-US"/>
              </w:rPr>
            </w:pPr>
            <w:r w:rsidRPr="00C605D6">
              <w:rPr>
                <w:lang w:val="en-US"/>
              </w:rPr>
              <w:t>Number of patients</w:t>
            </w:r>
          </w:p>
        </w:tc>
        <w:tc>
          <w:tcPr>
            <w:tcW w:w="1694" w:type="dxa"/>
            <w:noWrap/>
            <w:vAlign w:val="bottom"/>
          </w:tcPr>
          <w:p w:rsidR="00A92C25" w:rsidRPr="00C605D6" w:rsidRDefault="00A92C25" w:rsidP="00A92C25">
            <w:pPr>
              <w:pStyle w:val="TableText0"/>
              <w:jc w:val="right"/>
              <w:rPr>
                <w:lang w:val="en-US"/>
              </w:rPr>
            </w:pPr>
            <w:r w:rsidRPr="000F3C8B">
              <w:rPr>
                <w:lang w:val="en-AU"/>
              </w:rPr>
              <w:t xml:space="preserve">             487 </w:t>
            </w:r>
          </w:p>
        </w:tc>
        <w:tc>
          <w:tcPr>
            <w:tcW w:w="1694" w:type="dxa"/>
            <w:noWrap/>
            <w:vAlign w:val="bottom"/>
          </w:tcPr>
          <w:p w:rsidR="00A92C25" w:rsidRPr="00C605D6" w:rsidRDefault="00A92C25" w:rsidP="00A92C25">
            <w:pPr>
              <w:pStyle w:val="TableText0"/>
              <w:jc w:val="right"/>
              <w:rPr>
                <w:lang w:val="en-US"/>
              </w:rPr>
            </w:pPr>
            <w:r w:rsidRPr="000F3C8B">
              <w:rPr>
                <w:lang w:val="en-AU"/>
              </w:rPr>
              <w:t xml:space="preserve">                      487 </w:t>
            </w:r>
          </w:p>
        </w:tc>
      </w:tr>
      <w:tr w:rsidR="00A92C25" w:rsidRPr="00C605D6" w:rsidTr="006E0238">
        <w:trPr>
          <w:trHeight w:val="227"/>
        </w:trPr>
        <w:tc>
          <w:tcPr>
            <w:tcW w:w="3043" w:type="dxa"/>
            <w:noWrap/>
            <w:vAlign w:val="bottom"/>
          </w:tcPr>
          <w:p w:rsidR="00A92C25" w:rsidRPr="00C605D6" w:rsidRDefault="00A92C25" w:rsidP="00A92C25">
            <w:pPr>
              <w:pStyle w:val="TableText0"/>
              <w:rPr>
                <w:i/>
                <w:iCs/>
                <w:lang w:val="en-US"/>
              </w:rPr>
            </w:pPr>
            <w:r w:rsidRPr="00C605D6">
              <w:rPr>
                <w:i/>
                <w:iCs/>
                <w:lang w:val="en-US"/>
              </w:rPr>
              <w:t>Brea</w:t>
            </w:r>
            <w:r w:rsidR="00083B85">
              <w:rPr>
                <w:i/>
                <w:iCs/>
                <w:lang w:val="en-US"/>
              </w:rPr>
              <w:t>kdown of financial implications</w:t>
            </w:r>
          </w:p>
        </w:tc>
        <w:tc>
          <w:tcPr>
            <w:tcW w:w="1694" w:type="dxa"/>
            <w:noWrap/>
            <w:vAlign w:val="bottom"/>
          </w:tcPr>
          <w:p w:rsidR="00A92C25" w:rsidRPr="00A92C25" w:rsidRDefault="00A92C25" w:rsidP="00A92C25">
            <w:pPr>
              <w:pStyle w:val="TableText0"/>
              <w:jc w:val="right"/>
              <w:rPr>
                <w:i/>
                <w:iCs/>
                <w:lang w:val="en-US"/>
              </w:rPr>
            </w:pPr>
            <w:r w:rsidRPr="00A92C25">
              <w:rPr>
                <w:i/>
                <w:iCs/>
                <w:lang w:val="en-US"/>
              </w:rPr>
              <w:t> </w:t>
            </w:r>
          </w:p>
        </w:tc>
        <w:tc>
          <w:tcPr>
            <w:tcW w:w="1694" w:type="dxa"/>
            <w:noWrap/>
            <w:vAlign w:val="bottom"/>
          </w:tcPr>
          <w:p w:rsidR="00A92C25" w:rsidRPr="00A92C25" w:rsidRDefault="00A92C25" w:rsidP="00A92C25">
            <w:pPr>
              <w:pStyle w:val="TableText0"/>
              <w:jc w:val="right"/>
              <w:rPr>
                <w:i/>
                <w:iCs/>
                <w:lang w:val="en-US"/>
              </w:rPr>
            </w:pPr>
            <w:r w:rsidRPr="00A92C25">
              <w:rPr>
                <w:i/>
                <w:iCs/>
                <w:lang w:val="en-US"/>
              </w:rPr>
              <w:t> </w:t>
            </w:r>
          </w:p>
        </w:tc>
      </w:tr>
      <w:tr w:rsidR="00A92C25" w:rsidRPr="00C605D6" w:rsidTr="006E0238">
        <w:trPr>
          <w:trHeight w:val="227"/>
        </w:trPr>
        <w:tc>
          <w:tcPr>
            <w:tcW w:w="3043" w:type="dxa"/>
            <w:noWrap/>
            <w:vAlign w:val="bottom"/>
          </w:tcPr>
          <w:p w:rsidR="00A92C25" w:rsidRPr="00C605D6" w:rsidRDefault="00A92C25" w:rsidP="00A92C25">
            <w:pPr>
              <w:pStyle w:val="TableText0"/>
              <w:rPr>
                <w:lang w:val="en-US"/>
              </w:rPr>
            </w:pPr>
            <w:r w:rsidRPr="00C605D6">
              <w:rPr>
                <w:lang w:val="en-US"/>
              </w:rPr>
              <w:t>Consumables</w:t>
            </w:r>
          </w:p>
        </w:tc>
        <w:tc>
          <w:tcPr>
            <w:tcW w:w="1694" w:type="dxa"/>
            <w:noWrap/>
            <w:vAlign w:val="bottom"/>
          </w:tcPr>
          <w:p w:rsidR="00A92C25" w:rsidRPr="00C605D6" w:rsidRDefault="00A92C25" w:rsidP="00A92C25">
            <w:pPr>
              <w:pStyle w:val="TableText0"/>
              <w:jc w:val="right"/>
              <w:rPr>
                <w:lang w:val="en-US"/>
              </w:rPr>
            </w:pPr>
            <w:r w:rsidRPr="000F3C8B">
              <w:rPr>
                <w:lang w:val="en-AU"/>
              </w:rPr>
              <w:t>$1,901,890</w:t>
            </w:r>
          </w:p>
        </w:tc>
        <w:tc>
          <w:tcPr>
            <w:tcW w:w="1694" w:type="dxa"/>
            <w:noWrap/>
            <w:vAlign w:val="bottom"/>
          </w:tcPr>
          <w:p w:rsidR="00A92C25" w:rsidRPr="00C605D6" w:rsidRDefault="00A92C25" w:rsidP="00A92C25">
            <w:pPr>
              <w:pStyle w:val="TableText0"/>
              <w:jc w:val="right"/>
              <w:rPr>
                <w:lang w:val="en-US"/>
              </w:rPr>
            </w:pPr>
            <w:r w:rsidRPr="000F3C8B">
              <w:rPr>
                <w:lang w:val="en-AU"/>
              </w:rPr>
              <w:t>$336,316</w:t>
            </w:r>
          </w:p>
        </w:tc>
      </w:tr>
      <w:tr w:rsidR="00A92C25" w:rsidRPr="00C605D6" w:rsidTr="006E0238">
        <w:trPr>
          <w:trHeight w:val="227"/>
        </w:trPr>
        <w:tc>
          <w:tcPr>
            <w:tcW w:w="3043" w:type="dxa"/>
            <w:noWrap/>
            <w:vAlign w:val="bottom"/>
          </w:tcPr>
          <w:p w:rsidR="00A92C25" w:rsidRPr="00C605D6" w:rsidRDefault="00A92C25" w:rsidP="00A92C25">
            <w:pPr>
              <w:pStyle w:val="TableText0"/>
              <w:rPr>
                <w:lang w:val="en-US"/>
              </w:rPr>
            </w:pPr>
            <w:r w:rsidRPr="00C605D6">
              <w:rPr>
                <w:lang w:val="en-US"/>
              </w:rPr>
              <w:t>MBS</w:t>
            </w:r>
            <w:r w:rsidR="003D2EE2" w:rsidRPr="00C605D6">
              <w:rPr>
                <w:lang w:val="en-US"/>
              </w:rPr>
              <w:t xml:space="preserve"> items</w:t>
            </w:r>
          </w:p>
        </w:tc>
        <w:tc>
          <w:tcPr>
            <w:tcW w:w="1694" w:type="dxa"/>
            <w:noWrap/>
            <w:vAlign w:val="bottom"/>
          </w:tcPr>
          <w:p w:rsidR="00A92C25" w:rsidRPr="00C605D6" w:rsidRDefault="00A92C25" w:rsidP="00A92C25">
            <w:pPr>
              <w:pStyle w:val="TableText0"/>
              <w:jc w:val="right"/>
              <w:rPr>
                <w:lang w:val="en-US"/>
              </w:rPr>
            </w:pPr>
            <w:r w:rsidRPr="000F3C8B">
              <w:rPr>
                <w:lang w:val="en-AU"/>
              </w:rPr>
              <w:t>$4,707,933</w:t>
            </w:r>
          </w:p>
        </w:tc>
        <w:tc>
          <w:tcPr>
            <w:tcW w:w="1694" w:type="dxa"/>
            <w:noWrap/>
            <w:vAlign w:val="bottom"/>
          </w:tcPr>
          <w:p w:rsidR="00A92C25" w:rsidRPr="00C605D6" w:rsidRDefault="00A92C25" w:rsidP="00A92C25">
            <w:pPr>
              <w:pStyle w:val="TableText0"/>
              <w:jc w:val="right"/>
              <w:rPr>
                <w:lang w:val="en-US"/>
              </w:rPr>
            </w:pPr>
            <w:r w:rsidRPr="000F3C8B">
              <w:rPr>
                <w:lang w:val="en-AU"/>
              </w:rPr>
              <w:t>$5,500,468</w:t>
            </w:r>
          </w:p>
        </w:tc>
      </w:tr>
      <w:tr w:rsidR="00A92C25" w:rsidRPr="00C605D6" w:rsidTr="006E0238">
        <w:trPr>
          <w:trHeight w:val="227"/>
        </w:trPr>
        <w:tc>
          <w:tcPr>
            <w:tcW w:w="3043" w:type="dxa"/>
            <w:noWrap/>
            <w:vAlign w:val="bottom"/>
          </w:tcPr>
          <w:p w:rsidR="00A92C25" w:rsidRPr="00C605D6" w:rsidRDefault="00A92C25" w:rsidP="00A92C25">
            <w:pPr>
              <w:pStyle w:val="TableText0"/>
              <w:rPr>
                <w:lang w:val="en-US"/>
              </w:rPr>
            </w:pPr>
            <w:r w:rsidRPr="000F3C8B">
              <w:rPr>
                <w:lang w:val="en-AU"/>
              </w:rPr>
              <w:t>Patient / insurer costs</w:t>
            </w:r>
          </w:p>
        </w:tc>
        <w:tc>
          <w:tcPr>
            <w:tcW w:w="1694" w:type="dxa"/>
            <w:noWrap/>
            <w:vAlign w:val="bottom"/>
          </w:tcPr>
          <w:p w:rsidR="00A92C25" w:rsidRPr="00C605D6" w:rsidRDefault="00A92C25" w:rsidP="00A92C25">
            <w:pPr>
              <w:pStyle w:val="TableText0"/>
              <w:jc w:val="right"/>
              <w:rPr>
                <w:lang w:val="en-US"/>
              </w:rPr>
            </w:pPr>
            <w:r w:rsidRPr="000F3C8B">
              <w:rPr>
                <w:lang w:val="en-AU"/>
              </w:rPr>
              <w:t>$2,070,535</w:t>
            </w:r>
          </w:p>
        </w:tc>
        <w:tc>
          <w:tcPr>
            <w:tcW w:w="1694" w:type="dxa"/>
            <w:noWrap/>
            <w:vAlign w:val="bottom"/>
          </w:tcPr>
          <w:p w:rsidR="00A92C25" w:rsidRPr="00C605D6" w:rsidRDefault="00A92C25" w:rsidP="00A92C25">
            <w:pPr>
              <w:pStyle w:val="TableText0"/>
              <w:jc w:val="right"/>
              <w:rPr>
                <w:lang w:val="en-US"/>
              </w:rPr>
            </w:pPr>
            <w:r w:rsidRPr="000F3C8B">
              <w:rPr>
                <w:lang w:val="en-AU"/>
              </w:rPr>
              <w:t>$4,163,004</w:t>
            </w:r>
          </w:p>
        </w:tc>
      </w:tr>
      <w:tr w:rsidR="00A92C25" w:rsidRPr="00C605D6" w:rsidTr="006E0238">
        <w:trPr>
          <w:trHeight w:val="227"/>
        </w:trPr>
        <w:tc>
          <w:tcPr>
            <w:tcW w:w="3043" w:type="dxa"/>
            <w:noWrap/>
            <w:vAlign w:val="bottom"/>
          </w:tcPr>
          <w:p w:rsidR="00A92C25" w:rsidRPr="00A92C25" w:rsidRDefault="00A92C25" w:rsidP="00A92C25">
            <w:pPr>
              <w:pStyle w:val="TableText0"/>
              <w:rPr>
                <w:b/>
                <w:bCs/>
                <w:lang w:val="en-US"/>
              </w:rPr>
            </w:pPr>
            <w:r w:rsidRPr="00A92C25">
              <w:rPr>
                <w:b/>
                <w:bCs/>
                <w:lang w:val="en-US"/>
              </w:rPr>
              <w:t>Total financial implications</w:t>
            </w:r>
          </w:p>
        </w:tc>
        <w:tc>
          <w:tcPr>
            <w:tcW w:w="1694" w:type="dxa"/>
            <w:noWrap/>
            <w:vAlign w:val="bottom"/>
          </w:tcPr>
          <w:p w:rsidR="00A92C25" w:rsidRPr="00A92C25" w:rsidRDefault="00A92C25" w:rsidP="00A92C25">
            <w:pPr>
              <w:pStyle w:val="TableText0"/>
              <w:jc w:val="right"/>
              <w:rPr>
                <w:b/>
                <w:bCs/>
                <w:lang w:val="en-US"/>
              </w:rPr>
            </w:pPr>
            <w:r w:rsidRPr="000F3C8B">
              <w:rPr>
                <w:b/>
                <w:bCs/>
                <w:lang w:val="en-AU"/>
              </w:rPr>
              <w:t>$8,680,358</w:t>
            </w:r>
          </w:p>
        </w:tc>
        <w:tc>
          <w:tcPr>
            <w:tcW w:w="1694" w:type="dxa"/>
            <w:noWrap/>
            <w:vAlign w:val="bottom"/>
          </w:tcPr>
          <w:p w:rsidR="00A92C25" w:rsidRPr="00A92C25" w:rsidRDefault="00A92C25" w:rsidP="00A92C25">
            <w:pPr>
              <w:pStyle w:val="TableText0"/>
              <w:jc w:val="right"/>
              <w:rPr>
                <w:b/>
                <w:bCs/>
                <w:lang w:val="en-US"/>
              </w:rPr>
            </w:pPr>
            <w:r w:rsidRPr="000F3C8B">
              <w:rPr>
                <w:b/>
                <w:bCs/>
                <w:lang w:val="en-AU"/>
              </w:rPr>
              <w:t>$9,999,788</w:t>
            </w:r>
          </w:p>
        </w:tc>
      </w:tr>
      <w:tr w:rsidR="00A92C25" w:rsidRPr="00A92C25" w:rsidTr="006E0238">
        <w:trPr>
          <w:trHeight w:val="227"/>
        </w:trPr>
        <w:tc>
          <w:tcPr>
            <w:tcW w:w="3043" w:type="dxa"/>
            <w:shd w:val="clear" w:color="auto" w:fill="auto"/>
            <w:noWrap/>
            <w:vAlign w:val="bottom"/>
          </w:tcPr>
          <w:p w:rsidR="00A92C25" w:rsidRPr="00A92C25" w:rsidRDefault="00083B85" w:rsidP="00A92C25">
            <w:pPr>
              <w:pStyle w:val="TableText0"/>
              <w:rPr>
                <w:i/>
                <w:iCs/>
                <w:lang w:val="en-US"/>
              </w:rPr>
            </w:pPr>
            <w:r>
              <w:rPr>
                <w:i/>
                <w:iCs/>
                <w:lang w:val="en-US"/>
              </w:rPr>
              <w:t>Incremental costs</w:t>
            </w:r>
          </w:p>
        </w:tc>
        <w:tc>
          <w:tcPr>
            <w:tcW w:w="1694" w:type="dxa"/>
            <w:shd w:val="clear" w:color="auto" w:fill="auto"/>
            <w:noWrap/>
            <w:vAlign w:val="bottom"/>
          </w:tcPr>
          <w:p w:rsidR="00A92C25" w:rsidRPr="00A92C25" w:rsidRDefault="00A92C25" w:rsidP="00A92C25">
            <w:pPr>
              <w:pStyle w:val="TableText0"/>
              <w:jc w:val="right"/>
              <w:rPr>
                <w:i/>
                <w:iCs/>
                <w:lang w:val="en-US"/>
              </w:rPr>
            </w:pPr>
            <w:r w:rsidRPr="00A92C25">
              <w:rPr>
                <w:i/>
                <w:iCs/>
                <w:lang w:val="en-US"/>
              </w:rPr>
              <w:t> </w:t>
            </w:r>
          </w:p>
        </w:tc>
        <w:tc>
          <w:tcPr>
            <w:tcW w:w="1694" w:type="dxa"/>
            <w:shd w:val="clear" w:color="auto" w:fill="auto"/>
            <w:noWrap/>
            <w:vAlign w:val="bottom"/>
          </w:tcPr>
          <w:p w:rsidR="00A92C25" w:rsidRPr="00A92C25" w:rsidRDefault="00A92C25" w:rsidP="00A92C25">
            <w:pPr>
              <w:pStyle w:val="TableText0"/>
              <w:jc w:val="right"/>
              <w:rPr>
                <w:i/>
                <w:iCs/>
                <w:lang w:val="en-US"/>
              </w:rPr>
            </w:pPr>
            <w:r w:rsidRPr="00A92C25">
              <w:rPr>
                <w:i/>
                <w:iCs/>
                <w:lang w:val="en-US"/>
              </w:rPr>
              <w:t> </w:t>
            </w:r>
          </w:p>
        </w:tc>
      </w:tr>
      <w:tr w:rsidR="00A92C25" w:rsidRPr="00C605D6" w:rsidTr="006E0238">
        <w:trPr>
          <w:trHeight w:val="227"/>
        </w:trPr>
        <w:tc>
          <w:tcPr>
            <w:tcW w:w="3043" w:type="dxa"/>
            <w:noWrap/>
            <w:vAlign w:val="bottom"/>
          </w:tcPr>
          <w:p w:rsidR="00A92C25" w:rsidRPr="00C605D6" w:rsidRDefault="00A92C25" w:rsidP="00A92C25">
            <w:pPr>
              <w:pStyle w:val="TableText0"/>
              <w:rPr>
                <w:lang w:val="en-US"/>
              </w:rPr>
            </w:pPr>
            <w:r w:rsidRPr="00C605D6">
              <w:rPr>
                <w:lang w:val="en-US"/>
              </w:rPr>
              <w:t>Consumables</w:t>
            </w:r>
          </w:p>
        </w:tc>
        <w:tc>
          <w:tcPr>
            <w:tcW w:w="1694" w:type="dxa"/>
            <w:noWrap/>
            <w:vAlign w:val="bottom"/>
          </w:tcPr>
          <w:p w:rsidR="00A92C25" w:rsidRPr="00C605D6" w:rsidRDefault="00A92C25" w:rsidP="00A92C25">
            <w:pPr>
              <w:pStyle w:val="TableText0"/>
              <w:jc w:val="right"/>
              <w:rPr>
                <w:lang w:val="en-US"/>
              </w:rPr>
            </w:pPr>
            <w:r w:rsidRPr="000F3C8B">
              <w:rPr>
                <w:lang w:val="en-AU"/>
              </w:rPr>
              <w:t> </w:t>
            </w:r>
          </w:p>
        </w:tc>
        <w:tc>
          <w:tcPr>
            <w:tcW w:w="1694" w:type="dxa"/>
            <w:noWrap/>
            <w:vAlign w:val="bottom"/>
          </w:tcPr>
          <w:p w:rsidR="00A92C25" w:rsidRPr="00C605D6" w:rsidRDefault="00A92C25" w:rsidP="00A92C25">
            <w:pPr>
              <w:pStyle w:val="TableText0"/>
              <w:jc w:val="right"/>
              <w:rPr>
                <w:lang w:val="en-US"/>
              </w:rPr>
            </w:pPr>
            <w:r w:rsidRPr="000F3C8B">
              <w:rPr>
                <w:lang w:val="en-AU"/>
              </w:rPr>
              <w:t>$1,565,574</w:t>
            </w:r>
          </w:p>
        </w:tc>
      </w:tr>
      <w:tr w:rsidR="00A92C25" w:rsidRPr="00C605D6" w:rsidTr="006E0238">
        <w:trPr>
          <w:trHeight w:val="227"/>
        </w:trPr>
        <w:tc>
          <w:tcPr>
            <w:tcW w:w="3043" w:type="dxa"/>
            <w:noWrap/>
            <w:vAlign w:val="bottom"/>
          </w:tcPr>
          <w:p w:rsidR="00A92C25" w:rsidRPr="00C605D6" w:rsidRDefault="00A92C25" w:rsidP="00A92C25">
            <w:pPr>
              <w:pStyle w:val="TableText0"/>
              <w:rPr>
                <w:lang w:val="en-US"/>
              </w:rPr>
            </w:pPr>
            <w:r w:rsidRPr="00C605D6">
              <w:rPr>
                <w:lang w:val="en-US"/>
              </w:rPr>
              <w:t>MBS</w:t>
            </w:r>
            <w:r w:rsidR="003D2EE2" w:rsidRPr="00C605D6">
              <w:rPr>
                <w:lang w:val="en-US"/>
              </w:rPr>
              <w:t xml:space="preserve"> items</w:t>
            </w:r>
          </w:p>
        </w:tc>
        <w:tc>
          <w:tcPr>
            <w:tcW w:w="1694" w:type="dxa"/>
            <w:noWrap/>
            <w:vAlign w:val="bottom"/>
          </w:tcPr>
          <w:p w:rsidR="00A92C25" w:rsidRPr="00C605D6" w:rsidRDefault="00A92C25" w:rsidP="00A92C25">
            <w:pPr>
              <w:pStyle w:val="TableText0"/>
              <w:jc w:val="right"/>
              <w:rPr>
                <w:lang w:val="en-US"/>
              </w:rPr>
            </w:pPr>
            <w:r w:rsidRPr="000F3C8B">
              <w:rPr>
                <w:lang w:val="en-AU"/>
              </w:rPr>
              <w:t> </w:t>
            </w:r>
          </w:p>
        </w:tc>
        <w:tc>
          <w:tcPr>
            <w:tcW w:w="1694" w:type="dxa"/>
            <w:noWrap/>
            <w:vAlign w:val="bottom"/>
          </w:tcPr>
          <w:p w:rsidR="00A92C25" w:rsidRPr="005711B5" w:rsidRDefault="00A92C25" w:rsidP="00A92C25">
            <w:pPr>
              <w:pStyle w:val="TableText0"/>
              <w:jc w:val="right"/>
              <w:rPr>
                <w:lang w:val="en-US"/>
              </w:rPr>
            </w:pPr>
            <w:r w:rsidRPr="000F3C8B">
              <w:rPr>
                <w:lang w:val="en-AU"/>
              </w:rPr>
              <w:t>-$792,535</w:t>
            </w:r>
          </w:p>
        </w:tc>
      </w:tr>
      <w:tr w:rsidR="00A92C25" w:rsidRPr="00C605D6" w:rsidTr="006E0238">
        <w:trPr>
          <w:trHeight w:val="227"/>
        </w:trPr>
        <w:tc>
          <w:tcPr>
            <w:tcW w:w="3043" w:type="dxa"/>
            <w:noWrap/>
            <w:vAlign w:val="bottom"/>
          </w:tcPr>
          <w:p w:rsidR="00A92C25" w:rsidRPr="00C605D6" w:rsidRDefault="00A92C25" w:rsidP="00A92C25">
            <w:pPr>
              <w:pStyle w:val="TableText0"/>
              <w:rPr>
                <w:lang w:val="en-US"/>
              </w:rPr>
            </w:pPr>
            <w:r w:rsidRPr="000F3C8B">
              <w:rPr>
                <w:lang w:val="en-AU"/>
              </w:rPr>
              <w:t>Patient / insurer costs</w:t>
            </w:r>
          </w:p>
        </w:tc>
        <w:tc>
          <w:tcPr>
            <w:tcW w:w="1694" w:type="dxa"/>
            <w:noWrap/>
            <w:vAlign w:val="bottom"/>
          </w:tcPr>
          <w:p w:rsidR="00A92C25" w:rsidRPr="00C605D6" w:rsidRDefault="00A92C25" w:rsidP="00A92C25">
            <w:pPr>
              <w:pStyle w:val="TableText0"/>
              <w:jc w:val="right"/>
              <w:rPr>
                <w:lang w:val="en-US"/>
              </w:rPr>
            </w:pPr>
            <w:r w:rsidRPr="000F3C8B">
              <w:rPr>
                <w:lang w:val="en-AU"/>
              </w:rPr>
              <w:t> </w:t>
            </w:r>
          </w:p>
        </w:tc>
        <w:tc>
          <w:tcPr>
            <w:tcW w:w="1694" w:type="dxa"/>
            <w:noWrap/>
            <w:vAlign w:val="bottom"/>
          </w:tcPr>
          <w:p w:rsidR="00A92C25" w:rsidRPr="005711B5" w:rsidRDefault="00A92C25" w:rsidP="00A92C25">
            <w:pPr>
              <w:pStyle w:val="TableText0"/>
              <w:jc w:val="right"/>
              <w:rPr>
                <w:lang w:val="en-US"/>
              </w:rPr>
            </w:pPr>
            <w:r w:rsidRPr="000F3C8B">
              <w:rPr>
                <w:lang w:val="en-AU"/>
              </w:rPr>
              <w:t>-$2,092,469</w:t>
            </w:r>
          </w:p>
        </w:tc>
      </w:tr>
      <w:tr w:rsidR="00A92C25" w:rsidRPr="00C605D6" w:rsidTr="006E0238">
        <w:trPr>
          <w:trHeight w:val="227"/>
        </w:trPr>
        <w:tc>
          <w:tcPr>
            <w:tcW w:w="3043" w:type="dxa"/>
            <w:noWrap/>
            <w:vAlign w:val="bottom"/>
          </w:tcPr>
          <w:p w:rsidR="00A92C25" w:rsidRPr="00C605D6" w:rsidRDefault="00A92C25" w:rsidP="00A92C25">
            <w:pPr>
              <w:pStyle w:val="TableText0"/>
              <w:rPr>
                <w:b/>
                <w:bCs/>
                <w:lang w:val="en-US"/>
              </w:rPr>
            </w:pPr>
            <w:r w:rsidRPr="00C605D6">
              <w:rPr>
                <w:b/>
                <w:bCs/>
                <w:lang w:val="en-US"/>
              </w:rPr>
              <w:t xml:space="preserve">Total cost </w:t>
            </w:r>
          </w:p>
        </w:tc>
        <w:tc>
          <w:tcPr>
            <w:tcW w:w="1694" w:type="dxa"/>
            <w:noWrap/>
            <w:vAlign w:val="bottom"/>
          </w:tcPr>
          <w:p w:rsidR="00A92C25" w:rsidRPr="00C605D6" w:rsidRDefault="00A92C25" w:rsidP="00A92C25">
            <w:pPr>
              <w:pStyle w:val="TableText0"/>
              <w:jc w:val="right"/>
              <w:rPr>
                <w:b/>
                <w:bCs/>
                <w:lang w:val="en-US"/>
              </w:rPr>
            </w:pPr>
            <w:r w:rsidRPr="000F3C8B">
              <w:rPr>
                <w:b/>
                <w:bCs/>
                <w:lang w:val="en-AU"/>
              </w:rPr>
              <w:t> </w:t>
            </w:r>
          </w:p>
        </w:tc>
        <w:tc>
          <w:tcPr>
            <w:tcW w:w="1694" w:type="dxa"/>
            <w:noWrap/>
            <w:vAlign w:val="bottom"/>
          </w:tcPr>
          <w:p w:rsidR="00A92C25" w:rsidRPr="005711B5" w:rsidRDefault="00A92C25" w:rsidP="00A92C25">
            <w:pPr>
              <w:pStyle w:val="TableText0"/>
              <w:jc w:val="right"/>
              <w:rPr>
                <w:b/>
                <w:bCs/>
                <w:lang w:val="en-US"/>
              </w:rPr>
            </w:pPr>
            <w:r w:rsidRPr="000F3C8B">
              <w:rPr>
                <w:b/>
                <w:bCs/>
                <w:lang w:val="en-AU"/>
              </w:rPr>
              <w:t>-$1,319,430</w:t>
            </w:r>
          </w:p>
        </w:tc>
      </w:tr>
    </w:tbl>
    <w:p w:rsidR="006E0238" w:rsidRPr="006E0238" w:rsidRDefault="006E0238" w:rsidP="006E0238">
      <w:pPr>
        <w:pStyle w:val="TableNotes"/>
        <w:rPr>
          <w:lang w:val="en-AU"/>
        </w:rPr>
      </w:pPr>
      <w:r>
        <w:t>MBS: Medicare Benefits Schedule</w:t>
      </w:r>
      <w:r>
        <w:rPr>
          <w:lang w:val="en-AU"/>
        </w:rPr>
        <w:t xml:space="preserve">; </w:t>
      </w:r>
      <w:r>
        <w:t>SEMS: Self-expanding metallic stent</w:t>
      </w:r>
      <w:r>
        <w:rPr>
          <w:lang w:val="en-AU"/>
        </w:rPr>
        <w:t>.</w:t>
      </w:r>
    </w:p>
    <w:p w:rsidR="00F71B25" w:rsidRDefault="00F71B25" w:rsidP="00083B85">
      <w:pPr>
        <w:pStyle w:val="Heading3"/>
      </w:pPr>
      <w:r>
        <w:t xml:space="preserve">Estimated costs for treating patients as a </w:t>
      </w:r>
      <w:r w:rsidR="003617AD">
        <w:t>bridge to surgery</w:t>
      </w:r>
    </w:p>
    <w:p w:rsidR="00F71B25" w:rsidRDefault="00F71B25" w:rsidP="00083B85">
      <w:r>
        <w:t xml:space="preserve">The total average costs for SEMS versus </w:t>
      </w:r>
      <w:r w:rsidR="00DF03CC">
        <w:t>multi-stage</w:t>
      </w:r>
      <w:r>
        <w:t xml:space="preserve"> surgery is summarised in</w:t>
      </w:r>
      <w:r w:rsidR="00425540">
        <w:t xml:space="preserve"> </w:t>
      </w:r>
      <w:r w:rsidR="00425540">
        <w:fldChar w:fldCharType="begin"/>
      </w:r>
      <w:r w:rsidR="00425540">
        <w:instrText xml:space="preserve"> REF _Ref324951194 \h </w:instrText>
      </w:r>
      <w:r w:rsidR="00425540">
        <w:fldChar w:fldCharType="separate"/>
      </w:r>
      <w:r w:rsidR="0071544A">
        <w:t xml:space="preserve">Table </w:t>
      </w:r>
      <w:r w:rsidR="0071544A">
        <w:rPr>
          <w:noProof/>
        </w:rPr>
        <w:t>71</w:t>
      </w:r>
      <w:r w:rsidR="00425540">
        <w:fldChar w:fldCharType="end"/>
      </w:r>
      <w:r>
        <w:t xml:space="preserve">. These costs include those patients who would receive a resection with primary anastomosis after a </w:t>
      </w:r>
      <w:r w:rsidR="003617AD">
        <w:t>bridge to surgery</w:t>
      </w:r>
      <w:r>
        <w:t xml:space="preserve"> and also any re-stenting or </w:t>
      </w:r>
      <w:r w:rsidR="00DF03CC">
        <w:t>multi-stage</w:t>
      </w:r>
      <w:r>
        <w:t xml:space="preserve"> surgeries due to a SEMS failure. The costs also include a proportion of patients who receive palliation. The overall cost savings is driven by lower costs in the MBS fees and costs to the patient and private health insurance. If SEMS were to replace </w:t>
      </w:r>
      <w:r w:rsidR="00DF03CC">
        <w:t>multi-stage</w:t>
      </w:r>
      <w:r>
        <w:t xml:space="preserve"> surgery, there would be an increased cost in consumables, given the high costs of the SEMS itself.</w:t>
      </w:r>
    </w:p>
    <w:p w:rsidR="00083B85" w:rsidRPr="00C605D6" w:rsidRDefault="00425540" w:rsidP="00425540">
      <w:pPr>
        <w:pStyle w:val="Caption"/>
      </w:pPr>
      <w:bookmarkStart w:id="282" w:name="_Ref324951194"/>
      <w:bookmarkStart w:id="283" w:name="_Toc327522115"/>
      <w:r>
        <w:lastRenderedPageBreak/>
        <w:t xml:space="preserve">Table </w:t>
      </w:r>
      <w:fldSimple w:instr=" SEQ Table \* ARABIC ">
        <w:r w:rsidR="0071544A">
          <w:rPr>
            <w:noProof/>
          </w:rPr>
          <w:t>71</w:t>
        </w:r>
      </w:fldSimple>
      <w:bookmarkEnd w:id="282"/>
      <w:r w:rsidR="00083B85" w:rsidRPr="00C605D6">
        <w:tab/>
        <w:t xml:space="preserve">Estimated total costs of SEMS versus </w:t>
      </w:r>
      <w:r w:rsidR="00DF03CC">
        <w:t>multi-stage</w:t>
      </w:r>
      <w:r w:rsidR="00083B85" w:rsidRPr="00C605D6">
        <w:t xml:space="preserve"> surgery</w:t>
      </w:r>
      <w:bookmarkEnd w:id="283"/>
    </w:p>
    <w:tbl>
      <w:tblPr>
        <w:tblW w:w="6215" w:type="dxa"/>
        <w:tblInd w:w="720" w:type="dxa"/>
        <w:tblBorders>
          <w:top w:val="single" w:sz="12" w:space="0" w:color="auto"/>
          <w:bottom w:val="single" w:sz="12" w:space="0" w:color="auto"/>
        </w:tblBorders>
        <w:tblLook w:val="00A0" w:firstRow="1" w:lastRow="0" w:firstColumn="1" w:lastColumn="0" w:noHBand="0" w:noVBand="0"/>
      </w:tblPr>
      <w:tblGrid>
        <w:gridCol w:w="2649"/>
        <w:gridCol w:w="1620"/>
        <w:gridCol w:w="1946"/>
      </w:tblGrid>
      <w:tr w:rsidR="00083B85" w:rsidRPr="00C605D6" w:rsidTr="006E0238">
        <w:trPr>
          <w:trHeight w:val="227"/>
        </w:trPr>
        <w:tc>
          <w:tcPr>
            <w:tcW w:w="2649" w:type="dxa"/>
            <w:tcBorders>
              <w:top w:val="single" w:sz="12" w:space="0" w:color="auto"/>
              <w:bottom w:val="single" w:sz="4" w:space="0" w:color="auto"/>
            </w:tcBorders>
            <w:noWrap/>
            <w:vAlign w:val="bottom"/>
          </w:tcPr>
          <w:p w:rsidR="00083B85" w:rsidRPr="00C605D6" w:rsidRDefault="00083B85" w:rsidP="00083B85">
            <w:pPr>
              <w:pStyle w:val="TableHeading0"/>
            </w:pPr>
          </w:p>
        </w:tc>
        <w:tc>
          <w:tcPr>
            <w:tcW w:w="1620" w:type="dxa"/>
            <w:tcBorders>
              <w:top w:val="single" w:sz="12" w:space="0" w:color="auto"/>
              <w:bottom w:val="single" w:sz="4" w:space="0" w:color="auto"/>
            </w:tcBorders>
            <w:noWrap/>
            <w:vAlign w:val="bottom"/>
          </w:tcPr>
          <w:p w:rsidR="00083B85" w:rsidRPr="00C605D6" w:rsidRDefault="00083B85" w:rsidP="00083B85">
            <w:pPr>
              <w:pStyle w:val="TableHeading0"/>
              <w:jc w:val="right"/>
            </w:pPr>
            <w:r w:rsidRPr="00C605D6">
              <w:t>SEMS</w:t>
            </w:r>
          </w:p>
        </w:tc>
        <w:tc>
          <w:tcPr>
            <w:tcW w:w="1946" w:type="dxa"/>
            <w:tcBorders>
              <w:top w:val="single" w:sz="12" w:space="0" w:color="auto"/>
              <w:bottom w:val="single" w:sz="4" w:space="0" w:color="auto"/>
            </w:tcBorders>
            <w:noWrap/>
            <w:vAlign w:val="bottom"/>
          </w:tcPr>
          <w:p w:rsidR="00083B85" w:rsidRPr="00C605D6" w:rsidRDefault="003D2EE2" w:rsidP="00083B85">
            <w:pPr>
              <w:pStyle w:val="TableHeading0"/>
              <w:jc w:val="right"/>
            </w:pPr>
            <w:r>
              <w:t>M</w:t>
            </w:r>
            <w:r w:rsidR="00DF03CC">
              <w:t>ulti-stage</w:t>
            </w:r>
            <w:r w:rsidR="00083B85" w:rsidRPr="00C605D6">
              <w:t xml:space="preserve"> surgery</w:t>
            </w:r>
          </w:p>
        </w:tc>
      </w:tr>
      <w:tr w:rsidR="00083B85" w:rsidRPr="00C605D6" w:rsidTr="006E0238">
        <w:trPr>
          <w:trHeight w:val="227"/>
        </w:trPr>
        <w:tc>
          <w:tcPr>
            <w:tcW w:w="2649" w:type="dxa"/>
            <w:tcBorders>
              <w:top w:val="single" w:sz="4" w:space="0" w:color="auto"/>
            </w:tcBorders>
            <w:noWrap/>
            <w:vAlign w:val="bottom"/>
          </w:tcPr>
          <w:p w:rsidR="00083B85" w:rsidRPr="00C605D6" w:rsidRDefault="00083B85" w:rsidP="00083B85">
            <w:pPr>
              <w:pStyle w:val="TableText0"/>
              <w:rPr>
                <w:lang w:val="en-US"/>
              </w:rPr>
            </w:pPr>
            <w:r w:rsidRPr="00C605D6">
              <w:rPr>
                <w:lang w:val="en-US"/>
              </w:rPr>
              <w:t>Consumables</w:t>
            </w:r>
          </w:p>
        </w:tc>
        <w:tc>
          <w:tcPr>
            <w:tcW w:w="1620" w:type="dxa"/>
            <w:tcBorders>
              <w:top w:val="single" w:sz="4" w:space="0" w:color="auto"/>
            </w:tcBorders>
            <w:noWrap/>
            <w:vAlign w:val="bottom"/>
          </w:tcPr>
          <w:p w:rsidR="00083B85" w:rsidRPr="00C605D6" w:rsidRDefault="00083B85" w:rsidP="00083B85">
            <w:pPr>
              <w:pStyle w:val="TableText0"/>
              <w:jc w:val="right"/>
              <w:rPr>
                <w:lang w:val="en-US"/>
              </w:rPr>
            </w:pPr>
            <w:r w:rsidRPr="000F3C8B">
              <w:rPr>
                <w:lang w:val="en-AU"/>
              </w:rPr>
              <w:t>$5,211</w:t>
            </w:r>
          </w:p>
        </w:tc>
        <w:tc>
          <w:tcPr>
            <w:tcW w:w="1946" w:type="dxa"/>
            <w:tcBorders>
              <w:top w:val="single" w:sz="4" w:space="0" w:color="auto"/>
            </w:tcBorders>
            <w:noWrap/>
            <w:vAlign w:val="bottom"/>
          </w:tcPr>
          <w:p w:rsidR="00083B85" w:rsidRPr="00C605D6" w:rsidRDefault="00083B85" w:rsidP="00083B85">
            <w:pPr>
              <w:pStyle w:val="TableText0"/>
              <w:jc w:val="right"/>
              <w:rPr>
                <w:lang w:val="en-US"/>
              </w:rPr>
            </w:pPr>
            <w:r w:rsidRPr="000F3C8B">
              <w:rPr>
                <w:lang w:val="en-AU"/>
              </w:rPr>
              <w:t>$1,908</w:t>
            </w:r>
          </w:p>
        </w:tc>
      </w:tr>
      <w:tr w:rsidR="00083B85" w:rsidRPr="00C605D6" w:rsidTr="006E0238">
        <w:trPr>
          <w:trHeight w:val="227"/>
        </w:trPr>
        <w:tc>
          <w:tcPr>
            <w:tcW w:w="2649" w:type="dxa"/>
            <w:noWrap/>
            <w:vAlign w:val="bottom"/>
          </w:tcPr>
          <w:p w:rsidR="00083B85" w:rsidRPr="00C605D6" w:rsidRDefault="00083B85" w:rsidP="00083B85">
            <w:pPr>
              <w:pStyle w:val="TableText0"/>
              <w:rPr>
                <w:lang w:val="en-US"/>
              </w:rPr>
            </w:pPr>
            <w:r w:rsidRPr="00C605D6">
              <w:rPr>
                <w:lang w:val="en-US"/>
              </w:rPr>
              <w:t xml:space="preserve">MBS </w:t>
            </w:r>
            <w:r w:rsidR="003D2EE2" w:rsidRPr="00C605D6">
              <w:rPr>
                <w:lang w:val="en-US"/>
              </w:rPr>
              <w:t>it</w:t>
            </w:r>
            <w:r w:rsidRPr="00C605D6">
              <w:rPr>
                <w:lang w:val="en-US"/>
              </w:rPr>
              <w:t>ems</w:t>
            </w:r>
          </w:p>
        </w:tc>
        <w:tc>
          <w:tcPr>
            <w:tcW w:w="1620" w:type="dxa"/>
            <w:noWrap/>
            <w:vAlign w:val="bottom"/>
          </w:tcPr>
          <w:p w:rsidR="00083B85" w:rsidRPr="00C605D6" w:rsidRDefault="00083B85" w:rsidP="00083B85">
            <w:pPr>
              <w:pStyle w:val="TableText0"/>
              <w:jc w:val="right"/>
              <w:rPr>
                <w:lang w:val="en-US"/>
              </w:rPr>
            </w:pPr>
            <w:r w:rsidRPr="000F3C8B">
              <w:rPr>
                <w:lang w:val="en-AU"/>
              </w:rPr>
              <w:t>$9,848</w:t>
            </w:r>
          </w:p>
        </w:tc>
        <w:tc>
          <w:tcPr>
            <w:tcW w:w="1946" w:type="dxa"/>
            <w:noWrap/>
            <w:vAlign w:val="bottom"/>
          </w:tcPr>
          <w:p w:rsidR="00083B85" w:rsidRPr="00C605D6" w:rsidRDefault="00083B85" w:rsidP="00083B85">
            <w:pPr>
              <w:pStyle w:val="TableText0"/>
              <w:jc w:val="right"/>
              <w:rPr>
                <w:lang w:val="en-US"/>
              </w:rPr>
            </w:pPr>
            <w:r w:rsidRPr="000F3C8B">
              <w:rPr>
                <w:lang w:val="en-AU"/>
              </w:rPr>
              <w:t>$11,852</w:t>
            </w:r>
          </w:p>
        </w:tc>
      </w:tr>
      <w:tr w:rsidR="00083B85" w:rsidRPr="00C605D6" w:rsidTr="006E0238">
        <w:trPr>
          <w:trHeight w:val="227"/>
        </w:trPr>
        <w:tc>
          <w:tcPr>
            <w:tcW w:w="2649" w:type="dxa"/>
            <w:noWrap/>
            <w:vAlign w:val="bottom"/>
          </w:tcPr>
          <w:p w:rsidR="00083B85" w:rsidRPr="00C605D6" w:rsidRDefault="00083B85" w:rsidP="00083B85">
            <w:pPr>
              <w:pStyle w:val="TableText0"/>
              <w:rPr>
                <w:b/>
                <w:lang w:val="en-US"/>
              </w:rPr>
            </w:pPr>
            <w:r w:rsidRPr="000F3C8B">
              <w:rPr>
                <w:lang w:val="en-AU"/>
              </w:rPr>
              <w:t>Patient/insurer costs</w:t>
            </w:r>
          </w:p>
        </w:tc>
        <w:tc>
          <w:tcPr>
            <w:tcW w:w="1620" w:type="dxa"/>
            <w:noWrap/>
            <w:vAlign w:val="bottom"/>
          </w:tcPr>
          <w:p w:rsidR="00083B85" w:rsidRPr="00C605D6" w:rsidRDefault="00083B85" w:rsidP="00083B85">
            <w:pPr>
              <w:pStyle w:val="TableText0"/>
              <w:jc w:val="right"/>
              <w:rPr>
                <w:lang w:val="en-US"/>
              </w:rPr>
            </w:pPr>
            <w:r w:rsidRPr="000F3C8B">
              <w:rPr>
                <w:lang w:val="en-AU"/>
              </w:rPr>
              <w:t>$14,670</w:t>
            </w:r>
          </w:p>
        </w:tc>
        <w:tc>
          <w:tcPr>
            <w:tcW w:w="1946" w:type="dxa"/>
            <w:noWrap/>
            <w:vAlign w:val="bottom"/>
          </w:tcPr>
          <w:p w:rsidR="00083B85" w:rsidRPr="00C605D6" w:rsidRDefault="00083B85" w:rsidP="00083B85">
            <w:pPr>
              <w:pStyle w:val="TableText0"/>
              <w:jc w:val="right"/>
              <w:rPr>
                <w:lang w:val="en-US"/>
              </w:rPr>
            </w:pPr>
            <w:r w:rsidRPr="000F3C8B">
              <w:rPr>
                <w:lang w:val="en-AU"/>
              </w:rPr>
              <w:t>$16,409</w:t>
            </w:r>
          </w:p>
        </w:tc>
      </w:tr>
      <w:tr w:rsidR="00083B85" w:rsidRPr="00C605D6" w:rsidTr="006E0238">
        <w:trPr>
          <w:trHeight w:val="227"/>
        </w:trPr>
        <w:tc>
          <w:tcPr>
            <w:tcW w:w="2649" w:type="dxa"/>
            <w:noWrap/>
            <w:vAlign w:val="bottom"/>
          </w:tcPr>
          <w:p w:rsidR="00083B85" w:rsidRPr="00C605D6" w:rsidRDefault="00083B85" w:rsidP="00083B85">
            <w:pPr>
              <w:pStyle w:val="TableText0"/>
              <w:rPr>
                <w:b/>
                <w:bCs/>
                <w:lang w:val="en-US"/>
              </w:rPr>
            </w:pPr>
            <w:r w:rsidRPr="00C605D6">
              <w:rPr>
                <w:b/>
                <w:bCs/>
                <w:lang w:val="en-US"/>
              </w:rPr>
              <w:t>Total post-operative</w:t>
            </w:r>
          </w:p>
        </w:tc>
        <w:tc>
          <w:tcPr>
            <w:tcW w:w="1620" w:type="dxa"/>
            <w:noWrap/>
            <w:vAlign w:val="bottom"/>
          </w:tcPr>
          <w:p w:rsidR="00083B85" w:rsidRPr="00C605D6" w:rsidRDefault="00083B85" w:rsidP="00083B85">
            <w:pPr>
              <w:pStyle w:val="TableText0"/>
              <w:jc w:val="right"/>
              <w:rPr>
                <w:b/>
                <w:bCs/>
                <w:lang w:val="en-US"/>
              </w:rPr>
            </w:pPr>
            <w:r w:rsidRPr="000F3C8B">
              <w:rPr>
                <w:b/>
                <w:bCs/>
                <w:lang w:val="en-AU"/>
              </w:rPr>
              <w:t>$29,729</w:t>
            </w:r>
          </w:p>
        </w:tc>
        <w:tc>
          <w:tcPr>
            <w:tcW w:w="1946" w:type="dxa"/>
            <w:noWrap/>
            <w:vAlign w:val="bottom"/>
          </w:tcPr>
          <w:p w:rsidR="00083B85" w:rsidRPr="00C605D6" w:rsidRDefault="00083B85" w:rsidP="00083B85">
            <w:pPr>
              <w:pStyle w:val="TableText0"/>
              <w:jc w:val="right"/>
              <w:rPr>
                <w:b/>
                <w:bCs/>
                <w:lang w:val="en-US"/>
              </w:rPr>
            </w:pPr>
            <w:r w:rsidRPr="000F3C8B">
              <w:rPr>
                <w:b/>
                <w:bCs/>
                <w:lang w:val="en-AU"/>
              </w:rPr>
              <w:t>$30,169</w:t>
            </w:r>
          </w:p>
        </w:tc>
      </w:tr>
    </w:tbl>
    <w:p w:rsidR="006E0238" w:rsidRPr="006E0238" w:rsidRDefault="006E0238" w:rsidP="006E0238">
      <w:pPr>
        <w:pStyle w:val="TableNotes"/>
        <w:rPr>
          <w:lang w:val="en-AU"/>
        </w:rPr>
      </w:pPr>
      <w:r>
        <w:t>MBS: Medicare Benefits Schedule</w:t>
      </w:r>
      <w:r>
        <w:rPr>
          <w:lang w:val="en-AU"/>
        </w:rPr>
        <w:t xml:space="preserve">; </w:t>
      </w:r>
      <w:r>
        <w:t>SEMS: Self-expanding metallic stent</w:t>
      </w:r>
      <w:r>
        <w:rPr>
          <w:lang w:val="en-AU"/>
        </w:rPr>
        <w:t>.</w:t>
      </w:r>
    </w:p>
    <w:p w:rsidR="00F71B25" w:rsidRDefault="00425540" w:rsidP="00083B85">
      <w:r>
        <w:fldChar w:fldCharType="begin"/>
      </w:r>
      <w:r>
        <w:instrText xml:space="preserve"> REF _Ref324951225 \h </w:instrText>
      </w:r>
      <w:r>
        <w:fldChar w:fldCharType="separate"/>
      </w:r>
      <w:r w:rsidR="0071544A">
        <w:t xml:space="preserve">Table </w:t>
      </w:r>
      <w:r w:rsidR="0071544A">
        <w:rPr>
          <w:noProof/>
        </w:rPr>
        <w:t>72</w:t>
      </w:r>
      <w:r>
        <w:fldChar w:fldCharType="end"/>
      </w:r>
      <w:r>
        <w:t xml:space="preserve"> </w:t>
      </w:r>
      <w:r w:rsidR="00F71B25">
        <w:t xml:space="preserve">and </w:t>
      </w:r>
      <w:r>
        <w:fldChar w:fldCharType="begin"/>
      </w:r>
      <w:r>
        <w:instrText xml:space="preserve"> REF _Ref324951244 \h </w:instrText>
      </w:r>
      <w:r>
        <w:fldChar w:fldCharType="separate"/>
      </w:r>
      <w:r w:rsidR="0071544A">
        <w:t xml:space="preserve">Table </w:t>
      </w:r>
      <w:r w:rsidR="0071544A">
        <w:rPr>
          <w:noProof/>
        </w:rPr>
        <w:t>73</w:t>
      </w:r>
      <w:r>
        <w:fldChar w:fldCharType="end"/>
      </w:r>
      <w:r>
        <w:t xml:space="preserve"> </w:t>
      </w:r>
      <w:r w:rsidR="00F71B25">
        <w:t xml:space="preserve">present the overall estimated impact of SEMS placement of either a colostomy or a Hartmann’s procedure. If all patients who would have received a colostomy or Hartmann’s received SEMS, the overall cost savings would be between $138,045 (lower estimate) and $500,412 (upper limit). </w:t>
      </w:r>
    </w:p>
    <w:p w:rsidR="00083B85" w:rsidRPr="00C605D6" w:rsidRDefault="00425540" w:rsidP="00425540">
      <w:pPr>
        <w:pStyle w:val="Caption"/>
      </w:pPr>
      <w:bookmarkStart w:id="284" w:name="_Ref324951225"/>
      <w:bookmarkStart w:id="285" w:name="_Toc327522116"/>
      <w:r>
        <w:t xml:space="preserve">Table </w:t>
      </w:r>
      <w:fldSimple w:instr=" SEQ Table \* ARABIC ">
        <w:r w:rsidR="0071544A">
          <w:rPr>
            <w:noProof/>
          </w:rPr>
          <w:t>72</w:t>
        </w:r>
      </w:fldSimple>
      <w:bookmarkEnd w:id="284"/>
      <w:r w:rsidR="00083B85" w:rsidRPr="00C605D6">
        <w:tab/>
        <w:t xml:space="preserve">Estimated total costs of SEMS versus </w:t>
      </w:r>
      <w:r w:rsidR="00DF03CC">
        <w:t>multi-stage</w:t>
      </w:r>
      <w:r w:rsidR="00083B85" w:rsidRPr="00C605D6">
        <w:t xml:space="preserve"> surgery (lower limit)</w:t>
      </w:r>
      <w:bookmarkEnd w:id="285"/>
    </w:p>
    <w:tbl>
      <w:tblPr>
        <w:tblW w:w="6732" w:type="dxa"/>
        <w:tblInd w:w="720" w:type="dxa"/>
        <w:tblBorders>
          <w:top w:val="single" w:sz="12" w:space="0" w:color="auto"/>
          <w:bottom w:val="single" w:sz="12" w:space="0" w:color="auto"/>
        </w:tblBorders>
        <w:tblLook w:val="00A0" w:firstRow="1" w:lastRow="0" w:firstColumn="1" w:lastColumn="0" w:noHBand="0" w:noVBand="0"/>
      </w:tblPr>
      <w:tblGrid>
        <w:gridCol w:w="3047"/>
        <w:gridCol w:w="1534"/>
        <w:gridCol w:w="2151"/>
      </w:tblGrid>
      <w:tr w:rsidR="00083B85" w:rsidRPr="00C605D6" w:rsidTr="006E0238">
        <w:trPr>
          <w:trHeight w:val="227"/>
        </w:trPr>
        <w:tc>
          <w:tcPr>
            <w:tcW w:w="3047" w:type="dxa"/>
            <w:tcBorders>
              <w:top w:val="single" w:sz="12" w:space="0" w:color="auto"/>
              <w:bottom w:val="single" w:sz="4" w:space="0" w:color="auto"/>
            </w:tcBorders>
            <w:noWrap/>
            <w:vAlign w:val="bottom"/>
          </w:tcPr>
          <w:p w:rsidR="00083B85" w:rsidRPr="00C605D6" w:rsidRDefault="00083B85" w:rsidP="004E680E">
            <w:pPr>
              <w:keepNext/>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534" w:type="dxa"/>
            <w:tcBorders>
              <w:top w:val="single" w:sz="12" w:space="0" w:color="auto"/>
              <w:bottom w:val="single" w:sz="4" w:space="0" w:color="auto"/>
            </w:tcBorders>
            <w:noWrap/>
            <w:vAlign w:val="bottom"/>
          </w:tcPr>
          <w:p w:rsidR="00083B85" w:rsidRPr="00C605D6" w:rsidRDefault="00083B85" w:rsidP="00083B85">
            <w:pPr>
              <w:pStyle w:val="TableHeading0"/>
              <w:jc w:val="right"/>
            </w:pPr>
            <w:r w:rsidRPr="00C605D6">
              <w:t>SEMS</w:t>
            </w:r>
          </w:p>
        </w:tc>
        <w:tc>
          <w:tcPr>
            <w:tcW w:w="2151" w:type="dxa"/>
            <w:tcBorders>
              <w:top w:val="single" w:sz="12" w:space="0" w:color="auto"/>
              <w:bottom w:val="single" w:sz="4" w:space="0" w:color="auto"/>
            </w:tcBorders>
            <w:noWrap/>
            <w:vAlign w:val="bottom"/>
          </w:tcPr>
          <w:p w:rsidR="00083B85" w:rsidRPr="00C605D6" w:rsidRDefault="003D2EE2" w:rsidP="00083B85">
            <w:pPr>
              <w:pStyle w:val="TableHeading0"/>
              <w:jc w:val="right"/>
            </w:pPr>
            <w:r>
              <w:t>M</w:t>
            </w:r>
            <w:r w:rsidR="00DF03CC">
              <w:t>ulti-stage</w:t>
            </w:r>
            <w:r w:rsidR="00083B85" w:rsidRPr="00C605D6">
              <w:t xml:space="preserve"> surgery</w:t>
            </w:r>
          </w:p>
        </w:tc>
      </w:tr>
      <w:tr w:rsidR="00083B85" w:rsidRPr="00C605D6" w:rsidTr="006E0238">
        <w:trPr>
          <w:trHeight w:val="227"/>
        </w:trPr>
        <w:tc>
          <w:tcPr>
            <w:tcW w:w="3047" w:type="dxa"/>
            <w:tcBorders>
              <w:top w:val="single" w:sz="4" w:space="0" w:color="auto"/>
            </w:tcBorders>
            <w:noWrap/>
            <w:vAlign w:val="bottom"/>
          </w:tcPr>
          <w:p w:rsidR="00083B85" w:rsidRPr="00C605D6" w:rsidRDefault="00083B85" w:rsidP="00083B85">
            <w:pPr>
              <w:pStyle w:val="TableText0"/>
              <w:rPr>
                <w:lang w:val="en-US"/>
              </w:rPr>
            </w:pPr>
            <w:r w:rsidRPr="00C605D6">
              <w:rPr>
                <w:lang w:val="en-US"/>
              </w:rPr>
              <w:t>Total cost per patient</w:t>
            </w:r>
          </w:p>
        </w:tc>
        <w:tc>
          <w:tcPr>
            <w:tcW w:w="1534" w:type="dxa"/>
            <w:tcBorders>
              <w:top w:val="single" w:sz="4" w:space="0" w:color="auto"/>
            </w:tcBorders>
            <w:noWrap/>
            <w:vAlign w:val="bottom"/>
          </w:tcPr>
          <w:p w:rsidR="00083B85" w:rsidRPr="00C605D6" w:rsidRDefault="00083B85" w:rsidP="00083B85">
            <w:pPr>
              <w:pStyle w:val="TableText0"/>
              <w:jc w:val="right"/>
              <w:rPr>
                <w:lang w:val="en-US"/>
              </w:rPr>
            </w:pPr>
            <w:r w:rsidRPr="000F3C8B">
              <w:rPr>
                <w:lang w:val="en-AU"/>
              </w:rPr>
              <w:t>$29,729</w:t>
            </w:r>
          </w:p>
        </w:tc>
        <w:tc>
          <w:tcPr>
            <w:tcW w:w="2151" w:type="dxa"/>
            <w:tcBorders>
              <w:top w:val="single" w:sz="4" w:space="0" w:color="auto"/>
            </w:tcBorders>
            <w:noWrap/>
            <w:vAlign w:val="bottom"/>
          </w:tcPr>
          <w:p w:rsidR="00083B85" w:rsidRPr="00C605D6" w:rsidRDefault="00083B85" w:rsidP="00083B85">
            <w:pPr>
              <w:pStyle w:val="TableText0"/>
              <w:jc w:val="right"/>
              <w:rPr>
                <w:lang w:val="en-US"/>
              </w:rPr>
            </w:pPr>
            <w:r w:rsidRPr="000F3C8B">
              <w:rPr>
                <w:lang w:val="en-AU"/>
              </w:rPr>
              <w:t>$30,169</w:t>
            </w:r>
          </w:p>
        </w:tc>
      </w:tr>
      <w:tr w:rsidR="00083B85" w:rsidRPr="00C605D6" w:rsidTr="006E0238">
        <w:trPr>
          <w:trHeight w:val="227"/>
        </w:trPr>
        <w:tc>
          <w:tcPr>
            <w:tcW w:w="3047" w:type="dxa"/>
            <w:noWrap/>
            <w:vAlign w:val="bottom"/>
          </w:tcPr>
          <w:p w:rsidR="00083B85" w:rsidRPr="00C605D6" w:rsidRDefault="00083B85" w:rsidP="00083B85">
            <w:pPr>
              <w:pStyle w:val="TableText0"/>
              <w:rPr>
                <w:lang w:val="en-US"/>
              </w:rPr>
            </w:pPr>
            <w:r w:rsidRPr="00C605D6">
              <w:rPr>
                <w:lang w:val="en-US"/>
              </w:rPr>
              <w:t>Number of patients</w:t>
            </w:r>
          </w:p>
        </w:tc>
        <w:tc>
          <w:tcPr>
            <w:tcW w:w="1534" w:type="dxa"/>
            <w:noWrap/>
            <w:vAlign w:val="bottom"/>
          </w:tcPr>
          <w:p w:rsidR="00083B85" w:rsidRPr="00C605D6" w:rsidRDefault="00083B85" w:rsidP="00083B85">
            <w:pPr>
              <w:pStyle w:val="TableText0"/>
              <w:jc w:val="right"/>
              <w:rPr>
                <w:lang w:val="en-US"/>
              </w:rPr>
            </w:pPr>
            <w:r w:rsidRPr="000F3C8B">
              <w:rPr>
                <w:lang w:val="en-AU"/>
              </w:rPr>
              <w:t xml:space="preserve">                     314 </w:t>
            </w:r>
          </w:p>
        </w:tc>
        <w:tc>
          <w:tcPr>
            <w:tcW w:w="2151" w:type="dxa"/>
            <w:noWrap/>
            <w:vAlign w:val="bottom"/>
          </w:tcPr>
          <w:p w:rsidR="00083B85" w:rsidRPr="00C605D6" w:rsidRDefault="00083B85" w:rsidP="00083B85">
            <w:pPr>
              <w:pStyle w:val="TableText0"/>
              <w:jc w:val="right"/>
              <w:rPr>
                <w:lang w:val="en-US"/>
              </w:rPr>
            </w:pPr>
            <w:r w:rsidRPr="000F3C8B">
              <w:rPr>
                <w:lang w:val="en-AU"/>
              </w:rPr>
              <w:t xml:space="preserve">                        314 </w:t>
            </w:r>
          </w:p>
        </w:tc>
      </w:tr>
      <w:tr w:rsidR="00083B85" w:rsidRPr="00C605D6" w:rsidTr="006E0238">
        <w:trPr>
          <w:trHeight w:val="227"/>
        </w:trPr>
        <w:tc>
          <w:tcPr>
            <w:tcW w:w="3047" w:type="dxa"/>
            <w:noWrap/>
            <w:vAlign w:val="bottom"/>
          </w:tcPr>
          <w:p w:rsidR="00083B85" w:rsidRPr="00C605D6" w:rsidRDefault="00083B85" w:rsidP="00083B85">
            <w:pPr>
              <w:pStyle w:val="TableText0"/>
              <w:rPr>
                <w:i/>
                <w:iCs/>
                <w:lang w:val="en-US"/>
              </w:rPr>
            </w:pPr>
            <w:r w:rsidRPr="00C605D6">
              <w:rPr>
                <w:i/>
                <w:iCs/>
                <w:lang w:val="en-US"/>
              </w:rPr>
              <w:t>Brea</w:t>
            </w:r>
            <w:r>
              <w:rPr>
                <w:i/>
                <w:iCs/>
                <w:lang w:val="en-US"/>
              </w:rPr>
              <w:t>kdown of financial implications</w:t>
            </w:r>
          </w:p>
        </w:tc>
        <w:tc>
          <w:tcPr>
            <w:tcW w:w="1534" w:type="dxa"/>
            <w:noWrap/>
            <w:vAlign w:val="bottom"/>
          </w:tcPr>
          <w:p w:rsidR="00083B85" w:rsidRPr="00C605D6" w:rsidRDefault="00083B85" w:rsidP="00083B85">
            <w:pPr>
              <w:pStyle w:val="TableText0"/>
              <w:jc w:val="right"/>
              <w:rPr>
                <w:lang w:val="en-US"/>
              </w:rPr>
            </w:pPr>
            <w:r w:rsidRPr="000F3C8B">
              <w:rPr>
                <w:lang w:val="en-AU"/>
              </w:rPr>
              <w:t> </w:t>
            </w:r>
          </w:p>
        </w:tc>
        <w:tc>
          <w:tcPr>
            <w:tcW w:w="2151" w:type="dxa"/>
            <w:noWrap/>
            <w:vAlign w:val="bottom"/>
          </w:tcPr>
          <w:p w:rsidR="00083B85" w:rsidRPr="00C605D6" w:rsidRDefault="00083B85" w:rsidP="00083B85">
            <w:pPr>
              <w:pStyle w:val="TableText0"/>
              <w:jc w:val="right"/>
              <w:rPr>
                <w:lang w:val="en-US"/>
              </w:rPr>
            </w:pPr>
            <w:r w:rsidRPr="000F3C8B">
              <w:rPr>
                <w:lang w:val="en-AU"/>
              </w:rPr>
              <w:t> </w:t>
            </w:r>
          </w:p>
        </w:tc>
      </w:tr>
      <w:tr w:rsidR="00083B85" w:rsidRPr="00C605D6" w:rsidTr="006E0238">
        <w:trPr>
          <w:trHeight w:val="227"/>
        </w:trPr>
        <w:tc>
          <w:tcPr>
            <w:tcW w:w="3047" w:type="dxa"/>
            <w:noWrap/>
            <w:vAlign w:val="bottom"/>
          </w:tcPr>
          <w:p w:rsidR="00083B85" w:rsidRPr="00C605D6" w:rsidRDefault="00083B85" w:rsidP="00083B85">
            <w:pPr>
              <w:pStyle w:val="TableText0"/>
              <w:rPr>
                <w:lang w:val="en-US"/>
              </w:rPr>
            </w:pPr>
            <w:r w:rsidRPr="00C605D6">
              <w:rPr>
                <w:lang w:val="en-US"/>
              </w:rPr>
              <w:t>Consumables</w:t>
            </w:r>
          </w:p>
        </w:tc>
        <w:tc>
          <w:tcPr>
            <w:tcW w:w="1534" w:type="dxa"/>
            <w:noWrap/>
            <w:vAlign w:val="bottom"/>
          </w:tcPr>
          <w:p w:rsidR="00083B85" w:rsidRPr="00C605D6" w:rsidRDefault="00083B85" w:rsidP="00083B85">
            <w:pPr>
              <w:pStyle w:val="TableText0"/>
              <w:jc w:val="right"/>
              <w:rPr>
                <w:lang w:val="en-US"/>
              </w:rPr>
            </w:pPr>
            <w:r w:rsidRPr="000F3C8B">
              <w:rPr>
                <w:lang w:val="en-AU"/>
              </w:rPr>
              <w:t>$1,634,888</w:t>
            </w:r>
          </w:p>
        </w:tc>
        <w:tc>
          <w:tcPr>
            <w:tcW w:w="2151" w:type="dxa"/>
            <w:noWrap/>
            <w:vAlign w:val="bottom"/>
          </w:tcPr>
          <w:p w:rsidR="00083B85" w:rsidRPr="00C605D6" w:rsidRDefault="00083B85" w:rsidP="00083B85">
            <w:pPr>
              <w:pStyle w:val="TableText0"/>
              <w:jc w:val="right"/>
              <w:rPr>
                <w:lang w:val="en-US"/>
              </w:rPr>
            </w:pPr>
            <w:r w:rsidRPr="000F3C8B">
              <w:rPr>
                <w:lang w:val="en-AU"/>
              </w:rPr>
              <w:t>$598,612</w:t>
            </w:r>
          </w:p>
        </w:tc>
      </w:tr>
      <w:tr w:rsidR="00083B85" w:rsidRPr="00C605D6" w:rsidTr="006E0238">
        <w:trPr>
          <w:trHeight w:val="227"/>
        </w:trPr>
        <w:tc>
          <w:tcPr>
            <w:tcW w:w="3047" w:type="dxa"/>
            <w:noWrap/>
            <w:vAlign w:val="bottom"/>
          </w:tcPr>
          <w:p w:rsidR="00083B85" w:rsidRPr="00C605D6" w:rsidRDefault="00083B85" w:rsidP="00083B85">
            <w:pPr>
              <w:pStyle w:val="TableText0"/>
              <w:rPr>
                <w:lang w:val="en-US"/>
              </w:rPr>
            </w:pPr>
            <w:r w:rsidRPr="00C605D6">
              <w:rPr>
                <w:lang w:val="en-US"/>
              </w:rPr>
              <w:t>MBS</w:t>
            </w:r>
            <w:r w:rsidR="003D2EE2" w:rsidRPr="00C605D6">
              <w:rPr>
                <w:lang w:val="en-US"/>
              </w:rPr>
              <w:t xml:space="preserve"> items</w:t>
            </w:r>
          </w:p>
        </w:tc>
        <w:tc>
          <w:tcPr>
            <w:tcW w:w="1534" w:type="dxa"/>
            <w:noWrap/>
            <w:vAlign w:val="bottom"/>
          </w:tcPr>
          <w:p w:rsidR="00083B85" w:rsidRPr="00C605D6" w:rsidRDefault="00083B85" w:rsidP="00083B85">
            <w:pPr>
              <w:pStyle w:val="TableText0"/>
              <w:jc w:val="right"/>
              <w:rPr>
                <w:lang w:val="en-US"/>
              </w:rPr>
            </w:pPr>
            <w:r w:rsidRPr="000F3C8B">
              <w:rPr>
                <w:lang w:val="en-AU"/>
              </w:rPr>
              <w:t>$3,089,690</w:t>
            </w:r>
          </w:p>
        </w:tc>
        <w:tc>
          <w:tcPr>
            <w:tcW w:w="2151" w:type="dxa"/>
            <w:noWrap/>
            <w:vAlign w:val="bottom"/>
          </w:tcPr>
          <w:p w:rsidR="00083B85" w:rsidRPr="00C605D6" w:rsidRDefault="00083B85" w:rsidP="00083B85">
            <w:pPr>
              <w:pStyle w:val="TableText0"/>
              <w:jc w:val="right"/>
              <w:rPr>
                <w:lang w:val="en-US"/>
              </w:rPr>
            </w:pPr>
            <w:r w:rsidRPr="000F3C8B">
              <w:rPr>
                <w:lang w:val="en-AU"/>
              </w:rPr>
              <w:t>$3,718,421</w:t>
            </w:r>
          </w:p>
        </w:tc>
      </w:tr>
      <w:tr w:rsidR="00083B85" w:rsidRPr="00C605D6" w:rsidTr="006E0238">
        <w:trPr>
          <w:trHeight w:val="227"/>
        </w:trPr>
        <w:tc>
          <w:tcPr>
            <w:tcW w:w="3047" w:type="dxa"/>
            <w:noWrap/>
            <w:vAlign w:val="bottom"/>
          </w:tcPr>
          <w:p w:rsidR="00083B85" w:rsidRPr="00C605D6" w:rsidRDefault="00083B85" w:rsidP="003D2EE2">
            <w:pPr>
              <w:pStyle w:val="TableText0"/>
              <w:rPr>
                <w:lang w:val="en-US"/>
              </w:rPr>
            </w:pPr>
            <w:r w:rsidRPr="000F3C8B">
              <w:rPr>
                <w:lang w:val="en-AU"/>
              </w:rPr>
              <w:t>Patient/insurer costs</w:t>
            </w:r>
          </w:p>
        </w:tc>
        <w:tc>
          <w:tcPr>
            <w:tcW w:w="1534" w:type="dxa"/>
            <w:noWrap/>
            <w:vAlign w:val="bottom"/>
          </w:tcPr>
          <w:p w:rsidR="00083B85" w:rsidRPr="00C605D6" w:rsidRDefault="00083B85" w:rsidP="00083B85">
            <w:pPr>
              <w:pStyle w:val="TableText0"/>
              <w:jc w:val="right"/>
              <w:rPr>
                <w:lang w:val="en-US"/>
              </w:rPr>
            </w:pPr>
            <w:r w:rsidRPr="000F3C8B">
              <w:rPr>
                <w:lang w:val="en-AU"/>
              </w:rPr>
              <w:t>$4,602,534</w:t>
            </w:r>
          </w:p>
        </w:tc>
        <w:tc>
          <w:tcPr>
            <w:tcW w:w="2151" w:type="dxa"/>
            <w:noWrap/>
            <w:vAlign w:val="bottom"/>
          </w:tcPr>
          <w:p w:rsidR="00083B85" w:rsidRPr="00C605D6" w:rsidRDefault="00083B85" w:rsidP="00083B85">
            <w:pPr>
              <w:pStyle w:val="TableText0"/>
              <w:jc w:val="right"/>
              <w:rPr>
                <w:lang w:val="en-US"/>
              </w:rPr>
            </w:pPr>
            <w:r w:rsidRPr="000F3C8B">
              <w:rPr>
                <w:lang w:val="en-AU"/>
              </w:rPr>
              <w:t>$5,148,124</w:t>
            </w:r>
          </w:p>
        </w:tc>
      </w:tr>
      <w:tr w:rsidR="00083B85" w:rsidRPr="00C605D6" w:rsidTr="006E0238">
        <w:trPr>
          <w:trHeight w:val="227"/>
        </w:trPr>
        <w:tc>
          <w:tcPr>
            <w:tcW w:w="3047" w:type="dxa"/>
            <w:noWrap/>
            <w:vAlign w:val="bottom"/>
          </w:tcPr>
          <w:p w:rsidR="00083B85" w:rsidRPr="00C605D6" w:rsidRDefault="00083B85" w:rsidP="00083B85">
            <w:pPr>
              <w:pStyle w:val="TableText0"/>
              <w:rPr>
                <w:b/>
                <w:bCs/>
                <w:lang w:val="en-US"/>
              </w:rPr>
            </w:pPr>
            <w:r w:rsidRPr="00C605D6">
              <w:rPr>
                <w:b/>
                <w:bCs/>
                <w:lang w:val="en-US"/>
              </w:rPr>
              <w:t>Total financial implications</w:t>
            </w:r>
          </w:p>
        </w:tc>
        <w:tc>
          <w:tcPr>
            <w:tcW w:w="1534" w:type="dxa"/>
            <w:noWrap/>
            <w:vAlign w:val="bottom"/>
          </w:tcPr>
          <w:p w:rsidR="00083B85" w:rsidRPr="00C605D6" w:rsidRDefault="00083B85" w:rsidP="00083B85">
            <w:pPr>
              <w:pStyle w:val="TableText0"/>
              <w:jc w:val="right"/>
              <w:rPr>
                <w:b/>
                <w:bCs/>
                <w:lang w:val="en-US"/>
              </w:rPr>
            </w:pPr>
            <w:r w:rsidRPr="000F3C8B">
              <w:rPr>
                <w:b/>
                <w:bCs/>
                <w:lang w:val="en-AU"/>
              </w:rPr>
              <w:t>$9,327,112</w:t>
            </w:r>
          </w:p>
        </w:tc>
        <w:tc>
          <w:tcPr>
            <w:tcW w:w="2151" w:type="dxa"/>
            <w:noWrap/>
            <w:vAlign w:val="bottom"/>
          </w:tcPr>
          <w:p w:rsidR="00083B85" w:rsidRPr="00C605D6" w:rsidRDefault="00083B85" w:rsidP="00083B85">
            <w:pPr>
              <w:pStyle w:val="TableText0"/>
              <w:jc w:val="right"/>
              <w:rPr>
                <w:b/>
                <w:bCs/>
                <w:lang w:val="en-US"/>
              </w:rPr>
            </w:pPr>
            <w:r w:rsidRPr="000F3C8B">
              <w:rPr>
                <w:b/>
                <w:bCs/>
                <w:lang w:val="en-AU"/>
              </w:rPr>
              <w:t>$9,465,157</w:t>
            </w:r>
          </w:p>
        </w:tc>
      </w:tr>
      <w:tr w:rsidR="00083B85" w:rsidRPr="00C605D6" w:rsidTr="006E0238">
        <w:trPr>
          <w:trHeight w:val="227"/>
        </w:trPr>
        <w:tc>
          <w:tcPr>
            <w:tcW w:w="3047" w:type="dxa"/>
            <w:shd w:val="clear" w:color="auto" w:fill="auto"/>
            <w:noWrap/>
            <w:vAlign w:val="bottom"/>
          </w:tcPr>
          <w:p w:rsidR="00083B85" w:rsidRPr="00C605D6" w:rsidRDefault="00083B85" w:rsidP="00083B85">
            <w:pPr>
              <w:pStyle w:val="TableText0"/>
              <w:rPr>
                <w:i/>
                <w:iCs/>
                <w:lang w:val="en-US"/>
              </w:rPr>
            </w:pPr>
            <w:r>
              <w:rPr>
                <w:i/>
                <w:iCs/>
                <w:lang w:val="en-US"/>
              </w:rPr>
              <w:t>Incremental costs</w:t>
            </w:r>
          </w:p>
        </w:tc>
        <w:tc>
          <w:tcPr>
            <w:tcW w:w="1534" w:type="dxa"/>
            <w:shd w:val="clear" w:color="auto" w:fill="auto"/>
            <w:noWrap/>
            <w:vAlign w:val="bottom"/>
          </w:tcPr>
          <w:p w:rsidR="00083B85" w:rsidRPr="00C605D6" w:rsidRDefault="00083B85" w:rsidP="00083B85">
            <w:pPr>
              <w:pStyle w:val="TableText0"/>
              <w:jc w:val="right"/>
              <w:rPr>
                <w:lang w:val="en-US"/>
              </w:rPr>
            </w:pPr>
            <w:r w:rsidRPr="000F3C8B">
              <w:rPr>
                <w:lang w:val="en-AU"/>
              </w:rPr>
              <w:t> </w:t>
            </w:r>
          </w:p>
        </w:tc>
        <w:tc>
          <w:tcPr>
            <w:tcW w:w="2151" w:type="dxa"/>
            <w:shd w:val="clear" w:color="auto" w:fill="auto"/>
            <w:noWrap/>
            <w:vAlign w:val="bottom"/>
          </w:tcPr>
          <w:p w:rsidR="00083B85" w:rsidRPr="00C605D6" w:rsidRDefault="00083B85" w:rsidP="00083B85">
            <w:pPr>
              <w:pStyle w:val="TableText0"/>
              <w:jc w:val="right"/>
              <w:rPr>
                <w:lang w:val="en-US"/>
              </w:rPr>
            </w:pPr>
            <w:r w:rsidRPr="000F3C8B">
              <w:rPr>
                <w:lang w:val="en-AU"/>
              </w:rPr>
              <w:t> </w:t>
            </w:r>
          </w:p>
        </w:tc>
      </w:tr>
      <w:tr w:rsidR="00083B85" w:rsidRPr="00C605D6" w:rsidTr="006E0238">
        <w:trPr>
          <w:trHeight w:val="227"/>
        </w:trPr>
        <w:tc>
          <w:tcPr>
            <w:tcW w:w="3047" w:type="dxa"/>
            <w:noWrap/>
            <w:vAlign w:val="bottom"/>
          </w:tcPr>
          <w:p w:rsidR="00083B85" w:rsidRPr="00C605D6" w:rsidRDefault="00083B85" w:rsidP="00083B85">
            <w:pPr>
              <w:pStyle w:val="TableText0"/>
              <w:rPr>
                <w:lang w:val="en-US"/>
              </w:rPr>
            </w:pPr>
            <w:r w:rsidRPr="00C605D6">
              <w:rPr>
                <w:lang w:val="en-US"/>
              </w:rPr>
              <w:t>Consumables</w:t>
            </w:r>
          </w:p>
        </w:tc>
        <w:tc>
          <w:tcPr>
            <w:tcW w:w="1534" w:type="dxa"/>
            <w:noWrap/>
            <w:vAlign w:val="bottom"/>
          </w:tcPr>
          <w:p w:rsidR="00083B85" w:rsidRPr="00C605D6" w:rsidRDefault="00083B85" w:rsidP="00083B85">
            <w:pPr>
              <w:pStyle w:val="TableText0"/>
              <w:jc w:val="right"/>
              <w:rPr>
                <w:lang w:val="en-US"/>
              </w:rPr>
            </w:pPr>
            <w:r w:rsidRPr="000F3C8B">
              <w:rPr>
                <w:lang w:val="en-AU"/>
              </w:rPr>
              <w:t> </w:t>
            </w:r>
          </w:p>
        </w:tc>
        <w:tc>
          <w:tcPr>
            <w:tcW w:w="2151" w:type="dxa"/>
            <w:noWrap/>
            <w:vAlign w:val="bottom"/>
          </w:tcPr>
          <w:p w:rsidR="00083B85" w:rsidRPr="00C605D6" w:rsidRDefault="00083B85" w:rsidP="00083B85">
            <w:pPr>
              <w:pStyle w:val="TableText0"/>
              <w:jc w:val="right"/>
              <w:rPr>
                <w:lang w:val="en-US"/>
              </w:rPr>
            </w:pPr>
            <w:r w:rsidRPr="000F3C8B">
              <w:rPr>
                <w:lang w:val="en-AU"/>
              </w:rPr>
              <w:t>$1,036,276</w:t>
            </w:r>
          </w:p>
        </w:tc>
      </w:tr>
      <w:tr w:rsidR="00083B85" w:rsidRPr="00C605D6" w:rsidTr="006E0238">
        <w:trPr>
          <w:trHeight w:val="227"/>
        </w:trPr>
        <w:tc>
          <w:tcPr>
            <w:tcW w:w="3047" w:type="dxa"/>
            <w:noWrap/>
            <w:vAlign w:val="bottom"/>
          </w:tcPr>
          <w:p w:rsidR="00083B85" w:rsidRPr="00C605D6" w:rsidRDefault="00083B85" w:rsidP="00083B85">
            <w:pPr>
              <w:pStyle w:val="TableText0"/>
              <w:rPr>
                <w:lang w:val="en-US"/>
              </w:rPr>
            </w:pPr>
            <w:r w:rsidRPr="00C605D6">
              <w:rPr>
                <w:lang w:val="en-US"/>
              </w:rPr>
              <w:t xml:space="preserve">MBS </w:t>
            </w:r>
            <w:r w:rsidR="003D2EE2" w:rsidRPr="00C605D6">
              <w:rPr>
                <w:lang w:val="en-US"/>
              </w:rPr>
              <w:t>i</w:t>
            </w:r>
            <w:r w:rsidRPr="00C605D6">
              <w:rPr>
                <w:lang w:val="en-US"/>
              </w:rPr>
              <w:t>tems</w:t>
            </w:r>
          </w:p>
        </w:tc>
        <w:tc>
          <w:tcPr>
            <w:tcW w:w="1534" w:type="dxa"/>
            <w:noWrap/>
            <w:vAlign w:val="bottom"/>
          </w:tcPr>
          <w:p w:rsidR="00083B85" w:rsidRPr="00C605D6" w:rsidRDefault="00083B85" w:rsidP="00083B85">
            <w:pPr>
              <w:pStyle w:val="TableText0"/>
              <w:jc w:val="right"/>
              <w:rPr>
                <w:lang w:val="en-US"/>
              </w:rPr>
            </w:pPr>
            <w:r w:rsidRPr="000F3C8B">
              <w:rPr>
                <w:lang w:val="en-AU"/>
              </w:rPr>
              <w:t> </w:t>
            </w:r>
          </w:p>
        </w:tc>
        <w:tc>
          <w:tcPr>
            <w:tcW w:w="2151" w:type="dxa"/>
            <w:noWrap/>
            <w:vAlign w:val="bottom"/>
          </w:tcPr>
          <w:p w:rsidR="00083B85" w:rsidRPr="005711B5" w:rsidRDefault="00083B85" w:rsidP="00083B85">
            <w:pPr>
              <w:pStyle w:val="TableText0"/>
              <w:jc w:val="right"/>
              <w:rPr>
                <w:lang w:val="en-US"/>
              </w:rPr>
            </w:pPr>
            <w:r w:rsidRPr="000F3C8B">
              <w:rPr>
                <w:lang w:val="en-AU"/>
              </w:rPr>
              <w:t>-$628,731</w:t>
            </w:r>
          </w:p>
        </w:tc>
      </w:tr>
      <w:tr w:rsidR="00083B85" w:rsidRPr="00C605D6" w:rsidTr="006E0238">
        <w:trPr>
          <w:trHeight w:val="227"/>
        </w:trPr>
        <w:tc>
          <w:tcPr>
            <w:tcW w:w="3047" w:type="dxa"/>
            <w:noWrap/>
            <w:vAlign w:val="bottom"/>
          </w:tcPr>
          <w:p w:rsidR="00083B85" w:rsidRPr="00C605D6" w:rsidRDefault="00083B85" w:rsidP="00083B85">
            <w:pPr>
              <w:pStyle w:val="TableText0"/>
              <w:rPr>
                <w:lang w:val="en-US"/>
              </w:rPr>
            </w:pPr>
            <w:r w:rsidRPr="000F3C8B">
              <w:rPr>
                <w:lang w:val="en-AU"/>
              </w:rPr>
              <w:t>Patient/insurer costs</w:t>
            </w:r>
          </w:p>
        </w:tc>
        <w:tc>
          <w:tcPr>
            <w:tcW w:w="1534" w:type="dxa"/>
            <w:noWrap/>
            <w:vAlign w:val="bottom"/>
          </w:tcPr>
          <w:p w:rsidR="00083B85" w:rsidRPr="00C605D6" w:rsidRDefault="00083B85" w:rsidP="00083B85">
            <w:pPr>
              <w:pStyle w:val="TableText0"/>
              <w:jc w:val="right"/>
              <w:rPr>
                <w:lang w:val="en-US"/>
              </w:rPr>
            </w:pPr>
            <w:r w:rsidRPr="000F3C8B">
              <w:rPr>
                <w:lang w:val="en-AU"/>
              </w:rPr>
              <w:t> </w:t>
            </w:r>
          </w:p>
        </w:tc>
        <w:tc>
          <w:tcPr>
            <w:tcW w:w="2151" w:type="dxa"/>
            <w:noWrap/>
            <w:vAlign w:val="bottom"/>
          </w:tcPr>
          <w:p w:rsidR="00083B85" w:rsidRPr="005711B5" w:rsidRDefault="00083B85" w:rsidP="00083B85">
            <w:pPr>
              <w:pStyle w:val="TableText0"/>
              <w:jc w:val="right"/>
              <w:rPr>
                <w:lang w:val="en-US"/>
              </w:rPr>
            </w:pPr>
            <w:r w:rsidRPr="000F3C8B">
              <w:rPr>
                <w:lang w:val="en-AU"/>
              </w:rPr>
              <w:t>-$545,590</w:t>
            </w:r>
          </w:p>
        </w:tc>
      </w:tr>
      <w:tr w:rsidR="00083B85" w:rsidRPr="00C605D6" w:rsidTr="006E0238">
        <w:trPr>
          <w:trHeight w:val="227"/>
        </w:trPr>
        <w:tc>
          <w:tcPr>
            <w:tcW w:w="3047" w:type="dxa"/>
            <w:noWrap/>
            <w:vAlign w:val="bottom"/>
          </w:tcPr>
          <w:p w:rsidR="00083B85" w:rsidRPr="00C605D6" w:rsidRDefault="00083B85" w:rsidP="00083B85">
            <w:pPr>
              <w:pStyle w:val="TableText0"/>
              <w:rPr>
                <w:b/>
                <w:bCs/>
                <w:lang w:val="en-US"/>
              </w:rPr>
            </w:pPr>
            <w:r w:rsidRPr="00C605D6">
              <w:rPr>
                <w:b/>
                <w:bCs/>
                <w:lang w:val="en-US"/>
              </w:rPr>
              <w:t xml:space="preserve">Total cost </w:t>
            </w:r>
          </w:p>
        </w:tc>
        <w:tc>
          <w:tcPr>
            <w:tcW w:w="1534" w:type="dxa"/>
            <w:noWrap/>
            <w:vAlign w:val="bottom"/>
          </w:tcPr>
          <w:p w:rsidR="00083B85" w:rsidRPr="00C605D6" w:rsidRDefault="00083B85" w:rsidP="00083B85">
            <w:pPr>
              <w:pStyle w:val="TableText0"/>
              <w:jc w:val="right"/>
              <w:rPr>
                <w:b/>
                <w:bCs/>
                <w:lang w:val="en-US"/>
              </w:rPr>
            </w:pPr>
            <w:r w:rsidRPr="000F3C8B">
              <w:rPr>
                <w:b/>
                <w:bCs/>
                <w:lang w:val="en-AU"/>
              </w:rPr>
              <w:t> </w:t>
            </w:r>
          </w:p>
        </w:tc>
        <w:tc>
          <w:tcPr>
            <w:tcW w:w="2151" w:type="dxa"/>
            <w:noWrap/>
            <w:vAlign w:val="bottom"/>
          </w:tcPr>
          <w:p w:rsidR="00083B85" w:rsidRPr="005711B5" w:rsidRDefault="00083B85" w:rsidP="00083B85">
            <w:pPr>
              <w:pStyle w:val="TableText0"/>
              <w:jc w:val="right"/>
              <w:rPr>
                <w:b/>
                <w:bCs/>
                <w:lang w:val="en-US"/>
              </w:rPr>
            </w:pPr>
            <w:r w:rsidRPr="000F3C8B">
              <w:rPr>
                <w:b/>
                <w:bCs/>
                <w:lang w:val="en-AU"/>
              </w:rPr>
              <w:t>-$138,045</w:t>
            </w:r>
          </w:p>
        </w:tc>
      </w:tr>
    </w:tbl>
    <w:p w:rsidR="006E0238" w:rsidRPr="006E0238" w:rsidRDefault="006E0238" w:rsidP="006E0238">
      <w:pPr>
        <w:pStyle w:val="TableNotes"/>
        <w:rPr>
          <w:lang w:val="en-AU"/>
        </w:rPr>
      </w:pPr>
      <w:r>
        <w:t>MBS: Medicare Benefits Schedule</w:t>
      </w:r>
      <w:r>
        <w:rPr>
          <w:lang w:val="en-AU"/>
        </w:rPr>
        <w:t xml:space="preserve">; </w:t>
      </w:r>
      <w:r>
        <w:t>SEMS: Self-expanding metallic stent</w:t>
      </w:r>
      <w:r>
        <w:rPr>
          <w:lang w:val="en-AU"/>
        </w:rPr>
        <w:t>.</w:t>
      </w:r>
    </w:p>
    <w:p w:rsidR="00083B85" w:rsidRDefault="00425540" w:rsidP="00425540">
      <w:pPr>
        <w:pStyle w:val="TableName"/>
        <w:widowControl w:val="0"/>
        <w:spacing w:after="0"/>
      </w:pPr>
      <w:bookmarkStart w:id="286" w:name="_Ref324951244"/>
      <w:bookmarkStart w:id="287" w:name="_Toc327522117"/>
      <w:r>
        <w:t xml:space="preserve">Table </w:t>
      </w:r>
      <w:fldSimple w:instr=" SEQ Table \* ARABIC ">
        <w:r w:rsidR="0071544A">
          <w:rPr>
            <w:noProof/>
          </w:rPr>
          <w:t>73</w:t>
        </w:r>
      </w:fldSimple>
      <w:bookmarkEnd w:id="286"/>
      <w:r w:rsidR="00083B85" w:rsidRPr="00C605D6">
        <w:tab/>
      </w:r>
      <w:r w:rsidR="00011862">
        <w:tab/>
      </w:r>
      <w:r w:rsidR="00083B85" w:rsidRPr="00C605D6">
        <w:t xml:space="preserve">Estimated total costs of SEMS versus </w:t>
      </w:r>
      <w:r w:rsidR="00DF03CC">
        <w:t>multi-stage</w:t>
      </w:r>
      <w:r w:rsidR="00083B85" w:rsidRPr="00C605D6">
        <w:t xml:space="preserve"> surgery (upper limit)</w:t>
      </w:r>
      <w:bookmarkEnd w:id="287"/>
    </w:p>
    <w:p w:rsidR="00011862" w:rsidRPr="00C605D6" w:rsidRDefault="00011862" w:rsidP="00425540">
      <w:pPr>
        <w:pStyle w:val="TableName"/>
        <w:widowControl w:val="0"/>
        <w:spacing w:after="0"/>
      </w:pPr>
    </w:p>
    <w:tbl>
      <w:tblPr>
        <w:tblW w:w="6631" w:type="dxa"/>
        <w:tblInd w:w="720" w:type="dxa"/>
        <w:tblBorders>
          <w:top w:val="single" w:sz="12" w:space="0" w:color="auto"/>
          <w:bottom w:val="single" w:sz="12" w:space="0" w:color="auto"/>
        </w:tblBorders>
        <w:tblLook w:val="00A0" w:firstRow="1" w:lastRow="0" w:firstColumn="1" w:lastColumn="0" w:noHBand="0" w:noVBand="0"/>
      </w:tblPr>
      <w:tblGrid>
        <w:gridCol w:w="3277"/>
        <w:gridCol w:w="1304"/>
        <w:gridCol w:w="2050"/>
      </w:tblGrid>
      <w:tr w:rsidR="00083B85" w:rsidRPr="00C605D6" w:rsidTr="006E0238">
        <w:trPr>
          <w:trHeight w:val="250"/>
        </w:trPr>
        <w:tc>
          <w:tcPr>
            <w:tcW w:w="3277" w:type="dxa"/>
            <w:tcBorders>
              <w:top w:val="single" w:sz="12" w:space="0" w:color="auto"/>
              <w:bottom w:val="single" w:sz="4" w:space="0" w:color="auto"/>
            </w:tcBorders>
            <w:noWrap/>
            <w:vAlign w:val="bottom"/>
          </w:tcPr>
          <w:p w:rsidR="00083B85" w:rsidRPr="00C605D6" w:rsidRDefault="00083B85" w:rsidP="004E680E">
            <w:pPr>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304" w:type="dxa"/>
            <w:tcBorders>
              <w:top w:val="single" w:sz="12" w:space="0" w:color="auto"/>
              <w:bottom w:val="single" w:sz="4" w:space="0" w:color="auto"/>
            </w:tcBorders>
            <w:noWrap/>
            <w:vAlign w:val="bottom"/>
          </w:tcPr>
          <w:p w:rsidR="00083B85" w:rsidRPr="00C605D6" w:rsidRDefault="00083B85" w:rsidP="00083B85">
            <w:pPr>
              <w:pStyle w:val="TableHeading0"/>
              <w:jc w:val="right"/>
            </w:pPr>
            <w:r w:rsidRPr="00C605D6">
              <w:t>SEMS</w:t>
            </w:r>
          </w:p>
        </w:tc>
        <w:tc>
          <w:tcPr>
            <w:tcW w:w="2050" w:type="dxa"/>
            <w:tcBorders>
              <w:top w:val="single" w:sz="12" w:space="0" w:color="auto"/>
              <w:bottom w:val="single" w:sz="4" w:space="0" w:color="auto"/>
            </w:tcBorders>
            <w:noWrap/>
            <w:vAlign w:val="bottom"/>
          </w:tcPr>
          <w:p w:rsidR="00083B85" w:rsidRPr="00C605D6" w:rsidRDefault="00DF03CC" w:rsidP="00083B85">
            <w:pPr>
              <w:pStyle w:val="TableHeading0"/>
              <w:jc w:val="right"/>
            </w:pPr>
            <w:r>
              <w:t>Multi-stage</w:t>
            </w:r>
            <w:r w:rsidR="00083B85" w:rsidRPr="00C605D6">
              <w:t xml:space="preserve"> surgery</w:t>
            </w:r>
          </w:p>
        </w:tc>
      </w:tr>
      <w:tr w:rsidR="00083B85" w:rsidRPr="00C605D6" w:rsidTr="006E0238">
        <w:trPr>
          <w:trHeight w:val="250"/>
        </w:trPr>
        <w:tc>
          <w:tcPr>
            <w:tcW w:w="3277" w:type="dxa"/>
            <w:tcBorders>
              <w:top w:val="single" w:sz="4" w:space="0" w:color="auto"/>
            </w:tcBorders>
            <w:noWrap/>
            <w:vAlign w:val="bottom"/>
          </w:tcPr>
          <w:p w:rsidR="00083B85" w:rsidRPr="00C605D6" w:rsidRDefault="00083B85" w:rsidP="00083B85">
            <w:pPr>
              <w:pStyle w:val="TableText0"/>
              <w:rPr>
                <w:lang w:val="en-US"/>
              </w:rPr>
            </w:pPr>
            <w:r w:rsidRPr="00C605D6">
              <w:rPr>
                <w:lang w:val="en-US"/>
              </w:rPr>
              <w:t>Total cost per patient</w:t>
            </w:r>
          </w:p>
        </w:tc>
        <w:tc>
          <w:tcPr>
            <w:tcW w:w="1304" w:type="dxa"/>
            <w:tcBorders>
              <w:top w:val="single" w:sz="4" w:space="0" w:color="auto"/>
            </w:tcBorders>
            <w:noWrap/>
            <w:vAlign w:val="bottom"/>
          </w:tcPr>
          <w:p w:rsidR="00083B85" w:rsidRPr="00C605D6" w:rsidRDefault="00083B85" w:rsidP="00083B85">
            <w:pPr>
              <w:pStyle w:val="TableText0"/>
              <w:jc w:val="right"/>
              <w:rPr>
                <w:lang w:val="en-US"/>
              </w:rPr>
            </w:pPr>
            <w:r w:rsidRPr="000F3C8B">
              <w:rPr>
                <w:lang w:val="en-AU"/>
              </w:rPr>
              <w:t>$29,729</w:t>
            </w:r>
          </w:p>
        </w:tc>
        <w:tc>
          <w:tcPr>
            <w:tcW w:w="2050" w:type="dxa"/>
            <w:tcBorders>
              <w:top w:val="single" w:sz="4" w:space="0" w:color="auto"/>
            </w:tcBorders>
            <w:noWrap/>
            <w:vAlign w:val="bottom"/>
          </w:tcPr>
          <w:p w:rsidR="00083B85" w:rsidRPr="00C605D6" w:rsidRDefault="00083B85" w:rsidP="00083B85">
            <w:pPr>
              <w:pStyle w:val="TableText0"/>
              <w:jc w:val="right"/>
              <w:rPr>
                <w:lang w:val="en-US"/>
              </w:rPr>
            </w:pPr>
            <w:r w:rsidRPr="000F3C8B">
              <w:rPr>
                <w:lang w:val="en-AU"/>
              </w:rPr>
              <w:t>$30,169</w:t>
            </w:r>
          </w:p>
        </w:tc>
      </w:tr>
      <w:tr w:rsidR="00083B85" w:rsidRPr="00C605D6" w:rsidTr="006E0238">
        <w:trPr>
          <w:trHeight w:val="250"/>
        </w:trPr>
        <w:tc>
          <w:tcPr>
            <w:tcW w:w="3277" w:type="dxa"/>
            <w:noWrap/>
            <w:vAlign w:val="bottom"/>
          </w:tcPr>
          <w:p w:rsidR="00083B85" w:rsidRPr="00C605D6" w:rsidRDefault="00083B85" w:rsidP="00083B85">
            <w:pPr>
              <w:pStyle w:val="TableText0"/>
              <w:rPr>
                <w:lang w:val="en-US"/>
              </w:rPr>
            </w:pPr>
            <w:r w:rsidRPr="00C605D6">
              <w:rPr>
                <w:lang w:val="en-US"/>
              </w:rPr>
              <w:t>Number of patients</w:t>
            </w:r>
          </w:p>
        </w:tc>
        <w:tc>
          <w:tcPr>
            <w:tcW w:w="1304" w:type="dxa"/>
            <w:noWrap/>
            <w:vAlign w:val="bottom"/>
          </w:tcPr>
          <w:p w:rsidR="00083B85" w:rsidRPr="00C605D6" w:rsidRDefault="00083B85" w:rsidP="00083B85">
            <w:pPr>
              <w:pStyle w:val="TableText0"/>
              <w:jc w:val="right"/>
              <w:rPr>
                <w:lang w:val="en-US"/>
              </w:rPr>
            </w:pPr>
            <w:r w:rsidRPr="000F3C8B">
              <w:rPr>
                <w:lang w:val="en-AU"/>
              </w:rPr>
              <w:t xml:space="preserve">                  1,137 </w:t>
            </w:r>
          </w:p>
        </w:tc>
        <w:tc>
          <w:tcPr>
            <w:tcW w:w="2050" w:type="dxa"/>
            <w:noWrap/>
            <w:vAlign w:val="bottom"/>
          </w:tcPr>
          <w:p w:rsidR="00083B85" w:rsidRPr="00C605D6" w:rsidRDefault="00083B85" w:rsidP="00083B85">
            <w:pPr>
              <w:pStyle w:val="TableText0"/>
              <w:jc w:val="right"/>
              <w:rPr>
                <w:lang w:val="en-US"/>
              </w:rPr>
            </w:pPr>
            <w:r w:rsidRPr="000F3C8B">
              <w:rPr>
                <w:lang w:val="en-AU"/>
              </w:rPr>
              <w:t xml:space="preserve">1,137 </w:t>
            </w:r>
          </w:p>
        </w:tc>
      </w:tr>
      <w:tr w:rsidR="00083B85" w:rsidRPr="00C605D6" w:rsidTr="006E0238">
        <w:trPr>
          <w:trHeight w:val="250"/>
        </w:trPr>
        <w:tc>
          <w:tcPr>
            <w:tcW w:w="3277" w:type="dxa"/>
            <w:noWrap/>
            <w:vAlign w:val="bottom"/>
          </w:tcPr>
          <w:p w:rsidR="00083B85" w:rsidRPr="00C605D6" w:rsidRDefault="00083B85" w:rsidP="00083B85">
            <w:pPr>
              <w:pStyle w:val="TableText0"/>
              <w:rPr>
                <w:i/>
                <w:iCs/>
                <w:lang w:val="en-US"/>
              </w:rPr>
            </w:pPr>
            <w:r w:rsidRPr="00C605D6">
              <w:rPr>
                <w:i/>
                <w:iCs/>
                <w:lang w:val="en-US"/>
              </w:rPr>
              <w:t>Breakdown of financial implications:</w:t>
            </w:r>
          </w:p>
        </w:tc>
        <w:tc>
          <w:tcPr>
            <w:tcW w:w="1304" w:type="dxa"/>
            <w:noWrap/>
            <w:vAlign w:val="bottom"/>
          </w:tcPr>
          <w:p w:rsidR="00083B85" w:rsidRPr="00C605D6" w:rsidRDefault="00083B85" w:rsidP="00083B85">
            <w:pPr>
              <w:pStyle w:val="TableText0"/>
              <w:jc w:val="right"/>
              <w:rPr>
                <w:lang w:val="en-US"/>
              </w:rPr>
            </w:pPr>
            <w:r w:rsidRPr="000F3C8B">
              <w:rPr>
                <w:lang w:val="en-AU"/>
              </w:rPr>
              <w:t>0</w:t>
            </w:r>
          </w:p>
        </w:tc>
        <w:tc>
          <w:tcPr>
            <w:tcW w:w="2050" w:type="dxa"/>
            <w:noWrap/>
            <w:vAlign w:val="bottom"/>
          </w:tcPr>
          <w:p w:rsidR="00083B85" w:rsidRPr="00C605D6" w:rsidRDefault="00083B85" w:rsidP="00083B85">
            <w:pPr>
              <w:pStyle w:val="TableText0"/>
              <w:jc w:val="right"/>
              <w:rPr>
                <w:lang w:val="en-US"/>
              </w:rPr>
            </w:pPr>
            <w:r w:rsidRPr="000F3C8B">
              <w:rPr>
                <w:lang w:val="en-AU"/>
              </w:rPr>
              <w:t>0</w:t>
            </w:r>
          </w:p>
        </w:tc>
      </w:tr>
      <w:tr w:rsidR="00083B85" w:rsidRPr="00C605D6" w:rsidTr="006E0238">
        <w:trPr>
          <w:trHeight w:val="250"/>
        </w:trPr>
        <w:tc>
          <w:tcPr>
            <w:tcW w:w="3277" w:type="dxa"/>
            <w:noWrap/>
            <w:vAlign w:val="bottom"/>
          </w:tcPr>
          <w:p w:rsidR="00083B85" w:rsidRPr="00C605D6" w:rsidRDefault="00083B85" w:rsidP="00083B85">
            <w:pPr>
              <w:pStyle w:val="TableText0"/>
              <w:rPr>
                <w:lang w:val="en-US"/>
              </w:rPr>
            </w:pPr>
            <w:r w:rsidRPr="00C605D6">
              <w:rPr>
                <w:lang w:val="en-US"/>
              </w:rPr>
              <w:t>Consumables</w:t>
            </w:r>
          </w:p>
        </w:tc>
        <w:tc>
          <w:tcPr>
            <w:tcW w:w="1304" w:type="dxa"/>
            <w:noWrap/>
            <w:vAlign w:val="bottom"/>
          </w:tcPr>
          <w:p w:rsidR="00083B85" w:rsidRPr="00C605D6" w:rsidRDefault="00083B85" w:rsidP="00083B85">
            <w:pPr>
              <w:pStyle w:val="TableText0"/>
              <w:jc w:val="right"/>
              <w:rPr>
                <w:lang w:val="en-US"/>
              </w:rPr>
            </w:pPr>
            <w:r w:rsidRPr="000F3C8B">
              <w:rPr>
                <w:lang w:val="en-AU"/>
              </w:rPr>
              <w:t>$5,926,468</w:t>
            </w:r>
          </w:p>
        </w:tc>
        <w:tc>
          <w:tcPr>
            <w:tcW w:w="2050" w:type="dxa"/>
            <w:noWrap/>
            <w:vAlign w:val="bottom"/>
          </w:tcPr>
          <w:p w:rsidR="00083B85" w:rsidRPr="00C605D6" w:rsidRDefault="00083B85" w:rsidP="00083B85">
            <w:pPr>
              <w:pStyle w:val="TableText0"/>
              <w:jc w:val="right"/>
              <w:rPr>
                <w:lang w:val="en-US"/>
              </w:rPr>
            </w:pPr>
            <w:r w:rsidRPr="000F3C8B">
              <w:rPr>
                <w:lang w:val="en-AU"/>
              </w:rPr>
              <w:t>$2,169,968</w:t>
            </w:r>
          </w:p>
        </w:tc>
      </w:tr>
      <w:tr w:rsidR="00083B85" w:rsidRPr="00C605D6" w:rsidTr="006E0238">
        <w:trPr>
          <w:trHeight w:val="250"/>
        </w:trPr>
        <w:tc>
          <w:tcPr>
            <w:tcW w:w="3277" w:type="dxa"/>
            <w:noWrap/>
            <w:vAlign w:val="bottom"/>
          </w:tcPr>
          <w:p w:rsidR="00083B85" w:rsidRPr="00C605D6" w:rsidRDefault="00083B85" w:rsidP="00083B85">
            <w:pPr>
              <w:pStyle w:val="TableText0"/>
              <w:rPr>
                <w:lang w:val="en-US"/>
              </w:rPr>
            </w:pPr>
            <w:r w:rsidRPr="00C605D6">
              <w:rPr>
                <w:lang w:val="en-US"/>
              </w:rPr>
              <w:t xml:space="preserve">MBS </w:t>
            </w:r>
            <w:r w:rsidR="003D2EE2" w:rsidRPr="00C605D6">
              <w:rPr>
                <w:lang w:val="en-US"/>
              </w:rPr>
              <w:t>i</w:t>
            </w:r>
            <w:r w:rsidRPr="00C605D6">
              <w:rPr>
                <w:lang w:val="en-US"/>
              </w:rPr>
              <w:t>tems&amp; hospital fees</w:t>
            </w:r>
          </w:p>
        </w:tc>
        <w:tc>
          <w:tcPr>
            <w:tcW w:w="1304" w:type="dxa"/>
            <w:noWrap/>
            <w:vAlign w:val="bottom"/>
          </w:tcPr>
          <w:p w:rsidR="00083B85" w:rsidRPr="00C605D6" w:rsidRDefault="00083B85" w:rsidP="00083B85">
            <w:pPr>
              <w:pStyle w:val="TableText0"/>
              <w:jc w:val="right"/>
              <w:rPr>
                <w:lang w:val="en-US"/>
              </w:rPr>
            </w:pPr>
            <w:r w:rsidRPr="000F3C8B">
              <w:rPr>
                <w:lang w:val="en-AU"/>
              </w:rPr>
              <w:t>$11,200,127</w:t>
            </w:r>
          </w:p>
        </w:tc>
        <w:tc>
          <w:tcPr>
            <w:tcW w:w="2050" w:type="dxa"/>
            <w:noWrap/>
            <w:vAlign w:val="bottom"/>
          </w:tcPr>
          <w:p w:rsidR="00083B85" w:rsidRPr="00C605D6" w:rsidRDefault="00083B85" w:rsidP="00083B85">
            <w:pPr>
              <w:pStyle w:val="TableText0"/>
              <w:jc w:val="right"/>
              <w:rPr>
                <w:lang w:val="en-US"/>
              </w:rPr>
            </w:pPr>
            <w:r w:rsidRPr="000F3C8B">
              <w:rPr>
                <w:lang w:val="en-AU"/>
              </w:rPr>
              <w:t>$13,479,275</w:t>
            </w:r>
          </w:p>
        </w:tc>
      </w:tr>
      <w:tr w:rsidR="00083B85" w:rsidRPr="00C605D6" w:rsidTr="006E0238">
        <w:trPr>
          <w:trHeight w:val="250"/>
        </w:trPr>
        <w:tc>
          <w:tcPr>
            <w:tcW w:w="3277" w:type="dxa"/>
            <w:noWrap/>
            <w:vAlign w:val="bottom"/>
          </w:tcPr>
          <w:p w:rsidR="00083B85" w:rsidRPr="00C605D6" w:rsidRDefault="00083B85" w:rsidP="00083B85">
            <w:pPr>
              <w:pStyle w:val="TableText0"/>
              <w:rPr>
                <w:lang w:val="en-US"/>
              </w:rPr>
            </w:pPr>
            <w:r w:rsidRPr="00C605D6">
              <w:rPr>
                <w:lang w:val="en-US"/>
              </w:rPr>
              <w:t>Patient out-of-pocket</w:t>
            </w:r>
          </w:p>
        </w:tc>
        <w:tc>
          <w:tcPr>
            <w:tcW w:w="1304" w:type="dxa"/>
            <w:noWrap/>
            <w:vAlign w:val="bottom"/>
          </w:tcPr>
          <w:p w:rsidR="00083B85" w:rsidRPr="00C605D6" w:rsidRDefault="00083B85" w:rsidP="00083B85">
            <w:pPr>
              <w:pStyle w:val="TableText0"/>
              <w:jc w:val="right"/>
              <w:rPr>
                <w:lang w:val="en-US"/>
              </w:rPr>
            </w:pPr>
            <w:r w:rsidRPr="000F3C8B">
              <w:rPr>
                <w:lang w:val="en-AU"/>
              </w:rPr>
              <w:t>$16,684,186</w:t>
            </w:r>
          </w:p>
        </w:tc>
        <w:tc>
          <w:tcPr>
            <w:tcW w:w="2050" w:type="dxa"/>
            <w:noWrap/>
            <w:vAlign w:val="bottom"/>
          </w:tcPr>
          <w:p w:rsidR="00083B85" w:rsidRPr="00C605D6" w:rsidRDefault="00083B85" w:rsidP="00083B85">
            <w:pPr>
              <w:pStyle w:val="TableText0"/>
              <w:jc w:val="right"/>
              <w:rPr>
                <w:lang w:val="en-US"/>
              </w:rPr>
            </w:pPr>
            <w:r w:rsidRPr="000F3C8B">
              <w:rPr>
                <w:lang w:val="en-AU"/>
              </w:rPr>
              <w:t>$18,661,950</w:t>
            </w:r>
          </w:p>
        </w:tc>
      </w:tr>
      <w:tr w:rsidR="00083B85" w:rsidRPr="00C605D6" w:rsidTr="006E0238">
        <w:trPr>
          <w:trHeight w:val="250"/>
        </w:trPr>
        <w:tc>
          <w:tcPr>
            <w:tcW w:w="3277" w:type="dxa"/>
            <w:noWrap/>
            <w:vAlign w:val="bottom"/>
          </w:tcPr>
          <w:p w:rsidR="00083B85" w:rsidRPr="00C605D6" w:rsidRDefault="00083B85" w:rsidP="00083B85">
            <w:pPr>
              <w:pStyle w:val="TableText0"/>
              <w:rPr>
                <w:b/>
                <w:bCs/>
                <w:lang w:val="en-US"/>
              </w:rPr>
            </w:pPr>
            <w:r w:rsidRPr="00C605D6">
              <w:rPr>
                <w:b/>
                <w:bCs/>
                <w:lang w:val="en-US"/>
              </w:rPr>
              <w:t>Total financial implications</w:t>
            </w:r>
          </w:p>
        </w:tc>
        <w:tc>
          <w:tcPr>
            <w:tcW w:w="1304" w:type="dxa"/>
            <w:noWrap/>
            <w:vAlign w:val="bottom"/>
          </w:tcPr>
          <w:p w:rsidR="00083B85" w:rsidRPr="00C605D6" w:rsidRDefault="00083B85" w:rsidP="00083B85">
            <w:pPr>
              <w:pStyle w:val="TableText0"/>
              <w:jc w:val="right"/>
              <w:rPr>
                <w:b/>
                <w:bCs/>
                <w:lang w:val="en-US"/>
              </w:rPr>
            </w:pPr>
            <w:r w:rsidRPr="000F3C8B">
              <w:rPr>
                <w:b/>
                <w:bCs/>
                <w:lang w:val="en-AU"/>
              </w:rPr>
              <w:t>$33,810,781</w:t>
            </w:r>
          </w:p>
        </w:tc>
        <w:tc>
          <w:tcPr>
            <w:tcW w:w="2050" w:type="dxa"/>
            <w:noWrap/>
            <w:vAlign w:val="bottom"/>
          </w:tcPr>
          <w:p w:rsidR="00083B85" w:rsidRPr="00C605D6" w:rsidRDefault="00083B85" w:rsidP="00083B85">
            <w:pPr>
              <w:pStyle w:val="TableText0"/>
              <w:jc w:val="right"/>
              <w:rPr>
                <w:b/>
                <w:bCs/>
                <w:lang w:val="en-US"/>
              </w:rPr>
            </w:pPr>
            <w:r w:rsidRPr="000F3C8B">
              <w:rPr>
                <w:b/>
                <w:bCs/>
                <w:lang w:val="en-AU"/>
              </w:rPr>
              <w:t>$34,311,193</w:t>
            </w:r>
          </w:p>
        </w:tc>
      </w:tr>
      <w:tr w:rsidR="00083B85" w:rsidRPr="00C605D6" w:rsidTr="005560DB">
        <w:trPr>
          <w:trHeight w:val="250"/>
        </w:trPr>
        <w:tc>
          <w:tcPr>
            <w:tcW w:w="3277" w:type="dxa"/>
            <w:shd w:val="clear" w:color="auto" w:fill="auto"/>
            <w:noWrap/>
            <w:vAlign w:val="bottom"/>
          </w:tcPr>
          <w:p w:rsidR="00083B85" w:rsidRPr="00C605D6" w:rsidRDefault="00083B85" w:rsidP="00083B85">
            <w:pPr>
              <w:pStyle w:val="TableText0"/>
              <w:rPr>
                <w:i/>
                <w:iCs/>
                <w:lang w:val="en-US"/>
              </w:rPr>
            </w:pPr>
            <w:r w:rsidRPr="00C605D6">
              <w:rPr>
                <w:i/>
                <w:iCs/>
                <w:lang w:val="en-US"/>
              </w:rPr>
              <w:t>Incremental costs:</w:t>
            </w:r>
          </w:p>
        </w:tc>
        <w:tc>
          <w:tcPr>
            <w:tcW w:w="1304" w:type="dxa"/>
            <w:shd w:val="clear" w:color="auto" w:fill="auto"/>
            <w:noWrap/>
            <w:vAlign w:val="bottom"/>
          </w:tcPr>
          <w:p w:rsidR="00083B85" w:rsidRPr="00C605D6" w:rsidRDefault="00083B85" w:rsidP="00083B85">
            <w:pPr>
              <w:pStyle w:val="TableText0"/>
              <w:jc w:val="right"/>
              <w:rPr>
                <w:lang w:val="en-US"/>
              </w:rPr>
            </w:pPr>
            <w:r w:rsidRPr="000F3C8B">
              <w:rPr>
                <w:lang w:val="en-AU"/>
              </w:rPr>
              <w:t> </w:t>
            </w:r>
          </w:p>
        </w:tc>
        <w:tc>
          <w:tcPr>
            <w:tcW w:w="2050" w:type="dxa"/>
            <w:shd w:val="clear" w:color="auto" w:fill="auto"/>
            <w:noWrap/>
            <w:vAlign w:val="bottom"/>
          </w:tcPr>
          <w:p w:rsidR="00083B85" w:rsidRPr="00C605D6" w:rsidRDefault="00083B85" w:rsidP="00083B85">
            <w:pPr>
              <w:pStyle w:val="TableText0"/>
              <w:jc w:val="right"/>
              <w:rPr>
                <w:lang w:val="en-US"/>
              </w:rPr>
            </w:pPr>
            <w:r w:rsidRPr="000F3C8B">
              <w:rPr>
                <w:lang w:val="en-AU"/>
              </w:rPr>
              <w:t> </w:t>
            </w:r>
          </w:p>
        </w:tc>
      </w:tr>
      <w:tr w:rsidR="00083B85" w:rsidRPr="00C605D6" w:rsidTr="006E0238">
        <w:trPr>
          <w:trHeight w:val="250"/>
        </w:trPr>
        <w:tc>
          <w:tcPr>
            <w:tcW w:w="3277" w:type="dxa"/>
            <w:noWrap/>
            <w:vAlign w:val="bottom"/>
          </w:tcPr>
          <w:p w:rsidR="00083B85" w:rsidRPr="00C605D6" w:rsidRDefault="00083B85" w:rsidP="00083B85">
            <w:pPr>
              <w:pStyle w:val="TableText0"/>
              <w:rPr>
                <w:lang w:val="en-US"/>
              </w:rPr>
            </w:pPr>
            <w:r w:rsidRPr="00C605D6">
              <w:rPr>
                <w:lang w:val="en-US"/>
              </w:rPr>
              <w:t>Consumables</w:t>
            </w:r>
          </w:p>
        </w:tc>
        <w:tc>
          <w:tcPr>
            <w:tcW w:w="1304" w:type="dxa"/>
            <w:noWrap/>
            <w:vAlign w:val="bottom"/>
          </w:tcPr>
          <w:p w:rsidR="00083B85" w:rsidRPr="00C605D6" w:rsidRDefault="00083B85" w:rsidP="00083B85">
            <w:pPr>
              <w:pStyle w:val="TableText0"/>
              <w:jc w:val="right"/>
              <w:rPr>
                <w:lang w:val="en-US"/>
              </w:rPr>
            </w:pPr>
            <w:r w:rsidRPr="000F3C8B">
              <w:rPr>
                <w:lang w:val="en-AU"/>
              </w:rPr>
              <w:t> </w:t>
            </w:r>
          </w:p>
        </w:tc>
        <w:tc>
          <w:tcPr>
            <w:tcW w:w="2050" w:type="dxa"/>
            <w:noWrap/>
            <w:vAlign w:val="bottom"/>
          </w:tcPr>
          <w:p w:rsidR="00083B85" w:rsidRPr="00C605D6" w:rsidRDefault="00083B85" w:rsidP="00083B85">
            <w:pPr>
              <w:pStyle w:val="TableText0"/>
              <w:jc w:val="right"/>
              <w:rPr>
                <w:lang w:val="en-US"/>
              </w:rPr>
            </w:pPr>
            <w:r w:rsidRPr="000F3C8B">
              <w:rPr>
                <w:lang w:val="en-AU"/>
              </w:rPr>
              <w:t>$3,756,501</w:t>
            </w:r>
          </w:p>
        </w:tc>
      </w:tr>
      <w:tr w:rsidR="00083B85" w:rsidRPr="00C605D6" w:rsidTr="006E0238">
        <w:trPr>
          <w:trHeight w:val="250"/>
        </w:trPr>
        <w:tc>
          <w:tcPr>
            <w:tcW w:w="3277" w:type="dxa"/>
            <w:noWrap/>
            <w:vAlign w:val="bottom"/>
          </w:tcPr>
          <w:p w:rsidR="00083B85" w:rsidRPr="00C605D6" w:rsidRDefault="00083B85" w:rsidP="00083B85">
            <w:pPr>
              <w:pStyle w:val="TableText0"/>
              <w:rPr>
                <w:lang w:val="en-US"/>
              </w:rPr>
            </w:pPr>
            <w:r w:rsidRPr="00C605D6">
              <w:rPr>
                <w:lang w:val="en-US"/>
              </w:rPr>
              <w:t xml:space="preserve">MBS </w:t>
            </w:r>
            <w:r w:rsidR="003D2EE2" w:rsidRPr="00C605D6">
              <w:rPr>
                <w:lang w:val="en-US"/>
              </w:rPr>
              <w:t>i</w:t>
            </w:r>
            <w:r w:rsidRPr="00C605D6">
              <w:rPr>
                <w:lang w:val="en-US"/>
              </w:rPr>
              <w:t>tems</w:t>
            </w:r>
          </w:p>
        </w:tc>
        <w:tc>
          <w:tcPr>
            <w:tcW w:w="1304" w:type="dxa"/>
            <w:noWrap/>
            <w:vAlign w:val="bottom"/>
          </w:tcPr>
          <w:p w:rsidR="00083B85" w:rsidRPr="00C605D6" w:rsidRDefault="00083B85" w:rsidP="00083B85">
            <w:pPr>
              <w:pStyle w:val="TableText0"/>
              <w:jc w:val="right"/>
              <w:rPr>
                <w:lang w:val="en-US"/>
              </w:rPr>
            </w:pPr>
            <w:r w:rsidRPr="000F3C8B">
              <w:rPr>
                <w:lang w:val="en-AU"/>
              </w:rPr>
              <w:t> </w:t>
            </w:r>
          </w:p>
        </w:tc>
        <w:tc>
          <w:tcPr>
            <w:tcW w:w="2050" w:type="dxa"/>
            <w:noWrap/>
            <w:vAlign w:val="bottom"/>
          </w:tcPr>
          <w:p w:rsidR="00083B85" w:rsidRPr="005711B5" w:rsidRDefault="00083B85" w:rsidP="00083B85">
            <w:pPr>
              <w:pStyle w:val="TableText0"/>
              <w:jc w:val="right"/>
              <w:rPr>
                <w:lang w:val="en-US"/>
              </w:rPr>
            </w:pPr>
            <w:r w:rsidRPr="000F3C8B">
              <w:rPr>
                <w:lang w:val="en-AU"/>
              </w:rPr>
              <w:t>-$2,279,148</w:t>
            </w:r>
          </w:p>
        </w:tc>
      </w:tr>
      <w:tr w:rsidR="00083B85" w:rsidRPr="00C605D6" w:rsidTr="006E0238">
        <w:trPr>
          <w:trHeight w:val="250"/>
        </w:trPr>
        <w:tc>
          <w:tcPr>
            <w:tcW w:w="3277" w:type="dxa"/>
            <w:noWrap/>
            <w:vAlign w:val="bottom"/>
          </w:tcPr>
          <w:p w:rsidR="00083B85" w:rsidRPr="00C605D6" w:rsidRDefault="00083B85" w:rsidP="00083B85">
            <w:pPr>
              <w:pStyle w:val="TableText0"/>
              <w:rPr>
                <w:lang w:val="en-US"/>
              </w:rPr>
            </w:pPr>
            <w:r w:rsidRPr="000F3C8B">
              <w:rPr>
                <w:lang w:val="en-AU"/>
              </w:rPr>
              <w:t>Patient / insurer costs</w:t>
            </w:r>
          </w:p>
        </w:tc>
        <w:tc>
          <w:tcPr>
            <w:tcW w:w="1304" w:type="dxa"/>
            <w:noWrap/>
            <w:vAlign w:val="bottom"/>
          </w:tcPr>
          <w:p w:rsidR="00083B85" w:rsidRPr="00C605D6" w:rsidRDefault="00083B85" w:rsidP="00083B85">
            <w:pPr>
              <w:pStyle w:val="TableText0"/>
              <w:jc w:val="right"/>
              <w:rPr>
                <w:lang w:val="en-US"/>
              </w:rPr>
            </w:pPr>
            <w:r w:rsidRPr="000F3C8B">
              <w:rPr>
                <w:lang w:val="en-AU"/>
              </w:rPr>
              <w:t> </w:t>
            </w:r>
          </w:p>
        </w:tc>
        <w:tc>
          <w:tcPr>
            <w:tcW w:w="2050" w:type="dxa"/>
            <w:noWrap/>
            <w:vAlign w:val="bottom"/>
          </w:tcPr>
          <w:p w:rsidR="00083B85" w:rsidRPr="005711B5" w:rsidRDefault="00083B85" w:rsidP="00083B85">
            <w:pPr>
              <w:pStyle w:val="TableText0"/>
              <w:jc w:val="right"/>
              <w:rPr>
                <w:lang w:val="en-US"/>
              </w:rPr>
            </w:pPr>
            <w:r w:rsidRPr="000F3C8B">
              <w:rPr>
                <w:lang w:val="en-AU"/>
              </w:rPr>
              <w:t>-$1,977,764</w:t>
            </w:r>
          </w:p>
        </w:tc>
      </w:tr>
      <w:tr w:rsidR="00083B85" w:rsidRPr="00C605D6" w:rsidTr="006E0238">
        <w:trPr>
          <w:trHeight w:val="250"/>
        </w:trPr>
        <w:tc>
          <w:tcPr>
            <w:tcW w:w="3277" w:type="dxa"/>
            <w:noWrap/>
            <w:vAlign w:val="bottom"/>
          </w:tcPr>
          <w:p w:rsidR="00083B85" w:rsidRPr="00C605D6" w:rsidRDefault="00083B85" w:rsidP="00083B85">
            <w:pPr>
              <w:pStyle w:val="TableText0"/>
              <w:rPr>
                <w:b/>
                <w:bCs/>
                <w:lang w:val="en-US"/>
              </w:rPr>
            </w:pPr>
            <w:r w:rsidRPr="00C605D6">
              <w:rPr>
                <w:b/>
                <w:bCs/>
                <w:lang w:val="en-US"/>
              </w:rPr>
              <w:t xml:space="preserve">Total cost </w:t>
            </w:r>
          </w:p>
        </w:tc>
        <w:tc>
          <w:tcPr>
            <w:tcW w:w="1304" w:type="dxa"/>
            <w:noWrap/>
            <w:vAlign w:val="bottom"/>
          </w:tcPr>
          <w:p w:rsidR="00083B85" w:rsidRPr="00C605D6" w:rsidRDefault="00083B85" w:rsidP="00083B85">
            <w:pPr>
              <w:pStyle w:val="TableText0"/>
              <w:jc w:val="right"/>
              <w:rPr>
                <w:b/>
                <w:bCs/>
                <w:lang w:val="en-US"/>
              </w:rPr>
            </w:pPr>
            <w:r w:rsidRPr="000F3C8B">
              <w:rPr>
                <w:b/>
                <w:bCs/>
                <w:lang w:val="en-AU"/>
              </w:rPr>
              <w:t> </w:t>
            </w:r>
          </w:p>
        </w:tc>
        <w:tc>
          <w:tcPr>
            <w:tcW w:w="2050" w:type="dxa"/>
            <w:noWrap/>
            <w:vAlign w:val="bottom"/>
          </w:tcPr>
          <w:p w:rsidR="00083B85" w:rsidRPr="005711B5" w:rsidRDefault="00083B85" w:rsidP="00083B85">
            <w:pPr>
              <w:pStyle w:val="TableText0"/>
              <w:jc w:val="right"/>
              <w:rPr>
                <w:b/>
                <w:bCs/>
                <w:lang w:val="en-US"/>
              </w:rPr>
            </w:pPr>
            <w:r w:rsidRPr="000F3C8B">
              <w:rPr>
                <w:b/>
                <w:bCs/>
                <w:lang w:val="en-AU"/>
              </w:rPr>
              <w:t>-$500,412</w:t>
            </w:r>
          </w:p>
        </w:tc>
      </w:tr>
    </w:tbl>
    <w:p w:rsidR="003D2EE2" w:rsidRPr="00C605D6" w:rsidRDefault="003D2EE2" w:rsidP="003D2EE2">
      <w:pPr>
        <w:pStyle w:val="TableNotes"/>
      </w:pPr>
      <w:r>
        <w:t>SEMS: Self-expanding metallic stent; MBS: Medicare Benefits Schedule.</w:t>
      </w:r>
    </w:p>
    <w:p w:rsidR="00F71B25" w:rsidRDefault="00F71B25" w:rsidP="00083B85">
      <w:pPr>
        <w:pStyle w:val="Heading3"/>
      </w:pPr>
      <w:r>
        <w:lastRenderedPageBreak/>
        <w:t xml:space="preserve">Patients unfit for </w:t>
      </w:r>
      <w:r w:rsidR="00DF03CC">
        <w:t>multi-stage</w:t>
      </w:r>
      <w:r>
        <w:t xml:space="preserve"> surgery </w:t>
      </w:r>
    </w:p>
    <w:p w:rsidR="00F71B25" w:rsidRDefault="00F71B25" w:rsidP="00083B85">
      <w:r>
        <w:t xml:space="preserve">No evidence was identified regarding the number of patients </w:t>
      </w:r>
      <w:r w:rsidR="00DF048B">
        <w:t xml:space="preserve">who </w:t>
      </w:r>
      <w:r>
        <w:t xml:space="preserve">currently receive best supportive care for malignant bowel obstruction. It is most likely that a proportion of those treated for palliative purposes would receive best supportive care. In the analysis the low and high estimates from the fit for surgery (palliation group) were used. If all patients received SEMS rather than best supportive care, the overall additional cost would be between $1,294,105 (lower estimate) </w:t>
      </w:r>
      <w:r w:rsidR="00425540">
        <w:t>(</w:t>
      </w:r>
      <w:r w:rsidR="006F654A">
        <w:t xml:space="preserve">See </w:t>
      </w:r>
      <w:r w:rsidR="00425540">
        <w:fldChar w:fldCharType="begin"/>
      </w:r>
      <w:r w:rsidR="00425540">
        <w:instrText xml:space="preserve"> REF _Ref324951333 \h </w:instrText>
      </w:r>
      <w:r w:rsidR="00425540">
        <w:fldChar w:fldCharType="separate"/>
      </w:r>
      <w:r w:rsidR="0071544A">
        <w:t xml:space="preserve">Table </w:t>
      </w:r>
      <w:r w:rsidR="0071544A">
        <w:rPr>
          <w:noProof/>
        </w:rPr>
        <w:t>74</w:t>
      </w:r>
      <w:r w:rsidR="00425540">
        <w:fldChar w:fldCharType="end"/>
      </w:r>
      <w:r w:rsidR="00425540">
        <w:t>)</w:t>
      </w:r>
      <w:r w:rsidR="00B66DC6">
        <w:t xml:space="preserve"> </w:t>
      </w:r>
      <w:r>
        <w:t>and $4,703,201 (upper limit)</w:t>
      </w:r>
      <w:r w:rsidR="00425540">
        <w:t xml:space="preserve"> (</w:t>
      </w:r>
      <w:r w:rsidR="006F654A">
        <w:t xml:space="preserve">See </w:t>
      </w:r>
      <w:r w:rsidR="00425540">
        <w:fldChar w:fldCharType="begin"/>
      </w:r>
      <w:r w:rsidR="00425540">
        <w:instrText xml:space="preserve"> REF _Ref324951386 \h </w:instrText>
      </w:r>
      <w:r w:rsidR="00425540">
        <w:fldChar w:fldCharType="separate"/>
      </w:r>
      <w:r w:rsidR="0071544A">
        <w:t xml:space="preserve">Table </w:t>
      </w:r>
      <w:r w:rsidR="0071544A">
        <w:rPr>
          <w:noProof/>
        </w:rPr>
        <w:t>75</w:t>
      </w:r>
      <w:r w:rsidR="00425540">
        <w:fldChar w:fldCharType="end"/>
      </w:r>
      <w:r w:rsidR="00425540">
        <w:t>)</w:t>
      </w:r>
      <w:r>
        <w:t xml:space="preserve">. </w:t>
      </w:r>
    </w:p>
    <w:p w:rsidR="00083B85" w:rsidRDefault="00425540" w:rsidP="00425540">
      <w:pPr>
        <w:pStyle w:val="Caption"/>
      </w:pPr>
      <w:bookmarkStart w:id="288" w:name="_Ref324951333"/>
      <w:bookmarkStart w:id="289" w:name="_Toc327522118"/>
      <w:r>
        <w:t xml:space="preserve">Table </w:t>
      </w:r>
      <w:fldSimple w:instr=" SEQ Table \* ARABIC ">
        <w:r w:rsidR="0071544A">
          <w:rPr>
            <w:noProof/>
          </w:rPr>
          <w:t>74</w:t>
        </w:r>
      </w:fldSimple>
      <w:bookmarkEnd w:id="288"/>
      <w:r w:rsidR="003F3CA9">
        <w:tab/>
      </w:r>
      <w:r w:rsidR="00083B85" w:rsidRPr="00C605D6">
        <w:t xml:space="preserve">Estimated total costs of SEMS versus </w:t>
      </w:r>
      <w:r w:rsidR="00083B85">
        <w:t>palliation only (BSC)</w:t>
      </w:r>
      <w:r w:rsidR="00083B85" w:rsidRPr="00C605D6">
        <w:t xml:space="preserve"> (lower limit)</w:t>
      </w:r>
      <w:bookmarkEnd w:id="289"/>
    </w:p>
    <w:tbl>
      <w:tblPr>
        <w:tblW w:w="6848" w:type="dxa"/>
        <w:tblInd w:w="720" w:type="dxa"/>
        <w:tblBorders>
          <w:top w:val="single" w:sz="12" w:space="0" w:color="auto"/>
          <w:bottom w:val="single" w:sz="12" w:space="0" w:color="auto"/>
        </w:tblBorders>
        <w:tblLook w:val="00A0" w:firstRow="1" w:lastRow="0" w:firstColumn="1" w:lastColumn="0" w:noHBand="0" w:noVBand="0"/>
      </w:tblPr>
      <w:tblGrid>
        <w:gridCol w:w="3162"/>
        <w:gridCol w:w="1558"/>
        <w:gridCol w:w="2128"/>
      </w:tblGrid>
      <w:tr w:rsidR="00083B85" w:rsidRPr="00C605D6" w:rsidTr="006E0238">
        <w:trPr>
          <w:trHeight w:val="315"/>
        </w:trPr>
        <w:tc>
          <w:tcPr>
            <w:tcW w:w="3162" w:type="dxa"/>
            <w:tcBorders>
              <w:top w:val="single" w:sz="12" w:space="0" w:color="auto"/>
              <w:bottom w:val="single" w:sz="4" w:space="0" w:color="auto"/>
            </w:tcBorders>
            <w:noWrap/>
            <w:vAlign w:val="bottom"/>
          </w:tcPr>
          <w:p w:rsidR="00083B85" w:rsidRPr="00C605D6" w:rsidRDefault="00083B85" w:rsidP="004E680E">
            <w:pPr>
              <w:keepNext/>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558" w:type="dxa"/>
            <w:tcBorders>
              <w:top w:val="single" w:sz="12" w:space="0" w:color="auto"/>
              <w:bottom w:val="single" w:sz="4" w:space="0" w:color="auto"/>
            </w:tcBorders>
            <w:noWrap/>
            <w:vAlign w:val="bottom"/>
          </w:tcPr>
          <w:p w:rsidR="00083B85" w:rsidRPr="00C605D6" w:rsidRDefault="00083B85" w:rsidP="00A10A1E">
            <w:pPr>
              <w:pStyle w:val="TableHeading0"/>
              <w:jc w:val="right"/>
            </w:pPr>
            <w:r w:rsidRPr="00C605D6">
              <w:t>SEMS</w:t>
            </w:r>
          </w:p>
        </w:tc>
        <w:tc>
          <w:tcPr>
            <w:tcW w:w="2128" w:type="dxa"/>
            <w:tcBorders>
              <w:top w:val="single" w:sz="12" w:space="0" w:color="auto"/>
              <w:bottom w:val="single" w:sz="4" w:space="0" w:color="auto"/>
            </w:tcBorders>
            <w:noWrap/>
            <w:vAlign w:val="bottom"/>
          </w:tcPr>
          <w:p w:rsidR="00083B85" w:rsidRPr="00C605D6" w:rsidRDefault="00083B85" w:rsidP="00A10A1E">
            <w:pPr>
              <w:pStyle w:val="TableHeading0"/>
              <w:jc w:val="right"/>
            </w:pPr>
            <w:r>
              <w:t>Palliation only (</w:t>
            </w:r>
            <w:r w:rsidRPr="00C605D6">
              <w:t>BSC</w:t>
            </w:r>
            <w:r>
              <w:t>)</w:t>
            </w:r>
          </w:p>
        </w:tc>
      </w:tr>
      <w:tr w:rsidR="00083B85" w:rsidRPr="00C605D6" w:rsidTr="006E0238">
        <w:trPr>
          <w:trHeight w:val="227"/>
        </w:trPr>
        <w:tc>
          <w:tcPr>
            <w:tcW w:w="3162" w:type="dxa"/>
            <w:tcBorders>
              <w:top w:val="single" w:sz="4" w:space="0" w:color="auto"/>
            </w:tcBorders>
            <w:noWrap/>
            <w:vAlign w:val="bottom"/>
          </w:tcPr>
          <w:p w:rsidR="00083B85" w:rsidRPr="00C605D6" w:rsidRDefault="00083B85" w:rsidP="00A10A1E">
            <w:pPr>
              <w:pStyle w:val="TableText0"/>
              <w:rPr>
                <w:lang w:val="en-US"/>
              </w:rPr>
            </w:pPr>
            <w:r w:rsidRPr="00C605D6">
              <w:rPr>
                <w:lang w:val="en-US"/>
              </w:rPr>
              <w:t>Total cost per patient</w:t>
            </w:r>
          </w:p>
        </w:tc>
        <w:tc>
          <w:tcPr>
            <w:tcW w:w="1558" w:type="dxa"/>
            <w:tcBorders>
              <w:top w:val="single" w:sz="4" w:space="0" w:color="auto"/>
            </w:tcBorders>
            <w:noWrap/>
            <w:vAlign w:val="bottom"/>
          </w:tcPr>
          <w:p w:rsidR="00083B85" w:rsidRPr="00C605D6" w:rsidRDefault="00083B85" w:rsidP="00A10A1E">
            <w:pPr>
              <w:pStyle w:val="TableText0"/>
              <w:jc w:val="right"/>
              <w:rPr>
                <w:lang w:val="en-US"/>
              </w:rPr>
            </w:pPr>
            <w:r w:rsidRPr="000F3C8B">
              <w:rPr>
                <w:lang w:val="en-AU"/>
              </w:rPr>
              <w:t>$17,413</w:t>
            </w:r>
          </w:p>
        </w:tc>
        <w:tc>
          <w:tcPr>
            <w:tcW w:w="2128" w:type="dxa"/>
            <w:tcBorders>
              <w:top w:val="single" w:sz="4" w:space="0" w:color="auto"/>
            </w:tcBorders>
            <w:noWrap/>
            <w:vAlign w:val="bottom"/>
          </w:tcPr>
          <w:p w:rsidR="00083B85" w:rsidRPr="00C605D6" w:rsidRDefault="00083B85" w:rsidP="00A10A1E">
            <w:pPr>
              <w:pStyle w:val="TableText0"/>
              <w:jc w:val="right"/>
              <w:rPr>
                <w:lang w:val="en-US"/>
              </w:rPr>
            </w:pPr>
            <w:r w:rsidRPr="000F3C8B">
              <w:rPr>
                <w:lang w:val="en-AU"/>
              </w:rPr>
              <w:t>$7,756</w:t>
            </w:r>
          </w:p>
        </w:tc>
      </w:tr>
      <w:tr w:rsidR="00083B85" w:rsidRPr="00C605D6" w:rsidTr="006E0238">
        <w:trPr>
          <w:trHeight w:val="227"/>
        </w:trPr>
        <w:tc>
          <w:tcPr>
            <w:tcW w:w="3162" w:type="dxa"/>
            <w:noWrap/>
            <w:vAlign w:val="bottom"/>
          </w:tcPr>
          <w:p w:rsidR="00083B85" w:rsidRPr="00C605D6" w:rsidRDefault="00083B85" w:rsidP="00A10A1E">
            <w:pPr>
              <w:pStyle w:val="TableText0"/>
              <w:rPr>
                <w:lang w:val="en-US"/>
              </w:rPr>
            </w:pPr>
            <w:r w:rsidRPr="00C605D6">
              <w:rPr>
                <w:lang w:val="en-US"/>
              </w:rPr>
              <w:t>Number of patients</w:t>
            </w:r>
          </w:p>
        </w:tc>
        <w:tc>
          <w:tcPr>
            <w:tcW w:w="1558" w:type="dxa"/>
            <w:noWrap/>
            <w:vAlign w:val="bottom"/>
          </w:tcPr>
          <w:p w:rsidR="00083B85" w:rsidRPr="00C605D6" w:rsidRDefault="00083B85" w:rsidP="00A10A1E">
            <w:pPr>
              <w:pStyle w:val="TableText0"/>
              <w:jc w:val="right"/>
              <w:rPr>
                <w:lang w:val="en-US"/>
              </w:rPr>
            </w:pPr>
            <w:r w:rsidRPr="000F3C8B">
              <w:rPr>
                <w:lang w:val="en-AU"/>
              </w:rPr>
              <w:t>134</w:t>
            </w:r>
          </w:p>
        </w:tc>
        <w:tc>
          <w:tcPr>
            <w:tcW w:w="2128" w:type="dxa"/>
            <w:noWrap/>
            <w:vAlign w:val="bottom"/>
          </w:tcPr>
          <w:p w:rsidR="00083B85" w:rsidRPr="00C605D6" w:rsidRDefault="00083B85" w:rsidP="00A10A1E">
            <w:pPr>
              <w:pStyle w:val="TableText0"/>
              <w:jc w:val="right"/>
              <w:rPr>
                <w:lang w:val="en-US"/>
              </w:rPr>
            </w:pPr>
            <w:r w:rsidRPr="000F3C8B">
              <w:rPr>
                <w:lang w:val="en-AU"/>
              </w:rPr>
              <w:t>134</w:t>
            </w:r>
          </w:p>
        </w:tc>
      </w:tr>
      <w:tr w:rsidR="00083B85" w:rsidRPr="00C605D6" w:rsidTr="006E0238">
        <w:trPr>
          <w:trHeight w:val="227"/>
        </w:trPr>
        <w:tc>
          <w:tcPr>
            <w:tcW w:w="3162" w:type="dxa"/>
            <w:noWrap/>
            <w:vAlign w:val="bottom"/>
          </w:tcPr>
          <w:p w:rsidR="00083B85" w:rsidRPr="00C605D6" w:rsidRDefault="00083B85" w:rsidP="00A10A1E">
            <w:pPr>
              <w:pStyle w:val="TableText0"/>
              <w:rPr>
                <w:i/>
                <w:iCs/>
                <w:lang w:val="en-US"/>
              </w:rPr>
            </w:pPr>
            <w:r w:rsidRPr="00C605D6">
              <w:rPr>
                <w:i/>
                <w:iCs/>
                <w:lang w:val="en-US"/>
              </w:rPr>
              <w:t>Brea</w:t>
            </w:r>
            <w:r w:rsidR="00A10A1E">
              <w:rPr>
                <w:i/>
                <w:iCs/>
                <w:lang w:val="en-US"/>
              </w:rPr>
              <w:t>kdown of financial implications</w:t>
            </w:r>
          </w:p>
        </w:tc>
        <w:tc>
          <w:tcPr>
            <w:tcW w:w="1558" w:type="dxa"/>
            <w:noWrap/>
            <w:vAlign w:val="bottom"/>
          </w:tcPr>
          <w:p w:rsidR="00083B85" w:rsidRPr="00C605D6" w:rsidRDefault="00083B85" w:rsidP="00A10A1E">
            <w:pPr>
              <w:pStyle w:val="TableText0"/>
              <w:jc w:val="right"/>
              <w:rPr>
                <w:lang w:val="en-US"/>
              </w:rPr>
            </w:pPr>
            <w:r w:rsidRPr="000F3C8B">
              <w:rPr>
                <w:lang w:val="en-AU"/>
              </w:rPr>
              <w:t> </w:t>
            </w:r>
          </w:p>
        </w:tc>
        <w:tc>
          <w:tcPr>
            <w:tcW w:w="2128" w:type="dxa"/>
            <w:noWrap/>
            <w:vAlign w:val="bottom"/>
          </w:tcPr>
          <w:p w:rsidR="00083B85" w:rsidRPr="00C605D6" w:rsidRDefault="00083B85" w:rsidP="00A10A1E">
            <w:pPr>
              <w:pStyle w:val="TableText0"/>
              <w:jc w:val="right"/>
              <w:rPr>
                <w:lang w:val="en-US"/>
              </w:rPr>
            </w:pPr>
            <w:r w:rsidRPr="000F3C8B">
              <w:rPr>
                <w:lang w:val="en-AU"/>
              </w:rPr>
              <w:t> </w:t>
            </w:r>
          </w:p>
        </w:tc>
      </w:tr>
      <w:tr w:rsidR="00083B85" w:rsidRPr="00C605D6" w:rsidTr="006E0238">
        <w:trPr>
          <w:trHeight w:val="227"/>
        </w:trPr>
        <w:tc>
          <w:tcPr>
            <w:tcW w:w="3162" w:type="dxa"/>
            <w:noWrap/>
            <w:vAlign w:val="bottom"/>
          </w:tcPr>
          <w:p w:rsidR="00083B85" w:rsidRPr="00C605D6" w:rsidRDefault="00083B85" w:rsidP="00A10A1E">
            <w:pPr>
              <w:pStyle w:val="TableText0"/>
              <w:rPr>
                <w:lang w:val="en-US"/>
              </w:rPr>
            </w:pPr>
            <w:r w:rsidRPr="00C605D6">
              <w:rPr>
                <w:lang w:val="en-US"/>
              </w:rPr>
              <w:t>Consumables</w:t>
            </w:r>
          </w:p>
        </w:tc>
        <w:tc>
          <w:tcPr>
            <w:tcW w:w="1558" w:type="dxa"/>
            <w:noWrap/>
            <w:vAlign w:val="bottom"/>
          </w:tcPr>
          <w:p w:rsidR="00083B85" w:rsidRPr="00C605D6" w:rsidRDefault="00083B85" w:rsidP="00A10A1E">
            <w:pPr>
              <w:pStyle w:val="TableText0"/>
              <w:jc w:val="right"/>
              <w:rPr>
                <w:lang w:val="en-US"/>
              </w:rPr>
            </w:pPr>
            <w:r w:rsidRPr="000F3C8B">
              <w:rPr>
                <w:lang w:val="en-AU"/>
              </w:rPr>
              <w:t>$473,690</w:t>
            </w:r>
          </w:p>
        </w:tc>
        <w:tc>
          <w:tcPr>
            <w:tcW w:w="2128" w:type="dxa"/>
            <w:noWrap/>
            <w:vAlign w:val="bottom"/>
          </w:tcPr>
          <w:p w:rsidR="00083B85" w:rsidRPr="00C605D6" w:rsidRDefault="00083B85" w:rsidP="00A10A1E">
            <w:pPr>
              <w:pStyle w:val="TableText0"/>
              <w:jc w:val="right"/>
              <w:rPr>
                <w:lang w:val="en-US"/>
              </w:rPr>
            </w:pPr>
            <w:r w:rsidRPr="000F3C8B">
              <w:rPr>
                <w:lang w:val="en-AU"/>
              </w:rPr>
              <w:t>$0</w:t>
            </w:r>
          </w:p>
        </w:tc>
      </w:tr>
      <w:tr w:rsidR="00083B85" w:rsidRPr="00C605D6" w:rsidTr="006E0238">
        <w:trPr>
          <w:trHeight w:val="227"/>
        </w:trPr>
        <w:tc>
          <w:tcPr>
            <w:tcW w:w="3162" w:type="dxa"/>
            <w:noWrap/>
            <w:vAlign w:val="bottom"/>
          </w:tcPr>
          <w:p w:rsidR="00083B85" w:rsidRPr="00C605D6" w:rsidRDefault="00083B85" w:rsidP="00A10A1E">
            <w:pPr>
              <w:pStyle w:val="TableText0"/>
              <w:rPr>
                <w:lang w:val="en-US"/>
              </w:rPr>
            </w:pPr>
            <w:r w:rsidRPr="00C605D6">
              <w:rPr>
                <w:lang w:val="en-US"/>
              </w:rPr>
              <w:t>MBS</w:t>
            </w:r>
            <w:r w:rsidR="00DF048B" w:rsidRPr="00C605D6">
              <w:rPr>
                <w:lang w:val="en-US"/>
              </w:rPr>
              <w:t xml:space="preserve"> items </w:t>
            </w:r>
          </w:p>
        </w:tc>
        <w:tc>
          <w:tcPr>
            <w:tcW w:w="1558" w:type="dxa"/>
            <w:noWrap/>
            <w:vAlign w:val="bottom"/>
          </w:tcPr>
          <w:p w:rsidR="00083B85" w:rsidRPr="00C605D6" w:rsidRDefault="00083B85" w:rsidP="00A10A1E">
            <w:pPr>
              <w:pStyle w:val="TableText0"/>
              <w:jc w:val="right"/>
              <w:rPr>
                <w:lang w:val="en-US"/>
              </w:rPr>
            </w:pPr>
            <w:r w:rsidRPr="000F3C8B">
              <w:rPr>
                <w:lang w:val="en-AU"/>
              </w:rPr>
              <w:t>$1,214,174</w:t>
            </w:r>
          </w:p>
        </w:tc>
        <w:tc>
          <w:tcPr>
            <w:tcW w:w="2128" w:type="dxa"/>
            <w:noWrap/>
            <w:vAlign w:val="bottom"/>
          </w:tcPr>
          <w:p w:rsidR="00083B85" w:rsidRPr="00C605D6" w:rsidRDefault="00083B85" w:rsidP="00A10A1E">
            <w:pPr>
              <w:pStyle w:val="TableText0"/>
              <w:jc w:val="right"/>
              <w:rPr>
                <w:lang w:val="en-US"/>
              </w:rPr>
            </w:pPr>
            <w:r w:rsidRPr="000F3C8B">
              <w:rPr>
                <w:lang w:val="en-AU"/>
              </w:rPr>
              <w:t>$942,831</w:t>
            </w:r>
          </w:p>
        </w:tc>
      </w:tr>
      <w:tr w:rsidR="00083B85" w:rsidRPr="00C605D6" w:rsidTr="006E0238">
        <w:trPr>
          <w:trHeight w:val="227"/>
        </w:trPr>
        <w:tc>
          <w:tcPr>
            <w:tcW w:w="3162" w:type="dxa"/>
            <w:noWrap/>
            <w:vAlign w:val="bottom"/>
          </w:tcPr>
          <w:p w:rsidR="00083B85" w:rsidRPr="00C605D6" w:rsidRDefault="00083B85" w:rsidP="00A10A1E">
            <w:pPr>
              <w:pStyle w:val="TableText0"/>
              <w:rPr>
                <w:lang w:val="en-US"/>
              </w:rPr>
            </w:pPr>
            <w:r w:rsidRPr="000F3C8B">
              <w:rPr>
                <w:lang w:val="en-AU"/>
              </w:rPr>
              <w:t>Patient/insurer costs</w:t>
            </w:r>
          </w:p>
        </w:tc>
        <w:tc>
          <w:tcPr>
            <w:tcW w:w="1558" w:type="dxa"/>
            <w:noWrap/>
            <w:vAlign w:val="bottom"/>
          </w:tcPr>
          <w:p w:rsidR="00083B85" w:rsidRPr="00C605D6" w:rsidRDefault="00083B85" w:rsidP="00A10A1E">
            <w:pPr>
              <w:pStyle w:val="TableText0"/>
              <w:jc w:val="right"/>
              <w:rPr>
                <w:lang w:val="en-US"/>
              </w:rPr>
            </w:pPr>
            <w:r w:rsidRPr="000F3C8B">
              <w:rPr>
                <w:lang w:val="en-AU"/>
              </w:rPr>
              <w:t>$645,478</w:t>
            </w:r>
          </w:p>
        </w:tc>
        <w:tc>
          <w:tcPr>
            <w:tcW w:w="2128" w:type="dxa"/>
            <w:noWrap/>
            <w:vAlign w:val="bottom"/>
          </w:tcPr>
          <w:p w:rsidR="00083B85" w:rsidRPr="00C605D6" w:rsidRDefault="00083B85" w:rsidP="00A10A1E">
            <w:pPr>
              <w:pStyle w:val="TableText0"/>
              <w:jc w:val="right"/>
              <w:rPr>
                <w:lang w:val="en-US"/>
              </w:rPr>
            </w:pPr>
            <w:r w:rsidRPr="000F3C8B">
              <w:rPr>
                <w:lang w:val="en-AU"/>
              </w:rPr>
              <w:t>$96,407</w:t>
            </w:r>
          </w:p>
        </w:tc>
      </w:tr>
      <w:tr w:rsidR="00083B85" w:rsidRPr="00C605D6" w:rsidTr="006E0238">
        <w:trPr>
          <w:trHeight w:val="227"/>
        </w:trPr>
        <w:tc>
          <w:tcPr>
            <w:tcW w:w="3162" w:type="dxa"/>
            <w:noWrap/>
            <w:vAlign w:val="bottom"/>
          </w:tcPr>
          <w:p w:rsidR="00083B85" w:rsidRPr="00C605D6" w:rsidRDefault="00083B85" w:rsidP="00A10A1E">
            <w:pPr>
              <w:pStyle w:val="TableText0"/>
              <w:rPr>
                <w:b/>
                <w:bCs/>
                <w:lang w:val="en-US"/>
              </w:rPr>
            </w:pPr>
            <w:r w:rsidRPr="00C605D6">
              <w:rPr>
                <w:b/>
                <w:bCs/>
                <w:lang w:val="en-US"/>
              </w:rPr>
              <w:t>Total financial implications</w:t>
            </w:r>
          </w:p>
        </w:tc>
        <w:tc>
          <w:tcPr>
            <w:tcW w:w="1558" w:type="dxa"/>
            <w:noWrap/>
            <w:vAlign w:val="bottom"/>
          </w:tcPr>
          <w:p w:rsidR="00083B85" w:rsidRPr="00C605D6" w:rsidRDefault="00083B85" w:rsidP="00A10A1E">
            <w:pPr>
              <w:pStyle w:val="TableText0"/>
              <w:jc w:val="right"/>
              <w:rPr>
                <w:b/>
                <w:bCs/>
                <w:lang w:val="en-US"/>
              </w:rPr>
            </w:pPr>
            <w:r w:rsidRPr="000F3C8B">
              <w:rPr>
                <w:b/>
                <w:bCs/>
                <w:lang w:val="en-AU"/>
              </w:rPr>
              <w:t>$2,333,342</w:t>
            </w:r>
          </w:p>
        </w:tc>
        <w:tc>
          <w:tcPr>
            <w:tcW w:w="2128" w:type="dxa"/>
            <w:noWrap/>
            <w:vAlign w:val="bottom"/>
          </w:tcPr>
          <w:p w:rsidR="00083B85" w:rsidRPr="00C605D6" w:rsidRDefault="00083B85" w:rsidP="00A10A1E">
            <w:pPr>
              <w:pStyle w:val="TableText0"/>
              <w:jc w:val="right"/>
              <w:rPr>
                <w:b/>
                <w:bCs/>
                <w:lang w:val="en-US"/>
              </w:rPr>
            </w:pPr>
            <w:r w:rsidRPr="000F3C8B">
              <w:rPr>
                <w:b/>
                <w:bCs/>
                <w:lang w:val="en-AU"/>
              </w:rPr>
              <w:t>$1,039,237</w:t>
            </w:r>
          </w:p>
        </w:tc>
      </w:tr>
      <w:tr w:rsidR="00083B85" w:rsidRPr="00C605D6" w:rsidTr="006E0238">
        <w:trPr>
          <w:trHeight w:val="227"/>
        </w:trPr>
        <w:tc>
          <w:tcPr>
            <w:tcW w:w="3162" w:type="dxa"/>
            <w:shd w:val="clear" w:color="auto" w:fill="auto"/>
            <w:noWrap/>
            <w:vAlign w:val="bottom"/>
          </w:tcPr>
          <w:p w:rsidR="00083B85" w:rsidRPr="00C605D6" w:rsidRDefault="00A10A1E" w:rsidP="00A10A1E">
            <w:pPr>
              <w:pStyle w:val="TableText0"/>
              <w:rPr>
                <w:i/>
                <w:iCs/>
                <w:lang w:val="en-US"/>
              </w:rPr>
            </w:pPr>
            <w:r>
              <w:rPr>
                <w:i/>
                <w:iCs/>
                <w:lang w:val="en-US"/>
              </w:rPr>
              <w:t>Incremental costs</w:t>
            </w:r>
          </w:p>
        </w:tc>
        <w:tc>
          <w:tcPr>
            <w:tcW w:w="1558" w:type="dxa"/>
            <w:shd w:val="clear" w:color="auto" w:fill="auto"/>
            <w:noWrap/>
            <w:vAlign w:val="bottom"/>
          </w:tcPr>
          <w:p w:rsidR="00083B85" w:rsidRPr="00C605D6" w:rsidRDefault="00083B85" w:rsidP="00A10A1E">
            <w:pPr>
              <w:pStyle w:val="TableText0"/>
              <w:jc w:val="right"/>
              <w:rPr>
                <w:lang w:val="en-US"/>
              </w:rPr>
            </w:pPr>
            <w:r w:rsidRPr="000F3C8B">
              <w:rPr>
                <w:lang w:val="en-AU"/>
              </w:rPr>
              <w:t> </w:t>
            </w:r>
          </w:p>
        </w:tc>
        <w:tc>
          <w:tcPr>
            <w:tcW w:w="2128" w:type="dxa"/>
            <w:shd w:val="clear" w:color="auto" w:fill="auto"/>
            <w:noWrap/>
            <w:vAlign w:val="bottom"/>
          </w:tcPr>
          <w:p w:rsidR="00083B85" w:rsidRPr="00C605D6" w:rsidRDefault="00083B85" w:rsidP="00A10A1E">
            <w:pPr>
              <w:pStyle w:val="TableText0"/>
              <w:jc w:val="right"/>
              <w:rPr>
                <w:lang w:val="en-US"/>
              </w:rPr>
            </w:pPr>
            <w:r w:rsidRPr="000F3C8B">
              <w:rPr>
                <w:lang w:val="en-AU"/>
              </w:rPr>
              <w:t> </w:t>
            </w:r>
          </w:p>
        </w:tc>
      </w:tr>
      <w:tr w:rsidR="00083B85" w:rsidRPr="00C605D6" w:rsidTr="006E0238">
        <w:trPr>
          <w:trHeight w:val="227"/>
        </w:trPr>
        <w:tc>
          <w:tcPr>
            <w:tcW w:w="3162" w:type="dxa"/>
            <w:noWrap/>
            <w:vAlign w:val="bottom"/>
          </w:tcPr>
          <w:p w:rsidR="00083B85" w:rsidRPr="00C605D6" w:rsidRDefault="00083B85" w:rsidP="00A10A1E">
            <w:pPr>
              <w:pStyle w:val="TableText0"/>
              <w:rPr>
                <w:lang w:val="en-US"/>
              </w:rPr>
            </w:pPr>
            <w:r w:rsidRPr="00C605D6">
              <w:rPr>
                <w:lang w:val="en-US"/>
              </w:rPr>
              <w:t>Consumables</w:t>
            </w:r>
          </w:p>
        </w:tc>
        <w:tc>
          <w:tcPr>
            <w:tcW w:w="1558" w:type="dxa"/>
            <w:noWrap/>
            <w:vAlign w:val="bottom"/>
          </w:tcPr>
          <w:p w:rsidR="00083B85" w:rsidRPr="00C605D6" w:rsidRDefault="00083B85" w:rsidP="00A10A1E">
            <w:pPr>
              <w:pStyle w:val="TableText0"/>
              <w:jc w:val="right"/>
              <w:rPr>
                <w:lang w:val="en-US"/>
              </w:rPr>
            </w:pPr>
            <w:r w:rsidRPr="000F3C8B">
              <w:rPr>
                <w:lang w:val="en-AU"/>
              </w:rPr>
              <w:t> </w:t>
            </w:r>
          </w:p>
        </w:tc>
        <w:tc>
          <w:tcPr>
            <w:tcW w:w="2128" w:type="dxa"/>
            <w:noWrap/>
            <w:vAlign w:val="bottom"/>
          </w:tcPr>
          <w:p w:rsidR="00083B85" w:rsidRPr="00C605D6" w:rsidRDefault="00083B85" w:rsidP="00A10A1E">
            <w:pPr>
              <w:pStyle w:val="TableText0"/>
              <w:jc w:val="right"/>
              <w:rPr>
                <w:lang w:val="en-US"/>
              </w:rPr>
            </w:pPr>
            <w:r w:rsidRPr="000F3C8B">
              <w:rPr>
                <w:lang w:val="en-AU"/>
              </w:rPr>
              <w:t>$473,690</w:t>
            </w:r>
          </w:p>
        </w:tc>
      </w:tr>
      <w:tr w:rsidR="00083B85" w:rsidRPr="00C605D6" w:rsidTr="006E0238">
        <w:trPr>
          <w:trHeight w:val="227"/>
        </w:trPr>
        <w:tc>
          <w:tcPr>
            <w:tcW w:w="3162" w:type="dxa"/>
            <w:noWrap/>
            <w:vAlign w:val="bottom"/>
          </w:tcPr>
          <w:p w:rsidR="00083B85" w:rsidRPr="00C605D6" w:rsidRDefault="00083B85" w:rsidP="00A10A1E">
            <w:pPr>
              <w:pStyle w:val="TableText0"/>
              <w:rPr>
                <w:lang w:val="en-US"/>
              </w:rPr>
            </w:pPr>
            <w:r w:rsidRPr="00C605D6">
              <w:rPr>
                <w:lang w:val="en-US"/>
              </w:rPr>
              <w:t xml:space="preserve">MBS </w:t>
            </w:r>
            <w:r w:rsidR="00DF048B" w:rsidRPr="00C605D6">
              <w:rPr>
                <w:lang w:val="en-US"/>
              </w:rPr>
              <w:t xml:space="preserve">items </w:t>
            </w:r>
          </w:p>
        </w:tc>
        <w:tc>
          <w:tcPr>
            <w:tcW w:w="1558" w:type="dxa"/>
            <w:noWrap/>
            <w:vAlign w:val="bottom"/>
          </w:tcPr>
          <w:p w:rsidR="00083B85" w:rsidRPr="00C605D6" w:rsidRDefault="00083B85" w:rsidP="00A10A1E">
            <w:pPr>
              <w:pStyle w:val="TableText0"/>
              <w:jc w:val="right"/>
              <w:rPr>
                <w:lang w:val="en-US"/>
              </w:rPr>
            </w:pPr>
            <w:r w:rsidRPr="000F3C8B">
              <w:rPr>
                <w:lang w:val="en-AU"/>
              </w:rPr>
              <w:t> </w:t>
            </w:r>
          </w:p>
        </w:tc>
        <w:tc>
          <w:tcPr>
            <w:tcW w:w="2128" w:type="dxa"/>
            <w:noWrap/>
            <w:vAlign w:val="bottom"/>
          </w:tcPr>
          <w:p w:rsidR="00083B85" w:rsidRPr="00C605D6" w:rsidRDefault="00083B85" w:rsidP="00A10A1E">
            <w:pPr>
              <w:pStyle w:val="TableText0"/>
              <w:jc w:val="right"/>
              <w:rPr>
                <w:lang w:val="en-US"/>
              </w:rPr>
            </w:pPr>
            <w:r w:rsidRPr="000F3C8B">
              <w:rPr>
                <w:lang w:val="en-AU"/>
              </w:rPr>
              <w:t>$271,343</w:t>
            </w:r>
          </w:p>
        </w:tc>
      </w:tr>
      <w:tr w:rsidR="00083B85" w:rsidRPr="00C605D6" w:rsidTr="006E0238">
        <w:trPr>
          <w:trHeight w:val="227"/>
        </w:trPr>
        <w:tc>
          <w:tcPr>
            <w:tcW w:w="3162" w:type="dxa"/>
            <w:noWrap/>
            <w:vAlign w:val="bottom"/>
          </w:tcPr>
          <w:p w:rsidR="00083B85" w:rsidRPr="00C605D6" w:rsidRDefault="00083B85" w:rsidP="00A10A1E">
            <w:pPr>
              <w:pStyle w:val="TableText0"/>
              <w:rPr>
                <w:lang w:val="en-US"/>
              </w:rPr>
            </w:pPr>
            <w:r w:rsidRPr="000F3C8B">
              <w:rPr>
                <w:lang w:val="en-AU"/>
              </w:rPr>
              <w:t>Patient/insurer costs</w:t>
            </w:r>
          </w:p>
        </w:tc>
        <w:tc>
          <w:tcPr>
            <w:tcW w:w="1558" w:type="dxa"/>
            <w:noWrap/>
            <w:vAlign w:val="bottom"/>
          </w:tcPr>
          <w:p w:rsidR="00083B85" w:rsidRPr="00C605D6" w:rsidRDefault="00083B85" w:rsidP="00A10A1E">
            <w:pPr>
              <w:pStyle w:val="TableText0"/>
              <w:jc w:val="right"/>
              <w:rPr>
                <w:lang w:val="en-US"/>
              </w:rPr>
            </w:pPr>
            <w:r w:rsidRPr="000F3C8B">
              <w:rPr>
                <w:lang w:val="en-AU"/>
              </w:rPr>
              <w:t> </w:t>
            </w:r>
          </w:p>
        </w:tc>
        <w:tc>
          <w:tcPr>
            <w:tcW w:w="2128" w:type="dxa"/>
            <w:noWrap/>
            <w:vAlign w:val="bottom"/>
          </w:tcPr>
          <w:p w:rsidR="00083B85" w:rsidRPr="00C605D6" w:rsidRDefault="00083B85" w:rsidP="00A10A1E">
            <w:pPr>
              <w:pStyle w:val="TableText0"/>
              <w:jc w:val="right"/>
              <w:rPr>
                <w:lang w:val="en-US"/>
              </w:rPr>
            </w:pPr>
            <w:r w:rsidRPr="000F3C8B">
              <w:rPr>
                <w:lang w:val="en-AU"/>
              </w:rPr>
              <w:t>$549,071</w:t>
            </w:r>
          </w:p>
        </w:tc>
      </w:tr>
      <w:tr w:rsidR="00083B85" w:rsidRPr="00C605D6" w:rsidTr="006E0238">
        <w:trPr>
          <w:trHeight w:val="227"/>
        </w:trPr>
        <w:tc>
          <w:tcPr>
            <w:tcW w:w="3162" w:type="dxa"/>
            <w:noWrap/>
            <w:vAlign w:val="bottom"/>
          </w:tcPr>
          <w:p w:rsidR="00083B85" w:rsidRPr="00C605D6" w:rsidRDefault="00083B85" w:rsidP="00A10A1E">
            <w:pPr>
              <w:pStyle w:val="TableText0"/>
              <w:rPr>
                <w:b/>
                <w:bCs/>
                <w:lang w:val="en-US"/>
              </w:rPr>
            </w:pPr>
            <w:r w:rsidRPr="00C605D6">
              <w:rPr>
                <w:b/>
                <w:bCs/>
                <w:lang w:val="en-US"/>
              </w:rPr>
              <w:t xml:space="preserve">Total cost </w:t>
            </w:r>
          </w:p>
        </w:tc>
        <w:tc>
          <w:tcPr>
            <w:tcW w:w="1558" w:type="dxa"/>
            <w:noWrap/>
            <w:vAlign w:val="bottom"/>
          </w:tcPr>
          <w:p w:rsidR="00083B85" w:rsidRPr="00C605D6" w:rsidRDefault="00083B85" w:rsidP="00A10A1E">
            <w:pPr>
              <w:pStyle w:val="TableText0"/>
              <w:jc w:val="right"/>
              <w:rPr>
                <w:b/>
                <w:bCs/>
                <w:lang w:val="en-US"/>
              </w:rPr>
            </w:pPr>
            <w:r w:rsidRPr="000F3C8B">
              <w:rPr>
                <w:b/>
                <w:bCs/>
                <w:lang w:val="en-AU"/>
              </w:rPr>
              <w:t> </w:t>
            </w:r>
          </w:p>
        </w:tc>
        <w:tc>
          <w:tcPr>
            <w:tcW w:w="2128" w:type="dxa"/>
            <w:noWrap/>
            <w:vAlign w:val="bottom"/>
          </w:tcPr>
          <w:p w:rsidR="00083B85" w:rsidRPr="00C605D6" w:rsidRDefault="00083B85" w:rsidP="00A10A1E">
            <w:pPr>
              <w:pStyle w:val="TableText0"/>
              <w:jc w:val="right"/>
              <w:rPr>
                <w:b/>
                <w:bCs/>
                <w:lang w:val="en-US"/>
              </w:rPr>
            </w:pPr>
            <w:r w:rsidRPr="000F3C8B">
              <w:rPr>
                <w:b/>
                <w:bCs/>
                <w:lang w:val="en-AU"/>
              </w:rPr>
              <w:t>$1,294,105</w:t>
            </w:r>
          </w:p>
        </w:tc>
      </w:tr>
    </w:tbl>
    <w:p w:rsidR="00083B85" w:rsidRPr="006E0238" w:rsidRDefault="00083B85" w:rsidP="006E0238">
      <w:pPr>
        <w:pStyle w:val="TableNotes"/>
        <w:rPr>
          <w:lang w:val="en-AU"/>
        </w:rPr>
      </w:pPr>
      <w:r w:rsidRPr="00C605D6">
        <w:t xml:space="preserve">BSC: </w:t>
      </w:r>
      <w:r w:rsidR="00DF048B">
        <w:t>B</w:t>
      </w:r>
      <w:r w:rsidRPr="00C605D6">
        <w:t>est supportive care</w:t>
      </w:r>
      <w:r w:rsidR="006E0238">
        <w:rPr>
          <w:lang w:val="en-AU"/>
        </w:rPr>
        <w:t xml:space="preserve">; </w:t>
      </w:r>
      <w:r w:rsidR="006E0238">
        <w:t>MBS: Medicare Benefits Schedule</w:t>
      </w:r>
      <w:r w:rsidR="006E0238">
        <w:rPr>
          <w:lang w:val="en-AU"/>
        </w:rPr>
        <w:t xml:space="preserve">; </w:t>
      </w:r>
      <w:r w:rsidR="006E0238">
        <w:t>SEMS: Self-expanding metallic stent</w:t>
      </w:r>
      <w:r w:rsidR="006E0238">
        <w:rPr>
          <w:lang w:val="en-AU"/>
        </w:rPr>
        <w:t>.</w:t>
      </w:r>
    </w:p>
    <w:p w:rsidR="00083B85" w:rsidRPr="007B54B0" w:rsidRDefault="00425540" w:rsidP="00425540">
      <w:pPr>
        <w:pStyle w:val="Caption"/>
      </w:pPr>
      <w:bookmarkStart w:id="290" w:name="_Ref324951386"/>
      <w:bookmarkStart w:id="291" w:name="_Toc327522119"/>
      <w:r>
        <w:t xml:space="preserve">Table </w:t>
      </w:r>
      <w:fldSimple w:instr=" SEQ Table \* ARABIC ">
        <w:r w:rsidR="0071544A">
          <w:rPr>
            <w:noProof/>
          </w:rPr>
          <w:t>75</w:t>
        </w:r>
      </w:fldSimple>
      <w:bookmarkEnd w:id="290"/>
      <w:r w:rsidR="00083B85" w:rsidRPr="007B54B0">
        <w:tab/>
        <w:t>Estimated total costs of SEMS versus palliation only (BSC) (upper limit)</w:t>
      </w:r>
      <w:bookmarkEnd w:id="291"/>
    </w:p>
    <w:tbl>
      <w:tblPr>
        <w:tblW w:w="6773" w:type="dxa"/>
        <w:tblInd w:w="708" w:type="dxa"/>
        <w:tblBorders>
          <w:top w:val="single" w:sz="12" w:space="0" w:color="auto"/>
          <w:bottom w:val="single" w:sz="12" w:space="0" w:color="auto"/>
        </w:tblBorders>
        <w:tblLook w:val="00A0" w:firstRow="1" w:lastRow="0" w:firstColumn="1" w:lastColumn="0" w:noHBand="0" w:noVBand="0"/>
      </w:tblPr>
      <w:tblGrid>
        <w:gridCol w:w="3087"/>
        <w:gridCol w:w="1581"/>
        <w:gridCol w:w="2105"/>
      </w:tblGrid>
      <w:tr w:rsidR="00083B85" w:rsidRPr="00C605D6" w:rsidTr="006E0238">
        <w:trPr>
          <w:trHeight w:val="315"/>
        </w:trPr>
        <w:tc>
          <w:tcPr>
            <w:tcW w:w="3087" w:type="dxa"/>
            <w:tcBorders>
              <w:top w:val="single" w:sz="12" w:space="0" w:color="auto"/>
              <w:bottom w:val="single" w:sz="4" w:space="0" w:color="auto"/>
            </w:tcBorders>
            <w:noWrap/>
            <w:vAlign w:val="bottom"/>
          </w:tcPr>
          <w:p w:rsidR="00083B85" w:rsidRPr="00C605D6" w:rsidRDefault="00083B85" w:rsidP="004E680E">
            <w:pPr>
              <w:keepNext/>
              <w:spacing w:after="0"/>
              <w:ind w:left="0"/>
              <w:rPr>
                <w:rFonts w:ascii="Arial Narrow" w:hAnsi="Arial Narrow"/>
                <w:color w:val="000000"/>
                <w:sz w:val="18"/>
                <w:szCs w:val="18"/>
                <w:lang w:val="en-US" w:eastAsia="en-US"/>
              </w:rPr>
            </w:pPr>
            <w:r w:rsidRPr="00C605D6">
              <w:rPr>
                <w:rFonts w:ascii="Arial Narrow" w:hAnsi="Arial Narrow"/>
                <w:color w:val="000000"/>
                <w:sz w:val="18"/>
                <w:szCs w:val="18"/>
                <w:lang w:val="en-US" w:eastAsia="en-US"/>
              </w:rPr>
              <w:t> </w:t>
            </w:r>
          </w:p>
        </w:tc>
        <w:tc>
          <w:tcPr>
            <w:tcW w:w="1581" w:type="dxa"/>
            <w:tcBorders>
              <w:top w:val="single" w:sz="12" w:space="0" w:color="auto"/>
              <w:bottom w:val="single" w:sz="4" w:space="0" w:color="auto"/>
            </w:tcBorders>
            <w:noWrap/>
            <w:vAlign w:val="bottom"/>
          </w:tcPr>
          <w:p w:rsidR="00083B85" w:rsidRPr="00A10A1E" w:rsidRDefault="00083B85" w:rsidP="00A10A1E">
            <w:pPr>
              <w:pStyle w:val="TableHeading0"/>
              <w:jc w:val="right"/>
            </w:pPr>
            <w:r w:rsidRPr="00A10A1E">
              <w:t xml:space="preserve">SEMS </w:t>
            </w:r>
          </w:p>
        </w:tc>
        <w:tc>
          <w:tcPr>
            <w:tcW w:w="2105" w:type="dxa"/>
            <w:tcBorders>
              <w:top w:val="single" w:sz="12" w:space="0" w:color="auto"/>
              <w:bottom w:val="single" w:sz="4" w:space="0" w:color="auto"/>
            </w:tcBorders>
            <w:noWrap/>
            <w:vAlign w:val="bottom"/>
          </w:tcPr>
          <w:p w:rsidR="00083B85" w:rsidRPr="00A10A1E" w:rsidRDefault="00083B85" w:rsidP="00A10A1E">
            <w:pPr>
              <w:pStyle w:val="TableHeading0"/>
              <w:jc w:val="right"/>
            </w:pPr>
            <w:r w:rsidRPr="00A10A1E">
              <w:t>Palliation only (BSC)</w:t>
            </w:r>
          </w:p>
        </w:tc>
      </w:tr>
      <w:tr w:rsidR="00083B85" w:rsidRPr="00C605D6" w:rsidTr="006E0238">
        <w:trPr>
          <w:trHeight w:val="227"/>
        </w:trPr>
        <w:tc>
          <w:tcPr>
            <w:tcW w:w="3087" w:type="dxa"/>
            <w:tcBorders>
              <w:top w:val="single" w:sz="4" w:space="0" w:color="auto"/>
            </w:tcBorders>
            <w:noWrap/>
            <w:vAlign w:val="bottom"/>
          </w:tcPr>
          <w:p w:rsidR="00083B85" w:rsidRPr="00C605D6" w:rsidRDefault="00083B85" w:rsidP="00A10A1E">
            <w:pPr>
              <w:pStyle w:val="TableText0"/>
              <w:rPr>
                <w:lang w:val="en-US"/>
              </w:rPr>
            </w:pPr>
            <w:r w:rsidRPr="00C605D6">
              <w:rPr>
                <w:lang w:val="en-US"/>
              </w:rPr>
              <w:t>Total cost per patient</w:t>
            </w:r>
          </w:p>
        </w:tc>
        <w:tc>
          <w:tcPr>
            <w:tcW w:w="1581" w:type="dxa"/>
            <w:tcBorders>
              <w:top w:val="single" w:sz="4" w:space="0" w:color="auto"/>
            </w:tcBorders>
            <w:noWrap/>
            <w:vAlign w:val="bottom"/>
          </w:tcPr>
          <w:p w:rsidR="00083B85" w:rsidRPr="00C605D6" w:rsidRDefault="00083B85" w:rsidP="00A10A1E">
            <w:pPr>
              <w:pStyle w:val="TableText0"/>
              <w:jc w:val="right"/>
              <w:rPr>
                <w:lang w:val="en-US"/>
              </w:rPr>
            </w:pPr>
            <w:r w:rsidRPr="000F3C8B">
              <w:rPr>
                <w:lang w:val="en-AU"/>
              </w:rPr>
              <w:t>$17,413</w:t>
            </w:r>
          </w:p>
        </w:tc>
        <w:tc>
          <w:tcPr>
            <w:tcW w:w="2105" w:type="dxa"/>
            <w:tcBorders>
              <w:top w:val="single" w:sz="4" w:space="0" w:color="auto"/>
            </w:tcBorders>
            <w:noWrap/>
            <w:vAlign w:val="bottom"/>
          </w:tcPr>
          <w:p w:rsidR="00083B85" w:rsidRPr="00C605D6" w:rsidRDefault="00083B85" w:rsidP="00A10A1E">
            <w:pPr>
              <w:pStyle w:val="TableText0"/>
              <w:jc w:val="right"/>
              <w:rPr>
                <w:lang w:val="en-US"/>
              </w:rPr>
            </w:pPr>
            <w:r w:rsidRPr="000F3C8B">
              <w:rPr>
                <w:lang w:val="en-AU"/>
              </w:rPr>
              <w:t>$7,756</w:t>
            </w:r>
          </w:p>
        </w:tc>
      </w:tr>
      <w:tr w:rsidR="00083B85" w:rsidRPr="00C605D6" w:rsidTr="006E0238">
        <w:trPr>
          <w:trHeight w:val="227"/>
        </w:trPr>
        <w:tc>
          <w:tcPr>
            <w:tcW w:w="3087" w:type="dxa"/>
            <w:noWrap/>
            <w:vAlign w:val="bottom"/>
          </w:tcPr>
          <w:p w:rsidR="00083B85" w:rsidRPr="00C605D6" w:rsidRDefault="00083B85" w:rsidP="00A10A1E">
            <w:pPr>
              <w:pStyle w:val="TableText0"/>
              <w:rPr>
                <w:lang w:val="en-US"/>
              </w:rPr>
            </w:pPr>
            <w:r w:rsidRPr="00C605D6">
              <w:rPr>
                <w:lang w:val="en-US"/>
              </w:rPr>
              <w:t>Number of patients</w:t>
            </w:r>
          </w:p>
        </w:tc>
        <w:tc>
          <w:tcPr>
            <w:tcW w:w="1581" w:type="dxa"/>
            <w:noWrap/>
            <w:vAlign w:val="bottom"/>
          </w:tcPr>
          <w:p w:rsidR="00083B85" w:rsidRPr="00C605D6" w:rsidRDefault="00083B85" w:rsidP="00A10A1E">
            <w:pPr>
              <w:pStyle w:val="TableText0"/>
              <w:jc w:val="right"/>
              <w:rPr>
                <w:lang w:val="en-US"/>
              </w:rPr>
            </w:pPr>
            <w:r w:rsidRPr="000F3C8B">
              <w:rPr>
                <w:lang w:val="en-AU"/>
              </w:rPr>
              <w:t>487</w:t>
            </w:r>
          </w:p>
        </w:tc>
        <w:tc>
          <w:tcPr>
            <w:tcW w:w="2105" w:type="dxa"/>
            <w:noWrap/>
            <w:vAlign w:val="bottom"/>
          </w:tcPr>
          <w:p w:rsidR="00083B85" w:rsidRPr="00C605D6" w:rsidRDefault="00083B85" w:rsidP="00A10A1E">
            <w:pPr>
              <w:pStyle w:val="TableText0"/>
              <w:jc w:val="right"/>
              <w:rPr>
                <w:lang w:val="en-US"/>
              </w:rPr>
            </w:pPr>
            <w:r w:rsidRPr="000F3C8B">
              <w:rPr>
                <w:lang w:val="en-AU"/>
              </w:rPr>
              <w:t>487</w:t>
            </w:r>
          </w:p>
        </w:tc>
      </w:tr>
      <w:tr w:rsidR="00083B85" w:rsidRPr="00C605D6" w:rsidTr="006E0238">
        <w:trPr>
          <w:trHeight w:val="227"/>
        </w:trPr>
        <w:tc>
          <w:tcPr>
            <w:tcW w:w="3087" w:type="dxa"/>
            <w:noWrap/>
            <w:vAlign w:val="bottom"/>
          </w:tcPr>
          <w:p w:rsidR="00083B85" w:rsidRPr="00C605D6" w:rsidRDefault="00083B85" w:rsidP="00A10A1E">
            <w:pPr>
              <w:pStyle w:val="TableText0"/>
              <w:rPr>
                <w:i/>
                <w:iCs/>
                <w:lang w:val="en-US"/>
              </w:rPr>
            </w:pPr>
            <w:r w:rsidRPr="00C605D6">
              <w:rPr>
                <w:i/>
                <w:iCs/>
                <w:lang w:val="en-US"/>
              </w:rPr>
              <w:t>Brea</w:t>
            </w:r>
            <w:r w:rsidR="00A10A1E">
              <w:rPr>
                <w:i/>
                <w:iCs/>
                <w:lang w:val="en-US"/>
              </w:rPr>
              <w:t>kdown of financial implications</w:t>
            </w:r>
          </w:p>
        </w:tc>
        <w:tc>
          <w:tcPr>
            <w:tcW w:w="1581" w:type="dxa"/>
            <w:noWrap/>
            <w:vAlign w:val="bottom"/>
          </w:tcPr>
          <w:p w:rsidR="00083B85" w:rsidRPr="00C605D6" w:rsidRDefault="00083B85" w:rsidP="00A10A1E">
            <w:pPr>
              <w:pStyle w:val="TableText0"/>
              <w:jc w:val="right"/>
              <w:rPr>
                <w:lang w:val="en-US"/>
              </w:rPr>
            </w:pPr>
            <w:r w:rsidRPr="000F3C8B">
              <w:rPr>
                <w:lang w:val="en-AU"/>
              </w:rPr>
              <w:t> </w:t>
            </w:r>
          </w:p>
        </w:tc>
        <w:tc>
          <w:tcPr>
            <w:tcW w:w="2105" w:type="dxa"/>
            <w:noWrap/>
            <w:vAlign w:val="bottom"/>
          </w:tcPr>
          <w:p w:rsidR="00083B85" w:rsidRPr="00C605D6" w:rsidRDefault="00083B85" w:rsidP="00A10A1E">
            <w:pPr>
              <w:pStyle w:val="TableText0"/>
              <w:jc w:val="right"/>
              <w:rPr>
                <w:lang w:val="en-US"/>
              </w:rPr>
            </w:pPr>
            <w:r w:rsidRPr="000F3C8B">
              <w:rPr>
                <w:lang w:val="en-AU"/>
              </w:rPr>
              <w:t> </w:t>
            </w:r>
          </w:p>
        </w:tc>
      </w:tr>
      <w:tr w:rsidR="00083B85" w:rsidRPr="00C605D6" w:rsidTr="006E0238">
        <w:trPr>
          <w:trHeight w:val="227"/>
        </w:trPr>
        <w:tc>
          <w:tcPr>
            <w:tcW w:w="3087" w:type="dxa"/>
            <w:noWrap/>
            <w:vAlign w:val="bottom"/>
          </w:tcPr>
          <w:p w:rsidR="00083B85" w:rsidRPr="00C605D6" w:rsidRDefault="00083B85" w:rsidP="00A10A1E">
            <w:pPr>
              <w:pStyle w:val="TableText0"/>
              <w:rPr>
                <w:lang w:val="en-US"/>
              </w:rPr>
            </w:pPr>
            <w:r w:rsidRPr="00C605D6">
              <w:rPr>
                <w:lang w:val="en-US"/>
              </w:rPr>
              <w:t>Consumables</w:t>
            </w:r>
          </w:p>
        </w:tc>
        <w:tc>
          <w:tcPr>
            <w:tcW w:w="1581" w:type="dxa"/>
            <w:noWrap/>
            <w:vAlign w:val="bottom"/>
          </w:tcPr>
          <w:p w:rsidR="00083B85" w:rsidRPr="00C605D6" w:rsidRDefault="00083B85" w:rsidP="00A10A1E">
            <w:pPr>
              <w:pStyle w:val="TableText0"/>
              <w:jc w:val="right"/>
              <w:rPr>
                <w:lang w:val="en-US"/>
              </w:rPr>
            </w:pPr>
            <w:r w:rsidRPr="000F3C8B">
              <w:rPr>
                <w:lang w:val="en-AU"/>
              </w:rPr>
              <w:t>$1,721,545</w:t>
            </w:r>
          </w:p>
        </w:tc>
        <w:tc>
          <w:tcPr>
            <w:tcW w:w="2105" w:type="dxa"/>
            <w:noWrap/>
            <w:vAlign w:val="bottom"/>
          </w:tcPr>
          <w:p w:rsidR="00083B85" w:rsidRPr="00C605D6" w:rsidRDefault="00083B85" w:rsidP="00A10A1E">
            <w:pPr>
              <w:pStyle w:val="TableText0"/>
              <w:jc w:val="right"/>
              <w:rPr>
                <w:lang w:val="en-US"/>
              </w:rPr>
            </w:pPr>
            <w:r w:rsidRPr="000F3C8B">
              <w:rPr>
                <w:lang w:val="en-AU"/>
              </w:rPr>
              <w:t>$0</w:t>
            </w:r>
          </w:p>
        </w:tc>
      </w:tr>
      <w:tr w:rsidR="00083B85" w:rsidRPr="00C605D6" w:rsidTr="006E0238">
        <w:trPr>
          <w:trHeight w:val="227"/>
        </w:trPr>
        <w:tc>
          <w:tcPr>
            <w:tcW w:w="3087" w:type="dxa"/>
            <w:noWrap/>
            <w:vAlign w:val="bottom"/>
          </w:tcPr>
          <w:p w:rsidR="00083B85" w:rsidRPr="00C605D6" w:rsidRDefault="00083B85" w:rsidP="00A10A1E">
            <w:pPr>
              <w:pStyle w:val="TableText0"/>
              <w:rPr>
                <w:lang w:val="en-US"/>
              </w:rPr>
            </w:pPr>
            <w:r w:rsidRPr="00C605D6">
              <w:rPr>
                <w:lang w:val="en-US"/>
              </w:rPr>
              <w:t xml:space="preserve">MBS Items </w:t>
            </w:r>
          </w:p>
        </w:tc>
        <w:tc>
          <w:tcPr>
            <w:tcW w:w="1581" w:type="dxa"/>
            <w:noWrap/>
            <w:vAlign w:val="bottom"/>
          </w:tcPr>
          <w:p w:rsidR="00083B85" w:rsidRPr="00C605D6" w:rsidRDefault="00083B85" w:rsidP="00A10A1E">
            <w:pPr>
              <w:pStyle w:val="TableText0"/>
              <w:jc w:val="right"/>
              <w:rPr>
                <w:lang w:val="en-US"/>
              </w:rPr>
            </w:pPr>
            <w:r w:rsidRPr="000F3C8B">
              <w:rPr>
                <w:lang w:val="en-AU"/>
              </w:rPr>
              <w:t>$4,412,707</w:t>
            </w:r>
          </w:p>
        </w:tc>
        <w:tc>
          <w:tcPr>
            <w:tcW w:w="2105" w:type="dxa"/>
            <w:noWrap/>
            <w:vAlign w:val="bottom"/>
          </w:tcPr>
          <w:p w:rsidR="00083B85" w:rsidRPr="00C605D6" w:rsidRDefault="00083B85" w:rsidP="00A10A1E">
            <w:pPr>
              <w:pStyle w:val="TableText0"/>
              <w:jc w:val="right"/>
              <w:rPr>
                <w:lang w:val="en-US"/>
              </w:rPr>
            </w:pPr>
            <w:r w:rsidRPr="000F3C8B">
              <w:rPr>
                <w:lang w:val="en-AU"/>
              </w:rPr>
              <w:t>$3,426,556</w:t>
            </w:r>
          </w:p>
        </w:tc>
      </w:tr>
      <w:tr w:rsidR="00083B85" w:rsidRPr="00C605D6" w:rsidTr="006E0238">
        <w:trPr>
          <w:trHeight w:val="227"/>
        </w:trPr>
        <w:tc>
          <w:tcPr>
            <w:tcW w:w="3087" w:type="dxa"/>
            <w:noWrap/>
            <w:vAlign w:val="bottom"/>
          </w:tcPr>
          <w:p w:rsidR="00083B85" w:rsidRPr="00C605D6" w:rsidRDefault="00083B85" w:rsidP="00A10A1E">
            <w:pPr>
              <w:pStyle w:val="TableText0"/>
              <w:rPr>
                <w:lang w:val="en-US"/>
              </w:rPr>
            </w:pPr>
            <w:r w:rsidRPr="000F3C8B">
              <w:rPr>
                <w:lang w:val="en-AU"/>
              </w:rPr>
              <w:t>Patient/insurer costs</w:t>
            </w:r>
          </w:p>
        </w:tc>
        <w:tc>
          <w:tcPr>
            <w:tcW w:w="1581" w:type="dxa"/>
            <w:noWrap/>
            <w:vAlign w:val="bottom"/>
          </w:tcPr>
          <w:p w:rsidR="00083B85" w:rsidRPr="00C605D6" w:rsidRDefault="00083B85" w:rsidP="00A10A1E">
            <w:pPr>
              <w:pStyle w:val="TableText0"/>
              <w:jc w:val="right"/>
              <w:rPr>
                <w:lang w:val="en-US"/>
              </w:rPr>
            </w:pPr>
            <w:r w:rsidRPr="000F3C8B">
              <w:rPr>
                <w:lang w:val="en-AU"/>
              </w:rPr>
              <w:t>$2,345,879</w:t>
            </w:r>
          </w:p>
        </w:tc>
        <w:tc>
          <w:tcPr>
            <w:tcW w:w="2105" w:type="dxa"/>
            <w:noWrap/>
            <w:vAlign w:val="bottom"/>
          </w:tcPr>
          <w:p w:rsidR="00083B85" w:rsidRPr="00C605D6" w:rsidRDefault="00083B85" w:rsidP="00A10A1E">
            <w:pPr>
              <w:pStyle w:val="TableText0"/>
              <w:jc w:val="right"/>
              <w:rPr>
                <w:lang w:val="en-US"/>
              </w:rPr>
            </w:pPr>
            <w:r w:rsidRPr="000F3C8B">
              <w:rPr>
                <w:lang w:val="en-AU"/>
              </w:rPr>
              <w:t>$350,374</w:t>
            </w:r>
          </w:p>
        </w:tc>
      </w:tr>
      <w:tr w:rsidR="00083B85" w:rsidRPr="00C605D6" w:rsidTr="006E0238">
        <w:trPr>
          <w:trHeight w:val="227"/>
        </w:trPr>
        <w:tc>
          <w:tcPr>
            <w:tcW w:w="3087" w:type="dxa"/>
            <w:noWrap/>
            <w:vAlign w:val="bottom"/>
          </w:tcPr>
          <w:p w:rsidR="00083B85" w:rsidRPr="00C605D6" w:rsidRDefault="00083B85" w:rsidP="00A10A1E">
            <w:pPr>
              <w:pStyle w:val="TableText0"/>
              <w:rPr>
                <w:b/>
                <w:bCs/>
                <w:lang w:val="en-US"/>
              </w:rPr>
            </w:pPr>
            <w:r w:rsidRPr="00C605D6">
              <w:rPr>
                <w:b/>
                <w:bCs/>
                <w:lang w:val="en-US"/>
              </w:rPr>
              <w:t>Total financial implications</w:t>
            </w:r>
          </w:p>
        </w:tc>
        <w:tc>
          <w:tcPr>
            <w:tcW w:w="1581" w:type="dxa"/>
            <w:noWrap/>
            <w:vAlign w:val="bottom"/>
          </w:tcPr>
          <w:p w:rsidR="00083B85" w:rsidRPr="00C605D6" w:rsidRDefault="00083B85" w:rsidP="00A10A1E">
            <w:pPr>
              <w:pStyle w:val="TableText0"/>
              <w:jc w:val="right"/>
              <w:rPr>
                <w:b/>
                <w:bCs/>
                <w:lang w:val="en-US"/>
              </w:rPr>
            </w:pPr>
            <w:r w:rsidRPr="000F3C8B">
              <w:rPr>
                <w:b/>
                <w:bCs/>
                <w:lang w:val="en-AU"/>
              </w:rPr>
              <w:t>$8,480,131</w:t>
            </w:r>
          </w:p>
        </w:tc>
        <w:tc>
          <w:tcPr>
            <w:tcW w:w="2105" w:type="dxa"/>
            <w:noWrap/>
            <w:vAlign w:val="bottom"/>
          </w:tcPr>
          <w:p w:rsidR="00083B85" w:rsidRPr="00C605D6" w:rsidRDefault="00083B85" w:rsidP="00A10A1E">
            <w:pPr>
              <w:pStyle w:val="TableText0"/>
              <w:jc w:val="right"/>
              <w:rPr>
                <w:b/>
                <w:bCs/>
                <w:lang w:val="en-US"/>
              </w:rPr>
            </w:pPr>
            <w:r w:rsidRPr="000F3C8B">
              <w:rPr>
                <w:b/>
                <w:bCs/>
                <w:lang w:val="en-AU"/>
              </w:rPr>
              <w:t>$3,776,930</w:t>
            </w:r>
          </w:p>
        </w:tc>
      </w:tr>
      <w:tr w:rsidR="00083B85" w:rsidRPr="00C605D6" w:rsidTr="006E0238">
        <w:trPr>
          <w:trHeight w:val="227"/>
        </w:trPr>
        <w:tc>
          <w:tcPr>
            <w:tcW w:w="3087" w:type="dxa"/>
            <w:shd w:val="clear" w:color="auto" w:fill="auto"/>
            <w:noWrap/>
            <w:vAlign w:val="bottom"/>
          </w:tcPr>
          <w:p w:rsidR="00083B85" w:rsidRPr="00C605D6" w:rsidRDefault="00A10A1E" w:rsidP="00A10A1E">
            <w:pPr>
              <w:pStyle w:val="TableText0"/>
              <w:rPr>
                <w:i/>
                <w:iCs/>
                <w:lang w:val="en-US"/>
              </w:rPr>
            </w:pPr>
            <w:r>
              <w:rPr>
                <w:i/>
                <w:iCs/>
                <w:lang w:val="en-US"/>
              </w:rPr>
              <w:t>Incremental costs</w:t>
            </w:r>
          </w:p>
        </w:tc>
        <w:tc>
          <w:tcPr>
            <w:tcW w:w="1581" w:type="dxa"/>
            <w:shd w:val="clear" w:color="auto" w:fill="auto"/>
            <w:noWrap/>
            <w:vAlign w:val="bottom"/>
          </w:tcPr>
          <w:p w:rsidR="00083B85" w:rsidRPr="00C605D6" w:rsidRDefault="00083B85" w:rsidP="00A10A1E">
            <w:pPr>
              <w:pStyle w:val="TableText0"/>
              <w:jc w:val="right"/>
              <w:rPr>
                <w:lang w:val="en-US"/>
              </w:rPr>
            </w:pPr>
            <w:r w:rsidRPr="000F3C8B">
              <w:rPr>
                <w:lang w:val="en-AU"/>
              </w:rPr>
              <w:t> </w:t>
            </w:r>
          </w:p>
        </w:tc>
        <w:tc>
          <w:tcPr>
            <w:tcW w:w="2105" w:type="dxa"/>
            <w:shd w:val="clear" w:color="auto" w:fill="auto"/>
            <w:noWrap/>
            <w:vAlign w:val="bottom"/>
          </w:tcPr>
          <w:p w:rsidR="00083B85" w:rsidRPr="00C605D6" w:rsidRDefault="00083B85" w:rsidP="00A10A1E">
            <w:pPr>
              <w:pStyle w:val="TableText0"/>
              <w:jc w:val="right"/>
              <w:rPr>
                <w:lang w:val="en-US"/>
              </w:rPr>
            </w:pPr>
            <w:r w:rsidRPr="000F3C8B">
              <w:rPr>
                <w:lang w:val="en-AU"/>
              </w:rPr>
              <w:t> </w:t>
            </w:r>
          </w:p>
        </w:tc>
      </w:tr>
      <w:tr w:rsidR="00083B85" w:rsidRPr="00C605D6" w:rsidTr="006E0238">
        <w:trPr>
          <w:trHeight w:val="227"/>
        </w:trPr>
        <w:tc>
          <w:tcPr>
            <w:tcW w:w="3087" w:type="dxa"/>
            <w:noWrap/>
            <w:vAlign w:val="bottom"/>
          </w:tcPr>
          <w:p w:rsidR="00083B85" w:rsidRPr="00C605D6" w:rsidRDefault="00083B85" w:rsidP="00A10A1E">
            <w:pPr>
              <w:pStyle w:val="TableText0"/>
              <w:rPr>
                <w:lang w:val="en-US"/>
              </w:rPr>
            </w:pPr>
            <w:r w:rsidRPr="00C605D6">
              <w:rPr>
                <w:lang w:val="en-US"/>
              </w:rPr>
              <w:t>Consumables</w:t>
            </w:r>
          </w:p>
        </w:tc>
        <w:tc>
          <w:tcPr>
            <w:tcW w:w="1581" w:type="dxa"/>
            <w:noWrap/>
            <w:vAlign w:val="bottom"/>
          </w:tcPr>
          <w:p w:rsidR="00083B85" w:rsidRPr="00C605D6" w:rsidRDefault="00083B85" w:rsidP="00A10A1E">
            <w:pPr>
              <w:pStyle w:val="TableText0"/>
              <w:jc w:val="right"/>
              <w:rPr>
                <w:lang w:val="en-US"/>
              </w:rPr>
            </w:pPr>
            <w:r w:rsidRPr="000F3C8B">
              <w:rPr>
                <w:lang w:val="en-AU"/>
              </w:rPr>
              <w:t> </w:t>
            </w:r>
          </w:p>
        </w:tc>
        <w:tc>
          <w:tcPr>
            <w:tcW w:w="2105" w:type="dxa"/>
            <w:noWrap/>
            <w:vAlign w:val="bottom"/>
          </w:tcPr>
          <w:p w:rsidR="00083B85" w:rsidRPr="00C605D6" w:rsidRDefault="00083B85" w:rsidP="00A10A1E">
            <w:pPr>
              <w:pStyle w:val="TableText0"/>
              <w:jc w:val="right"/>
              <w:rPr>
                <w:lang w:val="en-US"/>
              </w:rPr>
            </w:pPr>
            <w:r w:rsidRPr="000F3C8B">
              <w:rPr>
                <w:lang w:val="en-AU"/>
              </w:rPr>
              <w:t>$1,721,545</w:t>
            </w:r>
          </w:p>
        </w:tc>
      </w:tr>
      <w:tr w:rsidR="00083B85" w:rsidRPr="00C605D6" w:rsidTr="006E0238">
        <w:trPr>
          <w:trHeight w:val="227"/>
        </w:trPr>
        <w:tc>
          <w:tcPr>
            <w:tcW w:w="3087" w:type="dxa"/>
            <w:noWrap/>
            <w:vAlign w:val="bottom"/>
          </w:tcPr>
          <w:p w:rsidR="00083B85" w:rsidRPr="00C605D6" w:rsidRDefault="00083B85" w:rsidP="00A10A1E">
            <w:pPr>
              <w:pStyle w:val="TableText0"/>
              <w:rPr>
                <w:lang w:val="en-US"/>
              </w:rPr>
            </w:pPr>
            <w:r w:rsidRPr="00C605D6">
              <w:rPr>
                <w:lang w:val="en-US"/>
              </w:rPr>
              <w:t xml:space="preserve">MBS Items </w:t>
            </w:r>
          </w:p>
        </w:tc>
        <w:tc>
          <w:tcPr>
            <w:tcW w:w="1581" w:type="dxa"/>
            <w:noWrap/>
            <w:vAlign w:val="bottom"/>
          </w:tcPr>
          <w:p w:rsidR="00083B85" w:rsidRPr="00C605D6" w:rsidRDefault="00083B85" w:rsidP="00A10A1E">
            <w:pPr>
              <w:pStyle w:val="TableText0"/>
              <w:jc w:val="right"/>
              <w:rPr>
                <w:lang w:val="en-US"/>
              </w:rPr>
            </w:pPr>
            <w:r w:rsidRPr="000F3C8B">
              <w:rPr>
                <w:lang w:val="en-AU"/>
              </w:rPr>
              <w:t> </w:t>
            </w:r>
          </w:p>
        </w:tc>
        <w:tc>
          <w:tcPr>
            <w:tcW w:w="2105" w:type="dxa"/>
            <w:noWrap/>
            <w:vAlign w:val="bottom"/>
          </w:tcPr>
          <w:p w:rsidR="00083B85" w:rsidRPr="00C605D6" w:rsidRDefault="00083B85" w:rsidP="00A10A1E">
            <w:pPr>
              <w:pStyle w:val="TableText0"/>
              <w:jc w:val="right"/>
              <w:rPr>
                <w:lang w:val="en-US"/>
              </w:rPr>
            </w:pPr>
            <w:r w:rsidRPr="000F3C8B">
              <w:rPr>
                <w:lang w:val="en-AU"/>
              </w:rPr>
              <w:t>$986,151</w:t>
            </w:r>
          </w:p>
        </w:tc>
      </w:tr>
      <w:tr w:rsidR="00083B85" w:rsidRPr="00C605D6" w:rsidTr="006E0238">
        <w:trPr>
          <w:trHeight w:val="227"/>
        </w:trPr>
        <w:tc>
          <w:tcPr>
            <w:tcW w:w="3087" w:type="dxa"/>
            <w:noWrap/>
            <w:vAlign w:val="bottom"/>
          </w:tcPr>
          <w:p w:rsidR="00083B85" w:rsidRPr="00C605D6" w:rsidRDefault="00083B85" w:rsidP="00A10A1E">
            <w:pPr>
              <w:pStyle w:val="TableText0"/>
              <w:rPr>
                <w:lang w:val="en-US"/>
              </w:rPr>
            </w:pPr>
            <w:r w:rsidRPr="000F3C8B">
              <w:rPr>
                <w:lang w:val="en-AU"/>
              </w:rPr>
              <w:t>Patient/insurer costs</w:t>
            </w:r>
          </w:p>
        </w:tc>
        <w:tc>
          <w:tcPr>
            <w:tcW w:w="1581" w:type="dxa"/>
            <w:noWrap/>
            <w:vAlign w:val="bottom"/>
          </w:tcPr>
          <w:p w:rsidR="00083B85" w:rsidRPr="00C605D6" w:rsidRDefault="00083B85" w:rsidP="00A10A1E">
            <w:pPr>
              <w:pStyle w:val="TableText0"/>
              <w:jc w:val="right"/>
              <w:rPr>
                <w:lang w:val="en-US"/>
              </w:rPr>
            </w:pPr>
            <w:r w:rsidRPr="000F3C8B">
              <w:rPr>
                <w:lang w:val="en-AU"/>
              </w:rPr>
              <w:t> </w:t>
            </w:r>
          </w:p>
        </w:tc>
        <w:tc>
          <w:tcPr>
            <w:tcW w:w="2105" w:type="dxa"/>
            <w:noWrap/>
            <w:vAlign w:val="bottom"/>
          </w:tcPr>
          <w:p w:rsidR="00083B85" w:rsidRPr="00C605D6" w:rsidRDefault="00083B85" w:rsidP="00A10A1E">
            <w:pPr>
              <w:pStyle w:val="TableText0"/>
              <w:jc w:val="right"/>
              <w:rPr>
                <w:lang w:val="en-US"/>
              </w:rPr>
            </w:pPr>
            <w:r w:rsidRPr="000F3C8B">
              <w:rPr>
                <w:lang w:val="en-AU"/>
              </w:rPr>
              <w:t>$1,995,505</w:t>
            </w:r>
          </w:p>
        </w:tc>
      </w:tr>
      <w:tr w:rsidR="00083B85" w:rsidRPr="00C605D6" w:rsidTr="006E0238">
        <w:trPr>
          <w:trHeight w:val="227"/>
        </w:trPr>
        <w:tc>
          <w:tcPr>
            <w:tcW w:w="3087" w:type="dxa"/>
            <w:noWrap/>
            <w:vAlign w:val="bottom"/>
          </w:tcPr>
          <w:p w:rsidR="00083B85" w:rsidRPr="00C605D6" w:rsidRDefault="00083B85" w:rsidP="00A10A1E">
            <w:pPr>
              <w:pStyle w:val="TableText0"/>
              <w:rPr>
                <w:b/>
                <w:bCs/>
                <w:lang w:val="en-US"/>
              </w:rPr>
            </w:pPr>
            <w:r w:rsidRPr="00C605D6">
              <w:rPr>
                <w:b/>
                <w:bCs/>
                <w:lang w:val="en-US"/>
              </w:rPr>
              <w:t xml:space="preserve">Total cost </w:t>
            </w:r>
          </w:p>
        </w:tc>
        <w:tc>
          <w:tcPr>
            <w:tcW w:w="1581" w:type="dxa"/>
            <w:noWrap/>
            <w:vAlign w:val="bottom"/>
          </w:tcPr>
          <w:p w:rsidR="00083B85" w:rsidRPr="00C605D6" w:rsidRDefault="00083B85" w:rsidP="00A10A1E">
            <w:pPr>
              <w:pStyle w:val="TableText0"/>
              <w:jc w:val="right"/>
              <w:rPr>
                <w:b/>
                <w:bCs/>
                <w:lang w:val="en-US"/>
              </w:rPr>
            </w:pPr>
            <w:r w:rsidRPr="000F3C8B">
              <w:rPr>
                <w:b/>
                <w:bCs/>
                <w:lang w:val="en-AU"/>
              </w:rPr>
              <w:t> </w:t>
            </w:r>
          </w:p>
        </w:tc>
        <w:tc>
          <w:tcPr>
            <w:tcW w:w="2105" w:type="dxa"/>
            <w:noWrap/>
            <w:vAlign w:val="bottom"/>
          </w:tcPr>
          <w:p w:rsidR="00083B85" w:rsidRPr="00C605D6" w:rsidRDefault="00083B85" w:rsidP="00A10A1E">
            <w:pPr>
              <w:pStyle w:val="TableText0"/>
              <w:jc w:val="right"/>
              <w:rPr>
                <w:b/>
                <w:bCs/>
                <w:lang w:val="en-US"/>
              </w:rPr>
            </w:pPr>
            <w:r w:rsidRPr="000F3C8B">
              <w:rPr>
                <w:b/>
                <w:bCs/>
                <w:lang w:val="en-AU"/>
              </w:rPr>
              <w:t>$4,703,201</w:t>
            </w:r>
          </w:p>
        </w:tc>
      </w:tr>
    </w:tbl>
    <w:p w:rsidR="006E0238" w:rsidRPr="006E0238" w:rsidRDefault="006E0238" w:rsidP="006E0238">
      <w:pPr>
        <w:pStyle w:val="TableNotes"/>
        <w:rPr>
          <w:lang w:val="en-AU"/>
        </w:rPr>
      </w:pPr>
      <w:r w:rsidRPr="00C605D6">
        <w:t xml:space="preserve">BSC: </w:t>
      </w:r>
      <w:r>
        <w:t>B</w:t>
      </w:r>
      <w:r w:rsidRPr="00C605D6">
        <w:t>est supportive care</w:t>
      </w:r>
      <w:r>
        <w:rPr>
          <w:lang w:val="en-AU"/>
        </w:rPr>
        <w:t xml:space="preserve">; </w:t>
      </w:r>
      <w:r>
        <w:t>MBS: Medicare Benefits Schedule</w:t>
      </w:r>
      <w:r>
        <w:rPr>
          <w:lang w:val="en-AU"/>
        </w:rPr>
        <w:t xml:space="preserve">; </w:t>
      </w:r>
      <w:r>
        <w:t>SEMS: Self-expanding metallic stent</w:t>
      </w:r>
      <w:r>
        <w:rPr>
          <w:lang w:val="en-AU"/>
        </w:rPr>
        <w:t>.</w:t>
      </w:r>
    </w:p>
    <w:p w:rsidR="00F71B25" w:rsidRDefault="00F71B25" w:rsidP="00A10A1E">
      <w:r>
        <w:t xml:space="preserve">In the palliation setting there are effectively two patient populations: </w:t>
      </w:r>
    </w:p>
    <w:p w:rsidR="00F71B25" w:rsidRDefault="00F71B25" w:rsidP="0007443E">
      <w:pPr>
        <w:numPr>
          <w:ilvl w:val="0"/>
          <w:numId w:val="54"/>
        </w:numPr>
        <w:ind w:hanging="720"/>
      </w:pPr>
      <w:r>
        <w:t>those who receive colostomy for palliation in addition to best supportive care</w:t>
      </w:r>
      <w:r w:rsidR="00DF048B">
        <w:t>;</w:t>
      </w:r>
      <w:r>
        <w:t xml:space="preserve"> and </w:t>
      </w:r>
    </w:p>
    <w:p w:rsidR="00F71B25" w:rsidRDefault="00F71B25" w:rsidP="0007443E">
      <w:pPr>
        <w:numPr>
          <w:ilvl w:val="0"/>
          <w:numId w:val="54"/>
        </w:numPr>
        <w:ind w:hanging="720"/>
      </w:pPr>
      <w:proofErr w:type="gramStart"/>
      <w:r>
        <w:t>those</w:t>
      </w:r>
      <w:proofErr w:type="gramEnd"/>
      <w:r>
        <w:t xml:space="preserve"> who receive best supportive care only. </w:t>
      </w:r>
    </w:p>
    <w:p w:rsidR="00F71B25" w:rsidRDefault="00F71B25" w:rsidP="00A10A1E">
      <w:r>
        <w:lastRenderedPageBreak/>
        <w:t xml:space="preserve">The proportion of patients who receive best supportive care only is unknown. </w:t>
      </w:r>
      <w:r w:rsidR="00DF048B">
        <w:fldChar w:fldCharType="begin"/>
      </w:r>
      <w:r w:rsidR="00DF048B">
        <w:instrText xml:space="preserve"> REF _Ref326530075 \h </w:instrText>
      </w:r>
      <w:r w:rsidR="00DF048B">
        <w:fldChar w:fldCharType="separate"/>
      </w:r>
      <w:r w:rsidR="0071544A">
        <w:t xml:space="preserve">Figure </w:t>
      </w:r>
      <w:r w:rsidR="0071544A">
        <w:rPr>
          <w:noProof/>
        </w:rPr>
        <w:t>13</w:t>
      </w:r>
      <w:r w:rsidR="00DF048B">
        <w:fldChar w:fldCharType="end"/>
      </w:r>
      <w:r w:rsidR="00DF048B">
        <w:t xml:space="preserve"> </w:t>
      </w:r>
      <w:r>
        <w:t>represents the trade-off between replacing colostomy with SEMS versus replacing best supportive care only with SEMS. The figure demonstrates that if the majority of patients receive</w:t>
      </w:r>
      <w:r w:rsidR="00DF048B">
        <w:t>d</w:t>
      </w:r>
      <w:r>
        <w:t xml:space="preserve"> best supportive care only (&lt;80%) there would be an increased cost to the health system</w:t>
      </w:r>
      <w:r w:rsidR="00DF048B">
        <w:t>,</w:t>
      </w:r>
      <w:r>
        <w:t xml:space="preserve"> if SEMS was used instead of best supportive care.  However</w:t>
      </w:r>
      <w:r w:rsidR="00DF048B">
        <w:t>,</w:t>
      </w:r>
      <w:r>
        <w:t xml:space="preserve"> if &gt;80 per cent of palliative patients </w:t>
      </w:r>
      <w:r w:rsidR="00DF048B">
        <w:t>we</w:t>
      </w:r>
      <w:r>
        <w:t xml:space="preserve">re offered a (palliative) colostomy instead of best supportive care only, then there would be a cost saving if SEMS was used for these patients. </w:t>
      </w:r>
    </w:p>
    <w:p w:rsidR="00F71B25" w:rsidRDefault="00B431E2" w:rsidP="00B431E2">
      <w:pPr>
        <w:pStyle w:val="Caption"/>
      </w:pPr>
      <w:bookmarkStart w:id="292" w:name="_Ref326530075"/>
      <w:bookmarkStart w:id="293" w:name="_Toc327522136"/>
      <w:r>
        <w:t xml:space="preserve">Figure </w:t>
      </w:r>
      <w:fldSimple w:instr=" SEQ Figure \* ARABIC ">
        <w:r w:rsidR="0071544A">
          <w:rPr>
            <w:noProof/>
          </w:rPr>
          <w:t>13</w:t>
        </w:r>
      </w:fldSimple>
      <w:bookmarkEnd w:id="292"/>
      <w:r w:rsidR="00F71B25">
        <w:tab/>
        <w:t>Estimated cost/cost savings of treating palliative patients</w:t>
      </w:r>
      <w:bookmarkEnd w:id="293"/>
    </w:p>
    <w:p w:rsidR="00F71B25" w:rsidRDefault="00516B5D" w:rsidP="006E0238">
      <w:pPr>
        <w:spacing w:after="0"/>
      </w:pPr>
      <w:r>
        <w:rPr>
          <w:noProof/>
        </w:rPr>
        <w:drawing>
          <wp:inline distT="0" distB="0" distL="0" distR="0" wp14:anchorId="436C22F8" wp14:editId="2686558B">
            <wp:extent cx="4622165" cy="3855720"/>
            <wp:effectExtent l="0" t="0" r="26035" b="11430"/>
            <wp:docPr id="11" name="Chart 1" descr="Figure 13 Estimated cost/cost savings of treating palliative patients" title="Figure 13 Estimated cost/cost savings of treating palliative patient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E0238" w:rsidRPr="006E0238" w:rsidRDefault="006E0238" w:rsidP="006E0238">
      <w:pPr>
        <w:pStyle w:val="TableNotes"/>
        <w:rPr>
          <w:lang w:val="en-AU"/>
        </w:rPr>
      </w:pPr>
      <w:r w:rsidRPr="00C605D6">
        <w:t xml:space="preserve">BSC: </w:t>
      </w:r>
      <w:r>
        <w:t>B</w:t>
      </w:r>
      <w:r w:rsidRPr="00C605D6">
        <w:t>est supportive care</w:t>
      </w:r>
      <w:r>
        <w:rPr>
          <w:lang w:val="en-AU"/>
        </w:rPr>
        <w:t xml:space="preserve">; </w:t>
      </w:r>
      <w:r>
        <w:t>SEMS: Self-expanding metallic stent</w:t>
      </w:r>
      <w:r>
        <w:rPr>
          <w:lang w:val="en-AU"/>
        </w:rPr>
        <w:t>.</w:t>
      </w:r>
    </w:p>
    <w:p w:rsidR="00F71B25" w:rsidRDefault="00F71B25" w:rsidP="00A10A1E">
      <w:pPr>
        <w:pStyle w:val="Heading3"/>
      </w:pPr>
      <w:r>
        <w:t>Implication to the extended Medicare safety net</w:t>
      </w:r>
    </w:p>
    <w:p w:rsidR="00F71B25" w:rsidRDefault="00F71B25" w:rsidP="00A10A1E">
      <w:r>
        <w:t xml:space="preserve">If MBS funding is granted for SEMS insertion to treat colorectal obstruction, it is unlikely to impact the extended Medicare safety net. This is because </w:t>
      </w:r>
      <w:r w:rsidR="00990653">
        <w:t xml:space="preserve">the majority </w:t>
      </w:r>
      <w:r>
        <w:t xml:space="preserve">of MBS services are provided in the inpatient setting. </w:t>
      </w:r>
    </w:p>
    <w:p w:rsidR="00F71B25" w:rsidRDefault="00F71B25" w:rsidP="00A10A1E">
      <w:pPr>
        <w:pStyle w:val="Heading3"/>
      </w:pPr>
      <w:r>
        <w:t>Private/Public split</w:t>
      </w:r>
    </w:p>
    <w:p w:rsidR="00F71B25" w:rsidRDefault="00F71B25" w:rsidP="00A10A1E">
      <w:r>
        <w:t>The proportion of patients that would have SEMS placement in the private sector relative to the public sector</w:t>
      </w:r>
      <w:r w:rsidR="00A10A1E">
        <w:t xml:space="preserve"> is unknown. Using AR-DRGs G01B</w:t>
      </w:r>
      <w:r>
        <w:t xml:space="preserve">, G02B and G05B as references, the percentage of private patients was 64 per cent, 67 per cent and 36 per cent respectively. Assuming this range of private patients (36% to 67%), the total cost savings (in the case of SEMS versus colostomy or as a </w:t>
      </w:r>
      <w:r w:rsidR="003617AD">
        <w:t>bridge to surgery</w:t>
      </w:r>
      <w:r>
        <w:t xml:space="preserve">) or total cost (in the case of SEMS versus best supportive care), would be lower than previously estimated. </w:t>
      </w:r>
    </w:p>
    <w:p w:rsidR="00F71B25" w:rsidRDefault="00F71B25" w:rsidP="00A10A1E">
      <w:r>
        <w:t xml:space="preserve">The total cost savings for using a SEMS instead of colostomy: </w:t>
      </w:r>
    </w:p>
    <w:p w:rsidR="00F71B25" w:rsidRDefault="00F71B25" w:rsidP="00A10A1E">
      <w:r>
        <w:lastRenderedPageBreak/>
        <w:t>•</w:t>
      </w:r>
      <w:r>
        <w:tab/>
        <w:t>For palliation - the total cost savings range from $131,033 to 474,994 with 36 per cent private patients</w:t>
      </w:r>
      <w:r w:rsidR="00F11980">
        <w:t>,</w:t>
      </w:r>
      <w:r>
        <w:t xml:space="preserve"> or range from $243,867 to $884,018 with 67 per cent private patients. </w:t>
      </w:r>
    </w:p>
    <w:p w:rsidR="00F71B25" w:rsidRDefault="00F71B25" w:rsidP="00A10A1E">
      <w:r>
        <w:t>•</w:t>
      </w:r>
      <w:r>
        <w:tab/>
        <w:t xml:space="preserve">For </w:t>
      </w:r>
      <w:r w:rsidR="003617AD">
        <w:t>bridge to surgery</w:t>
      </w:r>
      <w:r>
        <w:t xml:space="preserve"> - the total cost savings range from $49,696 to $180,148 with 36 per cent private patients or range from $92,490 to $335,276 with 67 per cent private patients. </w:t>
      </w:r>
    </w:p>
    <w:p w:rsidR="00F71B25" w:rsidRDefault="00F71B25" w:rsidP="00A10A1E">
      <w:r>
        <w:t>The total cost increases if all patients receive SEMS instead of best supportive care</w:t>
      </w:r>
      <w:r w:rsidR="00F11980">
        <w:t>:</w:t>
      </w:r>
    </w:p>
    <w:p w:rsidR="00F71B25" w:rsidRDefault="00F71B25" w:rsidP="00A10A1E">
      <w:r>
        <w:t>•</w:t>
      </w:r>
      <w:r>
        <w:tab/>
        <w:t>Total cost ranges from $465,877 to $1,693,153 if the percentage of private patients is 36 per cent and from $867,050 to $3,151,145 with 67 per cent private patients.</w:t>
      </w:r>
    </w:p>
    <w:p w:rsidR="00F953F0" w:rsidRPr="00003831" w:rsidRDefault="00F953F0" w:rsidP="0027243C">
      <w:pPr>
        <w:ind w:left="0"/>
      </w:pPr>
    </w:p>
    <w:p w:rsidR="0052165C" w:rsidRPr="00003831" w:rsidRDefault="0052165C" w:rsidP="0052165C">
      <w:pPr>
        <w:pStyle w:val="Heading1"/>
      </w:pPr>
      <w:bookmarkStart w:id="294" w:name="_Toc214339186"/>
      <w:bookmarkStart w:id="295" w:name="_Toc352924440"/>
      <w:r w:rsidRPr="00003831">
        <w:lastRenderedPageBreak/>
        <w:t>Discussion</w:t>
      </w:r>
      <w:bookmarkEnd w:id="294"/>
      <w:bookmarkEnd w:id="295"/>
      <w:r w:rsidRPr="00003831">
        <w:t xml:space="preserve"> </w:t>
      </w:r>
    </w:p>
    <w:p w:rsidR="00D744B7" w:rsidRPr="00DF686C" w:rsidRDefault="00D744B7" w:rsidP="00D744B7">
      <w:pPr>
        <w:pStyle w:val="Heading2"/>
      </w:pPr>
      <w:bookmarkStart w:id="296" w:name="_Toc315786566"/>
      <w:bookmarkStart w:id="297" w:name="_Toc352924441"/>
      <w:bookmarkStart w:id="298" w:name="_Toc214339187"/>
      <w:r w:rsidRPr="00A87C52">
        <w:t>Limitation</w:t>
      </w:r>
      <w:r w:rsidR="00AF36F5" w:rsidRPr="00DF686C">
        <w:t>s</w:t>
      </w:r>
      <w:r w:rsidRPr="00DF686C">
        <w:t xml:space="preserve"> of evidence</w:t>
      </w:r>
      <w:bookmarkEnd w:id="296"/>
      <w:bookmarkEnd w:id="297"/>
    </w:p>
    <w:p w:rsidR="00BB50BD" w:rsidRPr="00EC591E" w:rsidRDefault="00135D28" w:rsidP="00927514">
      <w:pPr>
        <w:rPr>
          <w:rFonts w:eastAsia="Calibri"/>
        </w:rPr>
      </w:pPr>
      <w:r w:rsidRPr="00DF686C">
        <w:rPr>
          <w:rFonts w:eastAsia="Calibri"/>
        </w:rPr>
        <w:t xml:space="preserve">The </w:t>
      </w:r>
      <w:r w:rsidR="005D30D0" w:rsidRPr="00965DBA">
        <w:rPr>
          <w:rFonts w:eastAsia="Calibri"/>
        </w:rPr>
        <w:t>capacity of the current assessment to draw definitive conclusions regarding the rel</w:t>
      </w:r>
      <w:r w:rsidR="005D30D0" w:rsidRPr="00F13A5A">
        <w:rPr>
          <w:rFonts w:eastAsia="Calibri"/>
        </w:rPr>
        <w:t xml:space="preserve">ative safety and effectiveness of SEMS for colonic obstruction is somewhat hampered by </w:t>
      </w:r>
      <w:r w:rsidR="00484CB3" w:rsidRPr="00BE3EA8">
        <w:rPr>
          <w:rFonts w:eastAsia="Calibri"/>
        </w:rPr>
        <w:t xml:space="preserve">both </w:t>
      </w:r>
      <w:r w:rsidR="005D30D0" w:rsidRPr="00BE3EA8">
        <w:rPr>
          <w:rFonts w:eastAsia="Calibri"/>
        </w:rPr>
        <w:t>the quantity and quality of available evidence.</w:t>
      </w:r>
      <w:r w:rsidR="00484CB3" w:rsidRPr="00A3741F">
        <w:rPr>
          <w:rFonts w:eastAsia="Calibri"/>
        </w:rPr>
        <w:t xml:space="preserve"> While a total of 40 studies were included in this assessment, only two were RCTs (level II evidence),</w:t>
      </w:r>
      <w:r w:rsidR="0055593A">
        <w:rPr>
          <w:rFonts w:eastAsia="Calibri"/>
        </w:rPr>
        <w:t xml:space="preserve"> while</w:t>
      </w:r>
      <w:r w:rsidR="00484CB3" w:rsidRPr="00A3741F">
        <w:rPr>
          <w:rFonts w:eastAsia="Calibri"/>
        </w:rPr>
        <w:t xml:space="preserve"> five were non-</w:t>
      </w:r>
      <w:r w:rsidR="00484CB3" w:rsidRPr="008F42F9">
        <w:rPr>
          <w:rFonts w:eastAsia="Calibri"/>
        </w:rPr>
        <w:t>randomised comparativ</w:t>
      </w:r>
      <w:r w:rsidR="00BB50BD" w:rsidRPr="008F42F9">
        <w:rPr>
          <w:rFonts w:eastAsia="Calibri"/>
        </w:rPr>
        <w:t xml:space="preserve">e studies (level III evidence). Each of these studies compared SEMS placement to </w:t>
      </w:r>
      <w:r w:rsidR="00DF03CC">
        <w:rPr>
          <w:rFonts w:eastAsia="Calibri"/>
        </w:rPr>
        <w:t>multi-stage</w:t>
      </w:r>
      <w:r w:rsidR="00927514" w:rsidRPr="008F42F9">
        <w:rPr>
          <w:rFonts w:eastAsia="Calibri"/>
        </w:rPr>
        <w:t xml:space="preserve"> surgical resection. </w:t>
      </w:r>
      <w:r w:rsidR="00BB50BD" w:rsidRPr="008F42F9">
        <w:rPr>
          <w:rFonts w:eastAsia="Calibri"/>
        </w:rPr>
        <w:t xml:space="preserve">No </w:t>
      </w:r>
      <w:r w:rsidR="00927514" w:rsidRPr="008F42F9">
        <w:rPr>
          <w:rFonts w:eastAsia="Calibri"/>
        </w:rPr>
        <w:t xml:space="preserve">definitive primary research study </w:t>
      </w:r>
      <w:r w:rsidR="00BB50BD" w:rsidRPr="00325C69">
        <w:rPr>
          <w:rFonts w:eastAsia="Calibri"/>
        </w:rPr>
        <w:t xml:space="preserve">was found that compared SEMS placement to </w:t>
      </w:r>
      <w:r w:rsidR="00927514" w:rsidRPr="007D5B7C">
        <w:rPr>
          <w:rFonts w:eastAsia="Calibri"/>
        </w:rPr>
        <w:t>best supportive care.</w:t>
      </w:r>
      <w:r w:rsidR="00BB50BD" w:rsidRPr="007D5B7C">
        <w:rPr>
          <w:rFonts w:eastAsia="Calibri"/>
        </w:rPr>
        <w:t xml:space="preserve"> </w:t>
      </w:r>
      <w:r w:rsidR="00927514" w:rsidRPr="007D5B7C">
        <w:rPr>
          <w:rFonts w:eastAsia="Calibri"/>
        </w:rPr>
        <w:t>H</w:t>
      </w:r>
      <w:r w:rsidR="00BB50BD" w:rsidRPr="007D5B7C">
        <w:rPr>
          <w:rFonts w:eastAsia="Calibri"/>
        </w:rPr>
        <w:t>ence</w:t>
      </w:r>
      <w:r w:rsidR="00927514" w:rsidRPr="007D5B7C">
        <w:rPr>
          <w:rFonts w:eastAsia="Calibri"/>
        </w:rPr>
        <w:t>,</w:t>
      </w:r>
      <w:r w:rsidR="00BB50BD" w:rsidRPr="007D5B7C">
        <w:rPr>
          <w:rFonts w:eastAsia="Calibri"/>
        </w:rPr>
        <w:t xml:space="preserve"> the current as</w:t>
      </w:r>
      <w:r w:rsidR="00BB50BD" w:rsidRPr="00960A9E">
        <w:rPr>
          <w:rFonts w:eastAsia="Calibri"/>
        </w:rPr>
        <w:t xml:space="preserve">sessment was unable to </w:t>
      </w:r>
      <w:r w:rsidR="00927514" w:rsidRPr="00EA2600">
        <w:rPr>
          <w:rFonts w:eastAsia="Calibri"/>
        </w:rPr>
        <w:t>address the relative safety, effectiveness and cost</w:t>
      </w:r>
      <w:r w:rsidR="00521587">
        <w:rPr>
          <w:rFonts w:eastAsia="Calibri"/>
        </w:rPr>
        <w:t>-</w:t>
      </w:r>
      <w:r w:rsidR="00927514" w:rsidRPr="00EA2600">
        <w:rPr>
          <w:rFonts w:eastAsia="Calibri"/>
        </w:rPr>
        <w:t>effectiveness of these two treatments.</w:t>
      </w:r>
    </w:p>
    <w:p w:rsidR="00681D9C" w:rsidRPr="00BE3EA8" w:rsidRDefault="00B01FAD" w:rsidP="00994F5D">
      <w:pPr>
        <w:rPr>
          <w:rFonts w:eastAsia="Calibri"/>
        </w:rPr>
      </w:pPr>
      <w:r w:rsidRPr="00430AA8">
        <w:rPr>
          <w:rFonts w:cs="Arial"/>
          <w:szCs w:val="24"/>
        </w:rPr>
        <w:t xml:space="preserve">For the purposes of the </w:t>
      </w:r>
      <w:r w:rsidRPr="00347DAA">
        <w:rPr>
          <w:rFonts w:cs="Arial"/>
          <w:szCs w:val="24"/>
        </w:rPr>
        <w:t xml:space="preserve">current </w:t>
      </w:r>
      <w:r w:rsidRPr="009672A9">
        <w:rPr>
          <w:rFonts w:cs="Arial"/>
          <w:szCs w:val="24"/>
        </w:rPr>
        <w:t xml:space="preserve">assessment, it was determined </w:t>
      </w:r>
      <w:r w:rsidRPr="0007443E">
        <w:rPr>
          <w:rFonts w:cs="Arial"/>
          <w:szCs w:val="24"/>
        </w:rPr>
        <w:t>a priori</w:t>
      </w:r>
      <w:r w:rsidRPr="00584C29">
        <w:rPr>
          <w:rFonts w:cs="Arial"/>
          <w:i/>
          <w:szCs w:val="24"/>
        </w:rPr>
        <w:t xml:space="preserve"> </w:t>
      </w:r>
      <w:r w:rsidRPr="00DA0155">
        <w:rPr>
          <w:rFonts w:cs="Arial"/>
          <w:szCs w:val="24"/>
        </w:rPr>
        <w:t xml:space="preserve">that </w:t>
      </w:r>
      <w:r w:rsidRPr="00CF31D5">
        <w:rPr>
          <w:rFonts w:cs="Arial"/>
          <w:szCs w:val="24"/>
        </w:rPr>
        <w:t xml:space="preserve">patients </w:t>
      </w:r>
      <w:r w:rsidRPr="00A550ED">
        <w:rPr>
          <w:rFonts w:cs="Arial"/>
          <w:szCs w:val="24"/>
        </w:rPr>
        <w:t>eligible to</w:t>
      </w:r>
      <w:r w:rsidRPr="0055406F">
        <w:rPr>
          <w:rFonts w:cs="Arial"/>
          <w:szCs w:val="24"/>
        </w:rPr>
        <w:t xml:space="preserve"> receive single</w:t>
      </w:r>
      <w:r w:rsidRPr="004C658D">
        <w:rPr>
          <w:rFonts w:cs="Arial"/>
          <w:szCs w:val="24"/>
        </w:rPr>
        <w:t>-</w:t>
      </w:r>
      <w:r w:rsidRPr="00B1508A">
        <w:rPr>
          <w:rFonts w:cs="Arial"/>
          <w:szCs w:val="24"/>
        </w:rPr>
        <w:t xml:space="preserve">stage colorectal resection should receive this </w:t>
      </w:r>
      <w:r w:rsidR="00681D9C" w:rsidRPr="00B1508A">
        <w:rPr>
          <w:rFonts w:cs="Arial"/>
          <w:szCs w:val="24"/>
        </w:rPr>
        <w:t>treatment</w:t>
      </w:r>
      <w:r w:rsidRPr="001949E9">
        <w:rPr>
          <w:rFonts w:cs="Arial"/>
          <w:szCs w:val="24"/>
        </w:rPr>
        <w:t>. As such,</w:t>
      </w:r>
      <w:r w:rsidRPr="00286445">
        <w:rPr>
          <w:rFonts w:cs="Arial"/>
          <w:szCs w:val="24"/>
        </w:rPr>
        <w:t xml:space="preserve"> </w:t>
      </w:r>
      <w:r w:rsidRPr="00CD21F6">
        <w:rPr>
          <w:rFonts w:cs="Arial"/>
          <w:szCs w:val="24"/>
        </w:rPr>
        <w:t>a</w:t>
      </w:r>
      <w:r w:rsidR="00681D9C" w:rsidRPr="00361416">
        <w:rPr>
          <w:rFonts w:cs="Arial"/>
          <w:szCs w:val="24"/>
        </w:rPr>
        <w:t>ny stud</w:t>
      </w:r>
      <w:r w:rsidR="00681D9C" w:rsidRPr="0086082D">
        <w:rPr>
          <w:rFonts w:cs="Arial"/>
          <w:szCs w:val="24"/>
        </w:rPr>
        <w:t>ies</w:t>
      </w:r>
      <w:r w:rsidRPr="0072092E">
        <w:rPr>
          <w:rFonts w:cs="Arial"/>
          <w:szCs w:val="24"/>
        </w:rPr>
        <w:t xml:space="preserve"> that </w:t>
      </w:r>
      <w:r w:rsidRPr="0072092E">
        <w:rPr>
          <w:rFonts w:eastAsia="Calibri"/>
        </w:rPr>
        <w:t xml:space="preserve">included and did not differentiate </w:t>
      </w:r>
      <w:r w:rsidR="00681D9C" w:rsidRPr="0072092E">
        <w:rPr>
          <w:rFonts w:eastAsia="Calibri"/>
        </w:rPr>
        <w:t xml:space="preserve">clinical outcomes </w:t>
      </w:r>
      <w:r w:rsidRPr="0052787F">
        <w:rPr>
          <w:rFonts w:eastAsia="Calibri"/>
        </w:rPr>
        <w:t>for</w:t>
      </w:r>
      <w:r w:rsidRPr="00A84480">
        <w:rPr>
          <w:rFonts w:eastAsia="Calibri"/>
        </w:rPr>
        <w:t xml:space="preserve"> </w:t>
      </w:r>
      <w:r w:rsidRPr="00186148">
        <w:rPr>
          <w:rFonts w:eastAsia="Calibri"/>
        </w:rPr>
        <w:t xml:space="preserve">patients who were </w:t>
      </w:r>
      <w:r w:rsidRPr="00A32225">
        <w:rPr>
          <w:rFonts w:eastAsia="Calibri"/>
        </w:rPr>
        <w:t>eligible</w:t>
      </w:r>
      <w:r w:rsidRPr="005C214B">
        <w:rPr>
          <w:rFonts w:eastAsia="Calibri"/>
        </w:rPr>
        <w:t xml:space="preserve"> for, or had received, single-stage surgical resection</w:t>
      </w:r>
      <w:r w:rsidR="00681D9C" w:rsidRPr="00C27C1E">
        <w:rPr>
          <w:rFonts w:eastAsia="Calibri"/>
        </w:rPr>
        <w:t xml:space="preserve"> were excluded. This was to </w:t>
      </w:r>
      <w:r w:rsidR="00681D9C" w:rsidRPr="00027046">
        <w:rPr>
          <w:rFonts w:eastAsia="Calibri"/>
        </w:rPr>
        <w:t xml:space="preserve">maximise the probability that </w:t>
      </w:r>
      <w:r w:rsidR="00681D9C" w:rsidRPr="00EA5A32">
        <w:rPr>
          <w:rFonts w:eastAsia="Calibri"/>
        </w:rPr>
        <w:t>the included evidence base addressed only the pre-defined population of interest.</w:t>
      </w:r>
      <w:r w:rsidR="00681D9C" w:rsidRPr="00177142">
        <w:rPr>
          <w:rFonts w:eastAsia="Calibri"/>
        </w:rPr>
        <w:t xml:space="preserve"> </w:t>
      </w:r>
      <w:r w:rsidRPr="00177142">
        <w:rPr>
          <w:rFonts w:eastAsia="Calibri"/>
        </w:rPr>
        <w:t xml:space="preserve">As </w:t>
      </w:r>
      <w:r w:rsidR="00CA7B17">
        <w:rPr>
          <w:rFonts w:eastAsia="Calibri"/>
        </w:rPr>
        <w:fldChar w:fldCharType="begin"/>
      </w:r>
      <w:r w:rsidR="00CA7B17">
        <w:rPr>
          <w:rFonts w:eastAsia="Calibri"/>
        </w:rPr>
        <w:instrText xml:space="preserve"> REF _Ref324951734 \h </w:instrText>
      </w:r>
      <w:r w:rsidR="00CA7B17">
        <w:rPr>
          <w:rFonts w:eastAsia="Calibri"/>
        </w:rPr>
      </w:r>
      <w:r w:rsidR="00CA7B17">
        <w:rPr>
          <w:rFonts w:eastAsia="Calibri"/>
        </w:rPr>
        <w:fldChar w:fldCharType="separate"/>
      </w:r>
      <w:r w:rsidR="0071544A">
        <w:t xml:space="preserve">Table </w:t>
      </w:r>
      <w:r w:rsidR="0071544A">
        <w:rPr>
          <w:noProof/>
        </w:rPr>
        <w:t>76</w:t>
      </w:r>
      <w:r w:rsidR="00CA7B17">
        <w:rPr>
          <w:rFonts w:eastAsia="Calibri"/>
        </w:rPr>
        <w:fldChar w:fldCharType="end"/>
      </w:r>
      <w:r w:rsidR="00CA7B17">
        <w:rPr>
          <w:rFonts w:eastAsia="Calibri"/>
        </w:rPr>
        <w:t xml:space="preserve"> </w:t>
      </w:r>
      <w:r w:rsidRPr="009E5C53">
        <w:rPr>
          <w:rFonts w:eastAsia="Calibri"/>
        </w:rPr>
        <w:t xml:space="preserve">illustrates, a considerable number of comparative studies were retrieved </w:t>
      </w:r>
      <w:r w:rsidR="00681D9C" w:rsidRPr="00E2422F">
        <w:rPr>
          <w:rFonts w:eastAsia="Calibri"/>
        </w:rPr>
        <w:t xml:space="preserve">for full-text review </w:t>
      </w:r>
      <w:r w:rsidRPr="00892811">
        <w:rPr>
          <w:rFonts w:eastAsia="Calibri"/>
        </w:rPr>
        <w:t xml:space="preserve">and </w:t>
      </w:r>
      <w:r w:rsidR="00681D9C" w:rsidRPr="008978EE">
        <w:rPr>
          <w:rFonts w:eastAsia="Calibri"/>
        </w:rPr>
        <w:t xml:space="preserve">subsequently </w:t>
      </w:r>
      <w:r w:rsidRPr="008978EE">
        <w:rPr>
          <w:rFonts w:eastAsia="Calibri"/>
        </w:rPr>
        <w:t>excluded on this</w:t>
      </w:r>
      <w:r w:rsidRPr="00A30BA9">
        <w:rPr>
          <w:rFonts w:eastAsia="Calibri"/>
        </w:rPr>
        <w:t xml:space="preserve"> basis</w:t>
      </w:r>
      <w:r w:rsidR="00681D9C" w:rsidRPr="005646B6">
        <w:rPr>
          <w:rFonts w:eastAsia="Calibri"/>
        </w:rPr>
        <w:t xml:space="preserve"> </w:t>
      </w:r>
      <w:r w:rsidR="006139A8">
        <w:rPr>
          <w:rFonts w:eastAsia="Calibri"/>
        </w:rPr>
        <w:t xml:space="preserve">(Appendix </w:t>
      </w:r>
      <w:r w:rsidR="00F76B65">
        <w:rPr>
          <w:rFonts w:eastAsia="Calibri"/>
        </w:rPr>
        <w:t>I</w:t>
      </w:r>
      <w:r w:rsidR="006139A8">
        <w:rPr>
          <w:rFonts w:eastAsia="Calibri"/>
        </w:rPr>
        <w:t>)</w:t>
      </w:r>
      <w:r w:rsidR="00681D9C" w:rsidRPr="00E2422F">
        <w:rPr>
          <w:rFonts w:eastAsia="Calibri"/>
        </w:rPr>
        <w:t>.</w:t>
      </w:r>
      <w:r w:rsidR="00681D9C" w:rsidRPr="00892811">
        <w:rPr>
          <w:rFonts w:eastAsia="Calibri"/>
        </w:rPr>
        <w:t xml:space="preserve"> </w:t>
      </w:r>
      <w:r w:rsidR="006A2B74" w:rsidRPr="008978EE">
        <w:rPr>
          <w:rFonts w:eastAsia="Calibri"/>
        </w:rPr>
        <w:t xml:space="preserve">Only one study </w:t>
      </w:r>
      <w:r w:rsidR="00484CB3" w:rsidRPr="00A30BA9">
        <w:rPr>
          <w:rFonts w:eastAsia="Calibri"/>
        </w:rPr>
        <w:t>was</w:t>
      </w:r>
      <w:r w:rsidR="006A2B74" w:rsidRPr="005646B6">
        <w:rPr>
          <w:rFonts w:eastAsia="Calibri"/>
        </w:rPr>
        <w:t xml:space="preserve"> excluded due to cited patient overlap</w:t>
      </w:r>
      <w:r w:rsidR="00484CB3" w:rsidRPr="00003831">
        <w:rPr>
          <w:rFonts w:eastAsia="Calibri"/>
        </w:rPr>
        <w:t>,</w:t>
      </w:r>
      <w:r w:rsidR="006A2B74" w:rsidRPr="00A87C52">
        <w:rPr>
          <w:rFonts w:eastAsia="Calibri"/>
        </w:rPr>
        <w:t xml:space="preserve"> </w:t>
      </w:r>
      <w:r w:rsidR="00484CB3" w:rsidRPr="00DF686C">
        <w:rPr>
          <w:rFonts w:eastAsia="Calibri"/>
        </w:rPr>
        <w:t xml:space="preserve">so as </w:t>
      </w:r>
      <w:r w:rsidR="006A2B74" w:rsidRPr="00DF686C">
        <w:rPr>
          <w:rFonts w:eastAsia="Calibri"/>
        </w:rPr>
        <w:t>to prevent duplication or misrepresentation of results. However, in a</w:t>
      </w:r>
      <w:r w:rsidR="00316219" w:rsidRPr="00F13A5A">
        <w:rPr>
          <w:rFonts w:eastAsia="Calibri"/>
        </w:rPr>
        <w:t xml:space="preserve"> small</w:t>
      </w:r>
      <w:r w:rsidR="006A2B74" w:rsidRPr="00F13A5A">
        <w:rPr>
          <w:rFonts w:eastAsia="Calibri"/>
        </w:rPr>
        <w:t xml:space="preserve"> number of </w:t>
      </w:r>
      <w:r w:rsidR="00316219" w:rsidRPr="00E734FE">
        <w:rPr>
          <w:rFonts w:eastAsia="Calibri"/>
        </w:rPr>
        <w:t xml:space="preserve">low-level </w:t>
      </w:r>
      <w:r w:rsidR="006A2B74" w:rsidRPr="00E734FE">
        <w:rPr>
          <w:rFonts w:eastAsia="Calibri"/>
        </w:rPr>
        <w:t>studies it was unclear whether patient overlap was present, providing a so</w:t>
      </w:r>
      <w:r w:rsidR="00484CB3" w:rsidRPr="00E734FE">
        <w:rPr>
          <w:rFonts w:eastAsia="Calibri"/>
        </w:rPr>
        <w:t>urce of</w:t>
      </w:r>
      <w:r w:rsidR="00316219" w:rsidRPr="00E734FE">
        <w:rPr>
          <w:rFonts w:eastAsia="Calibri"/>
        </w:rPr>
        <w:t xml:space="preserve"> potential</w:t>
      </w:r>
      <w:r w:rsidR="00484CB3" w:rsidRPr="00E734FE">
        <w:rPr>
          <w:rFonts w:eastAsia="Calibri"/>
        </w:rPr>
        <w:t xml:space="preserve"> bias in the results.</w:t>
      </w:r>
    </w:p>
    <w:p w:rsidR="00E164CE" w:rsidRPr="008F42F9" w:rsidRDefault="00E57B18" w:rsidP="00994F5D">
      <w:pPr>
        <w:rPr>
          <w:rFonts w:eastAsia="Calibri"/>
        </w:rPr>
      </w:pPr>
      <w:r w:rsidRPr="00BE3EA8">
        <w:rPr>
          <w:rFonts w:eastAsia="Calibri"/>
        </w:rPr>
        <w:t xml:space="preserve">The two RCT studies contained </w:t>
      </w:r>
      <w:r w:rsidR="00E06FE0" w:rsidRPr="00A3741F">
        <w:rPr>
          <w:rFonts w:eastAsia="Calibri"/>
        </w:rPr>
        <w:t>significant</w:t>
      </w:r>
      <w:r w:rsidRPr="00F2707B">
        <w:rPr>
          <w:rFonts w:eastAsia="Calibri"/>
        </w:rPr>
        <w:t xml:space="preserve"> methodological issues. Only one study reported th</w:t>
      </w:r>
      <w:r w:rsidR="00E164CE" w:rsidRPr="008F42F9">
        <w:rPr>
          <w:rFonts w:eastAsia="Calibri"/>
        </w:rPr>
        <w:t xml:space="preserve">e method of </w:t>
      </w:r>
      <w:r w:rsidR="002E2F6E" w:rsidRPr="008F42F9">
        <w:rPr>
          <w:rFonts w:eastAsia="Calibri"/>
        </w:rPr>
        <w:t>randomi</w:t>
      </w:r>
      <w:r w:rsidR="002E2F6E">
        <w:rPr>
          <w:rFonts w:eastAsia="Calibri"/>
        </w:rPr>
        <w:t>s</w:t>
      </w:r>
      <w:r w:rsidR="002E2F6E" w:rsidRPr="008F42F9">
        <w:rPr>
          <w:rFonts w:eastAsia="Calibri"/>
        </w:rPr>
        <w:t xml:space="preserve">ation </w:t>
      </w:r>
      <w:r w:rsidR="00E164CE" w:rsidRPr="008F42F9">
        <w:rPr>
          <w:rFonts w:eastAsia="Calibri"/>
        </w:rPr>
        <w:t>used. Bias may have been introduced by the inability to blind patients, physicians and outcome assessors as to whether a patient received a stent or surgical treatment.</w:t>
      </w:r>
    </w:p>
    <w:p w:rsidR="001E5FD0" w:rsidRPr="00A32225" w:rsidRDefault="00E164CE" w:rsidP="001E5FD0">
      <w:pPr>
        <w:rPr>
          <w:rFonts w:eastAsia="Calibri"/>
        </w:rPr>
      </w:pPr>
      <w:r w:rsidRPr="008F42F9">
        <w:rPr>
          <w:rFonts w:eastAsia="Calibri"/>
        </w:rPr>
        <w:t xml:space="preserve">With regards to the comparative evidence as a whole (RCTs and non-randomised studies), only two of the seven studies conducted statistical comparisons to determine potential baseline differences in patient demographic and clinical characteristics. </w:t>
      </w:r>
      <w:r w:rsidR="001C0771" w:rsidRPr="00325C69">
        <w:rPr>
          <w:rFonts w:eastAsia="Calibri"/>
        </w:rPr>
        <w:t>Some important clinical characteristics, such as whether the obstruction was partial or complete, were reporte</w:t>
      </w:r>
      <w:r w:rsidR="001C0771" w:rsidRPr="007D5B7C">
        <w:rPr>
          <w:rFonts w:eastAsia="Calibri"/>
        </w:rPr>
        <w:t xml:space="preserve">d poorly or not at all. </w:t>
      </w:r>
      <w:r w:rsidR="001E5FD0" w:rsidRPr="007D5B7C">
        <w:rPr>
          <w:rFonts w:eastAsia="Calibri"/>
        </w:rPr>
        <w:t xml:space="preserve">All comparative studies incorporated small sample sizes; all but one study had 20 or fewer patients in the SEMS group, and all but one had 20 or fewer patients in the surgical group. </w:t>
      </w:r>
      <w:r w:rsidRPr="007D5B7C">
        <w:rPr>
          <w:rFonts w:eastAsia="Calibri"/>
        </w:rPr>
        <w:t xml:space="preserve">Few prospectively specified </w:t>
      </w:r>
      <w:r w:rsidR="002E2F6E">
        <w:rPr>
          <w:rFonts w:eastAsia="Calibri"/>
        </w:rPr>
        <w:t xml:space="preserve">the </w:t>
      </w:r>
      <w:r w:rsidRPr="007D5B7C">
        <w:rPr>
          <w:rFonts w:eastAsia="Calibri"/>
        </w:rPr>
        <w:t xml:space="preserve">clinical outcomes of </w:t>
      </w:r>
      <w:r w:rsidRPr="00960A9E">
        <w:rPr>
          <w:rFonts w:eastAsia="Calibri"/>
        </w:rPr>
        <w:t>interest. Lengths of patient follow-up were reported inconsistently or not at all, and where they were reported</w:t>
      </w:r>
      <w:r w:rsidR="00521587">
        <w:rPr>
          <w:rFonts w:eastAsia="Calibri"/>
        </w:rPr>
        <w:t xml:space="preserve"> they </w:t>
      </w:r>
      <w:r w:rsidRPr="00960A9E">
        <w:rPr>
          <w:rFonts w:eastAsia="Calibri"/>
        </w:rPr>
        <w:t>were commonly limited in duration</w:t>
      </w:r>
      <w:r w:rsidR="001C0771" w:rsidRPr="00EA2600">
        <w:rPr>
          <w:rFonts w:eastAsia="Calibri"/>
        </w:rPr>
        <w:t>, limiting the capacity of the study to capture all potential long-term events following treatment.</w:t>
      </w:r>
      <w:r w:rsidRPr="00EC591E">
        <w:rPr>
          <w:rFonts w:eastAsia="Calibri"/>
        </w:rPr>
        <w:t xml:space="preserve"> Four of th</w:t>
      </w:r>
      <w:r w:rsidRPr="00430AA8">
        <w:rPr>
          <w:rFonts w:eastAsia="Calibri"/>
        </w:rPr>
        <w:t>e five non-randomised comparative studies us</w:t>
      </w:r>
      <w:r w:rsidR="001C0771" w:rsidRPr="00347DAA">
        <w:rPr>
          <w:rFonts w:eastAsia="Calibri"/>
        </w:rPr>
        <w:t>ed a retrospective study design, and t</w:t>
      </w:r>
      <w:r w:rsidRPr="009672A9">
        <w:rPr>
          <w:rFonts w:eastAsia="Calibri"/>
        </w:rPr>
        <w:t>wo of the non-randomised studies pooled results from patients receiving palliative treatment and those receiving SEMS as a b</w:t>
      </w:r>
      <w:r w:rsidR="001C0771" w:rsidRPr="009672A9">
        <w:rPr>
          <w:rFonts w:eastAsia="Calibri"/>
        </w:rPr>
        <w:t>ridge to surgery.</w:t>
      </w:r>
      <w:r w:rsidR="001E5FD0" w:rsidRPr="00584C29">
        <w:rPr>
          <w:rFonts w:eastAsia="Calibri"/>
        </w:rPr>
        <w:t xml:space="preserve"> </w:t>
      </w:r>
      <w:r w:rsidR="001C0771" w:rsidRPr="00DA0155">
        <w:rPr>
          <w:rFonts w:eastAsia="Calibri"/>
        </w:rPr>
        <w:t>H</w:t>
      </w:r>
      <w:r w:rsidR="001E5FD0" w:rsidRPr="00CF31D5">
        <w:rPr>
          <w:rFonts w:eastAsia="Calibri"/>
        </w:rPr>
        <w:t xml:space="preserve">ealth status </w:t>
      </w:r>
      <w:r w:rsidR="001C14DF" w:rsidRPr="0055406F">
        <w:rPr>
          <w:rFonts w:eastAsia="Calibri"/>
        </w:rPr>
        <w:t>could</w:t>
      </w:r>
      <w:r w:rsidR="001C14DF" w:rsidRPr="004C658D">
        <w:rPr>
          <w:rFonts w:eastAsia="Calibri"/>
        </w:rPr>
        <w:t xml:space="preserve"> </w:t>
      </w:r>
      <w:r w:rsidR="001E5FD0" w:rsidRPr="004C658D">
        <w:rPr>
          <w:rFonts w:eastAsia="Calibri"/>
        </w:rPr>
        <w:t>differ</w:t>
      </w:r>
      <w:r w:rsidR="001E5FD0" w:rsidRPr="00B1508A">
        <w:rPr>
          <w:rFonts w:eastAsia="Calibri"/>
        </w:rPr>
        <w:t xml:space="preserve"> </w:t>
      </w:r>
      <w:r w:rsidR="001E5FD0" w:rsidRPr="001949E9">
        <w:rPr>
          <w:rFonts w:eastAsia="Calibri"/>
        </w:rPr>
        <w:t xml:space="preserve">in patients receiving SEMS as a </w:t>
      </w:r>
      <w:r w:rsidR="003617AD">
        <w:rPr>
          <w:rFonts w:eastAsia="Calibri"/>
        </w:rPr>
        <w:t>bridge to surgery</w:t>
      </w:r>
      <w:r w:rsidR="001E5FD0" w:rsidRPr="001949E9">
        <w:rPr>
          <w:rFonts w:eastAsia="Calibri"/>
        </w:rPr>
        <w:t xml:space="preserve"> compared to those receiving SEMS as a palliative measure</w:t>
      </w:r>
      <w:r w:rsidR="001C0771" w:rsidRPr="00286445">
        <w:rPr>
          <w:rFonts w:eastAsia="Calibri"/>
        </w:rPr>
        <w:t xml:space="preserve">; pooling these two patient </w:t>
      </w:r>
      <w:r w:rsidR="00DF0BE0" w:rsidRPr="00CD21F6">
        <w:rPr>
          <w:rFonts w:eastAsia="Calibri"/>
        </w:rPr>
        <w:t>groups</w:t>
      </w:r>
      <w:r w:rsidR="001C0771" w:rsidRPr="00361416">
        <w:rPr>
          <w:rFonts w:eastAsia="Calibri"/>
        </w:rPr>
        <w:t xml:space="preserve"> </w:t>
      </w:r>
      <w:r w:rsidR="00DF0BE0" w:rsidRPr="0086082D">
        <w:rPr>
          <w:rFonts w:eastAsia="Calibri"/>
        </w:rPr>
        <w:t>c</w:t>
      </w:r>
      <w:r w:rsidR="001C0771" w:rsidRPr="0072092E">
        <w:rPr>
          <w:rFonts w:eastAsia="Calibri"/>
        </w:rPr>
        <w:t xml:space="preserve">ould </w:t>
      </w:r>
      <w:r w:rsidR="001C0771" w:rsidRPr="00A84480">
        <w:rPr>
          <w:rFonts w:eastAsia="Calibri"/>
        </w:rPr>
        <w:t>affect treatment outcomes.</w:t>
      </w:r>
      <w:r w:rsidR="001E5FD0" w:rsidRPr="00186148">
        <w:rPr>
          <w:rFonts w:eastAsia="Calibri"/>
        </w:rPr>
        <w:t xml:space="preserve"> Although regarded as a clinical outcome of pr</w:t>
      </w:r>
      <w:r w:rsidR="001E5FD0" w:rsidRPr="00A32225">
        <w:rPr>
          <w:rFonts w:eastAsia="Calibri"/>
        </w:rPr>
        <w:t>imary interest, only one comparative study addressed quality of life outcomes; the only validated tool used to assess quality of life was the Functional Assessment of Cancer Therapy – Colorectal survey instrument.</w:t>
      </w:r>
    </w:p>
    <w:p w:rsidR="001E5FD0" w:rsidRPr="00BB3C05" w:rsidRDefault="006A2B74" w:rsidP="006A2B74">
      <w:pPr>
        <w:rPr>
          <w:rFonts w:eastAsia="Calibri"/>
        </w:rPr>
      </w:pPr>
      <w:r w:rsidRPr="005C214B">
        <w:rPr>
          <w:rFonts w:eastAsia="Calibri"/>
        </w:rPr>
        <w:lastRenderedPageBreak/>
        <w:t xml:space="preserve">Limitations in study quality for </w:t>
      </w:r>
      <w:r w:rsidRPr="00C27C1E">
        <w:rPr>
          <w:rFonts w:eastAsia="Calibri"/>
        </w:rPr>
        <w:t xml:space="preserve">the </w:t>
      </w:r>
      <w:r w:rsidR="00927514" w:rsidRPr="00C27C1E">
        <w:rPr>
          <w:rFonts w:eastAsia="Calibri"/>
        </w:rPr>
        <w:t>level IV evidence</w:t>
      </w:r>
      <w:r w:rsidRPr="00C27C1E">
        <w:rPr>
          <w:rFonts w:eastAsia="Calibri"/>
        </w:rPr>
        <w:t xml:space="preserve"> included </w:t>
      </w:r>
      <w:r w:rsidR="00927514" w:rsidRPr="00027046">
        <w:rPr>
          <w:rFonts w:eastAsia="Calibri"/>
        </w:rPr>
        <w:t xml:space="preserve">the common use of </w:t>
      </w:r>
      <w:r w:rsidRPr="00EA5A32">
        <w:rPr>
          <w:rFonts w:eastAsia="Calibri"/>
        </w:rPr>
        <w:t>retrospective study design</w:t>
      </w:r>
      <w:r w:rsidR="00927514" w:rsidRPr="00EA5A32">
        <w:rPr>
          <w:rFonts w:eastAsia="Calibri"/>
        </w:rPr>
        <w:t>,</w:t>
      </w:r>
      <w:r w:rsidRPr="00EA5A32">
        <w:rPr>
          <w:rFonts w:eastAsia="Calibri"/>
        </w:rPr>
        <w:t xml:space="preserve"> and poor reporting of the nature and duration of follow-up. </w:t>
      </w:r>
      <w:r w:rsidR="001C0771" w:rsidRPr="00177142">
        <w:t xml:space="preserve">Nearly half of the level IV studies did not explicitly mention study </w:t>
      </w:r>
      <w:r w:rsidR="00633EAC">
        <w:t>follow-up</w:t>
      </w:r>
      <w:r w:rsidR="001C0771" w:rsidRPr="00177142">
        <w:t xml:space="preserve"> duration</w:t>
      </w:r>
      <w:r w:rsidR="001C0771" w:rsidRPr="00177142">
        <w:rPr>
          <w:rFonts w:eastAsia="Calibri"/>
        </w:rPr>
        <w:t xml:space="preserve">. </w:t>
      </w:r>
      <w:r w:rsidR="00927514" w:rsidRPr="00083501">
        <w:rPr>
          <w:rFonts w:eastAsia="Calibri"/>
        </w:rPr>
        <w:t>B</w:t>
      </w:r>
      <w:r w:rsidRPr="00367FF6">
        <w:rPr>
          <w:rFonts w:eastAsia="Calibri"/>
        </w:rPr>
        <w:t>aseline patient characteristi</w:t>
      </w:r>
      <w:r w:rsidRPr="004016F9">
        <w:rPr>
          <w:rFonts w:eastAsia="Calibri"/>
        </w:rPr>
        <w:t>cs were also poorly reported in the</w:t>
      </w:r>
      <w:r w:rsidR="00927514" w:rsidRPr="00C71844">
        <w:rPr>
          <w:rFonts w:eastAsia="Calibri"/>
        </w:rPr>
        <w:t>se</w:t>
      </w:r>
      <w:r w:rsidRPr="00C71844">
        <w:rPr>
          <w:rFonts w:eastAsia="Calibri"/>
        </w:rPr>
        <w:t xml:space="preserve"> studies, </w:t>
      </w:r>
      <w:r w:rsidR="00291FE5" w:rsidRPr="001166E9">
        <w:rPr>
          <w:rFonts w:eastAsia="Calibri"/>
        </w:rPr>
        <w:t xml:space="preserve">and </w:t>
      </w:r>
      <w:r w:rsidR="001C0771" w:rsidRPr="001166E9">
        <w:rPr>
          <w:rFonts w:eastAsia="Calibri"/>
        </w:rPr>
        <w:t xml:space="preserve">palliative and bridge to surgery </w:t>
      </w:r>
      <w:r w:rsidRPr="00BB3C05">
        <w:rPr>
          <w:rFonts w:eastAsia="Calibri"/>
        </w:rPr>
        <w:t>patient populations</w:t>
      </w:r>
      <w:r w:rsidR="00291FE5" w:rsidRPr="00BB3C05">
        <w:rPr>
          <w:rFonts w:eastAsia="Calibri"/>
        </w:rPr>
        <w:t xml:space="preserve"> </w:t>
      </w:r>
      <w:r w:rsidR="00692DB6" w:rsidRPr="00BB3C05">
        <w:rPr>
          <w:rFonts w:eastAsia="Calibri"/>
        </w:rPr>
        <w:t xml:space="preserve">and outcomes </w:t>
      </w:r>
      <w:r w:rsidR="00291FE5" w:rsidRPr="00BB3C05">
        <w:rPr>
          <w:rFonts w:eastAsia="Calibri"/>
        </w:rPr>
        <w:t xml:space="preserve">were </w:t>
      </w:r>
      <w:r w:rsidR="00CD39AE" w:rsidRPr="00BB3C05">
        <w:rPr>
          <w:rFonts w:eastAsia="Calibri"/>
        </w:rPr>
        <w:t>often</w:t>
      </w:r>
      <w:r w:rsidR="00291FE5" w:rsidRPr="00BB3C05">
        <w:rPr>
          <w:rFonts w:eastAsia="Calibri"/>
        </w:rPr>
        <w:t xml:space="preserve"> pooled</w:t>
      </w:r>
      <w:r w:rsidR="001E5FD0" w:rsidRPr="00BB3C05">
        <w:rPr>
          <w:rFonts w:eastAsia="Calibri"/>
        </w:rPr>
        <w:t>,</w:t>
      </w:r>
      <w:r w:rsidRPr="00BB3C05">
        <w:rPr>
          <w:rFonts w:eastAsia="Calibri"/>
        </w:rPr>
        <w:t xml:space="preserve"> which may have resulted in </w:t>
      </w:r>
      <w:r w:rsidR="00291FE5" w:rsidRPr="00BB3C05">
        <w:rPr>
          <w:rFonts w:eastAsia="Calibri"/>
        </w:rPr>
        <w:t xml:space="preserve">considerable </w:t>
      </w:r>
      <w:r w:rsidRPr="00BB3C05">
        <w:rPr>
          <w:rFonts w:eastAsia="Calibri"/>
        </w:rPr>
        <w:t>hete</w:t>
      </w:r>
      <w:r w:rsidR="001E5FD0" w:rsidRPr="00BB3C05">
        <w:rPr>
          <w:rFonts w:eastAsia="Calibri"/>
        </w:rPr>
        <w:t>rogeneity within the results.</w:t>
      </w:r>
      <w:r w:rsidR="001D72AD" w:rsidRPr="00BB3C05">
        <w:rPr>
          <w:rFonts w:eastAsia="Calibri"/>
        </w:rPr>
        <w:t xml:space="preserve"> </w:t>
      </w:r>
      <w:r w:rsidR="00692DB6" w:rsidRPr="00BB3C05">
        <w:rPr>
          <w:rFonts w:eastAsia="Calibri"/>
        </w:rPr>
        <w:t>A further concern was the inconsistent</w:t>
      </w:r>
      <w:r w:rsidR="001D72AD" w:rsidRPr="00BB3C05">
        <w:rPr>
          <w:rFonts w:eastAsia="Calibri"/>
        </w:rPr>
        <w:t xml:space="preserve"> reporting of safety outcomes, a key example of which is post-procedural mortality. It was unclear </w:t>
      </w:r>
      <w:r w:rsidR="00692DB6" w:rsidRPr="00BB3C05">
        <w:rPr>
          <w:rFonts w:eastAsia="Calibri"/>
        </w:rPr>
        <w:t>from</w:t>
      </w:r>
      <w:r w:rsidR="001D72AD" w:rsidRPr="00BB3C05">
        <w:rPr>
          <w:rFonts w:eastAsia="Calibri"/>
        </w:rPr>
        <w:t xml:space="preserve"> many studies whether mortality occurred and was not reported, or did not actual</w:t>
      </w:r>
      <w:r w:rsidR="00692DB6" w:rsidRPr="00BB3C05">
        <w:rPr>
          <w:rFonts w:eastAsia="Calibri"/>
        </w:rPr>
        <w:t>ly occur. This uncertainty made</w:t>
      </w:r>
      <w:r w:rsidR="001D72AD" w:rsidRPr="00BB3C05">
        <w:rPr>
          <w:rFonts w:eastAsia="Calibri"/>
        </w:rPr>
        <w:t xml:space="preserve"> defining the denominator for determining occurrence of this important outcome difficult, and has the potential to skew occurrence rates considerably.</w:t>
      </w:r>
    </w:p>
    <w:p w:rsidR="002647BB" w:rsidRPr="00BB3C05" w:rsidRDefault="001C0771" w:rsidP="00983160">
      <w:pPr>
        <w:rPr>
          <w:rFonts w:eastAsia="Calibri"/>
        </w:rPr>
      </w:pPr>
      <w:r w:rsidRPr="00BB3C05">
        <w:rPr>
          <w:rFonts w:eastAsia="Calibri"/>
        </w:rPr>
        <w:t xml:space="preserve">Across all studies, patient selection and inclusion criteria were poorly specified. </w:t>
      </w:r>
      <w:r w:rsidR="00316219" w:rsidRPr="00BB3C05">
        <w:rPr>
          <w:rFonts w:eastAsia="Calibri"/>
        </w:rPr>
        <w:t>The majority of studies did not specify</w:t>
      </w:r>
      <w:r w:rsidR="00994F5D" w:rsidRPr="00BB3C05">
        <w:rPr>
          <w:rFonts w:eastAsia="Calibri"/>
        </w:rPr>
        <w:t xml:space="preserve"> </w:t>
      </w:r>
      <w:r w:rsidR="00316219" w:rsidRPr="00BB3C05">
        <w:rPr>
          <w:rFonts w:eastAsia="Calibri"/>
        </w:rPr>
        <w:t xml:space="preserve">in their methodology </w:t>
      </w:r>
      <w:r w:rsidR="00994F5D" w:rsidRPr="00BB3C05">
        <w:rPr>
          <w:rFonts w:eastAsia="Calibri"/>
        </w:rPr>
        <w:t>whether the</w:t>
      </w:r>
      <w:r w:rsidR="004846BD" w:rsidRPr="00BB3C05">
        <w:rPr>
          <w:rFonts w:eastAsia="Calibri"/>
        </w:rPr>
        <w:t>y inte</w:t>
      </w:r>
      <w:r w:rsidR="00316219" w:rsidRPr="00BB3C05">
        <w:rPr>
          <w:rFonts w:eastAsia="Calibri"/>
        </w:rPr>
        <w:t>n</w:t>
      </w:r>
      <w:r w:rsidR="004846BD" w:rsidRPr="00BB3C05">
        <w:rPr>
          <w:rFonts w:eastAsia="Calibri"/>
        </w:rPr>
        <w:t>d</w:t>
      </w:r>
      <w:r w:rsidR="00316219" w:rsidRPr="00BB3C05">
        <w:rPr>
          <w:rFonts w:eastAsia="Calibri"/>
        </w:rPr>
        <w:t>ed to report outcomes on an</w:t>
      </w:r>
      <w:r w:rsidR="00994F5D" w:rsidRPr="00BB3C05">
        <w:rPr>
          <w:rFonts w:eastAsia="Calibri"/>
        </w:rPr>
        <w:t xml:space="preserve"> intention to treat (ITT) or pe</w:t>
      </w:r>
      <w:r w:rsidR="00316219" w:rsidRPr="00BB3C05">
        <w:rPr>
          <w:rFonts w:eastAsia="Calibri"/>
        </w:rPr>
        <w:t>r</w:t>
      </w:r>
      <w:r w:rsidR="00994F5D" w:rsidRPr="00BB3C05">
        <w:rPr>
          <w:rFonts w:eastAsia="Calibri"/>
        </w:rPr>
        <w:t>-protoc</w:t>
      </w:r>
      <w:r w:rsidR="00316219" w:rsidRPr="00BB3C05">
        <w:rPr>
          <w:rFonts w:eastAsia="Calibri"/>
        </w:rPr>
        <w:t>ol basis. None of the included comparative studies reported results on an ITT basis, and within the level IV evidence only six studies reported findings on an ITT basis. The majority of studies reported outcomes on a per-protocol basis</w:t>
      </w:r>
      <w:r w:rsidR="00785AD7">
        <w:rPr>
          <w:rFonts w:eastAsia="Calibri"/>
        </w:rPr>
        <w:t>, which</w:t>
      </w:r>
      <w:r w:rsidR="00316219" w:rsidRPr="00BB3C05">
        <w:rPr>
          <w:rFonts w:eastAsia="Calibri"/>
        </w:rPr>
        <w:t xml:space="preserve"> is another potential shortcoming of the evidence base. </w:t>
      </w:r>
      <w:r w:rsidRPr="00BB3C05">
        <w:rPr>
          <w:rFonts w:eastAsia="Calibri"/>
        </w:rPr>
        <w:t>I</w:t>
      </w:r>
      <w:r w:rsidR="002647BB" w:rsidRPr="00BB3C05">
        <w:rPr>
          <w:rFonts w:eastAsia="Calibri"/>
        </w:rPr>
        <w:t>mportant procedural factors</w:t>
      </w:r>
      <w:r w:rsidR="00BB50BD" w:rsidRPr="00BB3C05">
        <w:rPr>
          <w:rFonts w:eastAsia="Calibri"/>
        </w:rPr>
        <w:t xml:space="preserve"> with the potential to impact on clinical outcomes</w:t>
      </w:r>
      <w:r w:rsidR="002647BB" w:rsidRPr="00BB3C05">
        <w:rPr>
          <w:rFonts w:eastAsia="Calibri"/>
        </w:rPr>
        <w:t>, such as concurrent treatments, fabrication of stent (ie covered or uncovered)</w:t>
      </w:r>
      <w:r w:rsidR="00BB50BD" w:rsidRPr="00BB3C05">
        <w:rPr>
          <w:rFonts w:eastAsia="Calibri"/>
        </w:rPr>
        <w:t>, use of anaesthesia,</w:t>
      </w:r>
      <w:r w:rsidR="002647BB" w:rsidRPr="00BB3C05">
        <w:rPr>
          <w:rFonts w:eastAsia="Calibri"/>
        </w:rPr>
        <w:t xml:space="preserve"> and whether pre-operative dilation was us</w:t>
      </w:r>
      <w:r w:rsidR="00BB50BD" w:rsidRPr="00BB3C05">
        <w:rPr>
          <w:rFonts w:eastAsia="Calibri"/>
        </w:rPr>
        <w:t>ed before SEMS placement, were</w:t>
      </w:r>
      <w:r w:rsidR="002647BB" w:rsidRPr="00BB3C05">
        <w:rPr>
          <w:rFonts w:eastAsia="Calibri"/>
        </w:rPr>
        <w:t xml:space="preserve"> reported </w:t>
      </w:r>
      <w:r w:rsidR="00BB50BD" w:rsidRPr="00BB3C05">
        <w:rPr>
          <w:rFonts w:eastAsia="Calibri"/>
        </w:rPr>
        <w:t xml:space="preserve">poorly or not at all </w:t>
      </w:r>
      <w:r w:rsidR="002647BB" w:rsidRPr="00BB3C05">
        <w:rPr>
          <w:rFonts w:eastAsia="Calibri"/>
        </w:rPr>
        <w:t xml:space="preserve">across included studies. For example, adjuvant </w:t>
      </w:r>
      <w:r w:rsidR="002647BB" w:rsidRPr="00BB3C05">
        <w:t>chemotherapy, radiation therapy, and/or medical management can all cause the shrinkage of tumours and reduction of the obstruction. While a positive outcome for the patients, this can affect the patency of a stent or increase the propensity for stent migration.</w:t>
      </w:r>
      <w:r w:rsidRPr="00BB3C05">
        <w:rPr>
          <w:rFonts w:eastAsia="Calibri"/>
        </w:rPr>
        <w:t xml:space="preserve"> Three studies disclosed that author(s) were affiliated with, or they were funded by, a SEMS manufacturer (Meisner et al </w:t>
      </w:r>
      <w:r w:rsidR="00993CAF">
        <w:rPr>
          <w:rFonts w:eastAsia="Calibri"/>
        </w:rPr>
        <w:t>2011</w:t>
      </w:r>
      <w:r w:rsidR="00A35CF0">
        <w:rPr>
          <w:rFonts w:eastAsia="Calibri"/>
        </w:rPr>
        <w:t>;</w:t>
      </w:r>
      <w:r w:rsidRPr="00BB3C05">
        <w:rPr>
          <w:rFonts w:eastAsia="Calibri"/>
        </w:rPr>
        <w:t xml:space="preserve"> Varadarajulu et al </w:t>
      </w:r>
      <w:r w:rsidR="00993CAF">
        <w:rPr>
          <w:rFonts w:eastAsia="Calibri"/>
        </w:rPr>
        <w:t>2011</w:t>
      </w:r>
      <w:r w:rsidR="00A35CF0">
        <w:rPr>
          <w:rFonts w:eastAsia="Calibri"/>
        </w:rPr>
        <w:t>;</w:t>
      </w:r>
      <w:r w:rsidRPr="00BB3C05">
        <w:rPr>
          <w:rFonts w:eastAsia="Calibri"/>
        </w:rPr>
        <w:t xml:space="preserve"> </w:t>
      </w:r>
      <w:r w:rsidR="00785AD7">
        <w:rPr>
          <w:rFonts w:eastAsia="Calibri"/>
        </w:rPr>
        <w:t>Small and Baron</w:t>
      </w:r>
      <w:r w:rsidRPr="00BB3C05">
        <w:rPr>
          <w:rFonts w:eastAsia="Calibri"/>
        </w:rPr>
        <w:t xml:space="preserve"> 2008).</w:t>
      </w:r>
    </w:p>
    <w:p w:rsidR="000C5F74" w:rsidRPr="00BB3C05" w:rsidRDefault="00BA6E87" w:rsidP="001C0771">
      <w:pPr>
        <w:rPr>
          <w:rFonts w:eastAsia="Calibri"/>
        </w:rPr>
      </w:pPr>
      <w:r w:rsidRPr="00BB3C05">
        <w:rPr>
          <w:rFonts w:eastAsia="Calibri"/>
        </w:rPr>
        <w:t xml:space="preserve">In conclusion, </w:t>
      </w:r>
      <w:r w:rsidR="00BC3E21" w:rsidRPr="00BB3C05">
        <w:rPr>
          <w:rFonts w:eastAsia="Calibri"/>
        </w:rPr>
        <w:t xml:space="preserve">the </w:t>
      </w:r>
      <w:r w:rsidRPr="00BB3C05">
        <w:rPr>
          <w:rFonts w:eastAsia="Calibri"/>
        </w:rPr>
        <w:t>included studies of the present assessment</w:t>
      </w:r>
      <w:r w:rsidR="001C0771" w:rsidRPr="00BB3C05">
        <w:rPr>
          <w:rFonts w:eastAsia="Calibri"/>
        </w:rPr>
        <w:t xml:space="preserve"> lacked methodological rigor,</w:t>
      </w:r>
      <w:r w:rsidRPr="00BB3C05">
        <w:rPr>
          <w:rFonts w:eastAsia="Calibri"/>
        </w:rPr>
        <w:t xml:space="preserve"> </w:t>
      </w:r>
      <w:r w:rsidR="001C0771" w:rsidRPr="00BB3C05">
        <w:rPr>
          <w:rFonts w:eastAsia="Calibri"/>
        </w:rPr>
        <w:t xml:space="preserve">are potentially subject to a </w:t>
      </w:r>
      <w:r w:rsidR="00BC3E21" w:rsidRPr="00BB3C05">
        <w:rPr>
          <w:rFonts w:eastAsia="Calibri"/>
        </w:rPr>
        <w:t>high risk of bias</w:t>
      </w:r>
      <w:r w:rsidR="001C0771" w:rsidRPr="00BB3C05">
        <w:rPr>
          <w:rFonts w:eastAsia="Calibri"/>
        </w:rPr>
        <w:t>, and are potentially quite heterogeneous in their patient populations and approach to treatment</w:t>
      </w:r>
      <w:r w:rsidR="00BC3E21" w:rsidRPr="00BB3C05">
        <w:rPr>
          <w:rFonts w:eastAsia="Calibri"/>
        </w:rPr>
        <w:t xml:space="preserve">. </w:t>
      </w:r>
      <w:r w:rsidR="001C0771" w:rsidRPr="00BB3C05">
        <w:rPr>
          <w:rFonts w:eastAsia="Calibri"/>
        </w:rPr>
        <w:t>In general, t</w:t>
      </w:r>
      <w:r w:rsidR="00BC3E21" w:rsidRPr="00BB3C05">
        <w:rPr>
          <w:rFonts w:eastAsia="Calibri"/>
        </w:rPr>
        <w:t xml:space="preserve">he included studies were </w:t>
      </w:r>
      <w:r w:rsidR="001C0771" w:rsidRPr="00BB3C05">
        <w:rPr>
          <w:rFonts w:eastAsia="Calibri"/>
        </w:rPr>
        <w:t>poor or inconsistent in their reporting of important patient and procedural details, their definition and reporting of outcome measures, and the way they addressed possible confounders that could have a considerable effect on clinical outcomes.</w:t>
      </w:r>
      <w:r w:rsidR="00BC3E21" w:rsidRPr="00BB3C05">
        <w:rPr>
          <w:rFonts w:eastAsia="Calibri"/>
        </w:rPr>
        <w:t xml:space="preserve"> </w:t>
      </w:r>
    </w:p>
    <w:p w:rsidR="00C8736E" w:rsidRPr="00BB3C05" w:rsidRDefault="00B431E2" w:rsidP="00B431E2">
      <w:pPr>
        <w:pStyle w:val="Caption"/>
      </w:pPr>
      <w:bookmarkStart w:id="299" w:name="_Ref324951734"/>
      <w:bookmarkStart w:id="300" w:name="_Toc327522120"/>
      <w:bookmarkStart w:id="301" w:name="_Toc314226734"/>
      <w:r>
        <w:lastRenderedPageBreak/>
        <w:t xml:space="preserve">Table </w:t>
      </w:r>
      <w:fldSimple w:instr=" SEQ Table \* ARABIC ">
        <w:r w:rsidR="0071544A">
          <w:rPr>
            <w:noProof/>
          </w:rPr>
          <w:t>76</w:t>
        </w:r>
      </w:fldSimple>
      <w:bookmarkEnd w:id="299"/>
      <w:r w:rsidR="003F3CA9">
        <w:tab/>
      </w:r>
      <w:r w:rsidR="00C8736E" w:rsidRPr="00BB3C05">
        <w:t>Completed body of evidence assessment matrix</w:t>
      </w:r>
      <w:bookmarkEnd w:id="300"/>
      <w:r w:rsidR="00C8736E" w:rsidRPr="00BB3C05">
        <w:t xml:space="preserve"> </w:t>
      </w:r>
      <w:bookmarkEnd w:id="301"/>
    </w:p>
    <w:tbl>
      <w:tblPr>
        <w:tblW w:w="8441" w:type="dxa"/>
        <w:tblInd w:w="739" w:type="dxa"/>
        <w:tblLook w:val="01E0" w:firstRow="1" w:lastRow="1" w:firstColumn="1" w:lastColumn="1" w:noHBand="0" w:noVBand="0"/>
        <w:tblCaption w:val="Table 76 Completed body of evidence assessment matrix"/>
        <w:tblDescription w:val="Table 76 Completed body of evidence assessment matrix"/>
      </w:tblPr>
      <w:tblGrid>
        <w:gridCol w:w="1663"/>
        <w:gridCol w:w="1694"/>
        <w:gridCol w:w="1695"/>
        <w:gridCol w:w="1694"/>
        <w:gridCol w:w="1695"/>
      </w:tblGrid>
      <w:tr w:rsidR="00C8736E" w:rsidRPr="00BB3C05" w:rsidTr="00546648">
        <w:trPr>
          <w:cantSplit/>
        </w:trPr>
        <w:tc>
          <w:tcPr>
            <w:tcW w:w="1663" w:type="dxa"/>
            <w:tcBorders>
              <w:top w:val="single" w:sz="12" w:space="0" w:color="auto"/>
              <w:tl2br w:val="nil"/>
            </w:tcBorders>
            <w:shd w:val="clear" w:color="auto" w:fill="auto"/>
            <w:tcMar>
              <w:right w:w="57" w:type="dxa"/>
            </w:tcMar>
            <w:vAlign w:val="center"/>
          </w:tcPr>
          <w:p w:rsidR="00C8736E" w:rsidRPr="00546648" w:rsidRDefault="00C8736E" w:rsidP="00546648">
            <w:pPr>
              <w:pStyle w:val="TableHeading"/>
            </w:pPr>
            <w:r w:rsidRPr="00546648">
              <w:t>Body of evidence</w:t>
            </w:r>
          </w:p>
        </w:tc>
        <w:tc>
          <w:tcPr>
            <w:tcW w:w="1694" w:type="dxa"/>
            <w:tcBorders>
              <w:top w:val="single" w:sz="12" w:space="0" w:color="auto"/>
            </w:tcBorders>
            <w:shd w:val="clear" w:color="auto" w:fill="auto"/>
          </w:tcPr>
          <w:p w:rsidR="00C8736E" w:rsidRPr="00546648" w:rsidRDefault="00C8736E" w:rsidP="00546648">
            <w:pPr>
              <w:pStyle w:val="TableHeading"/>
            </w:pPr>
            <w:r w:rsidRPr="00546648">
              <w:t>A</w:t>
            </w:r>
          </w:p>
        </w:tc>
        <w:tc>
          <w:tcPr>
            <w:tcW w:w="1695" w:type="dxa"/>
            <w:tcBorders>
              <w:top w:val="single" w:sz="12" w:space="0" w:color="auto"/>
            </w:tcBorders>
            <w:shd w:val="clear" w:color="auto" w:fill="auto"/>
          </w:tcPr>
          <w:p w:rsidR="00C8736E" w:rsidRPr="00546648" w:rsidRDefault="00C8736E" w:rsidP="00546648">
            <w:pPr>
              <w:pStyle w:val="TableHeading"/>
            </w:pPr>
            <w:r w:rsidRPr="00546648">
              <w:t>B</w:t>
            </w:r>
          </w:p>
        </w:tc>
        <w:tc>
          <w:tcPr>
            <w:tcW w:w="1694" w:type="dxa"/>
            <w:tcBorders>
              <w:top w:val="single" w:sz="12" w:space="0" w:color="auto"/>
            </w:tcBorders>
            <w:shd w:val="clear" w:color="auto" w:fill="auto"/>
          </w:tcPr>
          <w:p w:rsidR="00C8736E" w:rsidRPr="00546648" w:rsidRDefault="00C8736E" w:rsidP="00546648">
            <w:pPr>
              <w:pStyle w:val="TableHeading"/>
            </w:pPr>
            <w:r w:rsidRPr="00546648">
              <w:t>C</w:t>
            </w:r>
          </w:p>
        </w:tc>
        <w:tc>
          <w:tcPr>
            <w:tcW w:w="1695" w:type="dxa"/>
            <w:tcBorders>
              <w:top w:val="single" w:sz="12" w:space="0" w:color="auto"/>
            </w:tcBorders>
            <w:shd w:val="clear" w:color="auto" w:fill="auto"/>
          </w:tcPr>
          <w:p w:rsidR="00C8736E" w:rsidRPr="00546648" w:rsidRDefault="00C8736E" w:rsidP="00546648">
            <w:pPr>
              <w:pStyle w:val="TableHeading"/>
            </w:pPr>
            <w:r w:rsidRPr="00546648">
              <w:t>D</w:t>
            </w:r>
          </w:p>
        </w:tc>
      </w:tr>
      <w:tr w:rsidR="00C8736E" w:rsidRPr="00BB3C05" w:rsidTr="00546648">
        <w:trPr>
          <w:cantSplit/>
        </w:trPr>
        <w:tc>
          <w:tcPr>
            <w:tcW w:w="1663" w:type="dxa"/>
            <w:tcBorders>
              <w:top w:val="nil"/>
              <w:bottom w:val="single" w:sz="4" w:space="0" w:color="auto"/>
              <w:tl2br w:val="nil"/>
            </w:tcBorders>
            <w:shd w:val="clear" w:color="auto" w:fill="auto"/>
            <w:tcMar>
              <w:left w:w="57" w:type="dxa"/>
            </w:tcMar>
            <w:vAlign w:val="bottom"/>
          </w:tcPr>
          <w:p w:rsidR="00C8736E" w:rsidRPr="00546648" w:rsidRDefault="00C8736E" w:rsidP="00546648">
            <w:pPr>
              <w:pStyle w:val="TableHeading"/>
            </w:pPr>
            <w:r w:rsidRPr="00546648">
              <w:t>Component</w:t>
            </w:r>
          </w:p>
        </w:tc>
        <w:tc>
          <w:tcPr>
            <w:tcW w:w="1694" w:type="dxa"/>
            <w:tcBorders>
              <w:top w:val="nil"/>
              <w:bottom w:val="single" w:sz="4" w:space="0" w:color="auto"/>
            </w:tcBorders>
            <w:shd w:val="clear" w:color="auto" w:fill="auto"/>
          </w:tcPr>
          <w:p w:rsidR="00C8736E" w:rsidRPr="00546648" w:rsidRDefault="00C8736E" w:rsidP="00546648">
            <w:pPr>
              <w:pStyle w:val="TableHeading"/>
            </w:pPr>
            <w:r w:rsidRPr="00546648">
              <w:t>Excellent</w:t>
            </w:r>
          </w:p>
        </w:tc>
        <w:tc>
          <w:tcPr>
            <w:tcW w:w="1695" w:type="dxa"/>
            <w:tcBorders>
              <w:top w:val="nil"/>
              <w:bottom w:val="single" w:sz="4" w:space="0" w:color="auto"/>
            </w:tcBorders>
            <w:shd w:val="clear" w:color="auto" w:fill="auto"/>
          </w:tcPr>
          <w:p w:rsidR="00C8736E" w:rsidRPr="00546648" w:rsidRDefault="00C8736E" w:rsidP="00546648">
            <w:pPr>
              <w:pStyle w:val="TableHeading"/>
            </w:pPr>
            <w:r w:rsidRPr="00546648">
              <w:t>Good</w:t>
            </w:r>
          </w:p>
        </w:tc>
        <w:tc>
          <w:tcPr>
            <w:tcW w:w="1694" w:type="dxa"/>
            <w:tcBorders>
              <w:top w:val="nil"/>
              <w:bottom w:val="single" w:sz="4" w:space="0" w:color="auto"/>
            </w:tcBorders>
            <w:shd w:val="clear" w:color="auto" w:fill="auto"/>
          </w:tcPr>
          <w:p w:rsidR="00C8736E" w:rsidRPr="00546648" w:rsidRDefault="00C8736E" w:rsidP="00546648">
            <w:pPr>
              <w:pStyle w:val="TableHeading"/>
            </w:pPr>
            <w:r w:rsidRPr="00546648">
              <w:t>Satisfactory</w:t>
            </w:r>
          </w:p>
        </w:tc>
        <w:tc>
          <w:tcPr>
            <w:tcW w:w="1695" w:type="dxa"/>
            <w:tcBorders>
              <w:top w:val="nil"/>
              <w:bottom w:val="single" w:sz="4" w:space="0" w:color="auto"/>
            </w:tcBorders>
            <w:shd w:val="clear" w:color="auto" w:fill="auto"/>
          </w:tcPr>
          <w:p w:rsidR="00C8736E" w:rsidRPr="00546648" w:rsidRDefault="00C8736E" w:rsidP="00546648">
            <w:pPr>
              <w:pStyle w:val="TableHeading"/>
            </w:pPr>
            <w:r w:rsidRPr="00546648">
              <w:t>Poor</w:t>
            </w:r>
          </w:p>
        </w:tc>
      </w:tr>
      <w:tr w:rsidR="00C8736E" w:rsidRPr="00BB3C05" w:rsidTr="0007443E">
        <w:tblPrEx>
          <w:tblBorders>
            <w:top w:val="single" w:sz="12" w:space="0" w:color="auto"/>
            <w:bottom w:val="single" w:sz="12" w:space="0" w:color="auto"/>
          </w:tblBorders>
          <w:tblCellMar>
            <w:right w:w="57" w:type="dxa"/>
          </w:tblCellMar>
        </w:tblPrEx>
        <w:trPr>
          <w:cantSplit/>
        </w:trPr>
        <w:tc>
          <w:tcPr>
            <w:tcW w:w="1663" w:type="dxa"/>
            <w:tcBorders>
              <w:top w:val="single" w:sz="4" w:space="0" w:color="auto"/>
            </w:tcBorders>
            <w:shd w:val="clear" w:color="auto" w:fill="auto"/>
          </w:tcPr>
          <w:p w:rsidR="00C8736E" w:rsidRPr="000F3C8B" w:rsidRDefault="00C8736E" w:rsidP="0007443E">
            <w:pPr>
              <w:pStyle w:val="TableText0"/>
              <w:rPr>
                <w:lang w:val="en-AU"/>
              </w:rPr>
            </w:pPr>
            <w:r w:rsidRPr="000F3C8B">
              <w:rPr>
                <w:lang w:val="en-AU"/>
              </w:rPr>
              <w:t>Evidence base</w:t>
            </w:r>
          </w:p>
        </w:tc>
        <w:tc>
          <w:tcPr>
            <w:tcW w:w="1694" w:type="dxa"/>
            <w:tcBorders>
              <w:top w:val="single" w:sz="4" w:space="0" w:color="auto"/>
            </w:tcBorders>
            <w:shd w:val="clear" w:color="auto" w:fill="auto"/>
          </w:tcPr>
          <w:p w:rsidR="00C8736E" w:rsidRPr="000F3C8B" w:rsidRDefault="00C8736E" w:rsidP="0007443E">
            <w:pPr>
              <w:pStyle w:val="TableText0"/>
              <w:rPr>
                <w:lang w:val="en-AU"/>
              </w:rPr>
            </w:pPr>
          </w:p>
        </w:tc>
        <w:tc>
          <w:tcPr>
            <w:tcW w:w="1695" w:type="dxa"/>
            <w:tcBorders>
              <w:top w:val="single" w:sz="4" w:space="0" w:color="auto"/>
            </w:tcBorders>
            <w:shd w:val="clear" w:color="auto" w:fill="auto"/>
          </w:tcPr>
          <w:p w:rsidR="00C8736E" w:rsidRPr="000F3C8B" w:rsidRDefault="00C8736E" w:rsidP="0007443E">
            <w:pPr>
              <w:pStyle w:val="TableText0"/>
              <w:rPr>
                <w:lang w:val="en-AU"/>
              </w:rPr>
            </w:pPr>
          </w:p>
        </w:tc>
        <w:tc>
          <w:tcPr>
            <w:tcW w:w="1694" w:type="dxa"/>
            <w:tcBorders>
              <w:top w:val="single" w:sz="4" w:space="0" w:color="auto"/>
            </w:tcBorders>
            <w:shd w:val="clear" w:color="auto" w:fill="auto"/>
          </w:tcPr>
          <w:p w:rsidR="00C8736E" w:rsidRPr="000F3C8B" w:rsidRDefault="00C8736E" w:rsidP="0007443E">
            <w:pPr>
              <w:pStyle w:val="TableText0"/>
              <w:rPr>
                <w:lang w:val="en-AU"/>
              </w:rPr>
            </w:pPr>
          </w:p>
        </w:tc>
        <w:tc>
          <w:tcPr>
            <w:tcW w:w="1695" w:type="dxa"/>
            <w:tcBorders>
              <w:top w:val="single" w:sz="4" w:space="0" w:color="auto"/>
            </w:tcBorders>
            <w:shd w:val="clear" w:color="auto" w:fill="auto"/>
          </w:tcPr>
          <w:p w:rsidR="00C8736E" w:rsidRPr="000F3C8B" w:rsidRDefault="00785AD7" w:rsidP="0007443E">
            <w:pPr>
              <w:pStyle w:val="TableText0"/>
              <w:rPr>
                <w:lang w:val="en-AU"/>
              </w:rPr>
            </w:pPr>
            <w:r w:rsidRPr="000F3C8B">
              <w:rPr>
                <w:lang w:val="en-AU"/>
              </w:rPr>
              <w:t>L</w:t>
            </w:r>
            <w:r w:rsidR="00C8736E" w:rsidRPr="000F3C8B">
              <w:rPr>
                <w:lang w:val="en-AU"/>
              </w:rPr>
              <w:t>evel IV studies, or level I to III studies with high risk of bias</w:t>
            </w:r>
          </w:p>
        </w:tc>
      </w:tr>
      <w:tr w:rsidR="00C8736E" w:rsidRPr="00BB3C05" w:rsidTr="0007443E">
        <w:tblPrEx>
          <w:tblBorders>
            <w:top w:val="single" w:sz="12" w:space="0" w:color="auto"/>
            <w:bottom w:val="single" w:sz="12" w:space="0" w:color="auto"/>
          </w:tblBorders>
          <w:tblCellMar>
            <w:right w:w="57" w:type="dxa"/>
          </w:tblCellMar>
        </w:tblPrEx>
        <w:trPr>
          <w:cantSplit/>
        </w:trPr>
        <w:tc>
          <w:tcPr>
            <w:tcW w:w="1663" w:type="dxa"/>
            <w:shd w:val="clear" w:color="auto" w:fill="auto"/>
          </w:tcPr>
          <w:p w:rsidR="00C8736E" w:rsidRPr="000F3C8B" w:rsidRDefault="00C8736E" w:rsidP="0007443E">
            <w:pPr>
              <w:pStyle w:val="TableText0"/>
              <w:rPr>
                <w:lang w:val="en-AU"/>
              </w:rPr>
            </w:pPr>
            <w:r w:rsidRPr="000F3C8B">
              <w:rPr>
                <w:lang w:val="en-AU"/>
              </w:rPr>
              <w:t>Consistency</w:t>
            </w:r>
          </w:p>
        </w:tc>
        <w:tc>
          <w:tcPr>
            <w:tcW w:w="1694" w:type="dxa"/>
            <w:shd w:val="clear" w:color="auto" w:fill="auto"/>
          </w:tcPr>
          <w:p w:rsidR="00C8736E" w:rsidRPr="000F3C8B" w:rsidRDefault="00C8736E" w:rsidP="0007443E">
            <w:pPr>
              <w:pStyle w:val="TableText0"/>
              <w:rPr>
                <w:lang w:val="en-AU"/>
              </w:rPr>
            </w:pPr>
          </w:p>
        </w:tc>
        <w:tc>
          <w:tcPr>
            <w:tcW w:w="1695" w:type="dxa"/>
            <w:shd w:val="clear" w:color="auto" w:fill="auto"/>
          </w:tcPr>
          <w:p w:rsidR="00C8736E" w:rsidRPr="000F3C8B" w:rsidRDefault="00C8736E" w:rsidP="0007443E">
            <w:pPr>
              <w:pStyle w:val="TableText0"/>
              <w:rPr>
                <w:lang w:val="en-AU"/>
              </w:rPr>
            </w:pPr>
          </w:p>
        </w:tc>
        <w:tc>
          <w:tcPr>
            <w:tcW w:w="1694" w:type="dxa"/>
            <w:shd w:val="clear" w:color="auto" w:fill="auto"/>
          </w:tcPr>
          <w:p w:rsidR="00C8736E" w:rsidRPr="000F3C8B" w:rsidRDefault="00785AD7" w:rsidP="0007443E">
            <w:pPr>
              <w:pStyle w:val="TableText0"/>
              <w:rPr>
                <w:lang w:val="en-AU"/>
              </w:rPr>
            </w:pPr>
            <w:r w:rsidRPr="000F3C8B">
              <w:rPr>
                <w:lang w:val="en-AU"/>
              </w:rPr>
              <w:t xml:space="preserve">Some </w:t>
            </w:r>
            <w:r w:rsidR="00C8736E" w:rsidRPr="000F3C8B">
              <w:rPr>
                <w:lang w:val="en-AU"/>
              </w:rPr>
              <w:t>inconsistency reflecting genuine uncertainty around clinical question</w:t>
            </w:r>
          </w:p>
        </w:tc>
        <w:tc>
          <w:tcPr>
            <w:tcW w:w="1695" w:type="dxa"/>
            <w:shd w:val="clear" w:color="auto" w:fill="auto"/>
          </w:tcPr>
          <w:p w:rsidR="00C8736E" w:rsidRPr="000F3C8B" w:rsidRDefault="00C8736E" w:rsidP="0007443E">
            <w:pPr>
              <w:pStyle w:val="TableText0"/>
              <w:rPr>
                <w:lang w:val="en-AU"/>
              </w:rPr>
            </w:pPr>
          </w:p>
        </w:tc>
      </w:tr>
      <w:tr w:rsidR="00C8736E" w:rsidRPr="00BB3C05" w:rsidTr="0007443E">
        <w:tblPrEx>
          <w:tblBorders>
            <w:top w:val="single" w:sz="12" w:space="0" w:color="auto"/>
            <w:bottom w:val="single" w:sz="12" w:space="0" w:color="auto"/>
          </w:tblBorders>
          <w:tblCellMar>
            <w:right w:w="57" w:type="dxa"/>
          </w:tblCellMar>
        </w:tblPrEx>
        <w:trPr>
          <w:cantSplit/>
          <w:trHeight w:val="462"/>
        </w:trPr>
        <w:tc>
          <w:tcPr>
            <w:tcW w:w="1663" w:type="dxa"/>
            <w:shd w:val="clear" w:color="auto" w:fill="auto"/>
          </w:tcPr>
          <w:p w:rsidR="00C8736E" w:rsidRPr="000F3C8B" w:rsidRDefault="00C8736E" w:rsidP="0007443E">
            <w:pPr>
              <w:pStyle w:val="TableText0"/>
              <w:rPr>
                <w:lang w:val="en-AU"/>
              </w:rPr>
            </w:pPr>
            <w:r w:rsidRPr="000F3C8B">
              <w:rPr>
                <w:lang w:val="en-AU"/>
              </w:rPr>
              <w:t>Clinical impact</w:t>
            </w:r>
          </w:p>
        </w:tc>
        <w:tc>
          <w:tcPr>
            <w:tcW w:w="1694" w:type="dxa"/>
            <w:shd w:val="clear" w:color="auto" w:fill="auto"/>
          </w:tcPr>
          <w:p w:rsidR="00C8736E" w:rsidRPr="000F3C8B" w:rsidRDefault="00C8736E" w:rsidP="0007443E">
            <w:pPr>
              <w:pStyle w:val="TableText0"/>
              <w:rPr>
                <w:lang w:val="en-AU"/>
              </w:rPr>
            </w:pPr>
          </w:p>
        </w:tc>
        <w:tc>
          <w:tcPr>
            <w:tcW w:w="1695" w:type="dxa"/>
            <w:shd w:val="clear" w:color="auto" w:fill="auto"/>
          </w:tcPr>
          <w:p w:rsidR="00C8736E" w:rsidRPr="000F3C8B" w:rsidRDefault="00C8736E" w:rsidP="0007443E">
            <w:pPr>
              <w:pStyle w:val="TableText0"/>
              <w:rPr>
                <w:lang w:val="en-AU"/>
              </w:rPr>
            </w:pPr>
          </w:p>
        </w:tc>
        <w:tc>
          <w:tcPr>
            <w:tcW w:w="1694" w:type="dxa"/>
            <w:shd w:val="clear" w:color="auto" w:fill="auto"/>
          </w:tcPr>
          <w:p w:rsidR="00C8736E" w:rsidRPr="000F3C8B" w:rsidRDefault="00785AD7" w:rsidP="0007443E">
            <w:pPr>
              <w:pStyle w:val="TableText0"/>
              <w:rPr>
                <w:lang w:val="en-AU"/>
              </w:rPr>
            </w:pPr>
            <w:r w:rsidRPr="000F3C8B">
              <w:rPr>
                <w:lang w:val="en-AU"/>
              </w:rPr>
              <w:t>Moderate</w:t>
            </w:r>
          </w:p>
        </w:tc>
        <w:tc>
          <w:tcPr>
            <w:tcW w:w="1695" w:type="dxa"/>
            <w:shd w:val="clear" w:color="auto" w:fill="auto"/>
          </w:tcPr>
          <w:p w:rsidR="00C8736E" w:rsidRPr="000F3C8B" w:rsidRDefault="00C8736E" w:rsidP="0007443E">
            <w:pPr>
              <w:pStyle w:val="TableText0"/>
              <w:rPr>
                <w:lang w:val="en-AU"/>
              </w:rPr>
            </w:pPr>
          </w:p>
        </w:tc>
      </w:tr>
      <w:tr w:rsidR="00C8736E" w:rsidRPr="00BB3C05" w:rsidTr="0007443E">
        <w:tblPrEx>
          <w:tblBorders>
            <w:top w:val="single" w:sz="12" w:space="0" w:color="auto"/>
            <w:bottom w:val="single" w:sz="12" w:space="0" w:color="auto"/>
          </w:tblBorders>
          <w:tblCellMar>
            <w:right w:w="57" w:type="dxa"/>
          </w:tblCellMar>
        </w:tblPrEx>
        <w:trPr>
          <w:cantSplit/>
        </w:trPr>
        <w:tc>
          <w:tcPr>
            <w:tcW w:w="1663" w:type="dxa"/>
            <w:shd w:val="clear" w:color="auto" w:fill="auto"/>
          </w:tcPr>
          <w:p w:rsidR="00C8736E" w:rsidRPr="000F3C8B" w:rsidRDefault="00C8736E" w:rsidP="0007443E">
            <w:pPr>
              <w:pStyle w:val="TableText0"/>
              <w:rPr>
                <w:lang w:val="en-AU"/>
              </w:rPr>
            </w:pPr>
            <w:r w:rsidRPr="000F3C8B">
              <w:rPr>
                <w:lang w:val="en-AU"/>
              </w:rPr>
              <w:t>Generalisability</w:t>
            </w:r>
          </w:p>
        </w:tc>
        <w:tc>
          <w:tcPr>
            <w:tcW w:w="1694" w:type="dxa"/>
            <w:shd w:val="clear" w:color="auto" w:fill="auto"/>
          </w:tcPr>
          <w:p w:rsidR="00C8736E" w:rsidRPr="000F3C8B" w:rsidRDefault="00C8736E" w:rsidP="0007443E">
            <w:pPr>
              <w:pStyle w:val="TableText0"/>
              <w:rPr>
                <w:lang w:val="en-AU"/>
              </w:rPr>
            </w:pPr>
          </w:p>
        </w:tc>
        <w:tc>
          <w:tcPr>
            <w:tcW w:w="1695" w:type="dxa"/>
            <w:shd w:val="clear" w:color="auto" w:fill="auto"/>
          </w:tcPr>
          <w:p w:rsidR="00C8736E" w:rsidRPr="000F3C8B" w:rsidRDefault="00C8736E" w:rsidP="0007443E">
            <w:pPr>
              <w:pStyle w:val="TableText0"/>
              <w:rPr>
                <w:lang w:val="en-AU"/>
              </w:rPr>
            </w:pPr>
          </w:p>
        </w:tc>
        <w:tc>
          <w:tcPr>
            <w:tcW w:w="1694" w:type="dxa"/>
            <w:shd w:val="clear" w:color="auto" w:fill="auto"/>
          </w:tcPr>
          <w:p w:rsidR="00C8736E" w:rsidRPr="000F3C8B" w:rsidRDefault="00C8736E" w:rsidP="0007443E">
            <w:pPr>
              <w:pStyle w:val="TableText0"/>
              <w:rPr>
                <w:lang w:val="en-AU"/>
              </w:rPr>
            </w:pPr>
          </w:p>
        </w:tc>
        <w:tc>
          <w:tcPr>
            <w:tcW w:w="1695" w:type="dxa"/>
            <w:shd w:val="clear" w:color="auto" w:fill="auto"/>
          </w:tcPr>
          <w:p w:rsidR="00C8736E" w:rsidRPr="000F3C8B" w:rsidRDefault="00785AD7" w:rsidP="0007443E">
            <w:pPr>
              <w:pStyle w:val="TableText0"/>
              <w:rPr>
                <w:lang w:val="en-AU"/>
              </w:rPr>
            </w:pPr>
            <w:r w:rsidRPr="000F3C8B">
              <w:rPr>
                <w:lang w:val="en-AU"/>
              </w:rPr>
              <w:t>Population</w:t>
            </w:r>
            <w:r w:rsidR="00C8736E" w:rsidRPr="000F3C8B">
              <w:rPr>
                <w:lang w:val="en-AU"/>
              </w:rPr>
              <w:t>/s studied in body of evidence different to target population and hard to judge whether it is sensible to generalise to target population</w:t>
            </w:r>
          </w:p>
        </w:tc>
      </w:tr>
      <w:tr w:rsidR="00C8736E" w:rsidRPr="00BB3C05" w:rsidTr="0007443E">
        <w:tblPrEx>
          <w:tblBorders>
            <w:top w:val="single" w:sz="12" w:space="0" w:color="auto"/>
            <w:bottom w:val="single" w:sz="12" w:space="0" w:color="auto"/>
          </w:tblBorders>
          <w:tblCellMar>
            <w:right w:w="57" w:type="dxa"/>
          </w:tblCellMar>
        </w:tblPrEx>
        <w:trPr>
          <w:cantSplit/>
        </w:trPr>
        <w:tc>
          <w:tcPr>
            <w:tcW w:w="1663" w:type="dxa"/>
            <w:shd w:val="clear" w:color="auto" w:fill="auto"/>
          </w:tcPr>
          <w:p w:rsidR="00C8736E" w:rsidRPr="000F3C8B" w:rsidRDefault="00C8736E" w:rsidP="0007443E">
            <w:pPr>
              <w:pStyle w:val="TableText0"/>
              <w:rPr>
                <w:lang w:val="en-AU"/>
              </w:rPr>
            </w:pPr>
            <w:r w:rsidRPr="000F3C8B">
              <w:rPr>
                <w:lang w:val="en-AU"/>
              </w:rPr>
              <w:t>Applicability</w:t>
            </w:r>
          </w:p>
        </w:tc>
        <w:tc>
          <w:tcPr>
            <w:tcW w:w="1694" w:type="dxa"/>
            <w:shd w:val="clear" w:color="auto" w:fill="auto"/>
          </w:tcPr>
          <w:p w:rsidR="00C8736E" w:rsidRPr="000F3C8B" w:rsidRDefault="00C8736E" w:rsidP="0007443E">
            <w:pPr>
              <w:pStyle w:val="TableText0"/>
              <w:rPr>
                <w:lang w:val="en-AU"/>
              </w:rPr>
            </w:pPr>
          </w:p>
        </w:tc>
        <w:tc>
          <w:tcPr>
            <w:tcW w:w="1695" w:type="dxa"/>
            <w:shd w:val="clear" w:color="auto" w:fill="auto"/>
          </w:tcPr>
          <w:p w:rsidR="00C8736E" w:rsidRPr="000F3C8B" w:rsidRDefault="00C8736E" w:rsidP="0007443E">
            <w:pPr>
              <w:pStyle w:val="TableText0"/>
              <w:rPr>
                <w:lang w:val="en-AU"/>
              </w:rPr>
            </w:pPr>
          </w:p>
        </w:tc>
        <w:tc>
          <w:tcPr>
            <w:tcW w:w="1694" w:type="dxa"/>
            <w:shd w:val="clear" w:color="auto" w:fill="auto"/>
          </w:tcPr>
          <w:p w:rsidR="00C8736E" w:rsidRPr="000F3C8B" w:rsidRDefault="00785AD7" w:rsidP="0007443E">
            <w:pPr>
              <w:pStyle w:val="TableText0"/>
              <w:rPr>
                <w:lang w:val="en-AU"/>
              </w:rPr>
            </w:pPr>
            <w:r w:rsidRPr="000F3C8B">
              <w:rPr>
                <w:lang w:val="en-AU"/>
              </w:rPr>
              <w:t xml:space="preserve">Probably </w:t>
            </w:r>
            <w:r w:rsidR="00C8736E" w:rsidRPr="000F3C8B">
              <w:rPr>
                <w:lang w:val="en-AU"/>
              </w:rPr>
              <w:t>applicable to Australian healthcare context with some caveats</w:t>
            </w:r>
          </w:p>
        </w:tc>
        <w:tc>
          <w:tcPr>
            <w:tcW w:w="1695" w:type="dxa"/>
            <w:shd w:val="clear" w:color="auto" w:fill="auto"/>
          </w:tcPr>
          <w:p w:rsidR="00C8736E" w:rsidRPr="000F3C8B" w:rsidRDefault="00C8736E" w:rsidP="0007443E">
            <w:pPr>
              <w:pStyle w:val="TableText0"/>
              <w:rPr>
                <w:lang w:val="en-AU"/>
              </w:rPr>
            </w:pPr>
          </w:p>
        </w:tc>
      </w:tr>
    </w:tbl>
    <w:p w:rsidR="00C8736E" w:rsidRPr="00BB3C05" w:rsidRDefault="00C8736E" w:rsidP="00C8736E">
      <w:pPr>
        <w:pStyle w:val="TableNotes"/>
        <w:spacing w:after="100" w:afterAutospacing="1"/>
      </w:pPr>
      <w:r w:rsidRPr="00BB3C05">
        <w:t xml:space="preserve">Adapted from </w:t>
      </w:r>
      <w:r w:rsidRPr="00BB3C05">
        <w:fldChar w:fldCharType="begin"/>
      </w:r>
      <w:r w:rsidRPr="00BB3C05">
        <w:instrText xml:space="preserve"> ADDIN EN.CITE &lt;EndNote&gt;&lt;Cite&gt;&lt;Author&gt;NHMRC&lt;/Author&gt;&lt;Year&gt;2008&lt;/Year&gt;&lt;RecNum&gt;132&lt;/RecNum&gt;&lt;record&gt;&lt;rec-number&gt;132&lt;/rec-number&gt;&lt;ref-type name="Electronic Source"&gt;12&lt;/ref-type&gt;&lt;contributors&gt;&lt;authors&gt;&lt;author&gt;NHMRC&lt;/author&gt;&lt;/authors&gt;&lt;/contributors&gt;&lt;titles&gt;&lt;title&gt;NHMRC additional levels of evidence and grades for recommendations for developers of guidelines. Stage 2 consultation.&lt;/title&gt;&lt;/titles&gt;&lt;number&gt;11/03/08&lt;/number&gt;&lt;dates&gt;&lt;year&gt;2008&lt;/year&gt;&lt;/dates&gt;&lt;publisher&gt;National Health and Medical Research Council, Australian Government&lt;/publisher&gt;&lt;work-type&gt;Internet&lt;/work-type&gt;&lt;urls&gt;&lt;related-urls&gt;&lt;url&gt;www.nhmrc.gov.au/consult/index.htm&lt;/url&gt;&lt;/related-urls&gt;&lt;/urls&gt;&lt;/record&gt;&lt;/Cite&gt;&lt;/EndNote&gt;</w:instrText>
      </w:r>
      <w:r w:rsidRPr="00BB3C05">
        <w:fldChar w:fldCharType="separate"/>
      </w:r>
      <w:r w:rsidRPr="00BB3C05">
        <w:t xml:space="preserve">NHMRC </w:t>
      </w:r>
      <w:r w:rsidR="005A25FD">
        <w:rPr>
          <w:lang w:val="en-AU"/>
        </w:rPr>
        <w:t>(</w:t>
      </w:r>
      <w:r w:rsidRPr="00BB3C05">
        <w:t>2008)</w:t>
      </w:r>
      <w:r w:rsidRPr="00BB3C05">
        <w:fldChar w:fldCharType="end"/>
      </w:r>
    </w:p>
    <w:p w:rsidR="000C5F74" w:rsidRPr="00BB3C05" w:rsidRDefault="000C5F74" w:rsidP="000C5F74">
      <w:pPr>
        <w:pStyle w:val="Heading2"/>
      </w:pPr>
      <w:bookmarkStart w:id="302" w:name="_Toc317761675"/>
      <w:bookmarkStart w:id="303" w:name="_Toc352924442"/>
      <w:r w:rsidRPr="00BB3C05">
        <w:t>Is it safe?</w:t>
      </w:r>
      <w:bookmarkEnd w:id="302"/>
      <w:bookmarkEnd w:id="303"/>
      <w:r w:rsidRPr="00BB3C05">
        <w:t xml:space="preserve"> </w:t>
      </w:r>
    </w:p>
    <w:p w:rsidR="00C8736E" w:rsidRPr="00BB3C05" w:rsidRDefault="009759EE" w:rsidP="00C8736E">
      <w:bookmarkStart w:id="304" w:name="_Toc317761676"/>
      <w:r w:rsidRPr="00BB3C05">
        <w:t>Procedure-related mortality</w:t>
      </w:r>
      <w:r w:rsidR="00C8736E" w:rsidRPr="00BB3C05">
        <w:t xml:space="preserve"> w</w:t>
      </w:r>
      <w:r w:rsidRPr="00BB3C05">
        <w:t>as</w:t>
      </w:r>
      <w:r w:rsidR="00C8736E" w:rsidRPr="00BB3C05">
        <w:t xml:space="preserve"> variously defined </w:t>
      </w:r>
      <w:r w:rsidRPr="00BB3C05">
        <w:t xml:space="preserve">and described </w:t>
      </w:r>
      <w:r w:rsidR="00C8736E" w:rsidRPr="00BB3C05">
        <w:t xml:space="preserve">across studies, such as post-procedural mortalities, 30-day mortality, or mortality within the same hospital admission as treatment. Very few procedure-related deaths were reported in the comparative evidence, with the small patient populations in these studies precluding the ability to accurately determine mortality rates and </w:t>
      </w:r>
      <w:r w:rsidRPr="00BB3C05">
        <w:t xml:space="preserve">conduct </w:t>
      </w:r>
      <w:r w:rsidR="00C8736E" w:rsidRPr="00BB3C05">
        <w:t xml:space="preserve">statistical comparisons between treatments. A procedure-related mortality rate of 1.6 per cent after SEMS placement was found within the level IV evidence; </w:t>
      </w:r>
      <w:r w:rsidRPr="00BB3C05">
        <w:t xml:space="preserve">however, </w:t>
      </w:r>
      <w:r w:rsidR="00C8736E" w:rsidRPr="00BB3C05">
        <w:t xml:space="preserve">this figure is likely an over-inflation, as it does not include data from the majority of studies retrieved, for which no explicit statement regarding patient mortalities was made </w:t>
      </w:r>
      <w:r w:rsidR="00785AD7">
        <w:t>although</w:t>
      </w:r>
      <w:r w:rsidR="00785AD7" w:rsidRPr="00BB3C05">
        <w:t xml:space="preserve"> </w:t>
      </w:r>
      <w:r w:rsidR="00C8736E" w:rsidRPr="00BB3C05">
        <w:t>it was implied that no patient mortality occurred. It also includes mortalities from studies that reported it was unclear whether patients died due to SEMS placement or the</w:t>
      </w:r>
      <w:r w:rsidRPr="00BB3C05">
        <w:t>ir</w:t>
      </w:r>
      <w:r w:rsidR="00C8736E" w:rsidRPr="00BB3C05">
        <w:t xml:space="preserve"> underlying disease.</w:t>
      </w:r>
    </w:p>
    <w:p w:rsidR="008E7FE9" w:rsidRPr="00BB3C05" w:rsidRDefault="00C8736E" w:rsidP="008E7FE9">
      <w:r w:rsidRPr="00BB3C05">
        <w:t xml:space="preserve">The nature of adverse events following SEMS placement compared to surgical resection was found to vary considerably. </w:t>
      </w:r>
      <w:r w:rsidR="008E7FE9" w:rsidRPr="00BB3C05">
        <w:t>T</w:t>
      </w:r>
      <w:r w:rsidRPr="00BB3C05">
        <w:t>umour ingrowth or over-growth, bowel perforation,</w:t>
      </w:r>
      <w:r w:rsidR="008E7FE9" w:rsidRPr="00BB3C05">
        <w:t xml:space="preserve"> stent migration,</w:t>
      </w:r>
      <w:r w:rsidRPr="00BB3C05">
        <w:t xml:space="preserve"> </w:t>
      </w:r>
      <w:r w:rsidR="008E7FE9" w:rsidRPr="00BB3C05">
        <w:t xml:space="preserve">bleeding, </w:t>
      </w:r>
      <w:r w:rsidRPr="00BB3C05">
        <w:t>sensation-related events, infections and re-obstruction were found to occur after SEMS placement. In contrast, infections, anastom</w:t>
      </w:r>
      <w:r w:rsidR="00737637" w:rsidRPr="00BB3C05">
        <w:t>ot</w:t>
      </w:r>
      <w:r w:rsidRPr="00BB3C05">
        <w:t>ic leak, and stoma-related adverse events were found to occur following surgical resection.</w:t>
      </w:r>
      <w:r w:rsidR="008E7FE9" w:rsidRPr="00BB3C05">
        <w:t xml:space="preserve"> In terms of the severity of adverse events, bowel perforation is likely the most severe stent-related event. Due to the potential for serious pelvic infection and peritonitis to develop, this outcome can be considered a life-threatening medical emergency, requiring immediate hospital admission, as well as </w:t>
      </w:r>
      <w:r w:rsidR="00DF03CC">
        <w:t>multi-stage</w:t>
      </w:r>
      <w:r w:rsidR="008E7FE9" w:rsidRPr="00BB3C05">
        <w:t xml:space="preserve"> surgical resection of the bowel. Any other infectious event, be it following SEMS placement or surgical resection, also needs to be considered and managed as a medical emergency. Pain, tenesmus and minor bleeding are considered to be more manageable and unlikely to be life threatening.</w:t>
      </w:r>
    </w:p>
    <w:p w:rsidR="006F07EA" w:rsidRPr="00BB3C05" w:rsidRDefault="00C8736E" w:rsidP="00C8736E">
      <w:r w:rsidRPr="00BB3C05">
        <w:t xml:space="preserve">Only three studies reported a statistical comparison between treatment groups with regard to adverse event </w:t>
      </w:r>
      <w:r w:rsidR="009759EE" w:rsidRPr="00BB3C05">
        <w:t xml:space="preserve">occurrence, although none made a comparison of the relative </w:t>
      </w:r>
      <w:r w:rsidR="009759EE" w:rsidRPr="00BB3C05">
        <w:lastRenderedPageBreak/>
        <w:t>severity of these events</w:t>
      </w:r>
      <w:r w:rsidRPr="00BB3C05">
        <w:t>. The only significant difference reported was a higher rate of readmission for complications after surg</w:t>
      </w:r>
      <w:r w:rsidR="009759EE" w:rsidRPr="00BB3C05">
        <w:t>ical treatment</w:t>
      </w:r>
      <w:r w:rsidRPr="00BB3C05">
        <w:t>, reported in one study.</w:t>
      </w:r>
    </w:p>
    <w:p w:rsidR="00C8736E" w:rsidRPr="00BB3C05" w:rsidRDefault="00C8736E" w:rsidP="00C8736E">
      <w:r w:rsidRPr="00BB3C05">
        <w:t xml:space="preserve">The majority of information on safety outcomes after SEMS placement was obtained from level IV evidence. </w:t>
      </w:r>
      <w:r w:rsidR="00DF03BF" w:rsidRPr="00BB3C05">
        <w:t xml:space="preserve">The most severe adverse event following SEMS placement was perforation of the bowel, reported in over </w:t>
      </w:r>
      <w:r w:rsidR="00E87541">
        <w:t>4</w:t>
      </w:r>
      <w:r w:rsidR="00E87541" w:rsidRPr="00BB3C05">
        <w:t xml:space="preserve"> </w:t>
      </w:r>
      <w:r w:rsidR="00DF03BF" w:rsidRPr="00BB3C05">
        <w:t xml:space="preserve">per cent of SEMS patients. Data suggested that occurrence of perforation may be higher when dilators are used. </w:t>
      </w:r>
      <w:r w:rsidRPr="00BB3C05">
        <w:t xml:space="preserve">Adverse events related to tumour growth (such as stent ingrowth or overgrowth) were the most common, reported in </w:t>
      </w:r>
      <w:r w:rsidR="00E87541">
        <w:t>7</w:t>
      </w:r>
      <w:r w:rsidR="00E87541" w:rsidRPr="00BB3C05">
        <w:t xml:space="preserve"> </w:t>
      </w:r>
      <w:r w:rsidRPr="00BB3C05">
        <w:t xml:space="preserve">to </w:t>
      </w:r>
      <w:r w:rsidR="00E87541">
        <w:t>9</w:t>
      </w:r>
      <w:r w:rsidR="00E87541" w:rsidRPr="00BB3C05">
        <w:t xml:space="preserve"> </w:t>
      </w:r>
      <w:r w:rsidRPr="00BB3C05">
        <w:t>per cent of patients</w:t>
      </w:r>
      <w:r w:rsidR="009759EE" w:rsidRPr="00BB3C05">
        <w:t>.</w:t>
      </w:r>
      <w:r w:rsidRPr="00BB3C05">
        <w:t xml:space="preserve"> Tumour ingrowth or overgrowth is not an immediate adverse event, and therefore is unlikely to interfere with the direct relief that a stent may provide. </w:t>
      </w:r>
      <w:r w:rsidR="002E2F6E">
        <w:t>C</w:t>
      </w:r>
      <w:r w:rsidR="00DF22C9" w:rsidRPr="00BB3C05">
        <w:t>linically</w:t>
      </w:r>
      <w:r w:rsidR="002E2F6E">
        <w:t>, these are</w:t>
      </w:r>
      <w:r w:rsidR="00DF22C9" w:rsidRPr="00BB3C05">
        <w:t xml:space="preserve"> not considered as sever</w:t>
      </w:r>
      <w:r w:rsidR="00DF03BF" w:rsidRPr="00BB3C05">
        <w:t>e</w:t>
      </w:r>
      <w:r w:rsidR="00DF22C9" w:rsidRPr="00BB3C05">
        <w:t xml:space="preserve"> or significant adverse events</w:t>
      </w:r>
      <w:r w:rsidR="002E2F6E">
        <w:t>,</w:t>
      </w:r>
      <w:r w:rsidR="00DF22C9" w:rsidRPr="00BB3C05">
        <w:t xml:space="preserve"> as in most</w:t>
      </w:r>
      <w:r w:rsidR="0004596C" w:rsidRPr="00BB3C05">
        <w:t xml:space="preserve"> of</w:t>
      </w:r>
      <w:r w:rsidR="00DF22C9" w:rsidRPr="00BB3C05">
        <w:t xml:space="preserve"> cases</w:t>
      </w:r>
      <w:r w:rsidR="002E2F6E">
        <w:t xml:space="preserve"> they</w:t>
      </w:r>
      <w:r w:rsidR="00DF22C9" w:rsidRPr="00BB3C05">
        <w:t xml:space="preserve"> </w:t>
      </w:r>
      <w:r w:rsidR="0004596C" w:rsidRPr="00BB3C05">
        <w:t>are</w:t>
      </w:r>
      <w:r w:rsidR="00DF22C9" w:rsidRPr="00BB3C05">
        <w:t xml:space="preserve"> resolve</w:t>
      </w:r>
      <w:r w:rsidR="0004596C" w:rsidRPr="00BB3C05">
        <w:t>d</w:t>
      </w:r>
      <w:r w:rsidR="00DF22C9" w:rsidRPr="00BB3C05">
        <w:t xml:space="preserve"> by re-stenting. </w:t>
      </w:r>
      <w:r w:rsidRPr="00BB3C05">
        <w:t xml:space="preserve">However, it does increase the likelihood that treatment for re-obstruction will be required in the future. Re-obstruction and stent migration were reported in between </w:t>
      </w:r>
      <w:r w:rsidR="00E87541">
        <w:t>6</w:t>
      </w:r>
      <w:r w:rsidR="00E87541" w:rsidRPr="00BB3C05">
        <w:t xml:space="preserve"> </w:t>
      </w:r>
      <w:r w:rsidRPr="00BB3C05">
        <w:t xml:space="preserve">and </w:t>
      </w:r>
      <w:r w:rsidR="00E87541">
        <w:t>7</w:t>
      </w:r>
      <w:r w:rsidR="00E87541" w:rsidRPr="00BB3C05">
        <w:t xml:space="preserve"> </w:t>
      </w:r>
      <w:r w:rsidRPr="00BB3C05">
        <w:t xml:space="preserve">per cent of patients. It is possible that rates of stent migration may have been inflated by </w:t>
      </w:r>
      <w:r w:rsidR="009759EE" w:rsidRPr="00BB3C05">
        <w:t>studies</w:t>
      </w:r>
      <w:r w:rsidRPr="00BB3C05">
        <w:t xml:space="preserve"> that used stents not specifically designed for the colon (</w:t>
      </w:r>
      <w:r w:rsidR="00CE0D06">
        <w:t>eg</w:t>
      </w:r>
      <w:r w:rsidRPr="00BB3C05">
        <w:t xml:space="preserve"> oesophageal stents); although every effort was made to exclude such studies, some authors did not explicitly state the type of stent used.</w:t>
      </w:r>
      <w:r w:rsidR="008E7FE9" w:rsidRPr="00BB3C05">
        <w:t xml:space="preserve"> </w:t>
      </w:r>
      <w:r w:rsidRPr="00BB3C05">
        <w:t xml:space="preserve">Other adverse events were reported in less </w:t>
      </w:r>
      <w:r w:rsidR="008E7FE9" w:rsidRPr="00BB3C05">
        <w:t xml:space="preserve">than </w:t>
      </w:r>
      <w:r w:rsidR="003F263A">
        <w:t>5</w:t>
      </w:r>
      <w:r w:rsidR="003F263A" w:rsidRPr="00BB3C05">
        <w:t xml:space="preserve"> </w:t>
      </w:r>
      <w:r w:rsidR="008E7FE9" w:rsidRPr="00BB3C05">
        <w:t xml:space="preserve">per cent of patients. </w:t>
      </w:r>
    </w:p>
    <w:p w:rsidR="00C8736E" w:rsidRPr="00BB3C05" w:rsidRDefault="00C8736E" w:rsidP="00C8736E">
      <w:r w:rsidRPr="00BB3C05">
        <w:t xml:space="preserve">It is important to note that the level IV evidence </w:t>
      </w:r>
      <w:r w:rsidR="003F263A">
        <w:t>rarely included reports on</w:t>
      </w:r>
      <w:r w:rsidR="003F263A" w:rsidRPr="00BB3C05">
        <w:t xml:space="preserve"> </w:t>
      </w:r>
      <w:r w:rsidRPr="00BB3C05">
        <w:t xml:space="preserve">whether the patients who received SEMS were appropriate for single-stage resection. As a result, some patients in these studies may have been healthier than those who required </w:t>
      </w:r>
      <w:r w:rsidR="00DF03CC">
        <w:t>multi-stage</w:t>
      </w:r>
      <w:r w:rsidRPr="00BB3C05">
        <w:t xml:space="preserve"> resection, potentially lowering the rate of adverse events found after SEMS placement. </w:t>
      </w:r>
    </w:p>
    <w:p w:rsidR="008E7FE9" w:rsidRPr="008F42F9" w:rsidRDefault="0098569F" w:rsidP="0098569F">
      <w:r w:rsidRPr="009E5C53">
        <w:t xml:space="preserve">Based on </w:t>
      </w:r>
      <w:r w:rsidR="00DF03BF" w:rsidRPr="00892811">
        <w:t xml:space="preserve">the available </w:t>
      </w:r>
      <w:r w:rsidRPr="008978EE">
        <w:t xml:space="preserve">evidence, which </w:t>
      </w:r>
      <w:r w:rsidR="003F263A">
        <w:t>wa</w:t>
      </w:r>
      <w:r w:rsidRPr="008978EE">
        <w:t xml:space="preserve">s largely low-level and of </w:t>
      </w:r>
      <w:r w:rsidR="008E7FE9" w:rsidRPr="008978EE">
        <w:t xml:space="preserve">questionable methodological quality, SEMS </w:t>
      </w:r>
      <w:r w:rsidRPr="00A30BA9">
        <w:t>placement appear</w:t>
      </w:r>
      <w:r w:rsidR="003F263A">
        <w:t>ed</w:t>
      </w:r>
      <w:r w:rsidRPr="00A30BA9">
        <w:t xml:space="preserve"> to be</w:t>
      </w:r>
      <w:r w:rsidR="008E7FE9" w:rsidRPr="005646B6">
        <w:t xml:space="preserve"> </w:t>
      </w:r>
      <w:r w:rsidRPr="005646B6">
        <w:t xml:space="preserve">approximately equivalent to </w:t>
      </w:r>
      <w:r w:rsidR="00DF03CC">
        <w:t>multi-stage</w:t>
      </w:r>
      <w:r w:rsidR="008E7FE9" w:rsidRPr="00003831">
        <w:t xml:space="preserve"> surgical resection</w:t>
      </w:r>
      <w:r w:rsidRPr="00A87C52">
        <w:t xml:space="preserve"> in te</w:t>
      </w:r>
      <w:r w:rsidRPr="00DF686C">
        <w:t>rms of safety</w:t>
      </w:r>
      <w:r w:rsidR="004A12FD" w:rsidRPr="00DF686C">
        <w:t xml:space="preserve">. </w:t>
      </w:r>
      <w:r w:rsidR="006B6B0C" w:rsidRPr="00DF686C">
        <w:t>Due to the</w:t>
      </w:r>
      <w:r w:rsidR="006B6B0C" w:rsidRPr="00F13A5A">
        <w:t xml:space="preserve"> lack of good quality comparative evidence, </w:t>
      </w:r>
      <w:r w:rsidR="006B6B0C" w:rsidRPr="00E734FE">
        <w:t xml:space="preserve">it was not possible to </w:t>
      </w:r>
      <w:r w:rsidR="006B6B0C" w:rsidRPr="00BE3EA8">
        <w:t xml:space="preserve">determine whether SEMS placement </w:t>
      </w:r>
      <w:r w:rsidR="003F263A">
        <w:t>wa</w:t>
      </w:r>
      <w:r w:rsidR="006B6B0C" w:rsidRPr="00BE3EA8">
        <w:t xml:space="preserve">s superior to </w:t>
      </w:r>
      <w:r w:rsidR="00DF03CC">
        <w:t>multi-stage</w:t>
      </w:r>
      <w:r w:rsidR="006B6B0C" w:rsidRPr="00BE3EA8">
        <w:t xml:space="preserve"> surgical resection with regards to safety.</w:t>
      </w:r>
    </w:p>
    <w:p w:rsidR="000C5F74" w:rsidRPr="008F42F9" w:rsidRDefault="000C5F74" w:rsidP="000C5F74">
      <w:pPr>
        <w:pStyle w:val="Heading2"/>
      </w:pPr>
      <w:bookmarkStart w:id="305" w:name="_Toc352924443"/>
      <w:r w:rsidRPr="008F42F9">
        <w:t>Is it effective?</w:t>
      </w:r>
      <w:bookmarkEnd w:id="304"/>
      <w:bookmarkEnd w:id="305"/>
      <w:r w:rsidRPr="008F42F9">
        <w:t xml:space="preserve"> </w:t>
      </w:r>
    </w:p>
    <w:p w:rsidR="00C8736E" w:rsidRPr="00B1508A" w:rsidRDefault="00C8736E" w:rsidP="00C8736E">
      <w:bookmarkStart w:id="306" w:name="_Toc214339189"/>
      <w:bookmarkEnd w:id="298"/>
      <w:r w:rsidRPr="00325C69">
        <w:t>Due to the potential for stoma creation to have a significant negative impact on a patient’s psychological wellbeing</w:t>
      </w:r>
      <w:r w:rsidR="005D30D0" w:rsidRPr="007D5B7C">
        <w:t>,</w:t>
      </w:r>
      <w:r w:rsidRPr="007D5B7C">
        <w:t xml:space="preserve"> a</w:t>
      </w:r>
      <w:r w:rsidR="003F263A">
        <w:t>nd</w:t>
      </w:r>
      <w:r w:rsidRPr="007D5B7C">
        <w:t xml:space="preserve"> a burden to the patient and carers, the protocol of the current assessment defined quality of life after SEMS p</w:t>
      </w:r>
      <w:r w:rsidR="005D30D0" w:rsidRPr="007D5B7C">
        <w:t>lacement and surgical resection</w:t>
      </w:r>
      <w:r w:rsidRPr="00960A9E">
        <w:t xml:space="preserve"> </w:t>
      </w:r>
      <w:r w:rsidR="005D30D0" w:rsidRPr="00EA2600">
        <w:t>(</w:t>
      </w:r>
      <w:r w:rsidRPr="00EA2600">
        <w:t>measured by QALYs</w:t>
      </w:r>
      <w:r w:rsidR="005D30D0" w:rsidRPr="00EC591E">
        <w:t>)</w:t>
      </w:r>
      <w:r w:rsidRPr="00430AA8">
        <w:t xml:space="preserve"> as the primary effectiveness outcome of interest. A major deficiency of the evidence base in the current assessment is that of the seven comparative studies included,</w:t>
      </w:r>
      <w:r w:rsidR="005D30D0" w:rsidRPr="00347DAA">
        <w:t xml:space="preserve"> </w:t>
      </w:r>
      <w:r w:rsidRPr="009672A9">
        <w:t>only one reported on patient quality of l</w:t>
      </w:r>
      <w:r w:rsidR="005D30D0" w:rsidRPr="00584C29">
        <w:t>ife as an effectiveness outcome</w:t>
      </w:r>
      <w:r w:rsidRPr="00DA0155">
        <w:t>. These outcomes were poorly reported, with no statistical comparison between the two treatment groups provided. Instead, outcomes were compared with baseline data</w:t>
      </w:r>
      <w:r w:rsidR="00E6314D" w:rsidRPr="00CF31D5">
        <w:t>.</w:t>
      </w:r>
      <w:r w:rsidRPr="00A550ED">
        <w:t xml:space="preserve"> The results of this stu</w:t>
      </w:r>
      <w:r w:rsidRPr="0055406F">
        <w:t xml:space="preserve">dy, albeit of limited quality, did not show </w:t>
      </w:r>
      <w:r w:rsidR="005D30D0" w:rsidRPr="004C658D">
        <w:t xml:space="preserve">any additional benefit for </w:t>
      </w:r>
      <w:r w:rsidRPr="00B1508A">
        <w:t xml:space="preserve">SEMS placement </w:t>
      </w:r>
      <w:r w:rsidR="005D30D0" w:rsidRPr="00B1508A">
        <w:t>over</w:t>
      </w:r>
      <w:r w:rsidRPr="00B1508A">
        <w:t xml:space="preserve"> surgical resection with respect to patient quality of life after treatment. </w:t>
      </w:r>
    </w:p>
    <w:p w:rsidR="00C8736E" w:rsidRPr="00BB3C05" w:rsidRDefault="00C8736E" w:rsidP="00C8736E">
      <w:r w:rsidRPr="001949E9">
        <w:t>Technical success of SEMS placement was generally defined as successful deployment of</w:t>
      </w:r>
      <w:r w:rsidRPr="00286445">
        <w:t xml:space="preserve"> a stent, and assessed accordingly. However, clinical success after SEMS placement was variously defined across studies</w:t>
      </w:r>
      <w:r w:rsidR="005D30D0" w:rsidRPr="00CD21F6">
        <w:t xml:space="preserve"> and in a small number of </w:t>
      </w:r>
      <w:r w:rsidR="003F263A">
        <w:t>these</w:t>
      </w:r>
      <w:r w:rsidR="003F263A" w:rsidRPr="00CD21F6">
        <w:t xml:space="preserve"> </w:t>
      </w:r>
      <w:r w:rsidR="005D30D0" w:rsidRPr="00CD21F6">
        <w:t>was not provided.</w:t>
      </w:r>
      <w:r w:rsidRPr="00361416">
        <w:t xml:space="preserve"> Definitions included successful colonic decompression, relief from obstructive sympto</w:t>
      </w:r>
      <w:r w:rsidRPr="0086082D">
        <w:t>ms, improvement of obstructive symptoms within 48 hours, and resumption of bowel function and oral intake. Definitive time periods for determining clinical success were generally not reported, but were presumed to be short</w:t>
      </w:r>
      <w:r w:rsidR="00E63DE1">
        <w:t xml:space="preserve"> </w:t>
      </w:r>
      <w:r w:rsidRPr="0086082D">
        <w:t xml:space="preserve">term in nature. Definitions </w:t>
      </w:r>
      <w:r w:rsidRPr="0086082D">
        <w:lastRenderedPageBreak/>
        <w:t>of cl</w:t>
      </w:r>
      <w:r w:rsidRPr="0072092E">
        <w:t>inical success after surgery also varied, and in a number of studies were not provided. Definitions included relief from obstructive symptoms</w:t>
      </w:r>
      <w:r w:rsidR="005D30D0" w:rsidRPr="0052787F">
        <w:t>,</w:t>
      </w:r>
      <w:r w:rsidRPr="00A84480">
        <w:t xml:space="preserve"> and resumption of bowel function and oral intake. While the lack of universal definitions</w:t>
      </w:r>
      <w:r w:rsidR="005D30D0" w:rsidRPr="00186148">
        <w:t xml:space="preserve"> </w:t>
      </w:r>
      <w:r w:rsidRPr="00A32225">
        <w:t xml:space="preserve">and direct statistical </w:t>
      </w:r>
      <w:r w:rsidRPr="005C214B">
        <w:t xml:space="preserve">comparisons </w:t>
      </w:r>
      <w:r w:rsidR="005D30D0" w:rsidRPr="00C27C1E">
        <w:t>mad</w:t>
      </w:r>
      <w:r w:rsidRPr="00C27C1E">
        <w:t>e evaluation</w:t>
      </w:r>
      <w:r w:rsidRPr="00027046" w:rsidDel="00FD1AE5">
        <w:t xml:space="preserve"> </w:t>
      </w:r>
      <w:r w:rsidRPr="00027046">
        <w:t>of the relative procedural success between two groups difficult</w:t>
      </w:r>
      <w:r w:rsidR="005D30D0" w:rsidRPr="00EA5A32">
        <w:t xml:space="preserve">, the majority of </w:t>
      </w:r>
      <w:r w:rsidRPr="00EA5A32">
        <w:t>comparative studies reported</w:t>
      </w:r>
      <w:r w:rsidR="005D30D0" w:rsidRPr="00EA5A32">
        <w:t xml:space="preserve"> equivalent or slightly</w:t>
      </w:r>
      <w:r w:rsidRPr="00177142">
        <w:t xml:space="preserve"> higher rates of clinical success in patients who underwent surgical resection than those receiving SEMS</w:t>
      </w:r>
      <w:r w:rsidR="005D30D0" w:rsidRPr="00083501">
        <w:t xml:space="preserve"> placement</w:t>
      </w:r>
      <w:r w:rsidRPr="00367FF6">
        <w:t xml:space="preserve">. </w:t>
      </w:r>
      <w:r w:rsidR="00E63DE1">
        <w:t>S</w:t>
      </w:r>
      <w:r w:rsidRPr="004016F9">
        <w:t xml:space="preserve">tudies showed </w:t>
      </w:r>
      <w:r w:rsidR="00E63DE1">
        <w:t xml:space="preserve">that </w:t>
      </w:r>
      <w:r w:rsidRPr="004016F9">
        <w:t>stents did not</w:t>
      </w:r>
      <w:r w:rsidR="00484CB3" w:rsidRPr="00C71844">
        <w:t xml:space="preserve"> always remain patent during a</w:t>
      </w:r>
      <w:r w:rsidRPr="00C71844">
        <w:t xml:space="preserve"> patient’s lifespan, and in a number of cases required retreatment for re-obstruction. </w:t>
      </w:r>
      <w:r w:rsidR="005D30D0" w:rsidRPr="001166E9">
        <w:t>In patients who received SEMS placement for palliative purposes</w:t>
      </w:r>
      <w:r w:rsidR="002E2F6E">
        <w:t>,</w:t>
      </w:r>
      <w:r w:rsidR="005D30D0" w:rsidRPr="001166E9">
        <w:t xml:space="preserve"> t</w:t>
      </w:r>
      <w:r w:rsidRPr="00BB3C05">
        <w:t xml:space="preserve">he rate of retreatment generally varied from zero to </w:t>
      </w:r>
      <w:r w:rsidR="00E63DE1">
        <w:t>10</w:t>
      </w:r>
      <w:r w:rsidR="00E63DE1" w:rsidRPr="00BB3C05">
        <w:t xml:space="preserve"> </w:t>
      </w:r>
      <w:r w:rsidRPr="00BB3C05">
        <w:t>per cent</w:t>
      </w:r>
      <w:r w:rsidR="005D30D0" w:rsidRPr="00BB3C05">
        <w:t>. N</w:t>
      </w:r>
      <w:r w:rsidRPr="00BB3C05">
        <w:t xml:space="preserve">o study </w:t>
      </w:r>
      <w:r w:rsidR="00E63DE1">
        <w:t xml:space="preserve">reported on the </w:t>
      </w:r>
      <w:r w:rsidRPr="00BB3C05">
        <w:t>need for re-intervention after surgery.</w:t>
      </w:r>
    </w:p>
    <w:p w:rsidR="00C8736E" w:rsidRPr="00BB3C05" w:rsidRDefault="00E63DE1" w:rsidP="00C8736E">
      <w:r>
        <w:t>For p</w:t>
      </w:r>
      <w:r w:rsidR="00C8736E" w:rsidRPr="00BB3C05">
        <w:t>ost-procedural hospital and ICU stay</w:t>
      </w:r>
      <w:r>
        <w:t>,</w:t>
      </w:r>
      <w:r w:rsidR="00C8736E" w:rsidRPr="00BB3C05">
        <w:t xml:space="preserve"> patients who received SEMS placement commonly experienced significantly better outcomes than those who underwent surgical resection. As stenting is a minimally-invasive endoscopic procedure compared to open surgical resection or colostomy, this is to be expected. However, it is important to remember that readmission is often necessary </w:t>
      </w:r>
      <w:r>
        <w:t>if</w:t>
      </w:r>
      <w:r w:rsidR="00C8736E" w:rsidRPr="00BB3C05">
        <w:t xml:space="preserve"> an adverse event</w:t>
      </w:r>
      <w:r>
        <w:t>,</w:t>
      </w:r>
      <w:r w:rsidR="00C8736E" w:rsidRPr="00BB3C05">
        <w:t xml:space="preserve"> such as stent migration</w:t>
      </w:r>
      <w:r>
        <w:t>, occurs</w:t>
      </w:r>
      <w:r w:rsidR="00C8736E" w:rsidRPr="00BB3C05">
        <w:t xml:space="preserve">. Long-term </w:t>
      </w:r>
      <w:r w:rsidR="00633EAC">
        <w:t>follow-up</w:t>
      </w:r>
      <w:r w:rsidR="00C8736E" w:rsidRPr="00BB3C05">
        <w:t xml:space="preserve"> </w:t>
      </w:r>
      <w:r w:rsidR="005D30D0" w:rsidRPr="00BB3C05">
        <w:t>after SEMS placement</w:t>
      </w:r>
      <w:r w:rsidR="00337DE5">
        <w:t>, needed in order</w:t>
      </w:r>
      <w:r w:rsidR="00C8736E" w:rsidRPr="00BB3C05">
        <w:t xml:space="preserve"> to identify </w:t>
      </w:r>
      <w:r w:rsidR="00337DE5">
        <w:t>the reasons</w:t>
      </w:r>
      <w:r w:rsidR="00337DE5" w:rsidRPr="00BB3C05">
        <w:t xml:space="preserve"> </w:t>
      </w:r>
      <w:r w:rsidR="00C8736E" w:rsidRPr="00BB3C05">
        <w:t xml:space="preserve">for re-admission, was not reported in the available evidence.  </w:t>
      </w:r>
    </w:p>
    <w:p w:rsidR="00C8736E" w:rsidRPr="00BB3C05" w:rsidRDefault="00C8736E" w:rsidP="00C8736E">
      <w:r w:rsidRPr="00BB3C05">
        <w:t xml:space="preserve">With regards to length of survival in patients who received treatment for palliative purposes, three comparative studies found no significant differences between patients receiving SEMS and those receiving surgical resection. However, patient survival </w:t>
      </w:r>
      <w:r w:rsidR="00337DE5">
        <w:t xml:space="preserve">would have been </w:t>
      </w:r>
      <w:r w:rsidRPr="00BB3C05">
        <w:t xml:space="preserve">largely dependent on pre-intervention health status. It </w:t>
      </w:r>
      <w:r w:rsidR="009F5D13" w:rsidRPr="00BB3C05">
        <w:t>may be</w:t>
      </w:r>
      <w:r w:rsidRPr="00BB3C05">
        <w:t xml:space="preserve"> worth noting that in one of those studies, SEMS patients had a significantly worse baseline health status, and could have been anticipated to experience worse survival outcomes than patients who underwent surgery.</w:t>
      </w:r>
    </w:p>
    <w:p w:rsidR="00C8736E" w:rsidRDefault="00C8736E" w:rsidP="00C8736E">
      <w:r w:rsidRPr="00BB3C05">
        <w:t xml:space="preserve">The evidence showed </w:t>
      </w:r>
      <w:r w:rsidR="009F5D13" w:rsidRPr="00BB3C05">
        <w:t xml:space="preserve">some </w:t>
      </w:r>
      <w:r w:rsidRPr="00BB3C05">
        <w:t xml:space="preserve">tentative support for the use of SEMS as a bridge to surgery. One study showed patients who received SEMS placement were able to undergo planned surgery significantly sooner and required a shorter duration of hospital stay after planned surgery than those who initially underwent surgery with temporary stoma. While it was implied across the included studies that the majority of patients who received a SEMS avoided </w:t>
      </w:r>
      <w:r w:rsidR="00DF03CC">
        <w:t>multi-stage</w:t>
      </w:r>
      <w:r w:rsidRPr="00BB3C05">
        <w:t xml:space="preserve"> resection, the proportion of patients could not be definitively determined as details of subsequent surgeries were not reported in detail.</w:t>
      </w:r>
    </w:p>
    <w:p w:rsidR="00CC0B1F" w:rsidRDefault="00CC0B1F" w:rsidP="00CC0B1F">
      <w:pPr>
        <w:rPr>
          <w:rFonts w:eastAsia="Calibri"/>
          <w:lang w:eastAsia="en-US"/>
        </w:rPr>
      </w:pPr>
      <w:r>
        <w:t>With respect to relative effectiveness, SEMS placement appear</w:t>
      </w:r>
      <w:r w:rsidR="001E4722">
        <w:t>ed</w:t>
      </w:r>
      <w:r>
        <w:t xml:space="preserve"> to be non-inferior to </w:t>
      </w:r>
      <w:r w:rsidR="00DF03CC">
        <w:t>multi-stage</w:t>
      </w:r>
      <w:r>
        <w:t xml:space="preserve"> surgical resection. However, this conclusion </w:t>
      </w:r>
      <w:r w:rsidR="001E4722">
        <w:t>wa</w:t>
      </w:r>
      <w:r>
        <w:t>s based on a small number of studies with</w:t>
      </w:r>
      <w:r w:rsidRPr="00CC0B1F">
        <w:rPr>
          <w:rFonts w:eastAsia="Calibri"/>
          <w:lang w:eastAsia="en-US"/>
        </w:rPr>
        <w:t xml:space="preserve"> </w:t>
      </w:r>
      <w:r>
        <w:rPr>
          <w:rFonts w:eastAsia="Calibri"/>
          <w:lang w:eastAsia="en-US"/>
        </w:rPr>
        <w:t>considerable methodological deficiencies</w:t>
      </w:r>
      <w:r>
        <w:t>, and should be accepted with caution.</w:t>
      </w:r>
    </w:p>
    <w:p w:rsidR="00737637" w:rsidRPr="00BE3EA8" w:rsidRDefault="0052165C" w:rsidP="0052165C">
      <w:pPr>
        <w:pStyle w:val="Heading2"/>
      </w:pPr>
      <w:bookmarkStart w:id="307" w:name="_Toc352924444"/>
      <w:r w:rsidRPr="00BE3EA8">
        <w:t>What are the economic considerations?</w:t>
      </w:r>
      <w:bookmarkEnd w:id="306"/>
      <w:bookmarkEnd w:id="307"/>
    </w:p>
    <w:p w:rsidR="00CC3186" w:rsidRDefault="00CC3186" w:rsidP="00F66BA3">
      <w:r>
        <w:t xml:space="preserve">A major limitation in determining the cost-effectiveness of SEMS insertion </w:t>
      </w:r>
      <w:r w:rsidR="00A57A05">
        <w:t>wa</w:t>
      </w:r>
      <w:r>
        <w:t>s the lack of randomised comparative studies, as discussed above. For example, the cost-effectiveness model comparing SEMS with colostomy for palliation</w:t>
      </w:r>
      <w:r w:rsidR="001E4722">
        <w:t xml:space="preserve"> was applied using</w:t>
      </w:r>
      <w:r>
        <w:t xml:space="preserve"> effectiveness data extracted from two small European RCTs (n&lt;60). These data were used to model the median survival of patients. However, the </w:t>
      </w:r>
      <w:r w:rsidR="001E4722">
        <w:t xml:space="preserve">applicability </w:t>
      </w:r>
      <w:r>
        <w:t>of these results to the Australian setting is questionable and the results shoul</w:t>
      </w:r>
      <w:r w:rsidR="00F66BA3">
        <w:t xml:space="preserve">d be interpreted with caution. </w:t>
      </w:r>
      <w:r>
        <w:t xml:space="preserve">Due to the limited information provided in the RCTs, additional data were extracted from case series studies to populate the models in terms of clinical and technical success of SEMS. The </w:t>
      </w:r>
      <w:r w:rsidRPr="007840D7">
        <w:t xml:space="preserve">probability of a technical and clinical success of SEMS </w:t>
      </w:r>
      <w:r w:rsidRPr="007840D7">
        <w:lastRenderedPageBreak/>
        <w:t xml:space="preserve">was derived from one large study (n&gt;500). However, there may </w:t>
      </w:r>
      <w:r w:rsidR="001E4722">
        <w:t xml:space="preserve">have </w:t>
      </w:r>
      <w:r w:rsidRPr="007840D7">
        <w:t>be</w:t>
      </w:r>
      <w:r w:rsidR="001E4722">
        <w:t>en</w:t>
      </w:r>
      <w:r w:rsidRPr="007840D7">
        <w:t xml:space="preserve"> differences in the baseline risk of these patients and consequently the results may be biased if there are any systematic differences </w:t>
      </w:r>
      <w:r w:rsidR="00990653">
        <w:t>in these patie</w:t>
      </w:r>
      <w:r w:rsidR="00ED6295">
        <w:t>nts compared to patients in the</w:t>
      </w:r>
      <w:r w:rsidRPr="007840D7">
        <w:t xml:space="preserve"> Australian population. Accurate estimates of technical and clinical success are required, because these variables are key drivers of the</w:t>
      </w:r>
      <w:r>
        <w:t xml:space="preserve"> economic model. In both the palliation model and bridge to surgery model, if the technical success is less than 67</w:t>
      </w:r>
      <w:r w:rsidR="00A148C0">
        <w:t xml:space="preserve"> per cent</w:t>
      </w:r>
      <w:r>
        <w:t xml:space="preserve"> or 86</w:t>
      </w:r>
      <w:r w:rsidR="00A148C0">
        <w:t xml:space="preserve"> per cent</w:t>
      </w:r>
      <w:r>
        <w:t xml:space="preserve"> respectively, SEMS is no longer a cost savings procedure.  </w:t>
      </w:r>
    </w:p>
    <w:p w:rsidR="00CC3186" w:rsidRDefault="00CC3186" w:rsidP="00CC3186">
      <w:r>
        <w:t xml:space="preserve">The results of the cost-effectiveness analyses demonstrate that the majority of the cost savings associated with SEMS </w:t>
      </w:r>
      <w:r w:rsidR="001E4722">
        <w:t>wa</w:t>
      </w:r>
      <w:r>
        <w:t>s due to the reduction in hospital stay. It is worth noting that this d</w:t>
      </w:r>
      <w:r w:rsidR="001E4722">
        <w:t>id</w:t>
      </w:r>
      <w:r>
        <w:t xml:space="preserve"> not represent a significant saving to the MBS</w:t>
      </w:r>
      <w:r w:rsidR="001E4722">
        <w:t xml:space="preserve">, as </w:t>
      </w:r>
      <w:r>
        <w:t xml:space="preserve">the major beneficiaries of these savings </w:t>
      </w:r>
      <w:r w:rsidR="001E4722">
        <w:t>we</w:t>
      </w:r>
      <w:r>
        <w:t xml:space="preserve">re patients (through lower out-of-pocket expenses) and insurers (through lower hospital costs). SEMS </w:t>
      </w:r>
      <w:r w:rsidR="001E4722">
        <w:t>wa</w:t>
      </w:r>
      <w:r>
        <w:t xml:space="preserve">s associated with higher consumables costs, mainly the stent device; these costs </w:t>
      </w:r>
      <w:r w:rsidR="001E4722">
        <w:t>we</w:t>
      </w:r>
      <w:r>
        <w:t xml:space="preserve">re likely to be borne by the medical insurer. </w:t>
      </w:r>
    </w:p>
    <w:p w:rsidR="00CC3186" w:rsidRDefault="00CC3186" w:rsidP="00CC3186">
      <w:r>
        <w:t xml:space="preserve">The cost of the stent procedure was also a main driver in the model. In the </w:t>
      </w:r>
      <w:r w:rsidR="003617AD">
        <w:t>bridge to surgery</w:t>
      </w:r>
      <w:r>
        <w:t xml:space="preserve"> model, if the patient co-payment </w:t>
      </w:r>
      <w:r w:rsidR="00B67108">
        <w:t>wa</w:t>
      </w:r>
      <w:r>
        <w:t xml:space="preserve">s greater than $761 (in additional to the MBS benefit), SEMS would no longer result in cost-savings. However, given that SEMS </w:t>
      </w:r>
      <w:r w:rsidR="00B67108">
        <w:t>wa</w:t>
      </w:r>
      <w:r>
        <w:t xml:space="preserve">s associated with additional benefits, the additional cost would still be considered cost-effective at commonly used willingness-to-pay thresholds.  </w:t>
      </w:r>
    </w:p>
    <w:p w:rsidR="00CC3186" w:rsidRDefault="00CC3186" w:rsidP="00CC3186">
      <w:r>
        <w:t xml:space="preserve">A further limitation </w:t>
      </w:r>
      <w:r w:rsidR="00B67108">
        <w:t>wa</w:t>
      </w:r>
      <w:r>
        <w:t xml:space="preserve">s the appropriateness of best supportive care as the only treatment for patients requiring palliation. In many of these cases, colostomy may </w:t>
      </w:r>
      <w:r w:rsidR="00B67108">
        <w:t xml:space="preserve">have </w:t>
      </w:r>
      <w:r>
        <w:t>be</w:t>
      </w:r>
      <w:r w:rsidR="00B67108">
        <w:t>en</w:t>
      </w:r>
      <w:r>
        <w:t xml:space="preserve"> an appropriate alternative. However</w:t>
      </w:r>
      <w:r w:rsidR="00B67108">
        <w:t>,</w:t>
      </w:r>
      <w:r>
        <w:t xml:space="preserve"> no data were available that identified what proportion of palliative patients would be suitable for colostomy or best supportive care only. This ha</w:t>
      </w:r>
      <w:r w:rsidR="00B67108">
        <w:t>d</w:t>
      </w:r>
      <w:r>
        <w:t xml:space="preserve"> financial implications because SEMS </w:t>
      </w:r>
      <w:r w:rsidR="00B67108">
        <w:t>wa</w:t>
      </w:r>
      <w:r>
        <w:t xml:space="preserve">s cost saving relative to colostomy but more costly than best supportive care. </w:t>
      </w:r>
    </w:p>
    <w:p w:rsidR="0052165C" w:rsidRPr="00F2707B" w:rsidRDefault="00CC3186" w:rsidP="00CC3186">
      <w:r>
        <w:t xml:space="preserve">The overall financial impact </w:t>
      </w:r>
      <w:r w:rsidR="00B67108">
        <w:t>wa</w:t>
      </w:r>
      <w:r>
        <w:t>s uncertain due to difficulty in estimating the number of patients who would be suitable for SEMS insertion and additionally, the number of patients who would elect to have a SEMS in the private setting. The incidence of bowel obstruction has been quoted in the literature to range from 8</w:t>
      </w:r>
      <w:r w:rsidR="00A148C0">
        <w:t xml:space="preserve"> per cent</w:t>
      </w:r>
      <w:r>
        <w:t xml:space="preserve"> to 30</w:t>
      </w:r>
      <w:r w:rsidR="00A148C0">
        <w:t xml:space="preserve"> per cent</w:t>
      </w:r>
      <w:r>
        <w:t xml:space="preserve">, resulting in a large range in the estimated number of patients. Also, there </w:t>
      </w:r>
      <w:r w:rsidR="00B67108">
        <w:t>wa</w:t>
      </w:r>
      <w:r>
        <w:t xml:space="preserve">s a lack of evidence regarding the proportion of patients who would receive SEMS as a </w:t>
      </w:r>
      <w:r w:rsidR="003617AD">
        <w:t>bridge to surgery</w:t>
      </w:r>
      <w:r>
        <w:t xml:space="preserve"> versus receiving a SEMS in lieu of a colostomy for palliative purposes, which also impact</w:t>
      </w:r>
      <w:r w:rsidR="00B67108">
        <w:t>ed</w:t>
      </w:r>
      <w:r>
        <w:t xml:space="preserve"> the final patient estimates.</w:t>
      </w:r>
    </w:p>
    <w:p w:rsidR="008F59A8" w:rsidRPr="003C49DC" w:rsidRDefault="008F59A8" w:rsidP="00776777">
      <w:pPr>
        <w:pStyle w:val="Heading1"/>
      </w:pPr>
      <w:bookmarkStart w:id="308" w:name="_Toc214339190"/>
      <w:bookmarkStart w:id="309" w:name="_Toc352924445"/>
      <w:r w:rsidRPr="003C49DC">
        <w:lastRenderedPageBreak/>
        <w:t>Conclusions</w:t>
      </w:r>
      <w:bookmarkEnd w:id="308"/>
      <w:bookmarkEnd w:id="309"/>
      <w:r w:rsidRPr="003C49DC">
        <w:t xml:space="preserve"> </w:t>
      </w:r>
    </w:p>
    <w:p w:rsidR="008F59A8" w:rsidRPr="008F42F9" w:rsidRDefault="008F59A8">
      <w:pPr>
        <w:pStyle w:val="Heading2"/>
      </w:pPr>
      <w:bookmarkStart w:id="310" w:name="_Toc214339191"/>
      <w:bookmarkStart w:id="311" w:name="_Toc352924446"/>
      <w:r w:rsidRPr="008F42F9">
        <w:t>Safety</w:t>
      </w:r>
      <w:bookmarkEnd w:id="310"/>
      <w:bookmarkEnd w:id="311"/>
      <w:r w:rsidRPr="008F42F9">
        <w:t xml:space="preserve"> </w:t>
      </w:r>
    </w:p>
    <w:p w:rsidR="00CB211D" w:rsidRPr="007D5B7C" w:rsidRDefault="00CB211D" w:rsidP="00CB211D">
      <w:bookmarkStart w:id="312" w:name="_Toc214339192"/>
      <w:r w:rsidRPr="008F42F9">
        <w:t>From the available</w:t>
      </w:r>
      <w:r w:rsidR="00493183" w:rsidRPr="008F42F9">
        <w:t xml:space="preserve"> evidence</w:t>
      </w:r>
      <w:r w:rsidRPr="008F42F9">
        <w:t xml:space="preserve">, it </w:t>
      </w:r>
      <w:r w:rsidR="000A3578">
        <w:t>wa</w:t>
      </w:r>
      <w:r w:rsidRPr="008F42F9">
        <w:t xml:space="preserve">s difficult to make a definitive determination of the relative safety of SEMS placement compared to </w:t>
      </w:r>
      <w:r w:rsidR="00DF03CC">
        <w:t>multi-stage</w:t>
      </w:r>
      <w:r w:rsidRPr="008F42F9">
        <w:t xml:space="preserve"> surgery. Based on this evid</w:t>
      </w:r>
      <w:r w:rsidRPr="00325C69">
        <w:t xml:space="preserve">ence, which </w:t>
      </w:r>
      <w:r w:rsidR="000A3578">
        <w:t>wa</w:t>
      </w:r>
      <w:r w:rsidRPr="00325C69">
        <w:t>s largely low-level and of questionable methodological quality, SEMS placement appear</w:t>
      </w:r>
      <w:r w:rsidR="000A3578">
        <w:t>ed</w:t>
      </w:r>
      <w:r w:rsidRPr="00325C69">
        <w:t xml:space="preserve"> to be approximately equivalent to </w:t>
      </w:r>
      <w:r w:rsidR="00DF03CC">
        <w:t>multi-stage</w:t>
      </w:r>
      <w:r w:rsidRPr="00325C69">
        <w:t xml:space="preserve"> surgical resection in terms of safety, albeit with the prospect of severe medical consequences arising from is</w:t>
      </w:r>
      <w:r w:rsidRPr="007D5B7C">
        <w:t>sues such as bowel perforation and tumour growth-related events.</w:t>
      </w:r>
    </w:p>
    <w:p w:rsidR="00A135D9" w:rsidRPr="007D5B7C" w:rsidRDefault="008F59A8" w:rsidP="00B24207">
      <w:pPr>
        <w:pStyle w:val="Heading2"/>
      </w:pPr>
      <w:bookmarkStart w:id="313" w:name="_Toc352924447"/>
      <w:r w:rsidRPr="007D5B7C">
        <w:t>Effectiveness</w:t>
      </w:r>
      <w:bookmarkEnd w:id="312"/>
      <w:bookmarkEnd w:id="313"/>
    </w:p>
    <w:p w:rsidR="00493183" w:rsidRPr="00430AA8" w:rsidRDefault="00493183" w:rsidP="00493183">
      <w:r w:rsidRPr="007D5B7C">
        <w:t xml:space="preserve">Based on comparative evidence that </w:t>
      </w:r>
      <w:r w:rsidR="000A3578">
        <w:t>wa</w:t>
      </w:r>
      <w:r w:rsidRPr="007D5B7C">
        <w:t>s generally of low methodological quality and potentially subject to considerable bias, this assessment has found no benefit to patients rece</w:t>
      </w:r>
      <w:r w:rsidRPr="00960A9E">
        <w:t xml:space="preserve">iving SEMS placement over </w:t>
      </w:r>
      <w:r w:rsidR="00DF03CC">
        <w:t>multi-stage</w:t>
      </w:r>
      <w:r w:rsidRPr="00960A9E">
        <w:t xml:space="preserve"> surgical resection with regards to clinical outcomes or quality of life. Limited evidence suggest</w:t>
      </w:r>
      <w:r w:rsidR="000A3578">
        <w:t>ed</w:t>
      </w:r>
      <w:r w:rsidRPr="00960A9E">
        <w:t xml:space="preserve"> that patients receiving SEMS as a bridge to surgery may </w:t>
      </w:r>
      <w:r w:rsidR="000A3578">
        <w:t xml:space="preserve">have </w:t>
      </w:r>
      <w:r w:rsidRPr="00960A9E">
        <w:t>be</w:t>
      </w:r>
      <w:r w:rsidR="000A3578">
        <w:t>en</w:t>
      </w:r>
      <w:r w:rsidRPr="00960A9E">
        <w:t xml:space="preserve"> more likely to avoid </w:t>
      </w:r>
      <w:r w:rsidR="00DF03CC">
        <w:t>multi-stage</w:t>
      </w:r>
      <w:r w:rsidRPr="00960A9E">
        <w:t xml:space="preserve"> resection; however, the qua</w:t>
      </w:r>
      <w:r w:rsidRPr="00EA2600">
        <w:t xml:space="preserve">ntity and quality of available evidence </w:t>
      </w:r>
      <w:r w:rsidR="000A3578">
        <w:t>wa</w:t>
      </w:r>
      <w:r w:rsidRPr="00EA2600">
        <w:t>s insufficient to verify this</w:t>
      </w:r>
      <w:r w:rsidR="00AC1A4C" w:rsidRPr="00EC591E">
        <w:t xml:space="preserve"> conclusively</w:t>
      </w:r>
      <w:r w:rsidRPr="00430AA8">
        <w:t>.</w:t>
      </w:r>
    </w:p>
    <w:p w:rsidR="00F568FA" w:rsidRPr="009672A9" w:rsidRDefault="00957FC8" w:rsidP="009B37DB">
      <w:pPr>
        <w:pStyle w:val="Heading2"/>
      </w:pPr>
      <w:bookmarkStart w:id="314" w:name="_Toc214339193"/>
      <w:bookmarkStart w:id="315" w:name="_Toc352924448"/>
      <w:r w:rsidRPr="00347DAA">
        <w:t>Economic considerations</w:t>
      </w:r>
      <w:bookmarkEnd w:id="314"/>
      <w:bookmarkEnd w:id="315"/>
    </w:p>
    <w:p w:rsidR="009E0179" w:rsidRPr="002E2F6E" w:rsidRDefault="009E0179" w:rsidP="00CA537D">
      <w:pPr>
        <w:pStyle w:val="Heading3"/>
      </w:pPr>
      <w:r w:rsidRPr="0007443E">
        <w:t xml:space="preserve">Patients fit for </w:t>
      </w:r>
      <w:r w:rsidR="00DF03CC">
        <w:t>multi-stage</w:t>
      </w:r>
      <w:r w:rsidRPr="0007443E">
        <w:t xml:space="preserve"> surgery</w:t>
      </w:r>
    </w:p>
    <w:p w:rsidR="009E0179" w:rsidRPr="00C605D6" w:rsidRDefault="009E0179" w:rsidP="009E0179">
      <w:pPr>
        <w:rPr>
          <w:bCs/>
        </w:rPr>
      </w:pPr>
      <w:r w:rsidRPr="00C605D6">
        <w:t>A decision tree was developed to estimate the cost-effectiveness given differences in length of hospital stay and complications between the two treatments.</w:t>
      </w:r>
    </w:p>
    <w:p w:rsidR="009E0179" w:rsidRPr="000A3578" w:rsidRDefault="009E0179" w:rsidP="0007443E">
      <w:pPr>
        <w:pStyle w:val="Heading4"/>
      </w:pPr>
      <w:r w:rsidRPr="000A3578">
        <w:t>For patients requiring palliation</w:t>
      </w:r>
    </w:p>
    <w:p w:rsidR="009E0179" w:rsidRPr="00C605D6" w:rsidRDefault="009E0179" w:rsidP="009E0179">
      <w:pPr>
        <w:pStyle w:val="ListParagraph"/>
        <w:numPr>
          <w:ilvl w:val="0"/>
          <w:numId w:val="31"/>
        </w:numPr>
        <w:spacing w:before="120"/>
        <w:ind w:left="1434" w:hanging="357"/>
      </w:pPr>
      <w:r w:rsidRPr="00C605D6">
        <w:t>SEMS for malignant bowel obstruction for palliation was a cost savings ($2,707) when compared to palliative colostomy.</w:t>
      </w:r>
    </w:p>
    <w:p w:rsidR="009E0179" w:rsidRPr="00C605D6" w:rsidRDefault="009E0179" w:rsidP="009E0179">
      <w:pPr>
        <w:pStyle w:val="ListParagraph"/>
        <w:numPr>
          <w:ilvl w:val="0"/>
          <w:numId w:val="31"/>
        </w:numPr>
        <w:spacing w:before="120"/>
        <w:ind w:left="1434" w:hanging="357"/>
      </w:pPr>
      <w:r w:rsidRPr="00C605D6">
        <w:t>The SEMS group was estimated to gain an additional 0.01 QALYs when compared to the colostomy group.</w:t>
      </w:r>
    </w:p>
    <w:p w:rsidR="009E0179" w:rsidRPr="00C605D6" w:rsidRDefault="009E0179" w:rsidP="0007443E">
      <w:pPr>
        <w:pStyle w:val="Heading4"/>
      </w:pPr>
      <w:r w:rsidRPr="00C605D6">
        <w:t xml:space="preserve">For patients requiring a </w:t>
      </w:r>
      <w:r w:rsidR="003617AD">
        <w:t>bridge to surgery</w:t>
      </w:r>
    </w:p>
    <w:p w:rsidR="009E0179" w:rsidRPr="00C605D6" w:rsidRDefault="009E0179" w:rsidP="009E0179">
      <w:pPr>
        <w:pStyle w:val="ListParagraph"/>
        <w:numPr>
          <w:ilvl w:val="0"/>
          <w:numId w:val="32"/>
        </w:numPr>
      </w:pPr>
      <w:r w:rsidRPr="00C605D6">
        <w:t xml:space="preserve">SEMS for malignant bowel obstruction followed by </w:t>
      </w:r>
      <w:r w:rsidR="00DF03CC">
        <w:t>multi-stage</w:t>
      </w:r>
      <w:r w:rsidRPr="00C605D6">
        <w:t xml:space="preserve"> surgery </w:t>
      </w:r>
      <w:r w:rsidR="002A6730">
        <w:t>wa</w:t>
      </w:r>
      <w:r w:rsidRPr="00C605D6">
        <w:t xml:space="preserve">s cost saving when compared to colostomy or Hartmann’s procedure ($440). </w:t>
      </w:r>
    </w:p>
    <w:p w:rsidR="009E0179" w:rsidRPr="00C605D6" w:rsidRDefault="009E0179" w:rsidP="006943FA">
      <w:pPr>
        <w:pStyle w:val="ListParagraph"/>
        <w:numPr>
          <w:ilvl w:val="0"/>
          <w:numId w:val="32"/>
        </w:numPr>
        <w:spacing w:before="120"/>
      </w:pPr>
      <w:r w:rsidRPr="00C605D6">
        <w:t>The SEMS group was estimated to gain an additional 0.52 QALYs when compared to the colostomy group.</w:t>
      </w:r>
    </w:p>
    <w:p w:rsidR="009E0179" w:rsidRPr="00C605D6" w:rsidRDefault="009E0179" w:rsidP="009E0179">
      <w:r w:rsidRPr="00C605D6">
        <w:rPr>
          <w:bCs/>
        </w:rPr>
        <w:t xml:space="preserve">The financial </w:t>
      </w:r>
      <w:r w:rsidR="002A6730">
        <w:rPr>
          <w:bCs/>
        </w:rPr>
        <w:t>analyses</w:t>
      </w:r>
      <w:r w:rsidR="002A6730" w:rsidRPr="00C605D6">
        <w:rPr>
          <w:bCs/>
        </w:rPr>
        <w:t xml:space="preserve"> </w:t>
      </w:r>
      <w:r w:rsidRPr="00C605D6">
        <w:rPr>
          <w:bCs/>
        </w:rPr>
        <w:t>suggest</w:t>
      </w:r>
      <w:r w:rsidR="002A6730">
        <w:rPr>
          <w:bCs/>
        </w:rPr>
        <w:t>ed</w:t>
      </w:r>
      <w:r w:rsidRPr="00C605D6">
        <w:rPr>
          <w:bCs/>
        </w:rPr>
        <w:t xml:space="preserve"> that SEMS insertion </w:t>
      </w:r>
      <w:r w:rsidR="002A6730">
        <w:rPr>
          <w:bCs/>
        </w:rPr>
        <w:t>wa</w:t>
      </w:r>
      <w:r w:rsidRPr="00C605D6">
        <w:rPr>
          <w:bCs/>
        </w:rPr>
        <w:t xml:space="preserve">s a cost savings versus the comparators for both palliation and </w:t>
      </w:r>
      <w:r w:rsidR="003617AD">
        <w:rPr>
          <w:bCs/>
        </w:rPr>
        <w:t>bridge to surgery</w:t>
      </w:r>
      <w:r w:rsidRPr="00C605D6">
        <w:rPr>
          <w:bCs/>
        </w:rPr>
        <w:t>. An estimated cost savings range</w:t>
      </w:r>
      <w:r w:rsidR="002A6730">
        <w:rPr>
          <w:bCs/>
        </w:rPr>
        <w:t>d</w:t>
      </w:r>
      <w:r w:rsidRPr="00C605D6">
        <w:rPr>
          <w:bCs/>
        </w:rPr>
        <w:t xml:space="preserve"> from $363,981 to $1,319,430 in the palliation group and $138,045 to $500,412 in the </w:t>
      </w:r>
      <w:r w:rsidR="003617AD">
        <w:rPr>
          <w:bCs/>
        </w:rPr>
        <w:t>bridge to surgery</w:t>
      </w:r>
      <w:r w:rsidRPr="00C605D6">
        <w:rPr>
          <w:bCs/>
        </w:rPr>
        <w:t xml:space="preserve"> group based on the lowest and highest estimate of the number of patients eligible to be treated with SEMS for malignant bowel obstruction. </w:t>
      </w:r>
    </w:p>
    <w:p w:rsidR="009E0179" w:rsidRPr="00C605D6" w:rsidRDefault="009E0179" w:rsidP="00CA537D">
      <w:pPr>
        <w:pStyle w:val="Heading3"/>
      </w:pPr>
      <w:bookmarkStart w:id="316" w:name="_Ref265759863"/>
      <w:bookmarkStart w:id="317" w:name="_Ref265842845"/>
      <w:r w:rsidRPr="0007443E">
        <w:lastRenderedPageBreak/>
        <w:t xml:space="preserve">Patients unfit for </w:t>
      </w:r>
      <w:r w:rsidR="00DF03CC" w:rsidRPr="0007443E">
        <w:t>multi-stage</w:t>
      </w:r>
      <w:r w:rsidRPr="0007443E">
        <w:t xml:space="preserve"> surgery</w:t>
      </w:r>
    </w:p>
    <w:p w:rsidR="009E0179" w:rsidRDefault="009E0179" w:rsidP="006943FA">
      <w:r w:rsidRPr="00C605D6">
        <w:t xml:space="preserve">For patients who </w:t>
      </w:r>
      <w:r w:rsidR="002A6730">
        <w:t>we</w:t>
      </w:r>
      <w:r w:rsidRPr="00C605D6">
        <w:t xml:space="preserve">re unfit for surgery, where SEMS would </w:t>
      </w:r>
      <w:r w:rsidR="002A6730">
        <w:t xml:space="preserve">have </w:t>
      </w:r>
      <w:r w:rsidRPr="00C605D6">
        <w:t>replace</w:t>
      </w:r>
      <w:r w:rsidR="002A6730">
        <w:t>d</w:t>
      </w:r>
      <w:r w:rsidRPr="00C605D6">
        <w:t xml:space="preserve"> best supportive care, the cost of providing the stent procedure rather than palliation alone </w:t>
      </w:r>
      <w:r w:rsidR="002A6730">
        <w:t>wa</w:t>
      </w:r>
      <w:r w:rsidRPr="00C605D6">
        <w:t>s estimated to be $9,659.</w:t>
      </w:r>
    </w:p>
    <w:p w:rsidR="003B559E" w:rsidRPr="00083501" w:rsidRDefault="009E0179" w:rsidP="006943FA">
      <w:r w:rsidRPr="00C605D6">
        <w:rPr>
          <w:iCs/>
        </w:rPr>
        <w:t xml:space="preserve">The financial </w:t>
      </w:r>
      <w:r w:rsidR="002A6730">
        <w:rPr>
          <w:iCs/>
        </w:rPr>
        <w:t>analyses</w:t>
      </w:r>
      <w:r w:rsidR="002A6730" w:rsidRPr="00C605D6">
        <w:rPr>
          <w:iCs/>
        </w:rPr>
        <w:t xml:space="preserve"> </w:t>
      </w:r>
      <w:r w:rsidRPr="00C605D6">
        <w:rPr>
          <w:iCs/>
        </w:rPr>
        <w:t>suggest</w:t>
      </w:r>
      <w:r w:rsidR="002A6730">
        <w:rPr>
          <w:iCs/>
        </w:rPr>
        <w:t>ed</w:t>
      </w:r>
      <w:r w:rsidRPr="00C605D6">
        <w:rPr>
          <w:iCs/>
        </w:rPr>
        <w:t xml:space="preserve"> that i</w:t>
      </w:r>
      <w:r w:rsidRPr="00C605D6">
        <w:t xml:space="preserve">f all patients </w:t>
      </w:r>
      <w:r w:rsidRPr="00C605D6">
        <w:rPr>
          <w:iCs/>
        </w:rPr>
        <w:t>received SEMS rather than best supportive care, the overall additional cost would be between $1,294,105 (lower limit) and $4,703,201</w:t>
      </w:r>
      <w:r>
        <w:rPr>
          <w:iCs/>
        </w:rPr>
        <w:t xml:space="preserve"> (upper limit)</w:t>
      </w:r>
      <w:bookmarkEnd w:id="316"/>
      <w:bookmarkEnd w:id="317"/>
      <w:r w:rsidR="002E2F6E">
        <w:rPr>
          <w:iCs/>
        </w:rPr>
        <w:t>.</w:t>
      </w:r>
    </w:p>
    <w:p w:rsidR="008F59A8" w:rsidRPr="003914B6" w:rsidRDefault="00003287" w:rsidP="00776777">
      <w:pPr>
        <w:pStyle w:val="Heading1"/>
        <w:rPr>
          <w:bCs/>
          <w:lang w:val="en-AU"/>
        </w:rPr>
      </w:pPr>
      <w:bookmarkStart w:id="318" w:name="_Appendix_A_"/>
      <w:bookmarkStart w:id="319" w:name="_Ref206484417"/>
      <w:bookmarkStart w:id="320" w:name="_Toc214339196"/>
      <w:bookmarkStart w:id="321" w:name="_Toc352924449"/>
      <w:bookmarkEnd w:id="318"/>
      <w:r w:rsidRPr="0086082D">
        <w:rPr>
          <w:bCs/>
        </w:rPr>
        <w:lastRenderedPageBreak/>
        <w:t xml:space="preserve">Appendix </w:t>
      </w:r>
      <w:bookmarkEnd w:id="319"/>
      <w:r w:rsidR="0036758C">
        <w:rPr>
          <w:bCs/>
          <w:lang w:val="en-AU"/>
        </w:rPr>
        <w:t>A</w:t>
      </w:r>
      <w:r w:rsidR="008F59A8" w:rsidRPr="004016F9">
        <w:rPr>
          <w:bCs/>
        </w:rPr>
        <w:tab/>
      </w:r>
      <w:r w:rsidR="00516B5D">
        <w:rPr>
          <w:bCs/>
          <w:lang w:val="en-AU"/>
        </w:rPr>
        <w:t>Health Expert Standing Panel</w:t>
      </w:r>
      <w:r w:rsidR="009B7F96" w:rsidRPr="00C71844">
        <w:rPr>
          <w:bCs/>
        </w:rPr>
        <w:t xml:space="preserve"> </w:t>
      </w:r>
      <w:r w:rsidR="00867543" w:rsidRPr="001166E9">
        <w:rPr>
          <w:bCs/>
        </w:rPr>
        <w:t xml:space="preserve">and </w:t>
      </w:r>
      <w:bookmarkEnd w:id="320"/>
      <w:r w:rsidR="0036758C">
        <w:rPr>
          <w:bCs/>
          <w:lang w:val="en-AU"/>
        </w:rPr>
        <w:t>Assessment Group</w:t>
      </w:r>
      <w:bookmarkEnd w:id="321"/>
    </w:p>
    <w:p w:rsidR="00B95B5A" w:rsidRPr="00E734FE" w:rsidRDefault="0036758C" w:rsidP="00A75144">
      <w:pPr>
        <w:pStyle w:val="Heading2"/>
      </w:pPr>
      <w:bookmarkStart w:id="322" w:name="_Toc214339198"/>
      <w:r>
        <w:t>Health</w:t>
      </w:r>
      <w:r w:rsidRPr="00BB3C05">
        <w:t xml:space="preserve"> </w:t>
      </w:r>
      <w:r w:rsidR="00B95B5A" w:rsidRPr="00BB3C05">
        <w:t>Expert Standing Panel – MSAC application 1</w:t>
      </w:r>
      <w:r w:rsidR="00E734FE">
        <w:t>1</w:t>
      </w:r>
      <w:r w:rsidR="00B95B5A" w:rsidRPr="00E734FE">
        <w:t>50</w:t>
      </w:r>
    </w:p>
    <w:p w:rsidR="00516B5D" w:rsidRPr="00BE3EA8" w:rsidRDefault="00516B5D" w:rsidP="001D7564">
      <w:pPr>
        <w:keepNext/>
        <w:tabs>
          <w:tab w:val="left" w:pos="3981"/>
        </w:tabs>
        <w:autoSpaceDE w:val="0"/>
        <w:autoSpaceDN w:val="0"/>
        <w:adjustRightInd w:val="0"/>
        <w:spacing w:after="120"/>
        <w:ind w:hanging="11"/>
        <w:rPr>
          <w:b/>
          <w:sz w:val="22"/>
          <w:szCs w:val="22"/>
        </w:rPr>
      </w:pPr>
      <w:r w:rsidRPr="00BE3EA8">
        <w:rPr>
          <w:b/>
          <w:sz w:val="22"/>
          <w:szCs w:val="22"/>
        </w:rPr>
        <w:t>Member</w:t>
      </w:r>
      <w:r w:rsidRPr="00BE3EA8">
        <w:rPr>
          <w:b/>
          <w:sz w:val="22"/>
          <w:szCs w:val="22"/>
        </w:rPr>
        <w:tab/>
        <w:t>Nomination/expertise or affiliation</w:t>
      </w:r>
    </w:p>
    <w:p w:rsidR="00516B5D" w:rsidRPr="00BB3C05" w:rsidRDefault="00516B5D" w:rsidP="001D7564">
      <w:pPr>
        <w:keepNext/>
        <w:tabs>
          <w:tab w:val="left" w:pos="3981"/>
        </w:tabs>
        <w:autoSpaceDE w:val="0"/>
        <w:autoSpaceDN w:val="0"/>
        <w:adjustRightInd w:val="0"/>
        <w:spacing w:after="0"/>
        <w:rPr>
          <w:sz w:val="22"/>
          <w:szCs w:val="22"/>
        </w:rPr>
      </w:pPr>
      <w:r w:rsidRPr="00BB3C05">
        <w:rPr>
          <w:szCs w:val="24"/>
        </w:rPr>
        <w:t>Dr Chip Farmer</w:t>
      </w:r>
      <w:r w:rsidRPr="00BB3C05">
        <w:rPr>
          <w:sz w:val="22"/>
          <w:szCs w:val="22"/>
        </w:rPr>
        <w:tab/>
      </w:r>
      <w:r w:rsidRPr="00BB3C05">
        <w:rPr>
          <w:szCs w:val="24"/>
        </w:rPr>
        <w:t xml:space="preserve">Colorectal surgeon </w:t>
      </w:r>
      <w:r w:rsidRPr="00BB3C05">
        <w:rPr>
          <w:szCs w:val="24"/>
        </w:rPr>
        <w:br/>
      </w:r>
    </w:p>
    <w:p w:rsidR="002D5ECA" w:rsidRPr="003914B6" w:rsidRDefault="006F3B64" w:rsidP="0007443E">
      <w:pPr>
        <w:pStyle w:val="Heading3"/>
        <w:rPr>
          <w:lang w:val="en-AU"/>
        </w:rPr>
      </w:pPr>
      <w:r>
        <w:rPr>
          <w:lang w:val="en-AU"/>
        </w:rPr>
        <w:t>Assessment Group</w:t>
      </w:r>
    </w:p>
    <w:p w:rsidR="00516B5D" w:rsidRPr="00BB3C05" w:rsidRDefault="00516B5D" w:rsidP="00530E94">
      <w:pPr>
        <w:tabs>
          <w:tab w:val="left" w:pos="3838"/>
        </w:tabs>
        <w:autoSpaceDE w:val="0"/>
        <w:autoSpaceDN w:val="0"/>
        <w:adjustRightInd w:val="0"/>
        <w:spacing w:after="120"/>
        <w:ind w:hanging="11"/>
        <w:rPr>
          <w:b/>
          <w:sz w:val="22"/>
          <w:szCs w:val="22"/>
        </w:rPr>
      </w:pPr>
      <w:r w:rsidRPr="00BB3C05">
        <w:rPr>
          <w:b/>
          <w:sz w:val="22"/>
          <w:szCs w:val="22"/>
        </w:rPr>
        <w:t>Name</w:t>
      </w:r>
      <w:r w:rsidRPr="00BB3C05">
        <w:rPr>
          <w:b/>
          <w:sz w:val="22"/>
          <w:szCs w:val="22"/>
        </w:rPr>
        <w:tab/>
        <w:t>Organisation</w:t>
      </w:r>
    </w:p>
    <w:p w:rsidR="00516B5D" w:rsidRPr="00530E94" w:rsidRDefault="00516B5D" w:rsidP="00530E94">
      <w:pPr>
        <w:tabs>
          <w:tab w:val="left" w:pos="3838"/>
        </w:tabs>
        <w:rPr>
          <w:szCs w:val="24"/>
        </w:rPr>
      </w:pPr>
      <w:r w:rsidRPr="00530E94">
        <w:rPr>
          <w:szCs w:val="24"/>
        </w:rPr>
        <w:t>Dr Yasoba Atukorale</w:t>
      </w:r>
      <w:r w:rsidRPr="00530E94">
        <w:rPr>
          <w:szCs w:val="24"/>
        </w:rPr>
        <w:tab/>
      </w:r>
      <w:r>
        <w:rPr>
          <w:szCs w:val="24"/>
        </w:rPr>
        <w:t>Australian Safety and Efficacy Register of New Interventional Procedures – Surgical (</w:t>
      </w:r>
      <w:r w:rsidRPr="00530E94">
        <w:rPr>
          <w:szCs w:val="24"/>
        </w:rPr>
        <w:t>ASERNIP-S</w:t>
      </w:r>
      <w:r>
        <w:rPr>
          <w:szCs w:val="24"/>
        </w:rPr>
        <w:t>)</w:t>
      </w:r>
    </w:p>
    <w:p w:rsidR="00516B5D" w:rsidRPr="00530E94" w:rsidRDefault="00516B5D" w:rsidP="00530E94">
      <w:pPr>
        <w:tabs>
          <w:tab w:val="left" w:pos="3838"/>
        </w:tabs>
        <w:rPr>
          <w:szCs w:val="24"/>
        </w:rPr>
      </w:pPr>
      <w:r w:rsidRPr="00530E94">
        <w:rPr>
          <w:szCs w:val="24"/>
        </w:rPr>
        <w:t>Mr Ben Hoggan</w:t>
      </w:r>
      <w:r w:rsidRPr="00530E94">
        <w:rPr>
          <w:szCs w:val="24"/>
        </w:rPr>
        <w:tab/>
        <w:t>ASERNIP-S</w:t>
      </w:r>
    </w:p>
    <w:p w:rsidR="00516B5D" w:rsidRPr="00530E94" w:rsidRDefault="00516B5D" w:rsidP="00530E94">
      <w:pPr>
        <w:tabs>
          <w:tab w:val="left" w:pos="3838"/>
        </w:tabs>
        <w:rPr>
          <w:szCs w:val="24"/>
        </w:rPr>
      </w:pPr>
      <w:r w:rsidRPr="00530E94">
        <w:rPr>
          <w:szCs w:val="24"/>
        </w:rPr>
        <w:t>Ms Robyn La</w:t>
      </w:r>
      <w:r>
        <w:rPr>
          <w:szCs w:val="24"/>
        </w:rPr>
        <w:t>m</w:t>
      </w:r>
      <w:r w:rsidRPr="00530E94">
        <w:rPr>
          <w:szCs w:val="24"/>
        </w:rPr>
        <w:t>bert</w:t>
      </w:r>
      <w:r w:rsidRPr="00530E94">
        <w:rPr>
          <w:szCs w:val="24"/>
        </w:rPr>
        <w:tab/>
        <w:t>ASERNIP-S</w:t>
      </w:r>
    </w:p>
    <w:p w:rsidR="00516B5D" w:rsidRPr="00530E94" w:rsidRDefault="00516B5D" w:rsidP="00530E94">
      <w:pPr>
        <w:tabs>
          <w:tab w:val="left" w:pos="3838"/>
        </w:tabs>
        <w:rPr>
          <w:szCs w:val="24"/>
        </w:rPr>
      </w:pPr>
      <w:r w:rsidRPr="00530E94">
        <w:rPr>
          <w:szCs w:val="24"/>
        </w:rPr>
        <w:t>Ms Stefanie Gurgacz</w:t>
      </w:r>
      <w:r w:rsidRPr="00530E94">
        <w:rPr>
          <w:szCs w:val="24"/>
        </w:rPr>
        <w:tab/>
        <w:t>ASERNIP-S</w:t>
      </w:r>
    </w:p>
    <w:p w:rsidR="00516B5D" w:rsidRPr="00530E94" w:rsidRDefault="00516B5D" w:rsidP="00530E94">
      <w:pPr>
        <w:tabs>
          <w:tab w:val="left" w:pos="3838"/>
        </w:tabs>
        <w:rPr>
          <w:szCs w:val="24"/>
        </w:rPr>
      </w:pPr>
      <w:r w:rsidRPr="00530E94">
        <w:rPr>
          <w:szCs w:val="24"/>
        </w:rPr>
        <w:t xml:space="preserve">Ms Jody Church </w:t>
      </w:r>
      <w:r w:rsidRPr="00530E94">
        <w:rPr>
          <w:szCs w:val="24"/>
        </w:rPr>
        <w:tab/>
      </w:r>
      <w:r>
        <w:rPr>
          <w:szCs w:val="24"/>
        </w:rPr>
        <w:t>Centre for Health Economics Research and Evaluation (</w:t>
      </w:r>
      <w:r w:rsidRPr="00530E94">
        <w:rPr>
          <w:szCs w:val="24"/>
        </w:rPr>
        <w:t>CHERE</w:t>
      </w:r>
      <w:r>
        <w:rPr>
          <w:szCs w:val="24"/>
        </w:rPr>
        <w:t>)</w:t>
      </w:r>
    </w:p>
    <w:p w:rsidR="00516B5D" w:rsidRPr="00530E94" w:rsidRDefault="00516B5D" w:rsidP="00530E94">
      <w:pPr>
        <w:tabs>
          <w:tab w:val="left" w:pos="3838"/>
        </w:tabs>
        <w:rPr>
          <w:szCs w:val="24"/>
        </w:rPr>
      </w:pPr>
      <w:r w:rsidRPr="00530E94">
        <w:rPr>
          <w:szCs w:val="24"/>
        </w:rPr>
        <w:t>Dr Stephen Goodall</w:t>
      </w:r>
      <w:r w:rsidRPr="00530E94">
        <w:rPr>
          <w:szCs w:val="24"/>
        </w:rPr>
        <w:tab/>
        <w:t>CHERE</w:t>
      </w:r>
    </w:p>
    <w:p w:rsidR="008519A0" w:rsidRPr="00BB3C05" w:rsidRDefault="00871F61" w:rsidP="00871F61">
      <w:pPr>
        <w:pStyle w:val="Heading1"/>
        <w:rPr>
          <w:bCs/>
        </w:rPr>
      </w:pPr>
      <w:bookmarkStart w:id="323" w:name="_Appendix_C_Search"/>
      <w:bookmarkStart w:id="324" w:name="_Toc214339199"/>
      <w:bookmarkStart w:id="325" w:name="_Ref325977442"/>
      <w:bookmarkStart w:id="326" w:name="_Ref326478486"/>
      <w:bookmarkStart w:id="327" w:name="_Toc352924450"/>
      <w:bookmarkEnd w:id="322"/>
      <w:bookmarkEnd w:id="323"/>
      <w:r w:rsidRPr="00BB3C05">
        <w:rPr>
          <w:bCs/>
        </w:rPr>
        <w:lastRenderedPageBreak/>
        <w:t xml:space="preserve">Appendix </w:t>
      </w:r>
      <w:r w:rsidR="00F76B65">
        <w:rPr>
          <w:bCs/>
          <w:lang w:val="en-AU"/>
        </w:rPr>
        <w:t>B</w:t>
      </w:r>
      <w:r w:rsidRPr="00BB3C05">
        <w:rPr>
          <w:bCs/>
        </w:rPr>
        <w:tab/>
        <w:t>Search strategies</w:t>
      </w:r>
      <w:bookmarkEnd w:id="324"/>
      <w:bookmarkEnd w:id="325"/>
      <w:bookmarkEnd w:id="326"/>
      <w:bookmarkEnd w:id="327"/>
    </w:p>
    <w:p w:rsidR="008519A0" w:rsidRPr="007E6EAB" w:rsidRDefault="008519A0" w:rsidP="00A75144">
      <w:pPr>
        <w:pStyle w:val="Heading2"/>
      </w:pPr>
      <w:r w:rsidRPr="007E6EAB">
        <w:t xml:space="preserve">MeSH </w:t>
      </w:r>
      <w:r w:rsidR="00301282" w:rsidRPr="007E6EAB">
        <w:t>s</w:t>
      </w:r>
      <w:r w:rsidRPr="007E6EAB">
        <w:t>earch</w:t>
      </w:r>
    </w:p>
    <w:p w:rsidR="008519A0" w:rsidRPr="007E6EAB" w:rsidRDefault="008519A0" w:rsidP="007E6EAB">
      <w:r w:rsidRPr="007E6EAB">
        <w:t>1 - Stents</w:t>
      </w:r>
      <w:r w:rsidR="007E6EAB">
        <w:br/>
      </w:r>
      <w:r w:rsidRPr="007E6EAB">
        <w:t>2 - Intestinal obstruction</w:t>
      </w:r>
      <w:r w:rsidR="007E6EAB">
        <w:br/>
      </w:r>
      <w:r w:rsidRPr="007E6EAB">
        <w:t>3 - Constriction, pathologic</w:t>
      </w:r>
      <w:r w:rsidR="007E6EAB">
        <w:br/>
      </w:r>
      <w:r w:rsidRPr="007E6EAB">
        <w:t>4 - Intestine, Large</w:t>
      </w:r>
      <w:r w:rsidR="007E6EAB">
        <w:br/>
      </w:r>
      <w:r w:rsidRPr="007E6EAB">
        <w:t>5 - #3 and #4</w:t>
      </w:r>
      <w:r w:rsidR="007E6EAB">
        <w:br/>
      </w:r>
      <w:r w:rsidRPr="007E6EAB">
        <w:t>6 - #2 or #5</w:t>
      </w:r>
      <w:r w:rsidR="007E6EAB">
        <w:br/>
      </w:r>
      <w:r w:rsidRPr="007E6EAB">
        <w:t>7 - #1 and #6</w:t>
      </w:r>
    </w:p>
    <w:p w:rsidR="008519A0" w:rsidRPr="007E6EAB" w:rsidRDefault="008519A0" w:rsidP="007E6EAB">
      <w:pPr>
        <w:pStyle w:val="Heading3"/>
      </w:pPr>
      <w:r w:rsidRPr="007E6EAB">
        <w:t>Text-word search</w:t>
      </w:r>
    </w:p>
    <w:p w:rsidR="008519A0" w:rsidRPr="007E6EAB" w:rsidRDefault="008519A0" w:rsidP="007E6EAB">
      <w:r w:rsidRPr="007E6EAB">
        <w:t>8 - stent*</w:t>
      </w:r>
      <w:r w:rsidR="007E6EAB">
        <w:br/>
      </w:r>
      <w:r w:rsidRPr="007E6EAB">
        <w:t xml:space="preserve">9 </w:t>
      </w:r>
      <w:r w:rsidR="007E6EAB">
        <w:t>–</w:t>
      </w:r>
      <w:r w:rsidRPr="007E6EAB">
        <w:t xml:space="preserve"> Ultraflex</w:t>
      </w:r>
      <w:r w:rsidR="007E6EAB">
        <w:br/>
      </w:r>
      <w:r w:rsidRPr="007E6EAB">
        <w:t xml:space="preserve">10 </w:t>
      </w:r>
      <w:r w:rsidR="007E6EAB">
        <w:t>–</w:t>
      </w:r>
      <w:r w:rsidRPr="007E6EAB">
        <w:t xml:space="preserve"> Wallstent</w:t>
      </w:r>
      <w:r w:rsidR="007E6EAB">
        <w:br/>
      </w:r>
      <w:r w:rsidRPr="007E6EAB">
        <w:t xml:space="preserve">11 </w:t>
      </w:r>
      <w:r w:rsidR="007E6EAB">
        <w:t>–</w:t>
      </w:r>
      <w:r w:rsidRPr="007E6EAB">
        <w:t xml:space="preserve"> Wallflex</w:t>
      </w:r>
      <w:r w:rsidR="007E6EAB">
        <w:br/>
      </w:r>
      <w:r w:rsidRPr="007E6EAB">
        <w:t>12 - Z-stent</w:t>
      </w:r>
      <w:r w:rsidR="007E6EAB">
        <w:br/>
      </w:r>
      <w:r w:rsidRPr="007E6EAB">
        <w:t>13 - Z stent</w:t>
      </w:r>
      <w:r w:rsidR="007E6EAB">
        <w:br/>
      </w:r>
      <w:r w:rsidRPr="007E6EAB">
        <w:t xml:space="preserve">14 </w:t>
      </w:r>
      <w:r w:rsidR="007E6EAB">
        <w:t>–</w:t>
      </w:r>
      <w:r w:rsidRPr="007E6EAB">
        <w:t xml:space="preserve"> Zstent</w:t>
      </w:r>
      <w:r w:rsidR="007E6EAB">
        <w:br/>
      </w:r>
      <w:r w:rsidRPr="007E6EAB">
        <w:t xml:space="preserve">15 </w:t>
      </w:r>
      <w:r w:rsidR="007E6EAB">
        <w:t>–</w:t>
      </w:r>
      <w:r w:rsidRPr="007E6EAB">
        <w:t xml:space="preserve"> SEMS</w:t>
      </w:r>
      <w:r w:rsidR="007E6EAB">
        <w:br/>
      </w:r>
      <w:r w:rsidRPr="007E6EAB">
        <w:t>16 - #8 or #9 or #10 or #11 or #12 or #13 or #14 or #15</w:t>
      </w:r>
      <w:r w:rsidR="007E6EAB">
        <w:br/>
      </w:r>
      <w:r w:rsidRPr="007E6EAB">
        <w:t>17 - stricture*</w:t>
      </w:r>
      <w:r w:rsidR="007E6EAB">
        <w:br/>
      </w:r>
      <w:r w:rsidRPr="007E6EAB">
        <w:t>18 - stenos*</w:t>
      </w:r>
      <w:r w:rsidR="007E6EAB">
        <w:br/>
      </w:r>
      <w:r w:rsidRPr="007E6EAB">
        <w:t>19 - obstruct*</w:t>
      </w:r>
      <w:r w:rsidR="007E6EAB">
        <w:br/>
      </w:r>
      <w:r w:rsidRPr="007E6EAB">
        <w:t>20 - narrow*</w:t>
      </w:r>
      <w:r w:rsidR="007E6EAB">
        <w:br/>
      </w:r>
      <w:r w:rsidRPr="007E6EAB">
        <w:t>21 - #17 or #18 or #19 or #20</w:t>
      </w:r>
      <w:r w:rsidR="007E6EAB">
        <w:br/>
      </w:r>
      <w:r w:rsidRPr="007E6EAB">
        <w:t>22 - intestin*</w:t>
      </w:r>
      <w:r w:rsidR="007E6EAB">
        <w:br/>
      </w:r>
      <w:r w:rsidRPr="007E6EAB">
        <w:t xml:space="preserve">23 </w:t>
      </w:r>
      <w:r w:rsidR="007E6EAB">
        <w:t>–</w:t>
      </w:r>
      <w:r w:rsidRPr="007E6EAB">
        <w:t xml:space="preserve"> bowel</w:t>
      </w:r>
      <w:r w:rsidR="007E6EAB">
        <w:br/>
      </w:r>
      <w:r w:rsidRPr="007E6EAB">
        <w:t xml:space="preserve">24 </w:t>
      </w:r>
      <w:r w:rsidR="007E6EAB">
        <w:t>–</w:t>
      </w:r>
      <w:r w:rsidRPr="007E6EAB">
        <w:t xml:space="preserve"> colorectal</w:t>
      </w:r>
      <w:r w:rsidR="007E6EAB">
        <w:br/>
      </w:r>
      <w:r w:rsidRPr="007E6EAB">
        <w:t>25 - colon*</w:t>
      </w:r>
      <w:r w:rsidR="007E6EAB">
        <w:br/>
      </w:r>
      <w:r w:rsidRPr="007E6EAB">
        <w:t xml:space="preserve">26 </w:t>
      </w:r>
      <w:r w:rsidR="007E6EAB">
        <w:t>–</w:t>
      </w:r>
      <w:r w:rsidRPr="007E6EAB">
        <w:t xml:space="preserve"> rectal</w:t>
      </w:r>
      <w:r w:rsidR="007E6EAB">
        <w:br/>
      </w:r>
      <w:r w:rsidRPr="007E6EAB">
        <w:t xml:space="preserve">27 </w:t>
      </w:r>
      <w:r w:rsidR="007E6EAB">
        <w:t>–</w:t>
      </w:r>
      <w:r w:rsidRPr="007E6EAB">
        <w:t xml:space="preserve"> rectum</w:t>
      </w:r>
      <w:r w:rsidR="007E6EAB">
        <w:br/>
      </w:r>
      <w:r w:rsidRPr="007E6EAB">
        <w:t>28 - #22 or #23 or #24 or #25 or #26 or #27</w:t>
      </w:r>
      <w:r w:rsidR="007E6EAB">
        <w:br/>
        <w:t>29 - #16 and #21 and #28</w:t>
      </w:r>
      <w:r w:rsidR="007E6EAB">
        <w:br/>
      </w:r>
      <w:r w:rsidRPr="007E6EAB">
        <w:t xml:space="preserve">30 - #7 or #29 </w:t>
      </w:r>
    </w:p>
    <w:p w:rsidR="00DD3856" w:rsidRPr="00E734FE" w:rsidRDefault="00DD3856" w:rsidP="00DD3856">
      <w:pPr>
        <w:pStyle w:val="Heading1"/>
        <w:rPr>
          <w:bCs/>
        </w:rPr>
      </w:pPr>
      <w:bookmarkStart w:id="328" w:name="_Appendix_D_Databases"/>
      <w:bookmarkStart w:id="329" w:name="_Ref325977358"/>
      <w:bookmarkStart w:id="330" w:name="_Toc352924451"/>
      <w:bookmarkEnd w:id="328"/>
      <w:r w:rsidRPr="008978EE">
        <w:rPr>
          <w:bCs/>
        </w:rPr>
        <w:lastRenderedPageBreak/>
        <w:t xml:space="preserve">Appendix </w:t>
      </w:r>
      <w:r w:rsidR="00F76B65">
        <w:rPr>
          <w:bCs/>
          <w:lang w:val="en-AU"/>
        </w:rPr>
        <w:t>C</w:t>
      </w:r>
      <w:r w:rsidRPr="00E734FE">
        <w:rPr>
          <w:bCs/>
        </w:rPr>
        <w:tab/>
        <w:t>Databases searched</w:t>
      </w:r>
      <w:bookmarkEnd w:id="329"/>
      <w:bookmarkEnd w:id="330"/>
    </w:p>
    <w:p w:rsidR="00346076" w:rsidRPr="00361416" w:rsidRDefault="00EE44A1" w:rsidP="00EE44A1">
      <w:pPr>
        <w:pStyle w:val="Caption"/>
      </w:pPr>
      <w:bookmarkStart w:id="331" w:name="_Ref315533572"/>
      <w:bookmarkStart w:id="332" w:name="_Toc327522121"/>
      <w:r>
        <w:t xml:space="preserve">Table </w:t>
      </w:r>
      <w:fldSimple w:instr=" SEQ Table \* ARABIC ">
        <w:r w:rsidR="0071544A">
          <w:rPr>
            <w:noProof/>
          </w:rPr>
          <w:t>77</w:t>
        </w:r>
      </w:fldSimple>
      <w:r w:rsidR="004A4F7F" w:rsidRPr="00361416">
        <w:tab/>
      </w:r>
      <w:r w:rsidR="00346076" w:rsidRPr="00361416">
        <w:t>Electronic databases searched</w:t>
      </w:r>
      <w:bookmarkEnd w:id="331"/>
      <w:bookmarkEnd w:id="332"/>
    </w:p>
    <w:tbl>
      <w:tblPr>
        <w:tblW w:w="0" w:type="auto"/>
        <w:tblInd w:w="720" w:type="dxa"/>
        <w:tblBorders>
          <w:top w:val="single" w:sz="12" w:space="0" w:color="auto"/>
          <w:bottom w:val="single" w:sz="12" w:space="0" w:color="auto"/>
        </w:tblBorders>
        <w:tblLook w:val="04A0" w:firstRow="1" w:lastRow="0" w:firstColumn="1" w:lastColumn="0" w:noHBand="0" w:noVBand="1"/>
      </w:tblPr>
      <w:tblGrid>
        <w:gridCol w:w="5930"/>
        <w:gridCol w:w="2592"/>
      </w:tblGrid>
      <w:tr w:rsidR="00346076" w:rsidRPr="00361416" w:rsidTr="00E2212A">
        <w:trPr>
          <w:trHeight w:val="274"/>
        </w:trPr>
        <w:tc>
          <w:tcPr>
            <w:tcW w:w="5932" w:type="dxa"/>
            <w:tcBorders>
              <w:top w:val="single" w:sz="12" w:space="0" w:color="auto"/>
              <w:bottom w:val="single" w:sz="4" w:space="0" w:color="auto"/>
            </w:tcBorders>
            <w:shd w:val="clear" w:color="auto" w:fill="auto"/>
          </w:tcPr>
          <w:p w:rsidR="00346076" w:rsidRPr="00A46F6C" w:rsidRDefault="00346076" w:rsidP="00E2212A">
            <w:pPr>
              <w:pStyle w:val="TableHeading"/>
            </w:pPr>
            <w:r w:rsidRPr="00A46F6C">
              <w:t>Databases</w:t>
            </w:r>
          </w:p>
        </w:tc>
        <w:tc>
          <w:tcPr>
            <w:tcW w:w="2593" w:type="dxa"/>
            <w:tcBorders>
              <w:top w:val="single" w:sz="12" w:space="0" w:color="auto"/>
              <w:bottom w:val="single" w:sz="4" w:space="0" w:color="auto"/>
            </w:tcBorders>
            <w:shd w:val="clear" w:color="auto" w:fill="auto"/>
          </w:tcPr>
          <w:p w:rsidR="00346076" w:rsidRPr="00CD21F6" w:rsidRDefault="00346076" w:rsidP="00E2212A">
            <w:pPr>
              <w:pStyle w:val="TableHeading"/>
            </w:pPr>
            <w:r w:rsidRPr="00CD21F6">
              <w:t>Period covered</w:t>
            </w:r>
          </w:p>
        </w:tc>
      </w:tr>
      <w:tr w:rsidR="00346076" w:rsidRPr="00361416" w:rsidTr="00E2212A">
        <w:tc>
          <w:tcPr>
            <w:tcW w:w="5932" w:type="dxa"/>
            <w:tcBorders>
              <w:top w:val="single" w:sz="4" w:space="0" w:color="auto"/>
            </w:tcBorders>
            <w:shd w:val="clear" w:color="auto" w:fill="auto"/>
          </w:tcPr>
          <w:p w:rsidR="00346076" w:rsidRPr="000F3C8B" w:rsidRDefault="00346076" w:rsidP="00E2212A">
            <w:pPr>
              <w:pStyle w:val="TableText0"/>
              <w:rPr>
                <w:lang w:val="en-AU"/>
              </w:rPr>
            </w:pPr>
            <w:r w:rsidRPr="000F3C8B">
              <w:rPr>
                <w:lang w:val="en-AU"/>
              </w:rPr>
              <w:t>Cochrane Library – including Cochrane Database of Systematic Reviews, Database of Abstracts of Reviews of Effects, the Cochrane Central Register of Controlled Trials, the Health Technology Assessment Database, and the NHS Economic Evaluation Database</w:t>
            </w:r>
          </w:p>
        </w:tc>
        <w:tc>
          <w:tcPr>
            <w:tcW w:w="2593" w:type="dxa"/>
            <w:tcBorders>
              <w:top w:val="single" w:sz="4" w:space="0" w:color="auto"/>
            </w:tcBorders>
            <w:shd w:val="clear" w:color="auto" w:fill="auto"/>
          </w:tcPr>
          <w:p w:rsidR="00346076" w:rsidRPr="000F3C8B" w:rsidRDefault="00346076" w:rsidP="00E2212A">
            <w:pPr>
              <w:pStyle w:val="TableText0"/>
              <w:rPr>
                <w:lang w:val="en-AU"/>
              </w:rPr>
            </w:pPr>
            <w:r w:rsidRPr="000F3C8B">
              <w:rPr>
                <w:lang w:val="en-AU"/>
              </w:rPr>
              <w:t>Inception – 09/2011</w:t>
            </w:r>
          </w:p>
        </w:tc>
      </w:tr>
      <w:tr w:rsidR="00346076" w:rsidRPr="00361416" w:rsidTr="00E2212A">
        <w:tc>
          <w:tcPr>
            <w:tcW w:w="5932" w:type="dxa"/>
            <w:shd w:val="clear" w:color="auto" w:fill="auto"/>
          </w:tcPr>
          <w:p w:rsidR="00346076" w:rsidRPr="000F3C8B" w:rsidRDefault="00346076" w:rsidP="00E2212A">
            <w:pPr>
              <w:pStyle w:val="TableText0"/>
              <w:rPr>
                <w:lang w:val="en-AU"/>
              </w:rPr>
            </w:pPr>
            <w:r w:rsidRPr="000F3C8B">
              <w:rPr>
                <w:lang w:val="en-AU"/>
              </w:rPr>
              <w:t>PubMed (incorporating Medline)</w:t>
            </w:r>
          </w:p>
        </w:tc>
        <w:tc>
          <w:tcPr>
            <w:tcW w:w="2593" w:type="dxa"/>
            <w:shd w:val="clear" w:color="auto" w:fill="auto"/>
          </w:tcPr>
          <w:p w:rsidR="00346076" w:rsidRPr="000F3C8B" w:rsidRDefault="00346076" w:rsidP="00E2212A">
            <w:pPr>
              <w:pStyle w:val="TableText0"/>
              <w:rPr>
                <w:lang w:val="en-AU"/>
              </w:rPr>
            </w:pPr>
            <w:r w:rsidRPr="000F3C8B">
              <w:rPr>
                <w:lang w:val="en-AU"/>
              </w:rPr>
              <w:t>Inception – 09/2011</w:t>
            </w:r>
          </w:p>
        </w:tc>
      </w:tr>
      <w:tr w:rsidR="00346076" w:rsidRPr="00361416" w:rsidTr="00E2212A">
        <w:tc>
          <w:tcPr>
            <w:tcW w:w="5932" w:type="dxa"/>
            <w:shd w:val="clear" w:color="auto" w:fill="auto"/>
          </w:tcPr>
          <w:p w:rsidR="00346076" w:rsidRPr="000F3C8B" w:rsidRDefault="00346076" w:rsidP="00E2212A">
            <w:pPr>
              <w:pStyle w:val="TableText0"/>
              <w:rPr>
                <w:lang w:val="en-AU"/>
              </w:rPr>
            </w:pPr>
            <w:r w:rsidRPr="000F3C8B">
              <w:rPr>
                <w:lang w:val="en-AU"/>
              </w:rPr>
              <w:t>CINAHL</w:t>
            </w:r>
          </w:p>
        </w:tc>
        <w:tc>
          <w:tcPr>
            <w:tcW w:w="2593" w:type="dxa"/>
            <w:shd w:val="clear" w:color="auto" w:fill="auto"/>
          </w:tcPr>
          <w:p w:rsidR="00346076" w:rsidRPr="000F3C8B" w:rsidRDefault="00346076" w:rsidP="00E2212A">
            <w:pPr>
              <w:pStyle w:val="TableText0"/>
              <w:rPr>
                <w:lang w:val="en-AU"/>
              </w:rPr>
            </w:pPr>
            <w:r w:rsidRPr="000F3C8B">
              <w:rPr>
                <w:lang w:val="en-AU"/>
              </w:rPr>
              <w:t>Inception – 09/2011</w:t>
            </w:r>
          </w:p>
        </w:tc>
      </w:tr>
      <w:tr w:rsidR="00346076" w:rsidRPr="00361416" w:rsidTr="00E2212A">
        <w:tc>
          <w:tcPr>
            <w:tcW w:w="5932" w:type="dxa"/>
            <w:shd w:val="clear" w:color="auto" w:fill="auto"/>
          </w:tcPr>
          <w:p w:rsidR="00346076" w:rsidRPr="000F3C8B" w:rsidRDefault="00346076" w:rsidP="00E2212A">
            <w:pPr>
              <w:pStyle w:val="TableText0"/>
              <w:rPr>
                <w:lang w:val="en-AU"/>
              </w:rPr>
            </w:pPr>
            <w:r w:rsidRPr="000F3C8B">
              <w:rPr>
                <w:lang w:val="en-AU"/>
              </w:rPr>
              <w:t>EMBASE</w:t>
            </w:r>
          </w:p>
        </w:tc>
        <w:tc>
          <w:tcPr>
            <w:tcW w:w="2593" w:type="dxa"/>
            <w:shd w:val="clear" w:color="auto" w:fill="auto"/>
          </w:tcPr>
          <w:p w:rsidR="00346076" w:rsidRPr="000F3C8B" w:rsidRDefault="00346076" w:rsidP="00E2212A">
            <w:pPr>
              <w:pStyle w:val="TableText0"/>
              <w:rPr>
                <w:lang w:val="en-AU"/>
              </w:rPr>
            </w:pPr>
            <w:r w:rsidRPr="000F3C8B">
              <w:rPr>
                <w:lang w:val="en-AU"/>
              </w:rPr>
              <w:t>Inception – 09/2011</w:t>
            </w:r>
          </w:p>
        </w:tc>
      </w:tr>
      <w:tr w:rsidR="00346076" w:rsidRPr="00361416" w:rsidTr="00E2212A">
        <w:trPr>
          <w:trHeight w:val="226"/>
        </w:trPr>
        <w:tc>
          <w:tcPr>
            <w:tcW w:w="5932" w:type="dxa"/>
            <w:shd w:val="clear" w:color="auto" w:fill="auto"/>
          </w:tcPr>
          <w:p w:rsidR="00346076" w:rsidRPr="000F3C8B" w:rsidRDefault="00346076" w:rsidP="00E2212A">
            <w:pPr>
              <w:pStyle w:val="TableText0"/>
              <w:rPr>
                <w:lang w:val="en-AU"/>
              </w:rPr>
            </w:pPr>
            <w:r w:rsidRPr="000F3C8B">
              <w:rPr>
                <w:lang w:val="en-AU"/>
              </w:rPr>
              <w:t>The University of York Centre for Reviews and Dissemination</w:t>
            </w:r>
          </w:p>
        </w:tc>
        <w:tc>
          <w:tcPr>
            <w:tcW w:w="2593" w:type="dxa"/>
            <w:shd w:val="clear" w:color="auto" w:fill="auto"/>
          </w:tcPr>
          <w:p w:rsidR="00346076" w:rsidRPr="000F3C8B" w:rsidRDefault="00346076" w:rsidP="00E2212A">
            <w:pPr>
              <w:pStyle w:val="TableText0"/>
              <w:rPr>
                <w:lang w:val="en-AU"/>
              </w:rPr>
            </w:pPr>
            <w:r w:rsidRPr="000F3C8B">
              <w:rPr>
                <w:lang w:val="en-AU"/>
              </w:rPr>
              <w:t>Inception – 09/2011</w:t>
            </w:r>
          </w:p>
        </w:tc>
      </w:tr>
      <w:tr w:rsidR="00346076" w:rsidRPr="00361416" w:rsidTr="00E2212A">
        <w:trPr>
          <w:trHeight w:val="226"/>
        </w:trPr>
        <w:tc>
          <w:tcPr>
            <w:tcW w:w="8525" w:type="dxa"/>
            <w:gridSpan w:val="2"/>
            <w:shd w:val="clear" w:color="auto" w:fill="auto"/>
          </w:tcPr>
          <w:p w:rsidR="00346076" w:rsidRPr="000F3C8B" w:rsidRDefault="00346076" w:rsidP="00E2212A">
            <w:pPr>
              <w:pStyle w:val="TableText0"/>
              <w:rPr>
                <w:lang w:val="en-AU"/>
              </w:rPr>
            </w:pPr>
            <w:r w:rsidRPr="000F3C8B">
              <w:rPr>
                <w:lang w:val="en-AU"/>
              </w:rPr>
              <w:t xml:space="preserve">CINAHL: Cumulative Index to Nursing and Allied Health Literature </w:t>
            </w:r>
          </w:p>
        </w:tc>
      </w:tr>
    </w:tbl>
    <w:p w:rsidR="00346076" w:rsidRPr="001D7564" w:rsidRDefault="00346076" w:rsidP="00346076"/>
    <w:p w:rsidR="00346076" w:rsidRPr="00C27C1E" w:rsidRDefault="00EE44A1" w:rsidP="00EE44A1">
      <w:pPr>
        <w:pStyle w:val="Caption"/>
      </w:pPr>
      <w:bookmarkStart w:id="333" w:name="_Toc327522122"/>
      <w:r>
        <w:t xml:space="preserve">Table </w:t>
      </w:r>
      <w:fldSimple w:instr=" SEQ Table \* ARABIC ">
        <w:r w:rsidR="0071544A">
          <w:rPr>
            <w:noProof/>
          </w:rPr>
          <w:t>78</w:t>
        </w:r>
      </w:fldSimple>
      <w:r w:rsidR="004A4F7F" w:rsidRPr="00C27C1E">
        <w:tab/>
      </w:r>
      <w:r w:rsidR="00346076" w:rsidRPr="00C27C1E">
        <w:t>Electronic internet databases searched</w:t>
      </w:r>
      <w:bookmarkEnd w:id="333"/>
    </w:p>
    <w:tbl>
      <w:tblPr>
        <w:tblW w:w="0" w:type="auto"/>
        <w:tblInd w:w="720" w:type="dxa"/>
        <w:tblBorders>
          <w:top w:val="single" w:sz="12" w:space="0" w:color="auto"/>
          <w:bottom w:val="single" w:sz="12" w:space="0" w:color="auto"/>
        </w:tblBorders>
        <w:tblLayout w:type="fixed"/>
        <w:tblCellMar>
          <w:top w:w="28" w:type="dxa"/>
          <w:left w:w="57" w:type="dxa"/>
          <w:bottom w:w="28" w:type="dxa"/>
          <w:right w:w="57" w:type="dxa"/>
        </w:tblCellMar>
        <w:tblLook w:val="00A0" w:firstRow="1" w:lastRow="0" w:firstColumn="1" w:lastColumn="0" w:noHBand="0" w:noVBand="0"/>
      </w:tblPr>
      <w:tblGrid>
        <w:gridCol w:w="5313"/>
        <w:gridCol w:w="3096"/>
      </w:tblGrid>
      <w:tr w:rsidR="00346076" w:rsidRPr="00361416" w:rsidTr="00E2212A">
        <w:tc>
          <w:tcPr>
            <w:tcW w:w="5313" w:type="dxa"/>
            <w:tcBorders>
              <w:top w:val="single" w:sz="12" w:space="0" w:color="auto"/>
              <w:bottom w:val="single" w:sz="4" w:space="0" w:color="auto"/>
            </w:tcBorders>
          </w:tcPr>
          <w:p w:rsidR="00346076" w:rsidRPr="00361416" w:rsidRDefault="00346076" w:rsidP="00E2212A">
            <w:pPr>
              <w:pStyle w:val="TableHeading"/>
            </w:pPr>
            <w:r w:rsidRPr="00361416">
              <w:t>Database</w:t>
            </w:r>
          </w:p>
        </w:tc>
        <w:tc>
          <w:tcPr>
            <w:tcW w:w="3096" w:type="dxa"/>
            <w:tcBorders>
              <w:top w:val="single" w:sz="12" w:space="0" w:color="auto"/>
              <w:bottom w:val="single" w:sz="4" w:space="0" w:color="auto"/>
            </w:tcBorders>
            <w:vAlign w:val="center"/>
          </w:tcPr>
          <w:p w:rsidR="00346076" w:rsidRPr="00361416" w:rsidRDefault="00346076" w:rsidP="00E2212A">
            <w:pPr>
              <w:pStyle w:val="TableHeading"/>
            </w:pPr>
            <w:r w:rsidRPr="00361416">
              <w:t>Internet location</w:t>
            </w:r>
          </w:p>
        </w:tc>
      </w:tr>
      <w:tr w:rsidR="00346076" w:rsidRPr="00361416" w:rsidTr="00E2212A">
        <w:tc>
          <w:tcPr>
            <w:tcW w:w="5313" w:type="dxa"/>
            <w:tcBorders>
              <w:top w:val="single" w:sz="4" w:space="0" w:color="auto"/>
            </w:tcBorders>
          </w:tcPr>
          <w:p w:rsidR="00346076" w:rsidRPr="000F3C8B" w:rsidRDefault="00346076" w:rsidP="00E2212A">
            <w:pPr>
              <w:pStyle w:val="TableText0"/>
              <w:rPr>
                <w:lang w:val="en-AU"/>
              </w:rPr>
            </w:pPr>
            <w:r w:rsidRPr="000F3C8B">
              <w:rPr>
                <w:lang w:val="en-AU"/>
              </w:rPr>
              <w:t>National Health and Medical Research Council (NHMRC) (Australia)</w:t>
            </w:r>
          </w:p>
        </w:tc>
        <w:tc>
          <w:tcPr>
            <w:tcW w:w="3096" w:type="dxa"/>
            <w:tcBorders>
              <w:top w:val="single" w:sz="4" w:space="0" w:color="auto"/>
            </w:tcBorders>
          </w:tcPr>
          <w:p w:rsidR="00346076" w:rsidRPr="000F3C8B" w:rsidRDefault="00346076" w:rsidP="00E2212A">
            <w:pPr>
              <w:pStyle w:val="TableText0"/>
              <w:rPr>
                <w:lang w:val="en-AU"/>
              </w:rPr>
            </w:pPr>
            <w:r w:rsidRPr="000F3C8B">
              <w:rPr>
                <w:lang w:val="en-AU"/>
              </w:rPr>
              <w:t xml:space="preserve">http://www.nhmrc.gov.au </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Australian Department of Health and Ageing</w:t>
            </w:r>
          </w:p>
        </w:tc>
        <w:tc>
          <w:tcPr>
            <w:tcW w:w="3096" w:type="dxa"/>
          </w:tcPr>
          <w:p w:rsidR="00346076" w:rsidRPr="000F3C8B" w:rsidRDefault="00346076" w:rsidP="00E2212A">
            <w:pPr>
              <w:pStyle w:val="TableText0"/>
              <w:rPr>
                <w:lang w:val="en-AU"/>
              </w:rPr>
            </w:pPr>
            <w:r w:rsidRPr="000F3C8B">
              <w:rPr>
                <w:lang w:val="en-AU"/>
              </w:rPr>
              <w:t>http://www.health.gov.au/</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Scirus – for Scientific Information Only</w:t>
            </w:r>
          </w:p>
        </w:tc>
        <w:tc>
          <w:tcPr>
            <w:tcW w:w="3096" w:type="dxa"/>
          </w:tcPr>
          <w:p w:rsidR="00346076" w:rsidRPr="000F3C8B" w:rsidRDefault="00346076" w:rsidP="00E2212A">
            <w:pPr>
              <w:pStyle w:val="TableText0"/>
              <w:rPr>
                <w:lang w:val="en-AU"/>
              </w:rPr>
            </w:pPr>
            <w:r w:rsidRPr="000F3C8B">
              <w:rPr>
                <w:lang w:val="en-AU"/>
              </w:rPr>
              <w:t>http://www.scirus.com</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TRIP database</w:t>
            </w:r>
          </w:p>
        </w:tc>
        <w:tc>
          <w:tcPr>
            <w:tcW w:w="3096" w:type="dxa"/>
          </w:tcPr>
          <w:p w:rsidR="00346076" w:rsidRPr="000F3C8B" w:rsidRDefault="00346076" w:rsidP="00E2212A">
            <w:pPr>
              <w:pStyle w:val="TableText0"/>
              <w:rPr>
                <w:lang w:val="en-AU"/>
              </w:rPr>
            </w:pPr>
            <w:r w:rsidRPr="000F3C8B">
              <w:rPr>
                <w:lang w:val="en-AU"/>
              </w:rPr>
              <w:t>http://www.tripdatabase.com</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National Health Service (NHS) Evidence</w:t>
            </w:r>
          </w:p>
        </w:tc>
        <w:tc>
          <w:tcPr>
            <w:tcW w:w="3096" w:type="dxa"/>
          </w:tcPr>
          <w:p w:rsidR="00346076" w:rsidRPr="000F3C8B" w:rsidRDefault="00346076" w:rsidP="00E2212A">
            <w:pPr>
              <w:pStyle w:val="TableText0"/>
              <w:rPr>
                <w:lang w:val="en-AU"/>
              </w:rPr>
            </w:pPr>
            <w:r w:rsidRPr="000F3C8B">
              <w:rPr>
                <w:lang w:val="en-AU"/>
              </w:rPr>
              <w:t>http://www.evidence.nhs.uk/</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Current Controlled Trials metaRegister</w:t>
            </w:r>
          </w:p>
        </w:tc>
        <w:tc>
          <w:tcPr>
            <w:tcW w:w="3096" w:type="dxa"/>
          </w:tcPr>
          <w:p w:rsidR="00346076" w:rsidRPr="000F3C8B" w:rsidRDefault="00346076" w:rsidP="00E2212A">
            <w:pPr>
              <w:pStyle w:val="TableText0"/>
              <w:rPr>
                <w:lang w:val="en-AU"/>
              </w:rPr>
            </w:pPr>
            <w:r w:rsidRPr="000F3C8B">
              <w:rPr>
                <w:lang w:val="en-AU"/>
              </w:rPr>
              <w:t>http://controlled-trials.com/</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Australian New Zealand Clinical Trials Registry</w:t>
            </w:r>
          </w:p>
        </w:tc>
        <w:tc>
          <w:tcPr>
            <w:tcW w:w="3096" w:type="dxa"/>
          </w:tcPr>
          <w:p w:rsidR="00346076" w:rsidRPr="000F3C8B" w:rsidRDefault="00346076" w:rsidP="00E2212A">
            <w:pPr>
              <w:pStyle w:val="TableText0"/>
              <w:rPr>
                <w:lang w:val="en-AU"/>
              </w:rPr>
            </w:pPr>
            <w:r w:rsidRPr="000F3C8B">
              <w:rPr>
                <w:lang w:val="en-AU"/>
              </w:rPr>
              <w:t>http://www.anzctr.org.au/</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ClinicalTrials.gov</w:t>
            </w:r>
          </w:p>
        </w:tc>
        <w:tc>
          <w:tcPr>
            <w:tcW w:w="3096" w:type="dxa"/>
          </w:tcPr>
          <w:p w:rsidR="00346076" w:rsidRPr="000F3C8B" w:rsidRDefault="00346076" w:rsidP="00E2212A">
            <w:pPr>
              <w:pStyle w:val="TableText0"/>
              <w:rPr>
                <w:lang w:val="en-AU"/>
              </w:rPr>
            </w:pPr>
            <w:r w:rsidRPr="000F3C8B">
              <w:rPr>
                <w:lang w:val="en-AU"/>
              </w:rPr>
              <w:t>http://clinicaltrials.gov/</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World Health Organization International Clinical Trials Registry Platform</w:t>
            </w:r>
          </w:p>
        </w:tc>
        <w:tc>
          <w:tcPr>
            <w:tcW w:w="3096" w:type="dxa"/>
          </w:tcPr>
          <w:p w:rsidR="00346076" w:rsidRPr="000F3C8B" w:rsidRDefault="00346076" w:rsidP="00E2212A">
            <w:pPr>
              <w:pStyle w:val="TableText0"/>
              <w:rPr>
                <w:lang w:val="en-AU"/>
              </w:rPr>
            </w:pPr>
            <w:r w:rsidRPr="000F3C8B">
              <w:rPr>
                <w:lang w:val="en-AU"/>
              </w:rPr>
              <w:t>http://apps.who.int/trialsearch/</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National Library of Medicine Health Services/Technology Assessment Texts</w:t>
            </w:r>
          </w:p>
        </w:tc>
        <w:tc>
          <w:tcPr>
            <w:tcW w:w="3096" w:type="dxa"/>
          </w:tcPr>
          <w:p w:rsidR="00346076" w:rsidRPr="000F3C8B" w:rsidRDefault="00346076" w:rsidP="00E2212A">
            <w:pPr>
              <w:pStyle w:val="TableText0"/>
              <w:rPr>
                <w:lang w:val="en-AU"/>
              </w:rPr>
            </w:pPr>
            <w:r w:rsidRPr="000F3C8B">
              <w:rPr>
                <w:lang w:val="en-AU"/>
              </w:rPr>
              <w:t>http://text.nlm.nih.gov/</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National Library of Medicine Locator Plus database</w:t>
            </w:r>
          </w:p>
        </w:tc>
        <w:tc>
          <w:tcPr>
            <w:tcW w:w="3096" w:type="dxa"/>
          </w:tcPr>
          <w:p w:rsidR="00346076" w:rsidRPr="000F3C8B" w:rsidRDefault="00346076" w:rsidP="00E2212A">
            <w:pPr>
              <w:pStyle w:val="TableText0"/>
              <w:rPr>
                <w:lang w:val="en-AU"/>
              </w:rPr>
            </w:pPr>
            <w:r w:rsidRPr="000F3C8B">
              <w:rPr>
                <w:lang w:val="en-AU"/>
              </w:rPr>
              <w:t>http://locatorplus.gov</w:t>
            </w:r>
          </w:p>
        </w:tc>
      </w:tr>
      <w:tr w:rsidR="00346076" w:rsidRPr="00361416" w:rsidTr="00E2212A">
        <w:tc>
          <w:tcPr>
            <w:tcW w:w="5313" w:type="dxa"/>
          </w:tcPr>
          <w:p w:rsidR="00346076" w:rsidRPr="000F3C8B" w:rsidRDefault="00346076" w:rsidP="00E2212A">
            <w:pPr>
              <w:pStyle w:val="TableText0"/>
              <w:rPr>
                <w:lang w:val="en-AU"/>
              </w:rPr>
            </w:pPr>
            <w:r w:rsidRPr="000F3C8B">
              <w:rPr>
                <w:lang w:val="en-AU"/>
              </w:rPr>
              <w:t>New York Academy of Medicine Grey Literature Report</w:t>
            </w:r>
          </w:p>
        </w:tc>
        <w:tc>
          <w:tcPr>
            <w:tcW w:w="3096" w:type="dxa"/>
          </w:tcPr>
          <w:p w:rsidR="00346076" w:rsidRPr="000F3C8B" w:rsidRDefault="00346076" w:rsidP="00E2212A">
            <w:pPr>
              <w:pStyle w:val="TableText0"/>
              <w:rPr>
                <w:lang w:val="en-AU"/>
              </w:rPr>
            </w:pPr>
            <w:r w:rsidRPr="000F3C8B">
              <w:rPr>
                <w:lang w:val="en-AU"/>
              </w:rPr>
              <w:t>http://www.nyam.org/library/pages/</w:t>
            </w:r>
            <w:r w:rsidRPr="000F3C8B">
              <w:rPr>
                <w:lang w:val="en-AU"/>
              </w:rPr>
              <w:br/>
              <w:t>grey_literature_report</w:t>
            </w:r>
          </w:p>
        </w:tc>
      </w:tr>
    </w:tbl>
    <w:p w:rsidR="00346076" w:rsidRPr="0086082D" w:rsidRDefault="00346076" w:rsidP="00346076"/>
    <w:p w:rsidR="00346076" w:rsidRPr="00EA5A32" w:rsidRDefault="00EE44A1" w:rsidP="00EE44A1">
      <w:pPr>
        <w:pStyle w:val="Caption"/>
      </w:pPr>
      <w:bookmarkStart w:id="334" w:name="_Toc327522123"/>
      <w:r>
        <w:lastRenderedPageBreak/>
        <w:t xml:space="preserve">Table </w:t>
      </w:r>
      <w:fldSimple w:instr=" SEQ Table \* ARABIC ">
        <w:r w:rsidR="0071544A">
          <w:rPr>
            <w:noProof/>
          </w:rPr>
          <w:t>79</w:t>
        </w:r>
      </w:fldSimple>
      <w:r w:rsidR="00B22EC5" w:rsidRPr="00C27C1E">
        <w:tab/>
      </w:r>
      <w:r w:rsidR="00346076" w:rsidRPr="00027046">
        <w:t xml:space="preserve">Health technology assessment </w:t>
      </w:r>
      <w:r w:rsidR="0022031E" w:rsidRPr="00027046">
        <w:t>i</w:t>
      </w:r>
      <w:r w:rsidR="00346076" w:rsidRPr="00027046">
        <w:t>nternet sites</w:t>
      </w:r>
      <w:r w:rsidR="00DD3856" w:rsidRPr="00027046">
        <w:t xml:space="preserve"> search</w:t>
      </w:r>
      <w:r w:rsidR="00DD3856" w:rsidRPr="00EA5A32">
        <w:t>ed</w:t>
      </w:r>
      <w:bookmarkEnd w:id="334"/>
      <w:r w:rsidR="00DD3856" w:rsidRPr="00EA5A32">
        <w:t xml:space="preserve"> </w:t>
      </w:r>
    </w:p>
    <w:tbl>
      <w:tblPr>
        <w:tblW w:w="8387" w:type="dxa"/>
        <w:tblInd w:w="720" w:type="dxa"/>
        <w:tblBorders>
          <w:top w:val="single" w:sz="12" w:space="0" w:color="auto"/>
          <w:bottom w:val="single" w:sz="12" w:space="0" w:color="auto"/>
        </w:tblBorders>
        <w:tblCellMar>
          <w:top w:w="28" w:type="dxa"/>
          <w:left w:w="28" w:type="dxa"/>
          <w:bottom w:w="28" w:type="dxa"/>
          <w:right w:w="28" w:type="dxa"/>
        </w:tblCellMar>
        <w:tblLook w:val="01E0" w:firstRow="1" w:lastRow="1" w:firstColumn="1" w:lastColumn="1" w:noHBand="0" w:noVBand="0"/>
      </w:tblPr>
      <w:tblGrid>
        <w:gridCol w:w="6963"/>
        <w:gridCol w:w="1424"/>
      </w:tblGrid>
      <w:tr w:rsidR="0022031E" w:rsidRPr="00E734FE" w:rsidTr="008D2CEA">
        <w:trPr>
          <w:cantSplit/>
          <w:tblHeader/>
        </w:trPr>
        <w:tc>
          <w:tcPr>
            <w:tcW w:w="6963" w:type="dxa"/>
            <w:tcBorders>
              <w:top w:val="single" w:sz="12" w:space="0" w:color="auto"/>
              <w:bottom w:val="single" w:sz="4" w:space="0" w:color="auto"/>
            </w:tcBorders>
            <w:shd w:val="clear" w:color="auto" w:fill="auto"/>
            <w:vAlign w:val="center"/>
          </w:tcPr>
          <w:p w:rsidR="0022031E" w:rsidRPr="000F3C8B" w:rsidRDefault="0022031E" w:rsidP="0007443E">
            <w:pPr>
              <w:pStyle w:val="TableHeading0"/>
            </w:pPr>
            <w:r>
              <w:t>Internet sites</w:t>
            </w:r>
          </w:p>
        </w:tc>
        <w:tc>
          <w:tcPr>
            <w:tcW w:w="1424" w:type="dxa"/>
            <w:tcBorders>
              <w:top w:val="single" w:sz="12" w:space="0" w:color="auto"/>
              <w:bottom w:val="single" w:sz="4" w:space="0" w:color="auto"/>
            </w:tcBorders>
            <w:shd w:val="clear" w:color="auto" w:fill="auto"/>
            <w:vAlign w:val="center"/>
          </w:tcPr>
          <w:p w:rsidR="0022031E" w:rsidRPr="00E734FE" w:rsidRDefault="0022031E" w:rsidP="0007443E">
            <w:pPr>
              <w:pStyle w:val="TableHeading0"/>
              <w:rPr>
                <w:rFonts w:ascii="Arial Narrow" w:hAnsi="Arial Narrow" w:cs="Arial"/>
                <w:b w:val="0"/>
                <w:szCs w:val="18"/>
              </w:rPr>
            </w:pPr>
            <w:r w:rsidRPr="0007443E">
              <w:t>Results</w:t>
            </w:r>
          </w:p>
        </w:tc>
      </w:tr>
      <w:tr w:rsidR="00346076" w:rsidRPr="00E734FE" w:rsidTr="008D2CEA">
        <w:trPr>
          <w:cantSplit/>
        </w:trPr>
        <w:tc>
          <w:tcPr>
            <w:tcW w:w="6963" w:type="dxa"/>
            <w:tcBorders>
              <w:top w:val="single" w:sz="4" w:space="0" w:color="auto"/>
            </w:tcBorders>
            <w:shd w:val="clear" w:color="auto" w:fill="auto"/>
            <w:vAlign w:val="center"/>
          </w:tcPr>
          <w:p w:rsidR="00346076" w:rsidRPr="0007443E" w:rsidRDefault="00346076" w:rsidP="00E2212A">
            <w:pPr>
              <w:pStyle w:val="TableText0"/>
              <w:rPr>
                <w:b/>
                <w:lang w:val="en-AU"/>
              </w:rPr>
            </w:pPr>
            <w:r w:rsidRPr="0007443E">
              <w:rPr>
                <w:b/>
                <w:lang w:val="en-AU"/>
              </w:rPr>
              <w:t>Argentina</w:t>
            </w:r>
          </w:p>
        </w:tc>
        <w:tc>
          <w:tcPr>
            <w:tcW w:w="1424" w:type="dxa"/>
            <w:tcBorders>
              <w:top w:val="single" w:sz="4" w:space="0" w:color="auto"/>
            </w:tcBorders>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22031E" w:rsidRPr="000F3C8B" w:rsidRDefault="00346076" w:rsidP="005627C8">
            <w:pPr>
              <w:pStyle w:val="TableText0"/>
              <w:rPr>
                <w:lang w:val="en-AU"/>
              </w:rPr>
            </w:pPr>
            <w:r w:rsidRPr="000F3C8B">
              <w:rPr>
                <w:lang w:val="en-AU"/>
              </w:rPr>
              <w:t>Institute for Clinical Effectiveness and Health Policy (IECS)  http://www.iecs.org.ar</w:t>
            </w:r>
          </w:p>
        </w:tc>
        <w:tc>
          <w:tcPr>
            <w:tcW w:w="1424" w:type="dxa"/>
            <w:shd w:val="clear" w:color="auto" w:fill="auto"/>
            <w:vAlign w:val="center"/>
          </w:tcPr>
          <w:p w:rsidR="00346076" w:rsidRPr="00E734FE" w:rsidRDefault="00346076" w:rsidP="00BC765A">
            <w:pPr>
              <w:tabs>
                <w:tab w:val="num" w:pos="-13"/>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Australia</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Adelaide Health Technology Assessment (AHTA)  http://www.adelaide.edu.au/ahta</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Australian Safety and Efficacy Register of New Interventional Procedures – Surgical (ASERNIP-S) </w:t>
            </w:r>
            <w:r w:rsidR="009C3E87" w:rsidRPr="007E6EAB">
              <w:rPr>
                <w:lang w:val="en-AU"/>
              </w:rPr>
              <w:t>http://www.surgeons.org/asernip-s</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Watt</w:t>
            </w:r>
            <w:r w:rsidR="00242BAC">
              <w:rPr>
                <w:rFonts w:ascii="Arial Narrow" w:hAnsi="Arial Narrow" w:cs="Arial"/>
                <w:sz w:val="18"/>
                <w:szCs w:val="18"/>
              </w:rPr>
              <w:t xml:space="preserve"> </w:t>
            </w:r>
            <w:r w:rsidRPr="00E734FE">
              <w:rPr>
                <w:rFonts w:ascii="Arial Narrow" w:hAnsi="Arial Narrow" w:cs="Arial"/>
                <w:sz w:val="18"/>
                <w:szCs w:val="18"/>
              </w:rPr>
              <w:t>et al 200</w:t>
            </w:r>
            <w:r w:rsidR="005627C8">
              <w:rPr>
                <w:rFonts w:ascii="Arial Narrow" w:hAnsi="Arial Narrow" w:cs="Arial"/>
                <w:sz w:val="18"/>
                <w:szCs w:val="18"/>
              </w:rPr>
              <w:t>7</w:t>
            </w:r>
          </w:p>
          <w:p w:rsidR="00346076" w:rsidRPr="00E734FE" w:rsidRDefault="00346076" w:rsidP="00BC765A">
            <w:pPr>
              <w:spacing w:after="0"/>
              <w:ind w:left="0"/>
              <w:rPr>
                <w:rFonts w:ascii="Arial Narrow" w:hAnsi="Arial Narrow" w:cs="Arial"/>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Centre for Clinical Effectiveness, Monash University  http://www.southernhealth.org.au/page/Health_Professionals/CCE/</w:t>
            </w:r>
            <w:r w:rsidRPr="000F3C8B" w:rsidDel="00B673C2">
              <w:rPr>
                <w:lang w:val="en-AU"/>
              </w:rPr>
              <w:t xml:space="preserve"> </w:t>
            </w:r>
            <w:r w:rsidRPr="000F3C8B">
              <w:rPr>
                <w:lang w:val="en-AU"/>
              </w:rPr>
              <w:t>/</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Health Economics Unit, Monash University  http://www.buseco.monash.edu.au/centres/che/</w:t>
            </w:r>
            <w:r w:rsidRPr="000F3C8B" w:rsidDel="00B673C2">
              <w:rPr>
                <w:lang w:val="en-AU"/>
              </w:rPr>
              <w:t xml:space="preserve"> </w:t>
            </w:r>
          </w:p>
        </w:tc>
        <w:tc>
          <w:tcPr>
            <w:tcW w:w="1424" w:type="dxa"/>
            <w:shd w:val="clear" w:color="auto" w:fill="auto"/>
            <w:vAlign w:val="center"/>
          </w:tcPr>
          <w:p w:rsidR="00346076" w:rsidRPr="00E734FE" w:rsidRDefault="00A46F6C" w:rsidP="00BC765A">
            <w:pPr>
              <w:tabs>
                <w:tab w:val="left" w:pos="720"/>
              </w:tabs>
              <w:spacing w:after="0"/>
              <w:ind w:left="0"/>
              <w:rPr>
                <w:rFonts w:ascii="Arial Narrow" w:hAnsi="Arial Narrow" w:cs="Arial"/>
                <w:sz w:val="18"/>
                <w:szCs w:val="18"/>
              </w:rPr>
            </w:pPr>
            <w:r>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Medical Services Advisory Committee (MSAC)  </w:t>
            </w:r>
            <w:r w:rsidR="009C3E87" w:rsidRPr="007E6EAB">
              <w:rPr>
                <w:lang w:val="en-AU"/>
              </w:rPr>
              <w:t>http://www.msac.gov.au</w:t>
            </w:r>
          </w:p>
        </w:tc>
        <w:tc>
          <w:tcPr>
            <w:tcW w:w="1424" w:type="dxa"/>
            <w:shd w:val="clear" w:color="auto" w:fill="auto"/>
            <w:vAlign w:val="center"/>
          </w:tcPr>
          <w:p w:rsidR="00346076" w:rsidRPr="00E734FE" w:rsidRDefault="00AB0AA9" w:rsidP="00AB0AA9">
            <w:pPr>
              <w:tabs>
                <w:tab w:val="left" w:pos="720"/>
              </w:tabs>
              <w:spacing w:after="0"/>
              <w:ind w:left="0"/>
              <w:rPr>
                <w:rFonts w:ascii="Arial Narrow" w:hAnsi="Arial Narrow" w:cs="Arial"/>
                <w:sz w:val="18"/>
                <w:szCs w:val="18"/>
              </w:rPr>
            </w:pPr>
            <w:r>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Austria</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Institute of Technology Assessment (ITA)  </w:t>
            </w:r>
            <w:r w:rsidR="009C3E87" w:rsidRPr="007E6EAB">
              <w:rPr>
                <w:lang w:val="en-AU"/>
              </w:rPr>
              <w:t>http://www.oeaw.ac.at/ita/e1-3.htm</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Brazil</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Departamento de Ciência e Tecnologia (DECIT)  </w:t>
            </w:r>
            <w:r w:rsidR="009C3E87" w:rsidRPr="007E6EAB">
              <w:rPr>
                <w:lang w:val="en-AU"/>
              </w:rPr>
              <w:t>http://portal.saude.gov.br/portal/saude/area.cfm?id_area=1088</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Canada</w:t>
            </w:r>
          </w:p>
        </w:tc>
        <w:tc>
          <w:tcPr>
            <w:tcW w:w="1424" w:type="dxa"/>
            <w:shd w:val="clear" w:color="auto" w:fill="auto"/>
            <w:vAlign w:val="center"/>
          </w:tcPr>
          <w:p w:rsidR="00346076" w:rsidRPr="00E734FE" w:rsidRDefault="00346076" w:rsidP="00BC765A">
            <w:pPr>
              <w:keepNext/>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Agence d’Evaluation des Technologies et des Modes d’Intervention en Santé (AETMIS) </w:t>
            </w:r>
            <w:r w:rsidR="009C3E87" w:rsidRPr="007E6EAB">
              <w:rPr>
                <w:lang w:val="en-AU"/>
              </w:rPr>
              <w:t>http://www.aetmis.gouv.qc.ca/site/index.php?home</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p>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Alberta Heritage Foundation for Medical Research (AHFMR)  http://www.ahfmr.ab.ca/publications/</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F46A07">
            <w:pPr>
              <w:pStyle w:val="TableText0"/>
              <w:rPr>
                <w:lang w:val="en-AU"/>
              </w:rPr>
            </w:pPr>
            <w:r w:rsidRPr="000F3C8B">
              <w:rPr>
                <w:lang w:val="en-AU"/>
              </w:rPr>
              <w:t>Canadian Agency for Drugs and Technologies in Health</w:t>
            </w:r>
            <w:r w:rsidRPr="000F3C8B" w:rsidDel="00B41AEE">
              <w:rPr>
                <w:lang w:val="en-AU"/>
              </w:rPr>
              <w:t xml:space="preserve"> </w:t>
            </w:r>
            <w:r w:rsidRPr="000F3C8B">
              <w:rPr>
                <w:lang w:val="en-AU"/>
              </w:rPr>
              <w:t>(CADTH)  http://www.cadth.ca</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Centre for Health Economics and Policy Analysis (CHEPA), McMaster University  http://www.chepa.org</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Centre for Health Services and Policy Research (CHSPR), University of British Columbia  </w:t>
            </w:r>
            <w:r w:rsidR="009C3E87" w:rsidRPr="007E6EAB">
              <w:rPr>
                <w:lang w:val="en-AU"/>
              </w:rPr>
              <w:t>http://www.chspr.ubc.ca</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Health Utilities Index (HUI)  </w:t>
            </w:r>
            <w:r w:rsidR="009C3E87" w:rsidRPr="007E6EAB">
              <w:rPr>
                <w:lang w:val="en-AU"/>
              </w:rPr>
              <w:t>http://www.fhs.mcmaster.ca/hug/index.htm</w:t>
            </w:r>
          </w:p>
        </w:tc>
        <w:tc>
          <w:tcPr>
            <w:tcW w:w="1424" w:type="dxa"/>
            <w:shd w:val="clear" w:color="auto" w:fill="auto"/>
            <w:vAlign w:val="center"/>
          </w:tcPr>
          <w:p w:rsidR="00346076" w:rsidRPr="00E734FE" w:rsidRDefault="008C1FFF" w:rsidP="00BC765A">
            <w:pPr>
              <w:tabs>
                <w:tab w:val="left" w:pos="720"/>
              </w:tabs>
              <w:spacing w:after="0"/>
              <w:ind w:left="0"/>
              <w:rPr>
                <w:rFonts w:ascii="Arial Narrow" w:hAnsi="Arial Narrow" w:cs="Arial"/>
                <w:sz w:val="18"/>
                <w:szCs w:val="18"/>
              </w:rPr>
            </w:pPr>
            <w:r>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Institute for Clinical and Evaluative Studies (ICES)  </w:t>
            </w:r>
            <w:r w:rsidR="009C3E87" w:rsidRPr="007E6EAB">
              <w:rPr>
                <w:lang w:val="en-AU"/>
              </w:rPr>
              <w:t>http://www.ices.on.ca</w:t>
            </w:r>
          </w:p>
        </w:tc>
        <w:tc>
          <w:tcPr>
            <w:tcW w:w="1424" w:type="dxa"/>
            <w:shd w:val="clear" w:color="auto" w:fill="auto"/>
            <w:vAlign w:val="center"/>
          </w:tcPr>
          <w:p w:rsidR="00346076" w:rsidRPr="00E734FE" w:rsidRDefault="00346076" w:rsidP="00BC765A">
            <w:pPr>
              <w:tabs>
                <w:tab w:val="left" w:pos="720"/>
                <w:tab w:val="left" w:pos="1374"/>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Institute of Health Economics (IHE)  http://www.ihe.ca/</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Ministry of Health and Long-Term Care – Medical Advisory Secretariat </w:t>
            </w:r>
            <w:r w:rsidR="009C3E87" w:rsidRPr="007E6EAB">
              <w:rPr>
                <w:lang w:val="en-AU"/>
              </w:rPr>
              <w:t>http://www.health.gov.on.ca/english/providers/program/mas/mas_mn.html</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p w:rsidR="00346076" w:rsidRPr="00E734FE" w:rsidRDefault="00346076" w:rsidP="00BC765A">
            <w:pPr>
              <w:tabs>
                <w:tab w:val="left" w:pos="720"/>
              </w:tabs>
              <w:spacing w:after="0"/>
              <w:ind w:left="0"/>
              <w:rPr>
                <w:rFonts w:ascii="Arial Narrow" w:hAnsi="Arial Narrow" w:cs="Arial"/>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Saskatchewan Health Quality Council  </w:t>
            </w:r>
            <w:r w:rsidR="009C3E87" w:rsidRPr="007E6EAB">
              <w:rPr>
                <w:lang w:val="en-AU"/>
              </w:rPr>
              <w:t>http://www.hqc.sk.ca</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Denmark</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Danish Centre for Evaluation and Health Technology Assessment (DACEHTA)  </w:t>
            </w:r>
            <w:r w:rsidR="009C3E87" w:rsidRPr="007E6EAB">
              <w:rPr>
                <w:lang w:val="en-AU"/>
              </w:rPr>
              <w:t>http://www.sst.dk/English/DACEHTA.aspx</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Danish Institute for Health Services Research (DSI) http://dsi.dk/english/</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Finland</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Finnish Office for Health Technology Assessment (FinOHTA)  http://finohta.stakes.fi/EN/index.htm</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France</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Committee for Evaluation and Diffusion of Innovative Techniques (CEDIT)  </w:t>
            </w:r>
            <w:r w:rsidR="009C3E87" w:rsidRPr="007E6EAB">
              <w:rPr>
                <w:lang w:val="en-AU"/>
              </w:rPr>
              <w:t>http://cedit.aphp.fr/-Pays-.html?rubrique&amp;lang=en&amp;dir=ltr</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p>
          <w:p w:rsidR="00346076" w:rsidRPr="00E734FE" w:rsidRDefault="00346076" w:rsidP="00BC765A">
            <w:pPr>
              <w:tabs>
                <w:tab w:val="left" w:pos="720"/>
              </w:tabs>
              <w:spacing w:after="0"/>
              <w:ind w:left="0"/>
              <w:rPr>
                <w:rFonts w:ascii="Arial Narrow" w:hAnsi="Arial Narrow" w:cs="Arial"/>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French National Authority for Health (HAS)  http://www.has-sante.fr/portail/jcms/c_5443/english?cid=c_5443 </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Germany</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lastRenderedPageBreak/>
              <w:t xml:space="preserve">German Agency for Health Technology Assessment (DAHTA)  </w:t>
            </w:r>
            <w:r w:rsidR="009C3E87" w:rsidRPr="007E6EAB">
              <w:rPr>
                <w:lang w:val="en-AU"/>
              </w:rPr>
              <w:t>http://www.dimdi.de/dynamic/en/hta/db/index.htm</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Hungary</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bCs/>
                <w:lang w:val="en-AU"/>
              </w:rPr>
              <w:t xml:space="preserve">Unit of Health Economics and Technology Research Assessment (HunHTA)  </w:t>
            </w:r>
            <w:r w:rsidR="009C3E87" w:rsidRPr="007E6EAB">
              <w:rPr>
                <w:lang w:val="en-AU"/>
              </w:rPr>
              <w:t>http://hecon.uni-corvinus.hu/corvinus.php?lng=en</w:t>
            </w:r>
          </w:p>
        </w:tc>
        <w:tc>
          <w:tcPr>
            <w:tcW w:w="1424" w:type="dxa"/>
            <w:shd w:val="clear" w:color="auto" w:fill="auto"/>
            <w:vAlign w:val="center"/>
          </w:tcPr>
          <w:p w:rsidR="00346076" w:rsidRPr="00E734FE" w:rsidRDefault="008C1FFF" w:rsidP="00BC765A">
            <w:pPr>
              <w:tabs>
                <w:tab w:val="num" w:pos="-13"/>
              </w:tabs>
              <w:spacing w:after="0"/>
              <w:ind w:left="0"/>
              <w:rPr>
                <w:rFonts w:ascii="Arial Narrow" w:hAnsi="Arial Narrow" w:cs="Arial"/>
                <w:sz w:val="18"/>
                <w:szCs w:val="18"/>
              </w:rPr>
            </w:pPr>
            <w:r>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The Netherlands</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Health Council of the Netherlands Gezondheidsraad  http://www.gezondheidsraad.nl/en/</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Institute for Medical Technology Assessment  http://www.imta.nl/</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Netherlands Organisation for Health Research and Development (ZonMw)  http://www.zonmw.nl/en/</w:t>
            </w:r>
          </w:p>
        </w:tc>
        <w:tc>
          <w:tcPr>
            <w:tcW w:w="1424" w:type="dxa"/>
            <w:shd w:val="clear" w:color="auto" w:fill="auto"/>
            <w:vAlign w:val="center"/>
          </w:tcPr>
          <w:p w:rsidR="00346076" w:rsidRPr="00E734FE" w:rsidRDefault="008C1FFF" w:rsidP="00BC765A">
            <w:pPr>
              <w:tabs>
                <w:tab w:val="left" w:pos="720"/>
              </w:tabs>
              <w:spacing w:after="0"/>
              <w:ind w:left="0"/>
              <w:rPr>
                <w:rFonts w:ascii="Arial Narrow" w:hAnsi="Arial Narrow" w:cs="Arial"/>
                <w:sz w:val="18"/>
                <w:szCs w:val="18"/>
              </w:rPr>
            </w:pPr>
            <w:r>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New Zealand</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New Zealand Health Technology Assessment (NZHTA)  http://nzhta.chmeds.ac.nz/</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Norway</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Norwegian Knowledge Centre for the Health Services  http://www.kunnskapssenteret.no/home</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Spain</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Agencia de Evaluación de Tecnologias Sanitarias, Instituto de Salud Carlos III/Health Technology Assessment Agency (AETS)  </w:t>
            </w:r>
            <w:r w:rsidR="000553BD" w:rsidRPr="007E6EAB">
              <w:rPr>
                <w:lang w:val="en-AU"/>
              </w:rPr>
              <w:t>http://www.isciii.es/htdocs/en/investigacion/Agencia_quees.jsp</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Andalusian Agency for Health Technology Assessment (AETSA)     http://www.juntadeandalucia.es/salud/servicios/aetsa/</w:t>
            </w:r>
          </w:p>
        </w:tc>
        <w:tc>
          <w:tcPr>
            <w:tcW w:w="1424" w:type="dxa"/>
            <w:shd w:val="clear" w:color="auto" w:fill="auto"/>
            <w:vAlign w:val="center"/>
          </w:tcPr>
          <w:p w:rsidR="00346076" w:rsidRPr="00E734FE" w:rsidRDefault="008C1FFF" w:rsidP="00BC765A">
            <w:pPr>
              <w:tabs>
                <w:tab w:val="left" w:pos="720"/>
              </w:tabs>
              <w:spacing w:after="0"/>
              <w:ind w:left="0"/>
              <w:rPr>
                <w:rFonts w:ascii="Arial Narrow" w:hAnsi="Arial Narrow" w:cs="Arial"/>
                <w:sz w:val="18"/>
                <w:szCs w:val="18"/>
              </w:rPr>
            </w:pPr>
            <w:r>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Catalan Agency for Health Technology Assessment  (CAHTA) </w:t>
            </w:r>
            <w:r w:rsidR="000553BD" w:rsidRPr="007E6EAB">
              <w:rPr>
                <w:lang w:val="en-AU"/>
              </w:rPr>
              <w:t>http://www.gencat.cat/salut/depsan/units/aatrm/html/en/Du8/index.html</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Sweden</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F46A07">
            <w:pPr>
              <w:pStyle w:val="TableText0"/>
              <w:rPr>
                <w:lang w:val="en-AU"/>
              </w:rPr>
            </w:pPr>
            <w:r w:rsidRPr="000F3C8B">
              <w:rPr>
                <w:lang w:val="en-AU"/>
              </w:rPr>
              <w:t>Swedish Council on Technology Assessment in Health Care (SBU)  http://www.sbu.se/</w:t>
            </w:r>
            <w:r w:rsidR="00F46A07">
              <w:rPr>
                <w:lang w:val="en-AU"/>
              </w:rPr>
              <w:t>en</w:t>
            </w:r>
            <w:r w:rsidRPr="000F3C8B">
              <w:rPr>
                <w:lang w:val="en-AU"/>
              </w:rPr>
              <w:t>/</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Center for Medical Health Technology Assessment  http://www.cmt.liu.se/english/publications</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Switzerland</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Swiss Network on Health Technology Assessment (SNHTA)  http://www.snhta.ch/</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United Kingdom</w:t>
            </w:r>
          </w:p>
        </w:tc>
        <w:tc>
          <w:tcPr>
            <w:tcW w:w="1424" w:type="dxa"/>
            <w:shd w:val="clear" w:color="auto" w:fill="auto"/>
            <w:vAlign w:val="center"/>
          </w:tcPr>
          <w:p w:rsidR="00346076" w:rsidRPr="00E734FE" w:rsidRDefault="00346076" w:rsidP="00BC765A">
            <w:pPr>
              <w:keepNext/>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Health Technology Board for Scotland   http://www.htbs.co.uk/</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National Health Service Health Technology Assessment (UK)/National Coordinating Centre for Health Technology Assessment (NCCHTA)  http://www.ncchta.org/</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NHS Quality Improvement Scotland http://www.nhshealthquality.org/</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The European Information Network on New and Changing Health Technologies http://www.euroscan.bham.ac.uk/</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National Institute for Clinical Excellence (NICE)  http://www.nice.org.uk/</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Stent placement in colon</w:t>
            </w:r>
            <w:r w:rsidR="00E83136" w:rsidRPr="00E734FE">
              <w:rPr>
                <w:rFonts w:ascii="Arial Narrow" w:hAnsi="Arial Narrow" w:cs="Arial"/>
                <w:sz w:val="18"/>
                <w:szCs w:val="18"/>
              </w:rPr>
              <w:t>: n</w:t>
            </w:r>
            <w:r w:rsidRPr="00E734FE">
              <w:rPr>
                <w:rFonts w:ascii="Arial Narrow" w:hAnsi="Arial Narrow" w:cs="Arial"/>
                <w:sz w:val="18"/>
                <w:szCs w:val="18"/>
              </w:rPr>
              <w:t>ot in remit</w:t>
            </w:r>
            <w:r w:rsidR="00084699">
              <w:rPr>
                <w:rFonts w:ascii="Arial Narrow" w:hAnsi="Arial Narrow" w:cs="Arial"/>
                <w:sz w:val="18"/>
                <w:szCs w:val="18"/>
              </w:rPr>
              <w:t>.</w:t>
            </w:r>
            <w:r w:rsidR="007E6EAB" w:rsidRPr="007E6EAB">
              <w:rPr>
                <w:rFonts w:ascii="Arial Narrow" w:hAnsi="Arial Narrow" w:cs="Arial"/>
                <w:sz w:val="18"/>
                <w:szCs w:val="18"/>
                <w:vertAlign w:val="superscript"/>
              </w:rPr>
              <w:t>a</w:t>
            </w:r>
          </w:p>
          <w:p w:rsidR="00E83136" w:rsidRPr="00E734FE" w:rsidRDefault="00E83136" w:rsidP="00E83136">
            <w:pPr>
              <w:tabs>
                <w:tab w:val="left" w:pos="720"/>
              </w:tabs>
              <w:spacing w:after="0"/>
              <w:ind w:left="0"/>
              <w:rPr>
                <w:rFonts w:ascii="Arial Narrow" w:hAnsi="Arial Narrow" w:cs="Arial"/>
                <w:sz w:val="18"/>
                <w:szCs w:val="18"/>
              </w:rPr>
            </w:pPr>
            <w:r w:rsidRPr="00E734FE">
              <w:rPr>
                <w:rFonts w:ascii="Arial Narrow" w:hAnsi="Arial Narrow" w:cs="Arial"/>
                <w:sz w:val="18"/>
                <w:szCs w:val="18"/>
              </w:rPr>
              <w:t>Colorectal cancer: the diagnosis and management of colorectal cancer</w:t>
            </w:r>
            <w:r w:rsidR="00084699">
              <w:rPr>
                <w:rFonts w:ascii="Arial Narrow" w:hAnsi="Arial Narrow" w:cs="Arial"/>
                <w:sz w:val="18"/>
                <w:szCs w:val="18"/>
              </w:rPr>
              <w:t>.</w:t>
            </w:r>
          </w:p>
          <w:p w:rsidR="00E83136" w:rsidRPr="00E734FE" w:rsidRDefault="00E83136" w:rsidP="00E83136">
            <w:pPr>
              <w:tabs>
                <w:tab w:val="left" w:pos="720"/>
              </w:tabs>
              <w:spacing w:after="0"/>
              <w:ind w:left="0"/>
              <w:rPr>
                <w:rFonts w:ascii="Arial Narrow" w:hAnsi="Arial Narrow" w:cs="Arial"/>
                <w:sz w:val="18"/>
                <w:szCs w:val="18"/>
              </w:rPr>
            </w:pPr>
            <w:r w:rsidRPr="00E734FE">
              <w:rPr>
                <w:rFonts w:ascii="Arial Narrow" w:hAnsi="Arial Narrow" w:cs="Arial"/>
                <w:sz w:val="18"/>
                <w:szCs w:val="18"/>
              </w:rPr>
              <w:t>Evidence review</w:t>
            </w:r>
          </w:p>
          <w:p w:rsidR="00E83136" w:rsidRPr="00E734FE" w:rsidRDefault="00E83136" w:rsidP="00E83136">
            <w:pPr>
              <w:tabs>
                <w:tab w:val="left" w:pos="720"/>
              </w:tabs>
              <w:spacing w:after="0"/>
              <w:ind w:left="0"/>
              <w:rPr>
                <w:rFonts w:ascii="Arial Narrow" w:hAnsi="Arial Narrow" w:cs="Arial"/>
                <w:sz w:val="18"/>
                <w:szCs w:val="18"/>
              </w:rPr>
            </w:pPr>
            <w:r w:rsidRPr="00E734FE">
              <w:rPr>
                <w:rFonts w:ascii="Arial Narrow" w:hAnsi="Arial Narrow" w:cs="Arial"/>
                <w:sz w:val="18"/>
                <w:szCs w:val="18"/>
              </w:rPr>
              <w:t>9 Nov 2011</w:t>
            </w:r>
            <w:r w:rsidR="00084699">
              <w:rPr>
                <w:rFonts w:ascii="Arial Narrow" w:hAnsi="Arial Narrow" w:cs="Arial"/>
                <w:sz w:val="18"/>
                <w:szCs w:val="18"/>
              </w:rPr>
              <w:t>.</w:t>
            </w:r>
          </w:p>
          <w:p w:rsidR="00346076" w:rsidRPr="00E734FE" w:rsidRDefault="00E83136" w:rsidP="00E83136">
            <w:pPr>
              <w:tabs>
                <w:tab w:val="left" w:pos="720"/>
              </w:tabs>
              <w:spacing w:after="0"/>
              <w:ind w:left="0"/>
              <w:rPr>
                <w:rFonts w:ascii="Arial Narrow" w:hAnsi="Arial Narrow" w:cs="Arial"/>
                <w:sz w:val="18"/>
                <w:szCs w:val="18"/>
              </w:rPr>
            </w:pPr>
            <w:r w:rsidRPr="00E734FE">
              <w:rPr>
                <w:rFonts w:ascii="Arial Narrow" w:hAnsi="Arial Narrow" w:cs="Arial"/>
                <w:sz w:val="18"/>
                <w:szCs w:val="18"/>
              </w:rPr>
              <w:t>Includes section on stents.</w:t>
            </w:r>
          </w:p>
        </w:tc>
      </w:tr>
      <w:tr w:rsidR="00346076" w:rsidRPr="00E734FE" w:rsidTr="008D2CEA">
        <w:trPr>
          <w:cantSplit/>
        </w:trPr>
        <w:tc>
          <w:tcPr>
            <w:tcW w:w="6963" w:type="dxa"/>
            <w:shd w:val="clear" w:color="auto" w:fill="auto"/>
            <w:vAlign w:val="center"/>
          </w:tcPr>
          <w:p w:rsidR="00346076" w:rsidRPr="0007443E" w:rsidRDefault="00346076" w:rsidP="00E2212A">
            <w:pPr>
              <w:pStyle w:val="TableText0"/>
              <w:rPr>
                <w:b/>
                <w:lang w:val="en-AU"/>
              </w:rPr>
            </w:pPr>
            <w:r w:rsidRPr="0007443E">
              <w:rPr>
                <w:b/>
                <w:lang w:val="en-AU"/>
              </w:rPr>
              <w:t>United States</w:t>
            </w:r>
          </w:p>
        </w:tc>
        <w:tc>
          <w:tcPr>
            <w:tcW w:w="1424" w:type="dxa"/>
            <w:shd w:val="clear" w:color="auto" w:fill="auto"/>
            <w:vAlign w:val="center"/>
          </w:tcPr>
          <w:p w:rsidR="00346076" w:rsidRPr="00E734FE" w:rsidRDefault="00346076" w:rsidP="00BC765A">
            <w:pPr>
              <w:spacing w:after="0"/>
              <w:ind w:left="0"/>
              <w:rPr>
                <w:rFonts w:ascii="Arial Narrow" w:hAnsi="Arial Narrow" w:cs="Arial"/>
                <w:b/>
                <w:sz w:val="18"/>
                <w:szCs w:val="18"/>
              </w:rPr>
            </w:pP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Agency for Healthcare Research and Quality (AHRQ)  </w:t>
            </w:r>
            <w:r w:rsidR="000553BD" w:rsidRPr="007E6EAB">
              <w:rPr>
                <w:lang w:val="en-AU"/>
              </w:rPr>
              <w:t>http://www.ahrq.gov/clinic/techix.htm</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Harvard School of Public Health – Cost-Utility Analysis Registry  http://www.tufts-nemc.org/cearegistry/</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Institute for Clinical Systems Improvement (ICSI) </w:t>
            </w:r>
            <w:r w:rsidR="000553BD" w:rsidRPr="007E6EAB">
              <w:rPr>
                <w:lang w:val="en-AU"/>
              </w:rPr>
              <w:t>http://www.icsi.org</w:t>
            </w:r>
          </w:p>
        </w:tc>
        <w:tc>
          <w:tcPr>
            <w:tcW w:w="1424" w:type="dxa"/>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lastRenderedPageBreak/>
              <w:t xml:space="preserve">Minnesota Department of Health (US) </w:t>
            </w:r>
            <w:r w:rsidR="000553BD" w:rsidRPr="007E6EAB">
              <w:rPr>
                <w:lang w:val="en-AU"/>
              </w:rPr>
              <w:t>http://www.health.state.mn.us/htac/index.htm</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National Information Centre of Health Services Research and Health Care Technology (US) </w:t>
            </w:r>
            <w:r w:rsidR="000553BD" w:rsidRPr="007E6EAB">
              <w:rPr>
                <w:lang w:val="en-AU"/>
              </w:rPr>
              <w:t>http://www.nlm.nih.gov/hsrph.html</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 xml:space="preserve">Oregon Health Resources Commission (US) </w:t>
            </w:r>
            <w:r w:rsidR="00F46A07" w:rsidRPr="00F46A07">
              <w:rPr>
                <w:lang w:val="en-AU"/>
              </w:rPr>
              <w:t>http://www.oregon.gov/OHA/OHPR/HRC/index.shtml</w:t>
            </w:r>
            <w:r w:rsidR="00F46A07" w:rsidRPr="00F46A07" w:rsidDel="00F46A07">
              <w:rPr>
                <w:lang w:val="en-AU"/>
              </w:rPr>
              <w:t xml:space="preserve"> </w:t>
            </w:r>
            <w:r w:rsidRPr="000F3C8B">
              <w:rPr>
                <w:lang w:val="en-AU"/>
              </w:rPr>
              <w:t>l</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shd w:val="clear" w:color="auto" w:fill="auto"/>
            <w:vAlign w:val="center"/>
          </w:tcPr>
          <w:p w:rsidR="00346076" w:rsidRPr="000F3C8B" w:rsidRDefault="00346076" w:rsidP="00E2212A">
            <w:pPr>
              <w:pStyle w:val="TableText0"/>
              <w:rPr>
                <w:lang w:val="en-AU"/>
              </w:rPr>
            </w:pPr>
            <w:r w:rsidRPr="000F3C8B">
              <w:rPr>
                <w:lang w:val="en-AU"/>
              </w:rPr>
              <w:t>Office of Health Technology Assessment Archive (US) http://fas.org/ota/</w:t>
            </w:r>
          </w:p>
        </w:tc>
        <w:tc>
          <w:tcPr>
            <w:tcW w:w="1424" w:type="dxa"/>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tcBorders>
              <w:bottom w:val="nil"/>
            </w:tcBorders>
            <w:shd w:val="clear" w:color="auto" w:fill="auto"/>
            <w:vAlign w:val="center"/>
          </w:tcPr>
          <w:p w:rsidR="00346076" w:rsidRPr="000F3C8B" w:rsidRDefault="00346076" w:rsidP="00E2212A">
            <w:pPr>
              <w:pStyle w:val="TableText0"/>
              <w:rPr>
                <w:lang w:val="en-AU"/>
              </w:rPr>
            </w:pPr>
            <w:r w:rsidRPr="000F3C8B">
              <w:rPr>
                <w:lang w:val="en-AU"/>
              </w:rPr>
              <w:t>US Blue Cross/Blue Shield Association Technology Evaluation Centre (TEC)  http://www.bcbs.com/blueresources/tec/</w:t>
            </w:r>
          </w:p>
        </w:tc>
        <w:tc>
          <w:tcPr>
            <w:tcW w:w="1424" w:type="dxa"/>
            <w:tcBorders>
              <w:bottom w:val="nil"/>
            </w:tcBorders>
            <w:shd w:val="clear" w:color="auto" w:fill="auto"/>
            <w:vAlign w:val="center"/>
          </w:tcPr>
          <w:p w:rsidR="00346076" w:rsidRPr="00E734FE" w:rsidRDefault="00346076" w:rsidP="00BC765A">
            <w:pPr>
              <w:spacing w:after="0"/>
              <w:ind w:left="0"/>
              <w:rPr>
                <w:rFonts w:ascii="Arial Narrow" w:hAnsi="Arial Narrow" w:cs="Arial"/>
                <w:sz w:val="18"/>
                <w:szCs w:val="18"/>
              </w:rPr>
            </w:pPr>
            <w:r w:rsidRPr="00E734FE">
              <w:rPr>
                <w:rFonts w:ascii="Arial Narrow" w:hAnsi="Arial Narrow" w:cs="Arial"/>
                <w:sz w:val="18"/>
                <w:szCs w:val="18"/>
              </w:rPr>
              <w:t>Nil</w:t>
            </w:r>
          </w:p>
        </w:tc>
      </w:tr>
      <w:tr w:rsidR="00346076" w:rsidRPr="00E734FE" w:rsidTr="008D2CEA">
        <w:trPr>
          <w:cantSplit/>
        </w:trPr>
        <w:tc>
          <w:tcPr>
            <w:tcW w:w="6963" w:type="dxa"/>
            <w:tcBorders>
              <w:top w:val="nil"/>
              <w:bottom w:val="single" w:sz="12" w:space="0" w:color="auto"/>
            </w:tcBorders>
            <w:shd w:val="clear" w:color="auto" w:fill="auto"/>
            <w:vAlign w:val="center"/>
          </w:tcPr>
          <w:p w:rsidR="00346076" w:rsidRPr="000F3C8B" w:rsidRDefault="00346076" w:rsidP="00E2212A">
            <w:pPr>
              <w:pStyle w:val="TableText0"/>
              <w:rPr>
                <w:lang w:val="en-AU"/>
              </w:rPr>
            </w:pPr>
            <w:r w:rsidRPr="000F3C8B">
              <w:rPr>
                <w:lang w:val="en-AU"/>
              </w:rPr>
              <w:t>Veterans’ Affairs Technology Assessment Program (VATAP)  http://www.va.gov/VATAP/site_search.asp</w:t>
            </w:r>
          </w:p>
        </w:tc>
        <w:tc>
          <w:tcPr>
            <w:tcW w:w="1424" w:type="dxa"/>
            <w:tcBorders>
              <w:top w:val="nil"/>
              <w:bottom w:val="single" w:sz="12" w:space="0" w:color="auto"/>
            </w:tcBorders>
            <w:shd w:val="clear" w:color="auto" w:fill="auto"/>
            <w:vAlign w:val="center"/>
          </w:tcPr>
          <w:p w:rsidR="00346076" w:rsidRPr="00E734FE" w:rsidRDefault="00346076" w:rsidP="00BC765A">
            <w:pPr>
              <w:tabs>
                <w:tab w:val="left" w:pos="720"/>
              </w:tabs>
              <w:spacing w:after="0"/>
              <w:ind w:left="0"/>
              <w:rPr>
                <w:rFonts w:ascii="Arial Narrow" w:hAnsi="Arial Narrow" w:cs="Arial"/>
                <w:sz w:val="18"/>
                <w:szCs w:val="18"/>
              </w:rPr>
            </w:pPr>
            <w:r w:rsidRPr="00E734FE">
              <w:rPr>
                <w:rFonts w:ascii="Arial Narrow" w:hAnsi="Arial Narrow" w:cs="Arial"/>
                <w:sz w:val="18"/>
                <w:szCs w:val="18"/>
              </w:rPr>
              <w:t>Nil</w:t>
            </w:r>
          </w:p>
        </w:tc>
      </w:tr>
    </w:tbl>
    <w:p w:rsidR="00346076" w:rsidRPr="00BE3EA8" w:rsidRDefault="007E6EAB" w:rsidP="007E6EAB">
      <w:pPr>
        <w:pStyle w:val="TableNotes"/>
        <w:spacing w:after="100" w:afterAutospacing="1"/>
      </w:pPr>
      <w:proofErr w:type="gramStart"/>
      <w:r>
        <w:rPr>
          <w:lang w:val="en-AU"/>
        </w:rPr>
        <w:t xml:space="preserve">a  </w:t>
      </w:r>
      <w:r w:rsidRPr="00E734FE">
        <w:t>Date</w:t>
      </w:r>
      <w:proofErr w:type="gramEnd"/>
      <w:r w:rsidRPr="00E734FE">
        <w:t xml:space="preserve"> notified to NICE:01 April 2002</w:t>
      </w:r>
      <w:r w:rsidRPr="007E6EAB">
        <w:t>;</w:t>
      </w:r>
      <w:r w:rsidRPr="00E734FE">
        <w:t xml:space="preserve"> Topic area: Digestive system</w:t>
      </w:r>
      <w:r w:rsidRPr="007E6EAB">
        <w:t>;</w:t>
      </w:r>
      <w:r w:rsidRPr="00E734FE">
        <w:t xml:space="preserve"> Reason: Established procedure</w:t>
      </w:r>
      <w:r w:rsidRPr="007E6EAB">
        <w:t>.</w:t>
      </w:r>
      <w:r w:rsidRPr="007E6EAB">
        <w:br/>
      </w:r>
      <w:r w:rsidRPr="00E734FE">
        <w:t>Explanation: Established procedure - Procedures do not fall within the program's remit if they are considered standard clinical practice with an efficacy and safety profile that is sufficiently well known.</w:t>
      </w:r>
      <w:r w:rsidRPr="007E6EAB">
        <w:br/>
      </w:r>
      <w:r w:rsidR="00392DC7">
        <w:t>This page</w:t>
      </w:r>
      <w:r w:rsidRPr="00E734FE">
        <w:t xml:space="preserve"> last updated: 30 March 2010</w:t>
      </w:r>
      <w:r w:rsidRPr="007E6EAB">
        <w:t>.</w:t>
      </w:r>
    </w:p>
    <w:p w:rsidR="00214C6A" w:rsidRPr="009326A0" w:rsidRDefault="00214C6A" w:rsidP="009326A0"/>
    <w:p w:rsidR="009A3655" w:rsidRPr="009326A0" w:rsidRDefault="009A3655" w:rsidP="009326A0">
      <w:pPr>
        <w:pStyle w:val="Heading1"/>
        <w:ind w:left="0" w:firstLine="0"/>
        <w:rPr>
          <w:bCs/>
          <w:lang w:val="en-AU"/>
        </w:rPr>
        <w:sectPr w:rsidR="009A3655" w:rsidRPr="009326A0" w:rsidSect="00EC05E8">
          <w:headerReference w:type="even" r:id="rId48"/>
          <w:footerReference w:type="even" r:id="rId49"/>
          <w:footerReference w:type="default" r:id="rId50"/>
          <w:pgSz w:w="11906" w:h="16838"/>
          <w:pgMar w:top="1440" w:right="1440" w:bottom="1440" w:left="1440" w:header="720" w:footer="720" w:gutter="0"/>
          <w:paperSrc w:first="7" w:other="7"/>
          <w:cols w:space="720"/>
        </w:sectPr>
      </w:pPr>
      <w:bookmarkStart w:id="335" w:name="_Ref170808567"/>
      <w:bookmarkStart w:id="336" w:name="_Toc460813781"/>
      <w:bookmarkStart w:id="337" w:name="_Ref170792604"/>
    </w:p>
    <w:p w:rsidR="000F3D4F" w:rsidRPr="00BB3C05" w:rsidRDefault="000F3D4F" w:rsidP="00E83136">
      <w:pPr>
        <w:pStyle w:val="Heading1"/>
        <w:ind w:left="0" w:firstLine="0"/>
        <w:rPr>
          <w:bCs/>
        </w:rPr>
      </w:pPr>
      <w:bookmarkStart w:id="338" w:name="_Appendix_E_Studies"/>
      <w:bookmarkStart w:id="339" w:name="_Ref325977499"/>
      <w:bookmarkStart w:id="340" w:name="_Toc352924452"/>
      <w:bookmarkStart w:id="341" w:name="_Ref190841600"/>
      <w:bookmarkStart w:id="342" w:name="_Toc214339200"/>
      <w:bookmarkEnd w:id="335"/>
      <w:bookmarkEnd w:id="338"/>
      <w:r w:rsidRPr="00BB3C05">
        <w:rPr>
          <w:bCs/>
        </w:rPr>
        <w:lastRenderedPageBreak/>
        <w:t xml:space="preserve">Appendix </w:t>
      </w:r>
      <w:r w:rsidR="00F76B65">
        <w:rPr>
          <w:bCs/>
          <w:lang w:val="en-AU"/>
        </w:rPr>
        <w:t>D</w:t>
      </w:r>
      <w:r w:rsidR="006D07D2">
        <w:rPr>
          <w:bCs/>
          <w:lang w:val="en-AU"/>
        </w:rPr>
        <w:tab/>
      </w:r>
      <w:r w:rsidR="00B16316">
        <w:rPr>
          <w:bCs/>
          <w:lang w:val="en-AU"/>
        </w:rPr>
        <w:tab/>
      </w:r>
      <w:r w:rsidRPr="00BB3C05">
        <w:rPr>
          <w:bCs/>
        </w:rPr>
        <w:t>Studies included in the review</w:t>
      </w:r>
      <w:bookmarkEnd w:id="339"/>
      <w:bookmarkEnd w:id="340"/>
    </w:p>
    <w:p w:rsidR="0058134D" w:rsidRPr="0007443E" w:rsidRDefault="0058134D" w:rsidP="00A04C2B">
      <w:pPr>
        <w:keepNext/>
        <w:spacing w:before="240"/>
        <w:ind w:left="0"/>
        <w:rPr>
          <w:rStyle w:val="Heading2Char1"/>
        </w:rPr>
      </w:pPr>
      <w:r w:rsidRPr="0007443E">
        <w:rPr>
          <w:rStyle w:val="Heading2Char1"/>
        </w:rPr>
        <w:t>Patients with colorectal obstruction, stricture or stenosis medically fit for surgery</w:t>
      </w:r>
    </w:p>
    <w:p w:rsidR="00652380" w:rsidRPr="00BB3C05" w:rsidRDefault="00652380" w:rsidP="00A75144">
      <w:pPr>
        <w:pStyle w:val="Heading2"/>
      </w:pPr>
      <w:r w:rsidRPr="00BB3C05">
        <w:t>Comparative studies</w:t>
      </w:r>
    </w:p>
    <w:p w:rsidR="00652380" w:rsidRPr="00BB3C05" w:rsidRDefault="00652380" w:rsidP="00A75144">
      <w:pPr>
        <w:pStyle w:val="Heading3"/>
      </w:pPr>
      <w:r w:rsidRPr="00BB3C05">
        <w:t>Level II studies</w:t>
      </w:r>
    </w:p>
    <w:p w:rsidR="00652380" w:rsidRPr="00BB3C05" w:rsidRDefault="00652380" w:rsidP="00652380">
      <w:r w:rsidRPr="00BB3C05">
        <w:t xml:space="preserve">Fiori, E., Lamazza, A. </w:t>
      </w:r>
      <w:r w:rsidR="00993CAF">
        <w:t>et al</w:t>
      </w:r>
      <w:r w:rsidRPr="00BB3C05">
        <w:t xml:space="preserve"> </w:t>
      </w:r>
      <w:r w:rsidR="00993CAF">
        <w:t>2004.</w:t>
      </w:r>
      <w:r w:rsidRPr="00BB3C05">
        <w:t xml:space="preserve"> </w:t>
      </w:r>
      <w:proofErr w:type="gramStart"/>
      <w:r w:rsidR="00993CAF">
        <w:t>‘</w:t>
      </w:r>
      <w:r w:rsidRPr="00BB3C05">
        <w:t>Palliative management of malignant rectosigmoidal obstruction.</w:t>
      </w:r>
      <w:proofErr w:type="gramEnd"/>
      <w:r w:rsidRPr="00BB3C05">
        <w:t xml:space="preserve"> </w:t>
      </w:r>
      <w:proofErr w:type="gramStart"/>
      <w:r w:rsidRPr="00BB3C05">
        <w:t>Colostomy vs. endoscopic stenting.</w:t>
      </w:r>
      <w:proofErr w:type="gramEnd"/>
      <w:r w:rsidRPr="00BB3C05">
        <w:t xml:space="preserve"> </w:t>
      </w:r>
      <w:proofErr w:type="gramStart"/>
      <w:r w:rsidRPr="00BB3C05">
        <w:t>A randomized prospective trial</w:t>
      </w:r>
      <w:r w:rsidR="00993CAF">
        <w:t>’</w:t>
      </w:r>
      <w:r w:rsidRPr="00BB3C05">
        <w:t xml:space="preserve">, </w:t>
      </w:r>
      <w:r w:rsidRPr="00BB3C05">
        <w:rPr>
          <w:i/>
          <w:iCs/>
        </w:rPr>
        <w:t>Anticancer Res</w:t>
      </w:r>
      <w:r w:rsidR="00414EB8">
        <w:rPr>
          <w:i/>
          <w:iCs/>
        </w:rPr>
        <w:t>earch</w:t>
      </w:r>
      <w:r w:rsidR="005267B7">
        <w:t>, 24 (</w:t>
      </w:r>
      <w:r w:rsidRPr="00BB3C05">
        <w:t>1</w:t>
      </w:r>
      <w:r w:rsidR="005267B7">
        <w:t xml:space="preserve">), </w:t>
      </w:r>
      <w:r w:rsidRPr="00BB3C05">
        <w:t>265-268.</w:t>
      </w:r>
      <w:proofErr w:type="gramEnd"/>
      <w:r w:rsidRPr="00BB3C05">
        <w:t xml:space="preserve"> </w:t>
      </w:r>
    </w:p>
    <w:p w:rsidR="00652380" w:rsidRPr="00BB3C05" w:rsidRDefault="00652380" w:rsidP="00652380">
      <w:proofErr w:type="gramStart"/>
      <w:r w:rsidRPr="00BB3C05">
        <w:t xml:space="preserve">Xinopoulos, D., Dimitroulopoulos, D. </w:t>
      </w:r>
      <w:r w:rsidR="00993CAF">
        <w:t>et al</w:t>
      </w:r>
      <w:r w:rsidRPr="00BB3C05">
        <w:t xml:space="preserve"> </w:t>
      </w:r>
      <w:r w:rsidR="00993CAF">
        <w:t>2004.</w:t>
      </w:r>
      <w:proofErr w:type="gramEnd"/>
      <w:r w:rsidRPr="00BB3C05">
        <w:t xml:space="preserve"> </w:t>
      </w:r>
      <w:proofErr w:type="gramStart"/>
      <w:r w:rsidR="00993CAF">
        <w:t>‘</w:t>
      </w:r>
      <w:r w:rsidRPr="00BB3C05">
        <w:t>Stenting or stoma creation for patients with inoperable malignant colonic obstructions?</w:t>
      </w:r>
      <w:proofErr w:type="gramEnd"/>
      <w:r w:rsidRPr="00BB3C05">
        <w:t xml:space="preserve"> </w:t>
      </w:r>
      <w:proofErr w:type="gramStart"/>
      <w:r w:rsidRPr="00BB3C05">
        <w:t>Results of a study and cost-effectiveness analysis</w:t>
      </w:r>
      <w:r w:rsidR="00993CAF">
        <w:t>’</w:t>
      </w:r>
      <w:r w:rsidRPr="00BB3C05">
        <w:t xml:space="preserve">, </w:t>
      </w:r>
      <w:r w:rsidRPr="00BB3C05">
        <w:rPr>
          <w:i/>
          <w:iCs/>
        </w:rPr>
        <w:t>Surg</w:t>
      </w:r>
      <w:r w:rsidR="00414EB8">
        <w:rPr>
          <w:i/>
          <w:iCs/>
        </w:rPr>
        <w:t>ical</w:t>
      </w:r>
      <w:r w:rsidRPr="00BB3C05">
        <w:rPr>
          <w:i/>
          <w:iCs/>
        </w:rPr>
        <w:t xml:space="preserve"> Endosc</w:t>
      </w:r>
      <w:r w:rsidR="00414EB8">
        <w:rPr>
          <w:i/>
          <w:iCs/>
        </w:rPr>
        <w:t>opy</w:t>
      </w:r>
      <w:r w:rsidRPr="00BB3C05">
        <w:t>, 18</w:t>
      </w:r>
      <w:r w:rsidR="005267B7">
        <w:t xml:space="preserve"> (</w:t>
      </w:r>
      <w:r w:rsidRPr="00BB3C05">
        <w:t>3</w:t>
      </w:r>
      <w:r w:rsidR="005267B7">
        <w:t>)</w:t>
      </w:r>
      <w:r w:rsidR="0038745F">
        <w:t>,</w:t>
      </w:r>
      <w:r w:rsidRPr="00BB3C05">
        <w:t xml:space="preserve"> 421-426.</w:t>
      </w:r>
      <w:proofErr w:type="gramEnd"/>
    </w:p>
    <w:p w:rsidR="00652380" w:rsidRPr="00BB3C05" w:rsidRDefault="00652380" w:rsidP="0007443E">
      <w:pPr>
        <w:pStyle w:val="Heading4"/>
      </w:pPr>
      <w:r w:rsidRPr="00BB3C05">
        <w:t>Level III studies</w:t>
      </w:r>
    </w:p>
    <w:p w:rsidR="00652380" w:rsidRPr="00BB3C05" w:rsidRDefault="00652380" w:rsidP="00652380">
      <w:r w:rsidRPr="00BB3C05">
        <w:t xml:space="preserve">Baik, S. H., Kim, N. K. </w:t>
      </w:r>
      <w:r w:rsidR="00423FF6" w:rsidRPr="00423FF6">
        <w:t xml:space="preserve">et al </w:t>
      </w:r>
      <w:r w:rsidR="00993CAF">
        <w:t>2006.</w:t>
      </w:r>
      <w:r w:rsidRPr="00BB3C05">
        <w:t xml:space="preserve"> </w:t>
      </w:r>
      <w:proofErr w:type="gramStart"/>
      <w:r w:rsidR="00993CAF">
        <w:t>‘</w:t>
      </w:r>
      <w:r w:rsidRPr="00BB3C05">
        <w:t>Clinical outcomes of metallic stent insertion for obstructive colorectal cancer</w:t>
      </w:r>
      <w:r w:rsidR="00993CAF">
        <w:t>’</w:t>
      </w:r>
      <w:r w:rsidRPr="00BB3C05">
        <w:t xml:space="preserve">, </w:t>
      </w:r>
      <w:r w:rsidRPr="00BB3C05">
        <w:rPr>
          <w:i/>
          <w:iCs/>
        </w:rPr>
        <w:t>Hepatogastroenterology</w:t>
      </w:r>
      <w:r w:rsidRPr="00BB3C05">
        <w:t>, 53</w:t>
      </w:r>
      <w:r w:rsidR="005267B7">
        <w:t xml:space="preserve"> (</w:t>
      </w:r>
      <w:r w:rsidRPr="00BB3C05">
        <w:t>68</w:t>
      </w:r>
      <w:r w:rsidR="005267B7">
        <w:t>)</w:t>
      </w:r>
      <w:r w:rsidR="0038745F">
        <w:t>,</w:t>
      </w:r>
      <w:r w:rsidRPr="00BB3C05">
        <w:t xml:space="preserve"> 183-187.</w:t>
      </w:r>
      <w:proofErr w:type="gramEnd"/>
    </w:p>
    <w:p w:rsidR="00652380" w:rsidRPr="00BB3C05" w:rsidRDefault="00652380" w:rsidP="00652380">
      <w:r w:rsidRPr="00BB3C05">
        <w:t xml:space="preserve">Johnson, R., Marsh, R. </w:t>
      </w:r>
      <w:r w:rsidR="00CC6479">
        <w:t>et al</w:t>
      </w:r>
      <w:r w:rsidR="00423FF6" w:rsidRPr="00423FF6">
        <w:t xml:space="preserve"> </w:t>
      </w:r>
      <w:r w:rsidR="00993CAF">
        <w:t>2004.</w:t>
      </w:r>
      <w:r w:rsidRPr="00BB3C05">
        <w:t xml:space="preserve"> </w:t>
      </w:r>
      <w:r w:rsidR="00993CAF">
        <w:t>‘</w:t>
      </w:r>
      <w:r w:rsidRPr="00BB3C05">
        <w:t>A comparison of two methods of palliation of large bowel obstruction due to irremovable colon cancer</w:t>
      </w:r>
      <w:r w:rsidR="00993CAF">
        <w:t>’</w:t>
      </w:r>
      <w:r w:rsidRPr="00BB3C05">
        <w:t xml:space="preserve">, </w:t>
      </w:r>
      <w:r w:rsidRPr="00BB3C05">
        <w:rPr>
          <w:i/>
          <w:iCs/>
        </w:rPr>
        <w:t>Ann</w:t>
      </w:r>
      <w:r w:rsidR="00414EB8">
        <w:rPr>
          <w:i/>
          <w:iCs/>
        </w:rPr>
        <w:t>als</w:t>
      </w:r>
      <w:r w:rsidRPr="00BB3C05">
        <w:rPr>
          <w:i/>
          <w:iCs/>
        </w:rPr>
        <w:t xml:space="preserve"> </w:t>
      </w:r>
      <w:r w:rsidR="00414EB8">
        <w:rPr>
          <w:i/>
          <w:iCs/>
        </w:rPr>
        <w:t xml:space="preserve">of the </w:t>
      </w:r>
      <w:r w:rsidRPr="00BB3C05">
        <w:rPr>
          <w:i/>
          <w:iCs/>
        </w:rPr>
        <w:t>R</w:t>
      </w:r>
      <w:r w:rsidR="00414EB8">
        <w:rPr>
          <w:i/>
          <w:iCs/>
        </w:rPr>
        <w:t>oyal</w:t>
      </w:r>
      <w:r w:rsidRPr="00BB3C05">
        <w:rPr>
          <w:i/>
          <w:iCs/>
        </w:rPr>
        <w:t xml:space="preserve"> Coll</w:t>
      </w:r>
      <w:r w:rsidR="00414EB8">
        <w:rPr>
          <w:i/>
          <w:iCs/>
        </w:rPr>
        <w:t>ege of</w:t>
      </w:r>
      <w:r w:rsidRPr="00BB3C05">
        <w:rPr>
          <w:i/>
          <w:iCs/>
        </w:rPr>
        <w:t xml:space="preserve"> Surg</w:t>
      </w:r>
      <w:r w:rsidR="00414EB8">
        <w:rPr>
          <w:i/>
          <w:iCs/>
        </w:rPr>
        <w:t>eons</w:t>
      </w:r>
      <w:r w:rsidRPr="00BB3C05">
        <w:rPr>
          <w:i/>
          <w:iCs/>
        </w:rPr>
        <w:t xml:space="preserve"> Engl</w:t>
      </w:r>
      <w:r w:rsidR="00414EB8">
        <w:rPr>
          <w:i/>
          <w:iCs/>
        </w:rPr>
        <w:t>and</w:t>
      </w:r>
      <w:r w:rsidRPr="00BB3C05">
        <w:t>, 86</w:t>
      </w:r>
      <w:r w:rsidR="005267B7">
        <w:t xml:space="preserve"> (</w:t>
      </w:r>
      <w:r w:rsidRPr="00BB3C05">
        <w:t>2</w:t>
      </w:r>
      <w:r w:rsidR="005267B7">
        <w:t>)</w:t>
      </w:r>
      <w:r w:rsidR="0038745F">
        <w:t>,</w:t>
      </w:r>
      <w:r w:rsidRPr="00BB3C05">
        <w:t xml:space="preserve"> 99-103.</w:t>
      </w:r>
    </w:p>
    <w:p w:rsidR="00652380" w:rsidRPr="00BB3C05" w:rsidRDefault="00652380" w:rsidP="00652380">
      <w:proofErr w:type="gramStart"/>
      <w:r w:rsidRPr="00BB3C05">
        <w:t xml:space="preserve">Nagula, S., Ishill, N. </w:t>
      </w:r>
      <w:r w:rsidR="00CC6479">
        <w:t>et al</w:t>
      </w:r>
      <w:r w:rsidR="00423FF6" w:rsidRPr="00423FF6">
        <w:t xml:space="preserve"> </w:t>
      </w:r>
      <w:r w:rsidR="00993CAF">
        <w:t>2010.</w:t>
      </w:r>
      <w:proofErr w:type="gramEnd"/>
      <w:r w:rsidRPr="00BB3C05">
        <w:t xml:space="preserve"> </w:t>
      </w:r>
      <w:proofErr w:type="gramStart"/>
      <w:r w:rsidR="00993CAF">
        <w:t>‘</w:t>
      </w:r>
      <w:r w:rsidRPr="00BB3C05">
        <w:t>Quality of life and symptom control after stent placement or surgical palliation of malignant colorectal obstruction</w:t>
      </w:r>
      <w:r w:rsidR="00993CAF">
        <w:t>’</w:t>
      </w:r>
      <w:r w:rsidRPr="00BB3C05">
        <w:t xml:space="preserve">, </w:t>
      </w:r>
      <w:r w:rsidRPr="00BB3C05">
        <w:rPr>
          <w:i/>
          <w:iCs/>
        </w:rPr>
        <w:t>J</w:t>
      </w:r>
      <w:r w:rsidR="00414EB8">
        <w:rPr>
          <w:i/>
          <w:iCs/>
        </w:rPr>
        <w:t>ournal of the</w:t>
      </w:r>
      <w:r w:rsidRPr="00BB3C05">
        <w:rPr>
          <w:i/>
          <w:iCs/>
        </w:rPr>
        <w:t xml:space="preserve"> Am</w:t>
      </w:r>
      <w:r w:rsidR="00414EB8">
        <w:rPr>
          <w:i/>
          <w:iCs/>
        </w:rPr>
        <w:t>erican</w:t>
      </w:r>
      <w:r w:rsidRPr="00BB3C05">
        <w:rPr>
          <w:i/>
          <w:iCs/>
        </w:rPr>
        <w:t xml:space="preserve"> Coll</w:t>
      </w:r>
      <w:r w:rsidR="00414EB8">
        <w:rPr>
          <w:i/>
          <w:iCs/>
        </w:rPr>
        <w:t>ege of</w:t>
      </w:r>
      <w:r w:rsidRPr="00BB3C05">
        <w:rPr>
          <w:i/>
          <w:iCs/>
        </w:rPr>
        <w:t xml:space="preserve"> Surg</w:t>
      </w:r>
      <w:r w:rsidR="00414EB8">
        <w:rPr>
          <w:i/>
          <w:iCs/>
        </w:rPr>
        <w:t>eons</w:t>
      </w:r>
      <w:r w:rsidRPr="00BB3C05">
        <w:t>, 210</w:t>
      </w:r>
      <w:r w:rsidR="005267B7">
        <w:t xml:space="preserve"> (</w:t>
      </w:r>
      <w:r w:rsidRPr="00BB3C05">
        <w:t>1</w:t>
      </w:r>
      <w:r w:rsidR="005267B7">
        <w:t>)</w:t>
      </w:r>
      <w:r w:rsidR="0038745F">
        <w:t>,</w:t>
      </w:r>
      <w:r w:rsidRPr="00BB3C05">
        <w:t xml:space="preserve"> 45-53.</w:t>
      </w:r>
      <w:proofErr w:type="gramEnd"/>
    </w:p>
    <w:p w:rsidR="00652380" w:rsidRPr="00BB3C05" w:rsidRDefault="00652380" w:rsidP="00652380">
      <w:r w:rsidRPr="00BB3C05">
        <w:t>Osman, H. S., Rashid, H. I.</w:t>
      </w:r>
      <w:r w:rsidR="00423FF6" w:rsidRPr="00BB3C05">
        <w:t xml:space="preserve"> </w:t>
      </w:r>
      <w:r w:rsidR="00CC6479">
        <w:t>et al</w:t>
      </w:r>
      <w:r w:rsidR="00423FF6" w:rsidRPr="00423FF6">
        <w:t xml:space="preserve"> </w:t>
      </w:r>
      <w:r w:rsidR="00993CAF">
        <w:t>2000.</w:t>
      </w:r>
      <w:r w:rsidRPr="00BB3C05">
        <w:t xml:space="preserve"> </w:t>
      </w:r>
      <w:proofErr w:type="gramStart"/>
      <w:r w:rsidR="00993CAF">
        <w:t>‘</w:t>
      </w:r>
      <w:r w:rsidRPr="00BB3C05">
        <w:t>The cost effectiveness of self-expanding metal stents in the management of malignant left-sided large bowel obstruction</w:t>
      </w:r>
      <w:r w:rsidR="00993CAF">
        <w:t>’</w:t>
      </w:r>
      <w:r w:rsidRPr="00BB3C05">
        <w:t xml:space="preserve">, </w:t>
      </w:r>
      <w:r w:rsidRPr="00BB3C05">
        <w:rPr>
          <w:i/>
          <w:iCs/>
        </w:rPr>
        <w:t>Colorectal Disease</w:t>
      </w:r>
      <w:r w:rsidR="00CE0CA6">
        <w:t>,</w:t>
      </w:r>
      <w:r w:rsidRPr="00BB3C05">
        <w:t xml:space="preserve"> </w:t>
      </w:r>
      <w:r w:rsidR="00E840D5">
        <w:t>2</w:t>
      </w:r>
      <w:r w:rsidR="0052796A">
        <w:t xml:space="preserve"> (</w:t>
      </w:r>
      <w:r w:rsidR="00E840D5">
        <w:t>4</w:t>
      </w:r>
      <w:r w:rsidR="0052796A">
        <w:t>)</w:t>
      </w:r>
      <w:r w:rsidR="0038745F">
        <w:t>,</w:t>
      </w:r>
      <w:r w:rsidR="00E840D5">
        <w:t xml:space="preserve"> 233-237.</w:t>
      </w:r>
      <w:proofErr w:type="gramEnd"/>
    </w:p>
    <w:p w:rsidR="00652380" w:rsidRPr="00BB3C05" w:rsidRDefault="00652380" w:rsidP="00652380">
      <w:proofErr w:type="gramStart"/>
      <w:r w:rsidRPr="00BB3C05">
        <w:t>Varadarajulu, S., Roy, A.</w:t>
      </w:r>
      <w:r w:rsidR="00423FF6" w:rsidRPr="00BB3C05">
        <w:t xml:space="preserve"> </w:t>
      </w:r>
      <w:r w:rsidR="00CC6479">
        <w:t>et al</w:t>
      </w:r>
      <w:r w:rsidR="00423FF6" w:rsidRPr="00423FF6">
        <w:t xml:space="preserve"> </w:t>
      </w:r>
      <w:r w:rsidR="00993CAF">
        <w:t>2011.</w:t>
      </w:r>
      <w:proofErr w:type="gramEnd"/>
      <w:r w:rsidRPr="00BB3C05">
        <w:t xml:space="preserve"> </w:t>
      </w:r>
      <w:proofErr w:type="gramStart"/>
      <w:r w:rsidR="00993CAF">
        <w:t>‘</w:t>
      </w:r>
      <w:r w:rsidRPr="00BB3C05">
        <w:t>Endoscopic stenting versus surgical colostomy for the management of malignant colonic obstruction: comparison of hospital costs and clinical outcomes</w:t>
      </w:r>
      <w:r w:rsidR="00993CAF">
        <w:t>’</w:t>
      </w:r>
      <w:r w:rsidRPr="00BB3C05">
        <w:t xml:space="preserve">, </w:t>
      </w:r>
      <w:r w:rsidRPr="00BB3C05">
        <w:rPr>
          <w:i/>
          <w:iCs/>
        </w:rPr>
        <w:t>Surg</w:t>
      </w:r>
      <w:r w:rsidR="00414EB8">
        <w:rPr>
          <w:i/>
          <w:iCs/>
        </w:rPr>
        <w:t>ical</w:t>
      </w:r>
      <w:r w:rsidRPr="00BB3C05">
        <w:rPr>
          <w:i/>
          <w:iCs/>
        </w:rPr>
        <w:t xml:space="preserve"> Endosc</w:t>
      </w:r>
      <w:r w:rsidR="00414EB8">
        <w:rPr>
          <w:i/>
          <w:iCs/>
        </w:rPr>
        <w:t>opy</w:t>
      </w:r>
      <w:r w:rsidRPr="00BB3C05">
        <w:t>, 25</w:t>
      </w:r>
      <w:r w:rsidR="005267B7">
        <w:t xml:space="preserve"> (</w:t>
      </w:r>
      <w:r w:rsidRPr="00BB3C05">
        <w:t>7</w:t>
      </w:r>
      <w:r w:rsidR="005267B7">
        <w:t>)</w:t>
      </w:r>
      <w:r w:rsidR="0038745F">
        <w:t>,</w:t>
      </w:r>
      <w:r w:rsidRPr="00BB3C05">
        <w:t xml:space="preserve"> 2203-2209.</w:t>
      </w:r>
      <w:proofErr w:type="gramEnd"/>
    </w:p>
    <w:p w:rsidR="008B02F4" w:rsidRPr="0007443E" w:rsidRDefault="00E70E70" w:rsidP="0007443E">
      <w:pPr>
        <w:pStyle w:val="Heading3"/>
      </w:pPr>
      <w:r w:rsidRPr="0007443E">
        <w:t>Non-comparative evidence</w:t>
      </w:r>
      <w:r w:rsidR="00652380" w:rsidRPr="0007443E">
        <w:t xml:space="preserve"> </w:t>
      </w:r>
    </w:p>
    <w:p w:rsidR="00652380" w:rsidRPr="00320352" w:rsidRDefault="008B02F4" w:rsidP="0007443E">
      <w:pPr>
        <w:pStyle w:val="Heading4"/>
      </w:pPr>
      <w:r w:rsidRPr="00611199">
        <w:t>L</w:t>
      </w:r>
      <w:r w:rsidR="00652380" w:rsidRPr="00320352">
        <w:t>evel IV studies</w:t>
      </w:r>
    </w:p>
    <w:p w:rsidR="00652380" w:rsidRPr="00BB3C05" w:rsidRDefault="00652380" w:rsidP="00652380">
      <w:proofErr w:type="gramStart"/>
      <w:r w:rsidRPr="00BB3C05">
        <w:t>Alcantara, M., Serra, X.</w:t>
      </w:r>
      <w:r w:rsidR="00423FF6" w:rsidRPr="00BB3C05">
        <w:t xml:space="preserve"> </w:t>
      </w:r>
      <w:r w:rsidR="00CC6479">
        <w:t>et al</w:t>
      </w:r>
      <w:r w:rsidR="00423FF6" w:rsidRPr="00423FF6">
        <w:t xml:space="preserve"> </w:t>
      </w:r>
      <w:r w:rsidR="00993CAF">
        <w:t>2007.</w:t>
      </w:r>
      <w:proofErr w:type="gramEnd"/>
      <w:r w:rsidRPr="00BB3C05">
        <w:t xml:space="preserve"> </w:t>
      </w:r>
      <w:proofErr w:type="gramStart"/>
      <w:r w:rsidR="00993CAF">
        <w:t>‘</w:t>
      </w:r>
      <w:r w:rsidRPr="00BB3C05">
        <w:t>Colorectal stenting as an effective therapy for preoperative and palliative treatment of large bowel obstruction: 9 years' experience</w:t>
      </w:r>
      <w:r w:rsidR="00993CAF">
        <w:t>’</w:t>
      </w:r>
      <w:r w:rsidRPr="00BB3C05">
        <w:t xml:space="preserve">, </w:t>
      </w:r>
      <w:r w:rsidRPr="00BB3C05">
        <w:rPr>
          <w:i/>
          <w:iCs/>
        </w:rPr>
        <w:t>Tech</w:t>
      </w:r>
      <w:r w:rsidR="00414EB8">
        <w:rPr>
          <w:i/>
          <w:iCs/>
        </w:rPr>
        <w:t>niques in</w:t>
      </w:r>
      <w:r w:rsidRPr="00BB3C05">
        <w:rPr>
          <w:i/>
          <w:iCs/>
        </w:rPr>
        <w:t xml:space="preserve"> Coloproctol</w:t>
      </w:r>
      <w:r w:rsidR="00414EB8">
        <w:rPr>
          <w:i/>
          <w:iCs/>
        </w:rPr>
        <w:t>ogy</w:t>
      </w:r>
      <w:r w:rsidRPr="00BB3C05">
        <w:t>, 11</w:t>
      </w:r>
      <w:r w:rsidR="005267B7">
        <w:t xml:space="preserve"> (</w:t>
      </w:r>
      <w:r w:rsidRPr="00BB3C05">
        <w:t>4</w:t>
      </w:r>
      <w:r w:rsidR="005267B7">
        <w:t>)</w:t>
      </w:r>
      <w:r w:rsidR="0038745F">
        <w:t>,</w:t>
      </w:r>
      <w:r w:rsidRPr="00BB3C05">
        <w:t xml:space="preserve"> 316-322.</w:t>
      </w:r>
      <w:proofErr w:type="gramEnd"/>
    </w:p>
    <w:p w:rsidR="00652380" w:rsidRPr="00BB3C05" w:rsidRDefault="00652380" w:rsidP="00652380">
      <w:proofErr w:type="gramStart"/>
      <w:r w:rsidRPr="00BB3C05">
        <w:t>Athreya, S., Moss, J.</w:t>
      </w:r>
      <w:r w:rsidR="00423FF6" w:rsidRPr="00BB3C05">
        <w:t xml:space="preserve"> </w:t>
      </w:r>
      <w:r w:rsidR="00CC6479">
        <w:t>et al</w:t>
      </w:r>
      <w:r w:rsidR="00423FF6" w:rsidRPr="00423FF6">
        <w:t xml:space="preserve"> </w:t>
      </w:r>
      <w:r w:rsidR="00993CAF">
        <w:t>2006.</w:t>
      </w:r>
      <w:proofErr w:type="gramEnd"/>
      <w:r w:rsidRPr="00BB3C05">
        <w:t xml:space="preserve"> </w:t>
      </w:r>
      <w:proofErr w:type="gramStart"/>
      <w:r w:rsidR="00993CAF">
        <w:t>‘</w:t>
      </w:r>
      <w:r w:rsidRPr="00BB3C05">
        <w:t>Colorectal stenting for colonic obstruction: the indications, complications, effectiveness and outcome--5 year review</w:t>
      </w:r>
      <w:r w:rsidR="00993CAF">
        <w:t>’</w:t>
      </w:r>
      <w:r w:rsidRPr="00BB3C05">
        <w:t xml:space="preserve">, </w:t>
      </w:r>
      <w:r w:rsidRPr="00BB3C05">
        <w:rPr>
          <w:i/>
          <w:iCs/>
        </w:rPr>
        <w:t>Eur</w:t>
      </w:r>
      <w:r w:rsidR="00414EB8">
        <w:rPr>
          <w:i/>
          <w:iCs/>
        </w:rPr>
        <w:t>opean</w:t>
      </w:r>
      <w:r w:rsidRPr="00BB3C05">
        <w:rPr>
          <w:i/>
          <w:iCs/>
        </w:rPr>
        <w:t xml:space="preserve"> J</w:t>
      </w:r>
      <w:r w:rsidR="00414EB8">
        <w:rPr>
          <w:i/>
          <w:iCs/>
        </w:rPr>
        <w:t>ournal of</w:t>
      </w:r>
      <w:r w:rsidRPr="00BB3C05">
        <w:rPr>
          <w:i/>
          <w:iCs/>
        </w:rPr>
        <w:t xml:space="preserve"> Radiol</w:t>
      </w:r>
      <w:r w:rsidR="00414EB8">
        <w:rPr>
          <w:i/>
          <w:iCs/>
        </w:rPr>
        <w:t>ogy</w:t>
      </w:r>
      <w:r w:rsidRPr="00BB3C05">
        <w:t>, 60</w:t>
      </w:r>
      <w:r w:rsidR="005267B7">
        <w:t xml:space="preserve"> (</w:t>
      </w:r>
      <w:r w:rsidRPr="00BB3C05">
        <w:t>1</w:t>
      </w:r>
      <w:r w:rsidR="005267B7">
        <w:t>)</w:t>
      </w:r>
      <w:r w:rsidR="0038745F">
        <w:t>,</w:t>
      </w:r>
      <w:r w:rsidRPr="00BB3C05">
        <w:t xml:space="preserve"> 91-94.</w:t>
      </w:r>
      <w:proofErr w:type="gramEnd"/>
    </w:p>
    <w:p w:rsidR="00652380" w:rsidRPr="00BB3C05" w:rsidRDefault="00652380" w:rsidP="00652380">
      <w:proofErr w:type="gramStart"/>
      <w:r w:rsidRPr="00BB3C05">
        <w:lastRenderedPageBreak/>
        <w:t>Baraza, W., Lee, F.</w:t>
      </w:r>
      <w:r w:rsidR="00423FF6" w:rsidRPr="00BB3C05">
        <w:t xml:space="preserve"> </w:t>
      </w:r>
      <w:r w:rsidR="00CC6479">
        <w:t>et al</w:t>
      </w:r>
      <w:r w:rsidR="00423FF6" w:rsidRPr="00423FF6">
        <w:t xml:space="preserve"> </w:t>
      </w:r>
      <w:r w:rsidR="00993CAF">
        <w:t>2008.</w:t>
      </w:r>
      <w:proofErr w:type="gramEnd"/>
      <w:r w:rsidRPr="00BB3C05">
        <w:t xml:space="preserve"> </w:t>
      </w:r>
      <w:proofErr w:type="gramStart"/>
      <w:r w:rsidR="00993CAF">
        <w:t>‘</w:t>
      </w:r>
      <w:r w:rsidRPr="00BB3C05">
        <w:t>Combination endo-radiological colorectal stenting: a prospective 5-year clinical evaluation</w:t>
      </w:r>
      <w:r w:rsidR="00993CAF">
        <w:t>’</w:t>
      </w:r>
      <w:r w:rsidRPr="00BB3C05">
        <w:t xml:space="preserve">, </w:t>
      </w:r>
      <w:r w:rsidRPr="00BB3C05">
        <w:rPr>
          <w:i/>
          <w:iCs/>
        </w:rPr>
        <w:t>Colorectal Dis</w:t>
      </w:r>
      <w:r w:rsidR="00414EB8">
        <w:rPr>
          <w:i/>
          <w:iCs/>
        </w:rPr>
        <w:t>ease</w:t>
      </w:r>
      <w:r w:rsidRPr="00BB3C05">
        <w:t>, 10</w:t>
      </w:r>
      <w:r w:rsidR="005267B7">
        <w:t xml:space="preserve"> (</w:t>
      </w:r>
      <w:r w:rsidRPr="00BB3C05">
        <w:t>9</w:t>
      </w:r>
      <w:r w:rsidR="005267B7">
        <w:t>)</w:t>
      </w:r>
      <w:r w:rsidR="0038745F">
        <w:t>,</w:t>
      </w:r>
      <w:r w:rsidRPr="00BB3C05">
        <w:t xml:space="preserve"> 901-906.</w:t>
      </w:r>
      <w:proofErr w:type="gramEnd"/>
    </w:p>
    <w:p w:rsidR="00652380" w:rsidRPr="00BB3C05" w:rsidRDefault="00652380" w:rsidP="00652380">
      <w:proofErr w:type="gramStart"/>
      <w:r w:rsidRPr="00BB3C05">
        <w:t>Branger, F., Thibaudeau, E.</w:t>
      </w:r>
      <w:r w:rsidR="00423FF6" w:rsidRPr="00BB3C05">
        <w:t xml:space="preserve"> </w:t>
      </w:r>
      <w:r w:rsidR="00CC6479">
        <w:t>et al</w:t>
      </w:r>
      <w:r w:rsidR="00423FF6" w:rsidRPr="00423FF6">
        <w:t xml:space="preserve"> </w:t>
      </w:r>
      <w:r w:rsidR="00993CAF">
        <w:t>2010.</w:t>
      </w:r>
      <w:proofErr w:type="gramEnd"/>
      <w:r w:rsidRPr="00BB3C05">
        <w:t xml:space="preserve"> </w:t>
      </w:r>
      <w:proofErr w:type="gramStart"/>
      <w:r w:rsidR="00993CAF">
        <w:t>‘</w:t>
      </w:r>
      <w:r w:rsidRPr="00BB3C05">
        <w:t>Management of acute malignant large-bowel obstruction with self-expanding metal stent</w:t>
      </w:r>
      <w:r w:rsidR="00993CAF">
        <w:t>’</w:t>
      </w:r>
      <w:r w:rsidRPr="00BB3C05">
        <w:t xml:space="preserve">, </w:t>
      </w:r>
      <w:r w:rsidRPr="00BB3C05">
        <w:rPr>
          <w:i/>
          <w:iCs/>
        </w:rPr>
        <w:t>Int</w:t>
      </w:r>
      <w:r w:rsidR="00414EB8">
        <w:rPr>
          <w:i/>
          <w:iCs/>
        </w:rPr>
        <w:t>ernational</w:t>
      </w:r>
      <w:r w:rsidRPr="00BB3C05">
        <w:rPr>
          <w:i/>
          <w:iCs/>
        </w:rPr>
        <w:t xml:space="preserve"> J</w:t>
      </w:r>
      <w:r w:rsidR="00414EB8">
        <w:rPr>
          <w:i/>
          <w:iCs/>
        </w:rPr>
        <w:t>ournal of</w:t>
      </w:r>
      <w:r w:rsidRPr="00BB3C05">
        <w:rPr>
          <w:i/>
          <w:iCs/>
        </w:rPr>
        <w:t xml:space="preserve"> Colorectal Dis</w:t>
      </w:r>
      <w:r w:rsidR="00414EB8">
        <w:rPr>
          <w:i/>
          <w:iCs/>
        </w:rPr>
        <w:t>ease</w:t>
      </w:r>
      <w:r w:rsidRPr="00BB3C05">
        <w:t>, 25</w:t>
      </w:r>
      <w:r w:rsidR="005267B7">
        <w:t xml:space="preserve"> (</w:t>
      </w:r>
      <w:r w:rsidRPr="00BB3C05">
        <w:t>12</w:t>
      </w:r>
      <w:r w:rsidR="005267B7">
        <w:t>)</w:t>
      </w:r>
      <w:r w:rsidR="0038745F">
        <w:t>,</w:t>
      </w:r>
      <w:r w:rsidRPr="00BB3C05">
        <w:t xml:space="preserve"> 1481-1485</w:t>
      </w:r>
      <w:r w:rsidR="0047565D">
        <w:t>.</w:t>
      </w:r>
      <w:proofErr w:type="gramEnd"/>
    </w:p>
    <w:p w:rsidR="001273B6" w:rsidRPr="00BB3C05" w:rsidRDefault="001273B6" w:rsidP="001273B6">
      <w:r w:rsidRPr="00BB3C05">
        <w:t>Cho, Y. K., Kim, S. W.</w:t>
      </w:r>
      <w:r w:rsidR="00EC5BB1" w:rsidRPr="00BB3C05">
        <w:t xml:space="preserve"> </w:t>
      </w:r>
      <w:r w:rsidR="0052796A">
        <w:t>et al</w:t>
      </w:r>
      <w:r w:rsidR="00EC5BB1" w:rsidRPr="00423FF6">
        <w:t xml:space="preserve"> </w:t>
      </w:r>
      <w:r w:rsidR="00993CAF">
        <w:t>2011.</w:t>
      </w:r>
      <w:r w:rsidRPr="00BB3C05">
        <w:t xml:space="preserve"> </w:t>
      </w:r>
      <w:proofErr w:type="gramStart"/>
      <w:r w:rsidR="00993CAF">
        <w:t>‘</w:t>
      </w:r>
      <w:r w:rsidRPr="00BB3C05">
        <w:t>Clinical outcome of self-expandable metal stent placement in the management of malignant proximal colon obstruction</w:t>
      </w:r>
      <w:r w:rsidR="00993CAF">
        <w:t>’</w:t>
      </w:r>
      <w:r w:rsidRPr="00BB3C05">
        <w:t xml:space="preserve">, </w:t>
      </w:r>
      <w:r w:rsidRPr="00BB3C05">
        <w:rPr>
          <w:i/>
          <w:iCs/>
        </w:rPr>
        <w:t>Gut</w:t>
      </w:r>
      <w:r w:rsidR="00414EB8">
        <w:rPr>
          <w:i/>
          <w:iCs/>
        </w:rPr>
        <w:t xml:space="preserve"> and</w:t>
      </w:r>
      <w:r w:rsidRPr="00BB3C05">
        <w:rPr>
          <w:i/>
          <w:iCs/>
        </w:rPr>
        <w:t xml:space="preserve"> Liver</w:t>
      </w:r>
      <w:r w:rsidRPr="00BB3C05">
        <w:t>, 5</w:t>
      </w:r>
      <w:r w:rsidR="005267B7">
        <w:t xml:space="preserve"> (</w:t>
      </w:r>
      <w:r w:rsidRPr="00BB3C05">
        <w:t>2</w:t>
      </w:r>
      <w:r w:rsidR="005267B7">
        <w:t>)</w:t>
      </w:r>
      <w:r w:rsidR="0038745F">
        <w:t>,</w:t>
      </w:r>
      <w:r w:rsidRPr="00BB3C05">
        <w:t xml:space="preserve"> 165-170.</w:t>
      </w:r>
      <w:proofErr w:type="gramEnd"/>
    </w:p>
    <w:p w:rsidR="00652380" w:rsidRPr="00BB3C05" w:rsidRDefault="00652380" w:rsidP="00652380">
      <w:r w:rsidRPr="00BB3C05">
        <w:t>De Gregorio, M. A., Laborda, A.</w:t>
      </w:r>
      <w:r w:rsidR="00EC5BB1" w:rsidRPr="00BB3C05">
        <w:t xml:space="preserve"> </w:t>
      </w:r>
      <w:r w:rsidR="00CC6479">
        <w:t>et al</w:t>
      </w:r>
      <w:r w:rsidR="00EC5BB1" w:rsidRPr="00423FF6">
        <w:t xml:space="preserve"> </w:t>
      </w:r>
      <w:r w:rsidR="00993CAF">
        <w:t>2011.</w:t>
      </w:r>
      <w:r w:rsidRPr="00BB3C05">
        <w:t xml:space="preserve"> </w:t>
      </w:r>
      <w:proofErr w:type="gramStart"/>
      <w:r w:rsidR="00993CAF">
        <w:t>‘</w:t>
      </w:r>
      <w:r w:rsidRPr="00BB3C05">
        <w:t>Ten-year retrospective study of treatment of malignant colonic obstructions with self-expandable stents</w:t>
      </w:r>
      <w:r w:rsidR="00993CAF">
        <w:t>’</w:t>
      </w:r>
      <w:r w:rsidRPr="00BB3C05">
        <w:t xml:space="preserve">, </w:t>
      </w:r>
      <w:r w:rsidRPr="00BB3C05">
        <w:rPr>
          <w:i/>
          <w:iCs/>
        </w:rPr>
        <w:t>J</w:t>
      </w:r>
      <w:r w:rsidR="00414EB8">
        <w:rPr>
          <w:i/>
          <w:iCs/>
        </w:rPr>
        <w:t>ournal of</w:t>
      </w:r>
      <w:r w:rsidRPr="00BB3C05">
        <w:rPr>
          <w:i/>
          <w:iCs/>
        </w:rPr>
        <w:t xml:space="preserve"> Vasc</w:t>
      </w:r>
      <w:r w:rsidR="00414EB8">
        <w:rPr>
          <w:i/>
          <w:iCs/>
        </w:rPr>
        <w:t>ular</w:t>
      </w:r>
      <w:r w:rsidRPr="00BB3C05">
        <w:rPr>
          <w:i/>
          <w:iCs/>
        </w:rPr>
        <w:t xml:space="preserve"> </w:t>
      </w:r>
      <w:r w:rsidR="00414EB8">
        <w:rPr>
          <w:i/>
          <w:iCs/>
        </w:rPr>
        <w:t xml:space="preserve">and </w:t>
      </w:r>
      <w:r w:rsidRPr="00BB3C05">
        <w:rPr>
          <w:i/>
          <w:iCs/>
        </w:rPr>
        <w:t>Interv</w:t>
      </w:r>
      <w:r w:rsidR="00414EB8">
        <w:rPr>
          <w:i/>
          <w:iCs/>
        </w:rPr>
        <w:t>entional</w:t>
      </w:r>
      <w:r w:rsidRPr="00BB3C05">
        <w:rPr>
          <w:i/>
          <w:iCs/>
        </w:rPr>
        <w:t xml:space="preserve"> Radiol</w:t>
      </w:r>
      <w:r w:rsidR="00414EB8">
        <w:rPr>
          <w:i/>
          <w:iCs/>
        </w:rPr>
        <w:t>ogy</w:t>
      </w:r>
      <w:r w:rsidRPr="00BB3C05">
        <w:t>, 22</w:t>
      </w:r>
      <w:r w:rsidR="005267B7">
        <w:t xml:space="preserve"> (</w:t>
      </w:r>
      <w:r w:rsidRPr="00BB3C05">
        <w:t>6</w:t>
      </w:r>
      <w:r w:rsidR="005267B7">
        <w:t>)</w:t>
      </w:r>
      <w:r w:rsidR="0038745F">
        <w:t>,</w:t>
      </w:r>
      <w:r w:rsidRPr="00BB3C05">
        <w:t xml:space="preserve"> 870-878.</w:t>
      </w:r>
      <w:proofErr w:type="gramEnd"/>
    </w:p>
    <w:p w:rsidR="00B02DE2" w:rsidRPr="00BB3C05" w:rsidRDefault="00B02DE2" w:rsidP="00B02DE2">
      <w:proofErr w:type="gramStart"/>
      <w:r w:rsidRPr="00BB3C05">
        <w:t>Demarquay, J.-F., Dumas, R.</w:t>
      </w:r>
      <w:r w:rsidR="0029459E" w:rsidRPr="00BB3C05">
        <w:t xml:space="preserve"> </w:t>
      </w:r>
      <w:r w:rsidR="00CC6479">
        <w:t>et al</w:t>
      </w:r>
      <w:r w:rsidR="0029459E" w:rsidRPr="00423FF6">
        <w:t xml:space="preserve"> </w:t>
      </w:r>
      <w:r w:rsidR="00993CAF">
        <w:t>2008.</w:t>
      </w:r>
      <w:proofErr w:type="gramEnd"/>
      <w:r w:rsidRPr="00BB3C05">
        <w:t xml:space="preserve"> </w:t>
      </w:r>
      <w:r w:rsidR="00993CAF">
        <w:t>‘</w:t>
      </w:r>
      <w:r w:rsidRPr="00BB3C05">
        <w:t>Twelve years of colorectal stenting: Results and follow-up in 204 patients. [French, English]</w:t>
      </w:r>
      <w:r w:rsidR="00993CAF">
        <w:t>’</w:t>
      </w:r>
      <w:r w:rsidRPr="00BB3C05">
        <w:t xml:space="preserve">, </w:t>
      </w:r>
      <w:r w:rsidRPr="00BB3C05">
        <w:rPr>
          <w:i/>
          <w:iCs/>
        </w:rPr>
        <w:t>Acta Endoscopica</w:t>
      </w:r>
      <w:r w:rsidR="00CE0CA6">
        <w:t xml:space="preserve">, </w:t>
      </w:r>
      <w:r w:rsidR="00E840D5">
        <w:t>38 (</w:t>
      </w:r>
      <w:r w:rsidRPr="00BB3C05">
        <w:t>4</w:t>
      </w:r>
      <w:r w:rsidR="00E840D5">
        <w:t>)</w:t>
      </w:r>
      <w:r w:rsidR="0038745F">
        <w:t>,</w:t>
      </w:r>
      <w:r w:rsidR="00E840D5">
        <w:t xml:space="preserve"> 339-347.</w:t>
      </w:r>
    </w:p>
    <w:p w:rsidR="00B02DE2" w:rsidRPr="00BB3C05" w:rsidRDefault="00B02DE2" w:rsidP="00B02DE2">
      <w:proofErr w:type="gramStart"/>
      <w:r w:rsidRPr="00BB3C05">
        <w:t>Garcia-Cano, J., Gonzalez-Huix, F.</w:t>
      </w:r>
      <w:r w:rsidR="0029459E" w:rsidRPr="00BB3C05">
        <w:t xml:space="preserve"> </w:t>
      </w:r>
      <w:r w:rsidR="00CC6479">
        <w:t>et al</w:t>
      </w:r>
      <w:r w:rsidR="0029459E" w:rsidRPr="00423FF6">
        <w:t xml:space="preserve"> </w:t>
      </w:r>
      <w:r w:rsidR="00993CAF">
        <w:t>2006.</w:t>
      </w:r>
      <w:proofErr w:type="gramEnd"/>
      <w:r w:rsidRPr="00BB3C05">
        <w:t xml:space="preserve"> </w:t>
      </w:r>
      <w:proofErr w:type="gramStart"/>
      <w:r w:rsidR="00993CAF">
        <w:t>‘</w:t>
      </w:r>
      <w:r w:rsidRPr="00BB3C05">
        <w:t>Use of self-expanding metal stents to treat malignant colorectal obstruction in general endoscopic practice (with videos)</w:t>
      </w:r>
      <w:r w:rsidR="00993CAF">
        <w:t>’</w:t>
      </w:r>
      <w:r w:rsidRPr="00BB3C05">
        <w:t xml:space="preserve">, </w:t>
      </w:r>
      <w:r w:rsidRPr="00BB3C05">
        <w:rPr>
          <w:i/>
          <w:iCs/>
        </w:rPr>
        <w:t>Gastrointestinal Endoscopy</w:t>
      </w:r>
      <w:r w:rsidRPr="00BB3C05">
        <w:t>, 64</w:t>
      </w:r>
      <w:r w:rsidR="005267B7">
        <w:t xml:space="preserve"> (</w:t>
      </w:r>
      <w:r w:rsidRPr="00BB3C05">
        <w:t>6</w:t>
      </w:r>
      <w:r w:rsidR="005267B7">
        <w:t>)</w:t>
      </w:r>
      <w:r w:rsidR="0038745F">
        <w:t>,</w:t>
      </w:r>
      <w:r w:rsidRPr="00BB3C05">
        <w:t xml:space="preserve"> 914-920.</w:t>
      </w:r>
      <w:proofErr w:type="gramEnd"/>
    </w:p>
    <w:p w:rsidR="00B02DE2" w:rsidRPr="00BB3C05" w:rsidRDefault="00B02DE2" w:rsidP="00B02DE2">
      <w:r w:rsidRPr="00BB3C05">
        <w:t>Jost, R., Schoch, E.</w:t>
      </w:r>
      <w:r w:rsidR="0029459E" w:rsidRPr="00BB3C05">
        <w:t xml:space="preserve"> </w:t>
      </w:r>
      <w:r w:rsidR="00CC6479">
        <w:t>et al</w:t>
      </w:r>
      <w:r w:rsidR="0029459E" w:rsidRPr="00423FF6">
        <w:t xml:space="preserve"> </w:t>
      </w:r>
      <w:r w:rsidR="00993CAF">
        <w:t>2007.</w:t>
      </w:r>
      <w:r w:rsidRPr="00BB3C05">
        <w:t xml:space="preserve"> </w:t>
      </w:r>
      <w:proofErr w:type="gramStart"/>
      <w:r w:rsidR="00993CAF">
        <w:t>‘</w:t>
      </w:r>
      <w:r w:rsidRPr="00BB3C05">
        <w:t>Colorectal stenting: an effective therapy for preoperative and palliative treatment</w:t>
      </w:r>
      <w:r w:rsidR="00993CAF">
        <w:t>’</w:t>
      </w:r>
      <w:r w:rsidRPr="00BB3C05">
        <w:t xml:space="preserve">, </w:t>
      </w:r>
      <w:r w:rsidRPr="00BB3C05">
        <w:rPr>
          <w:i/>
          <w:iCs/>
        </w:rPr>
        <w:t>Cardiovasc</w:t>
      </w:r>
      <w:r w:rsidR="00414EB8">
        <w:rPr>
          <w:i/>
          <w:iCs/>
        </w:rPr>
        <w:t>ular and</w:t>
      </w:r>
      <w:r w:rsidRPr="00BB3C05">
        <w:rPr>
          <w:i/>
          <w:iCs/>
        </w:rPr>
        <w:t xml:space="preserve"> Intervent</w:t>
      </w:r>
      <w:r w:rsidR="00414EB8">
        <w:rPr>
          <w:i/>
          <w:iCs/>
        </w:rPr>
        <w:t>ional</w:t>
      </w:r>
      <w:r w:rsidRPr="00BB3C05">
        <w:rPr>
          <w:i/>
          <w:iCs/>
        </w:rPr>
        <w:t xml:space="preserve"> Radiol</w:t>
      </w:r>
      <w:r w:rsidR="00414EB8">
        <w:rPr>
          <w:i/>
          <w:iCs/>
        </w:rPr>
        <w:t>ogy</w:t>
      </w:r>
      <w:r w:rsidRPr="00BB3C05">
        <w:t>, 30</w:t>
      </w:r>
      <w:r w:rsidR="005267B7">
        <w:t xml:space="preserve"> (</w:t>
      </w:r>
      <w:r w:rsidRPr="00BB3C05">
        <w:t>3</w:t>
      </w:r>
      <w:r w:rsidR="005267B7">
        <w:t>)</w:t>
      </w:r>
      <w:r w:rsidR="0038745F">
        <w:t>,</w:t>
      </w:r>
      <w:r w:rsidRPr="00BB3C05">
        <w:t xml:space="preserve"> 433-440.</w:t>
      </w:r>
      <w:proofErr w:type="gramEnd"/>
    </w:p>
    <w:p w:rsidR="00B02DE2" w:rsidRPr="00BB3C05" w:rsidRDefault="00B02DE2" w:rsidP="00B02DE2">
      <w:r w:rsidRPr="00BB3C05">
        <w:t>Ker</w:t>
      </w:r>
      <w:r w:rsidR="00B16316" w:rsidRPr="00B16316">
        <w:t>ä</w:t>
      </w:r>
      <w:r w:rsidRPr="00BB3C05">
        <w:t>nen, I., Lepisto, A.</w:t>
      </w:r>
      <w:r w:rsidR="0029459E" w:rsidRPr="00BB3C05">
        <w:t xml:space="preserve"> </w:t>
      </w:r>
      <w:r w:rsidR="00CC6479">
        <w:t>et al</w:t>
      </w:r>
      <w:r w:rsidR="0029459E" w:rsidRPr="00423FF6">
        <w:t xml:space="preserve"> </w:t>
      </w:r>
      <w:r w:rsidR="00993CAF">
        <w:t>2011.</w:t>
      </w:r>
      <w:r w:rsidRPr="00BB3C05">
        <w:t xml:space="preserve"> </w:t>
      </w:r>
      <w:proofErr w:type="gramStart"/>
      <w:r w:rsidR="00993CAF">
        <w:t>‘</w:t>
      </w:r>
      <w:r w:rsidRPr="00BB3C05">
        <w:t>Stenting for malignant colorectal obstruction: a single-center experience with 101 patients</w:t>
      </w:r>
      <w:r w:rsidR="00993CAF">
        <w:t>’</w:t>
      </w:r>
      <w:r w:rsidRPr="00BB3C05">
        <w:t xml:space="preserve">, </w:t>
      </w:r>
      <w:r w:rsidRPr="00BB3C05">
        <w:rPr>
          <w:i/>
          <w:iCs/>
        </w:rPr>
        <w:t>Surg</w:t>
      </w:r>
      <w:r w:rsidR="00414EB8">
        <w:rPr>
          <w:i/>
          <w:iCs/>
        </w:rPr>
        <w:t>ical</w:t>
      </w:r>
      <w:r w:rsidRPr="00BB3C05">
        <w:rPr>
          <w:i/>
          <w:iCs/>
        </w:rPr>
        <w:t xml:space="preserve"> Endosc</w:t>
      </w:r>
      <w:r w:rsidR="00414EB8">
        <w:rPr>
          <w:i/>
          <w:iCs/>
        </w:rPr>
        <w:t>opy</w:t>
      </w:r>
      <w:r w:rsidR="00E840D5">
        <w:t>, 26 (2)</w:t>
      </w:r>
      <w:r w:rsidR="0038745F">
        <w:t>,</w:t>
      </w:r>
      <w:r w:rsidR="00AE36DE">
        <w:t xml:space="preserve"> 423-430.</w:t>
      </w:r>
      <w:proofErr w:type="gramEnd"/>
    </w:p>
    <w:p w:rsidR="001273B6" w:rsidRPr="00BB3C05" w:rsidRDefault="001273B6" w:rsidP="001273B6">
      <w:r w:rsidRPr="00BB3C05">
        <w:t>Kim, J. H., Song, H. Y.</w:t>
      </w:r>
      <w:r w:rsidR="0029459E" w:rsidRPr="00BB3C05">
        <w:t xml:space="preserve"> </w:t>
      </w:r>
      <w:r w:rsidR="00CC6479">
        <w:t>et al</w:t>
      </w:r>
      <w:r w:rsidR="0029459E" w:rsidRPr="00423FF6">
        <w:t xml:space="preserve"> </w:t>
      </w:r>
      <w:r w:rsidR="00993CAF">
        <w:t>2009.</w:t>
      </w:r>
      <w:r w:rsidRPr="00BB3C05">
        <w:t xml:space="preserve"> </w:t>
      </w:r>
      <w:r w:rsidR="00993CAF">
        <w:t>‘</w:t>
      </w:r>
      <w:r w:rsidRPr="00BB3C05">
        <w:t>Dual-design expandable colorectal stent for malignant colorectal obstruction: comparison of flared ends and bent ends</w:t>
      </w:r>
      <w:r w:rsidR="00993CAF">
        <w:t>’</w:t>
      </w:r>
      <w:r w:rsidRPr="00BB3C05">
        <w:t xml:space="preserve">, </w:t>
      </w:r>
      <w:r w:rsidRPr="00BB3C05">
        <w:rPr>
          <w:i/>
          <w:iCs/>
        </w:rPr>
        <w:t>Am</w:t>
      </w:r>
      <w:r w:rsidR="00E56A97">
        <w:rPr>
          <w:i/>
          <w:iCs/>
        </w:rPr>
        <w:t>erican</w:t>
      </w:r>
      <w:r w:rsidRPr="00BB3C05">
        <w:rPr>
          <w:i/>
          <w:iCs/>
        </w:rPr>
        <w:t xml:space="preserve"> J</w:t>
      </w:r>
      <w:r w:rsidR="00E56A97">
        <w:rPr>
          <w:i/>
          <w:iCs/>
        </w:rPr>
        <w:t>ournal of</w:t>
      </w:r>
      <w:r w:rsidRPr="00BB3C05">
        <w:rPr>
          <w:i/>
          <w:iCs/>
        </w:rPr>
        <w:t xml:space="preserve"> Roentgenol</w:t>
      </w:r>
      <w:r w:rsidR="00E56A97">
        <w:rPr>
          <w:i/>
          <w:iCs/>
        </w:rPr>
        <w:t>ogy</w:t>
      </w:r>
      <w:r w:rsidRPr="00BB3C05">
        <w:t>, 193</w:t>
      </w:r>
      <w:r w:rsidR="005267B7">
        <w:t xml:space="preserve"> (</w:t>
      </w:r>
      <w:r w:rsidRPr="00BB3C05">
        <w:t>1</w:t>
      </w:r>
      <w:r w:rsidR="005267B7">
        <w:t>)</w:t>
      </w:r>
      <w:r w:rsidR="0038745F">
        <w:t>,</w:t>
      </w:r>
      <w:r w:rsidRPr="00BB3C05">
        <w:t xml:space="preserve"> 248-254.</w:t>
      </w:r>
    </w:p>
    <w:p w:rsidR="00652380" w:rsidRPr="00BB3C05" w:rsidRDefault="00652380" w:rsidP="00652380">
      <w:proofErr w:type="gramStart"/>
      <w:r w:rsidRPr="00BB3C05">
        <w:t>Kim, S. Y., Kwon, S. H.</w:t>
      </w:r>
      <w:r w:rsidR="0029459E">
        <w:t xml:space="preserve"> and </w:t>
      </w:r>
      <w:r w:rsidRPr="00BB3C05">
        <w:t xml:space="preserve">Oh, J. H. </w:t>
      </w:r>
      <w:r w:rsidR="00993CAF">
        <w:t>2010.</w:t>
      </w:r>
      <w:proofErr w:type="gramEnd"/>
      <w:r w:rsidRPr="00BB3C05">
        <w:t xml:space="preserve"> </w:t>
      </w:r>
      <w:proofErr w:type="gramStart"/>
      <w:r w:rsidR="00993CAF">
        <w:t>‘</w:t>
      </w:r>
      <w:r w:rsidRPr="00BB3C05">
        <w:t>Radiologic placement of uncovered stents for the treatment of malignant colorectal obstruction</w:t>
      </w:r>
      <w:r w:rsidR="00993CAF">
        <w:t>’</w:t>
      </w:r>
      <w:r w:rsidRPr="00BB3C05">
        <w:t xml:space="preserve">, </w:t>
      </w:r>
      <w:r w:rsidR="00E56A97" w:rsidRPr="00BB3C05">
        <w:rPr>
          <w:i/>
          <w:iCs/>
        </w:rPr>
        <w:t>J</w:t>
      </w:r>
      <w:r w:rsidR="00E56A97">
        <w:rPr>
          <w:i/>
          <w:iCs/>
        </w:rPr>
        <w:t>ournal of</w:t>
      </w:r>
      <w:r w:rsidR="00E56A97" w:rsidRPr="00BB3C05">
        <w:rPr>
          <w:i/>
          <w:iCs/>
        </w:rPr>
        <w:t xml:space="preserve"> Vasc</w:t>
      </w:r>
      <w:r w:rsidR="00E56A97">
        <w:rPr>
          <w:i/>
          <w:iCs/>
        </w:rPr>
        <w:t>ular</w:t>
      </w:r>
      <w:r w:rsidR="00E56A97" w:rsidRPr="00BB3C05">
        <w:rPr>
          <w:i/>
          <w:iCs/>
        </w:rPr>
        <w:t xml:space="preserve"> </w:t>
      </w:r>
      <w:r w:rsidR="00E56A97">
        <w:rPr>
          <w:i/>
          <w:iCs/>
        </w:rPr>
        <w:t xml:space="preserve">and </w:t>
      </w:r>
      <w:r w:rsidR="00E56A97" w:rsidRPr="00BB3C05">
        <w:rPr>
          <w:i/>
          <w:iCs/>
        </w:rPr>
        <w:t>Interv</w:t>
      </w:r>
      <w:r w:rsidR="00E56A97">
        <w:rPr>
          <w:i/>
          <w:iCs/>
        </w:rPr>
        <w:t>entional</w:t>
      </w:r>
      <w:r w:rsidR="00E56A97" w:rsidRPr="00BB3C05">
        <w:rPr>
          <w:i/>
          <w:iCs/>
        </w:rPr>
        <w:t xml:space="preserve"> Radiol</w:t>
      </w:r>
      <w:r w:rsidR="00E56A97">
        <w:rPr>
          <w:i/>
          <w:iCs/>
        </w:rPr>
        <w:t>ogy</w:t>
      </w:r>
      <w:r w:rsidRPr="00BB3C05">
        <w:t>, 21</w:t>
      </w:r>
      <w:r w:rsidR="005267B7">
        <w:t xml:space="preserve"> (</w:t>
      </w:r>
      <w:r w:rsidRPr="00BB3C05">
        <w:t>8</w:t>
      </w:r>
      <w:r w:rsidR="005267B7">
        <w:t>)</w:t>
      </w:r>
      <w:r w:rsidR="0038745F">
        <w:t>,</w:t>
      </w:r>
      <w:r w:rsidRPr="00BB3C05">
        <w:t xml:space="preserve"> 1244-1249.</w:t>
      </w:r>
      <w:proofErr w:type="gramEnd"/>
    </w:p>
    <w:p w:rsidR="001273B6" w:rsidRPr="00BB3C05" w:rsidRDefault="001273B6" w:rsidP="001273B6">
      <w:r w:rsidRPr="00BB3C05">
        <w:t>Lee, H. J., Hong, S. P.</w:t>
      </w:r>
      <w:r w:rsidR="00CC6479" w:rsidRPr="00BB3C05">
        <w:t xml:space="preserve"> </w:t>
      </w:r>
      <w:r w:rsidR="00CC6479">
        <w:t>et al</w:t>
      </w:r>
      <w:r w:rsidR="00CC6479" w:rsidRPr="00423FF6">
        <w:t xml:space="preserve"> </w:t>
      </w:r>
      <w:r w:rsidR="00993CAF">
        <w:t>2011.</w:t>
      </w:r>
      <w:r w:rsidRPr="00BB3C05">
        <w:t xml:space="preserve"> </w:t>
      </w:r>
      <w:proofErr w:type="gramStart"/>
      <w:r w:rsidR="00993CAF">
        <w:t>‘</w:t>
      </w:r>
      <w:r w:rsidRPr="00BB3C05">
        <w:t>Long-term outcome of palliative therapy for malignant colorectal obstruction in patients with unresectable metastatic colorectal cancers: endoscopic stenting versus surgery</w:t>
      </w:r>
      <w:r w:rsidR="00993CAF">
        <w:t>’</w:t>
      </w:r>
      <w:r w:rsidRPr="00BB3C05">
        <w:t xml:space="preserve">, </w:t>
      </w:r>
      <w:r w:rsidRPr="00BB3C05">
        <w:rPr>
          <w:i/>
          <w:iCs/>
        </w:rPr>
        <w:t>Gastrointest</w:t>
      </w:r>
      <w:r w:rsidR="00E56A97">
        <w:rPr>
          <w:i/>
          <w:iCs/>
        </w:rPr>
        <w:t>inal</w:t>
      </w:r>
      <w:r w:rsidRPr="00BB3C05">
        <w:rPr>
          <w:i/>
          <w:iCs/>
        </w:rPr>
        <w:t xml:space="preserve"> Endosc</w:t>
      </w:r>
      <w:r w:rsidR="00E56A97">
        <w:rPr>
          <w:i/>
          <w:iCs/>
        </w:rPr>
        <w:t>opy</w:t>
      </w:r>
      <w:r w:rsidRPr="00BB3C05">
        <w:t>, 73</w:t>
      </w:r>
      <w:r w:rsidR="005267B7">
        <w:t xml:space="preserve"> (</w:t>
      </w:r>
      <w:r w:rsidRPr="00BB3C05">
        <w:t>3</w:t>
      </w:r>
      <w:r w:rsidR="005267B7">
        <w:t>)</w:t>
      </w:r>
      <w:r w:rsidR="0038745F">
        <w:t>,</w:t>
      </w:r>
      <w:r w:rsidRPr="00BB3C05">
        <w:t xml:space="preserve"> 535-542.</w:t>
      </w:r>
      <w:proofErr w:type="gramEnd"/>
    </w:p>
    <w:p w:rsidR="00B02DE2" w:rsidRPr="00BB3C05" w:rsidRDefault="00B02DE2" w:rsidP="00B02DE2">
      <w:r w:rsidRPr="00BB3C05">
        <w:t>Lee, K. M., Shin, S. J.</w:t>
      </w:r>
      <w:r w:rsidR="00CC6479" w:rsidRPr="00BB3C05">
        <w:t xml:space="preserve"> </w:t>
      </w:r>
      <w:r w:rsidR="00CC6479">
        <w:t>et al</w:t>
      </w:r>
      <w:r w:rsidR="00CC6479" w:rsidRPr="00423FF6">
        <w:t xml:space="preserve"> </w:t>
      </w:r>
      <w:r w:rsidR="00993CAF">
        <w:t>2007.</w:t>
      </w:r>
      <w:r w:rsidRPr="00BB3C05">
        <w:t xml:space="preserve"> </w:t>
      </w:r>
      <w:proofErr w:type="gramStart"/>
      <w:r w:rsidR="00993CAF">
        <w:t>‘</w:t>
      </w:r>
      <w:r w:rsidRPr="00BB3C05">
        <w:t>Comparison of uncovered stent with covered stent for treatment of malignant colorectal obstruction</w:t>
      </w:r>
      <w:r w:rsidR="00993CAF">
        <w:t>’</w:t>
      </w:r>
      <w:r w:rsidRPr="00BB3C05">
        <w:t xml:space="preserve">, </w:t>
      </w:r>
      <w:r w:rsidRPr="00BB3C05">
        <w:rPr>
          <w:i/>
          <w:iCs/>
        </w:rPr>
        <w:t>Gastrointestinal Endoscopy</w:t>
      </w:r>
      <w:r w:rsidRPr="00BB3C05">
        <w:t>, 66</w:t>
      </w:r>
      <w:r w:rsidR="005267B7">
        <w:t xml:space="preserve"> (</w:t>
      </w:r>
      <w:r w:rsidRPr="00BB3C05">
        <w:t>5</w:t>
      </w:r>
      <w:r w:rsidR="005267B7">
        <w:t>)</w:t>
      </w:r>
      <w:r w:rsidR="0038745F">
        <w:t>,</w:t>
      </w:r>
      <w:r w:rsidRPr="00BB3C05">
        <w:t xml:space="preserve"> 931-936.</w:t>
      </w:r>
      <w:proofErr w:type="gramEnd"/>
    </w:p>
    <w:p w:rsidR="00652380" w:rsidRPr="00BB3C05" w:rsidRDefault="00652380" w:rsidP="00652380">
      <w:proofErr w:type="gramStart"/>
      <w:r w:rsidRPr="00BB3C05">
        <w:t>Lepsenyi, M., Santen, S.</w:t>
      </w:r>
      <w:r w:rsidR="00CC6479" w:rsidRPr="00BB3C05">
        <w:t xml:space="preserve"> </w:t>
      </w:r>
      <w:r w:rsidR="00CC6479">
        <w:t>et al</w:t>
      </w:r>
      <w:r w:rsidR="00CC6479" w:rsidRPr="00423FF6">
        <w:t xml:space="preserve"> </w:t>
      </w:r>
      <w:r w:rsidR="00993CAF">
        <w:t>2011.</w:t>
      </w:r>
      <w:proofErr w:type="gramEnd"/>
      <w:r w:rsidRPr="00BB3C05">
        <w:t xml:space="preserve"> </w:t>
      </w:r>
      <w:proofErr w:type="gramStart"/>
      <w:r w:rsidR="00993CAF">
        <w:t>‘</w:t>
      </w:r>
      <w:r w:rsidRPr="00BB3C05">
        <w:t>Self-expanding metal stents in malignant colonic obstruction: experiences from Sweden</w:t>
      </w:r>
      <w:r w:rsidR="00993CAF">
        <w:t>’</w:t>
      </w:r>
      <w:r w:rsidRPr="00BB3C05">
        <w:t xml:space="preserve">, </w:t>
      </w:r>
      <w:r w:rsidRPr="00BB3C05">
        <w:rPr>
          <w:i/>
          <w:iCs/>
        </w:rPr>
        <w:t>BMC Res</w:t>
      </w:r>
      <w:r w:rsidR="00E56A97">
        <w:rPr>
          <w:i/>
          <w:iCs/>
        </w:rPr>
        <w:t>earch</w:t>
      </w:r>
      <w:r w:rsidRPr="00BB3C05">
        <w:rPr>
          <w:i/>
          <w:iCs/>
        </w:rPr>
        <w:t xml:space="preserve"> Notes</w:t>
      </w:r>
      <w:r w:rsidRPr="00BB3C05">
        <w:t>, 4</w:t>
      </w:r>
      <w:r w:rsidR="00AE36DE">
        <w:t xml:space="preserve"> (1)</w:t>
      </w:r>
      <w:r w:rsidR="0038745F">
        <w:t>,</w:t>
      </w:r>
      <w:r w:rsidR="00AE36DE">
        <w:t xml:space="preserve"> 274-278.</w:t>
      </w:r>
      <w:proofErr w:type="gramEnd"/>
    </w:p>
    <w:p w:rsidR="008E1256" w:rsidRPr="00BB3C05" w:rsidRDefault="008E1256" w:rsidP="008E1256">
      <w:r w:rsidRPr="00BB3C05">
        <w:t>Li, Y. D., Cheng, Y. S.</w:t>
      </w:r>
      <w:r w:rsidR="00CC6479" w:rsidRPr="00BB3C05">
        <w:t xml:space="preserve"> </w:t>
      </w:r>
      <w:r w:rsidR="00CC6479">
        <w:t>et al</w:t>
      </w:r>
      <w:r w:rsidR="00CC6479" w:rsidRPr="00423FF6">
        <w:t xml:space="preserve"> </w:t>
      </w:r>
      <w:r w:rsidR="00993CAF">
        <w:t>2010.</w:t>
      </w:r>
      <w:r w:rsidRPr="00BB3C05">
        <w:t xml:space="preserve"> </w:t>
      </w:r>
      <w:proofErr w:type="gramStart"/>
      <w:r w:rsidR="00993CAF">
        <w:t>‘</w:t>
      </w:r>
      <w:r w:rsidRPr="00BB3C05">
        <w:t>Management of acute malignant colorectal obstruction with a novel self-expanding metallic stent as a bridge to surgery</w:t>
      </w:r>
      <w:r w:rsidR="00993CAF">
        <w:t>’</w:t>
      </w:r>
      <w:r w:rsidRPr="00BB3C05">
        <w:t xml:space="preserve">, </w:t>
      </w:r>
      <w:r w:rsidR="00E56A97" w:rsidRPr="00BB3C05">
        <w:rPr>
          <w:i/>
          <w:iCs/>
        </w:rPr>
        <w:t>Eur</w:t>
      </w:r>
      <w:r w:rsidR="00E56A97">
        <w:rPr>
          <w:i/>
          <w:iCs/>
        </w:rPr>
        <w:t>opean</w:t>
      </w:r>
      <w:r w:rsidR="00E56A97" w:rsidRPr="00BB3C05">
        <w:rPr>
          <w:i/>
          <w:iCs/>
        </w:rPr>
        <w:t xml:space="preserve"> J</w:t>
      </w:r>
      <w:r w:rsidR="00E56A97">
        <w:rPr>
          <w:i/>
          <w:iCs/>
        </w:rPr>
        <w:t>ournal of</w:t>
      </w:r>
      <w:r w:rsidR="00E56A97" w:rsidRPr="00BB3C05">
        <w:rPr>
          <w:i/>
          <w:iCs/>
        </w:rPr>
        <w:t xml:space="preserve"> Radiol</w:t>
      </w:r>
      <w:r w:rsidR="00E56A97">
        <w:rPr>
          <w:i/>
          <w:iCs/>
        </w:rPr>
        <w:t>ogy</w:t>
      </w:r>
      <w:r w:rsidRPr="00BB3C05">
        <w:t>, 73</w:t>
      </w:r>
      <w:r w:rsidR="005267B7">
        <w:t xml:space="preserve"> (</w:t>
      </w:r>
      <w:r w:rsidRPr="00BB3C05">
        <w:t>3</w:t>
      </w:r>
      <w:r w:rsidR="005267B7">
        <w:t>)</w:t>
      </w:r>
      <w:r w:rsidR="0038745F">
        <w:t>,</w:t>
      </w:r>
      <w:r w:rsidRPr="00BB3C05">
        <w:t xml:space="preserve"> 566-571.</w:t>
      </w:r>
      <w:proofErr w:type="gramEnd"/>
    </w:p>
    <w:p w:rsidR="00652380" w:rsidRPr="00BB3C05" w:rsidRDefault="00652380" w:rsidP="00652380">
      <w:r w:rsidRPr="00BB3C05">
        <w:t>Mackay, C. D., Craig, W.</w:t>
      </w:r>
      <w:r w:rsidR="00CC6479" w:rsidRPr="00BB3C05">
        <w:t xml:space="preserve"> </w:t>
      </w:r>
      <w:r w:rsidR="00CC6479">
        <w:t>et al</w:t>
      </w:r>
      <w:r w:rsidR="00CC6479" w:rsidRPr="00423FF6">
        <w:t xml:space="preserve"> </w:t>
      </w:r>
      <w:r w:rsidR="00993CAF">
        <w:t>2011.</w:t>
      </w:r>
      <w:r w:rsidRPr="00BB3C05">
        <w:t xml:space="preserve"> </w:t>
      </w:r>
      <w:proofErr w:type="gramStart"/>
      <w:r w:rsidR="00993CAF">
        <w:t>‘</w:t>
      </w:r>
      <w:r w:rsidRPr="00BB3C05">
        <w:t>Self-expanding metallic stents for large bowel obstruction</w:t>
      </w:r>
      <w:r w:rsidR="00993CAF">
        <w:t>’</w:t>
      </w:r>
      <w:r w:rsidRPr="00BB3C05">
        <w:t xml:space="preserve">, </w:t>
      </w:r>
      <w:r w:rsidR="00E56A97">
        <w:t xml:space="preserve">The </w:t>
      </w:r>
      <w:r w:rsidRPr="00BB3C05">
        <w:rPr>
          <w:i/>
          <w:iCs/>
        </w:rPr>
        <w:t>Br</w:t>
      </w:r>
      <w:r w:rsidR="00E56A97">
        <w:rPr>
          <w:i/>
          <w:iCs/>
        </w:rPr>
        <w:t>itish</w:t>
      </w:r>
      <w:r w:rsidRPr="00BB3C05">
        <w:rPr>
          <w:i/>
          <w:iCs/>
        </w:rPr>
        <w:t xml:space="preserve"> J</w:t>
      </w:r>
      <w:r w:rsidR="00E56A97">
        <w:rPr>
          <w:i/>
          <w:iCs/>
        </w:rPr>
        <w:t>ournal of</w:t>
      </w:r>
      <w:r w:rsidRPr="00BB3C05">
        <w:rPr>
          <w:i/>
          <w:iCs/>
        </w:rPr>
        <w:t xml:space="preserve"> Surg</w:t>
      </w:r>
      <w:r w:rsidR="00E56A97">
        <w:rPr>
          <w:i/>
          <w:iCs/>
        </w:rPr>
        <w:t>ery</w:t>
      </w:r>
      <w:r w:rsidR="0038745F">
        <w:t>, 98 (11), 1625-1629.</w:t>
      </w:r>
      <w:proofErr w:type="gramEnd"/>
    </w:p>
    <w:p w:rsidR="008E1256" w:rsidRPr="00BB3C05" w:rsidRDefault="008E1256" w:rsidP="008E1256">
      <w:r w:rsidRPr="00BB3C05">
        <w:lastRenderedPageBreak/>
        <w:t>Mainar, A., Gregorio Ariza, M. A.</w:t>
      </w:r>
      <w:r w:rsidR="00CC6479" w:rsidRPr="00BB3C05">
        <w:t xml:space="preserve"> </w:t>
      </w:r>
      <w:r w:rsidR="00CC6479">
        <w:t>et al</w:t>
      </w:r>
      <w:r w:rsidR="00CC6479" w:rsidRPr="00423FF6">
        <w:t xml:space="preserve"> </w:t>
      </w:r>
      <w:r w:rsidR="00993CAF">
        <w:t>1999.</w:t>
      </w:r>
      <w:r w:rsidRPr="00BB3C05">
        <w:t xml:space="preserve"> </w:t>
      </w:r>
      <w:r w:rsidR="00993CAF">
        <w:t>‘</w:t>
      </w:r>
      <w:r w:rsidRPr="00BB3C05">
        <w:t>Acute colorectal obstruction: treatment with self-expandable metallic stents before scheduled surgery--results of a multicenter study</w:t>
      </w:r>
      <w:r w:rsidR="00993CAF">
        <w:t>’</w:t>
      </w:r>
      <w:r w:rsidRPr="00BB3C05">
        <w:t xml:space="preserve">, </w:t>
      </w:r>
      <w:r w:rsidRPr="00BB3C05">
        <w:rPr>
          <w:i/>
          <w:iCs/>
        </w:rPr>
        <w:t>Radiology</w:t>
      </w:r>
      <w:r w:rsidRPr="00BB3C05">
        <w:t>, 210</w:t>
      </w:r>
      <w:r w:rsidR="005267B7">
        <w:t xml:space="preserve"> (</w:t>
      </w:r>
      <w:r w:rsidRPr="00BB3C05">
        <w:t>1</w:t>
      </w:r>
      <w:r w:rsidR="005267B7">
        <w:t>)</w:t>
      </w:r>
      <w:r w:rsidR="0038745F">
        <w:t>,</w:t>
      </w:r>
      <w:r w:rsidRPr="00BB3C05">
        <w:t xml:space="preserve"> 65-69.</w:t>
      </w:r>
    </w:p>
    <w:p w:rsidR="005A6841" w:rsidRPr="00BB3C05" w:rsidRDefault="005A6841" w:rsidP="005A6841">
      <w:r w:rsidRPr="00BB3C05">
        <w:t xml:space="preserve">Masci, E., Viale, E. </w:t>
      </w:r>
      <w:r>
        <w:t>et al</w:t>
      </w:r>
      <w:r w:rsidRPr="00423FF6">
        <w:t xml:space="preserve"> </w:t>
      </w:r>
      <w:r>
        <w:t>2008.</w:t>
      </w:r>
      <w:r w:rsidRPr="00BB3C05">
        <w:t xml:space="preserve"> </w:t>
      </w:r>
      <w:r>
        <w:t>‘</w:t>
      </w:r>
      <w:r w:rsidRPr="00BB3C05">
        <w:t>Enteral self-expandable metal stent for malignant luminal obstruction of the upper and lower gastrointestinal tract: a prospective multicentric study</w:t>
      </w:r>
      <w:r>
        <w:t>’</w:t>
      </w:r>
      <w:r w:rsidRPr="00BB3C05">
        <w:t xml:space="preserve">, </w:t>
      </w:r>
      <w:r w:rsidRPr="00BB3C05">
        <w:rPr>
          <w:i/>
          <w:iCs/>
        </w:rPr>
        <w:t>J</w:t>
      </w:r>
      <w:r>
        <w:rPr>
          <w:i/>
          <w:iCs/>
        </w:rPr>
        <w:t>ournal of</w:t>
      </w:r>
      <w:r w:rsidRPr="00BB3C05">
        <w:rPr>
          <w:i/>
          <w:iCs/>
        </w:rPr>
        <w:t xml:space="preserve"> Clin</w:t>
      </w:r>
      <w:r>
        <w:rPr>
          <w:i/>
          <w:iCs/>
        </w:rPr>
        <w:t>ical</w:t>
      </w:r>
      <w:r w:rsidRPr="00BB3C05">
        <w:rPr>
          <w:i/>
          <w:iCs/>
        </w:rPr>
        <w:t xml:space="preserve"> Gastroenterol</w:t>
      </w:r>
      <w:r>
        <w:rPr>
          <w:i/>
          <w:iCs/>
        </w:rPr>
        <w:t>ogy</w:t>
      </w:r>
      <w:r w:rsidRPr="00BB3C05">
        <w:t>, 42</w:t>
      </w:r>
      <w:r>
        <w:t xml:space="preserve"> (</w:t>
      </w:r>
      <w:r w:rsidRPr="00BB3C05">
        <w:t>4</w:t>
      </w:r>
      <w:r>
        <w:t>)</w:t>
      </w:r>
      <w:r w:rsidR="0038745F">
        <w:t>,</w:t>
      </w:r>
      <w:r w:rsidRPr="00BB3C05">
        <w:t xml:space="preserve"> 389-394</w:t>
      </w:r>
      <w:r>
        <w:t>.</w:t>
      </w:r>
    </w:p>
    <w:p w:rsidR="00652380" w:rsidRPr="00BB3C05" w:rsidRDefault="00652380" w:rsidP="00652380">
      <w:proofErr w:type="gramStart"/>
      <w:r w:rsidRPr="00BB3C05">
        <w:t>Meisner, S., Gonzalez-Huix, F.</w:t>
      </w:r>
      <w:r w:rsidR="00CC6479" w:rsidRPr="00BB3C05">
        <w:t xml:space="preserve"> </w:t>
      </w:r>
      <w:r w:rsidR="00CC6479">
        <w:t>et al</w:t>
      </w:r>
      <w:r w:rsidR="00CC6479" w:rsidRPr="00423FF6">
        <w:t xml:space="preserve"> </w:t>
      </w:r>
      <w:r w:rsidR="00993CAF">
        <w:t>2011.</w:t>
      </w:r>
      <w:proofErr w:type="gramEnd"/>
      <w:r w:rsidRPr="00BB3C05">
        <w:t xml:space="preserve"> </w:t>
      </w:r>
      <w:proofErr w:type="gramStart"/>
      <w:r w:rsidR="00993CAF">
        <w:t>‘</w:t>
      </w:r>
      <w:r w:rsidRPr="00BB3C05">
        <w:t>Self-expandable metal stents for relieving malignant colorectal obstruction: short-term safety and efficacy within 30 days of stent procedure in 447 patients</w:t>
      </w:r>
      <w:r w:rsidR="00993CAF">
        <w:t>’</w:t>
      </w:r>
      <w:r w:rsidRPr="00BB3C05">
        <w:t xml:space="preserve">, </w:t>
      </w:r>
      <w:r w:rsidRPr="00BB3C05">
        <w:rPr>
          <w:i/>
          <w:iCs/>
        </w:rPr>
        <w:t>Gastrointest</w:t>
      </w:r>
      <w:r w:rsidR="00E56A97">
        <w:rPr>
          <w:i/>
          <w:iCs/>
        </w:rPr>
        <w:t>inal</w:t>
      </w:r>
      <w:r w:rsidRPr="00BB3C05">
        <w:rPr>
          <w:i/>
          <w:iCs/>
        </w:rPr>
        <w:t xml:space="preserve"> Endosc</w:t>
      </w:r>
      <w:r w:rsidR="00E56A97">
        <w:rPr>
          <w:i/>
          <w:iCs/>
        </w:rPr>
        <w:t>opy</w:t>
      </w:r>
      <w:r w:rsidR="00AE36DE">
        <w:t>, 74 (4)</w:t>
      </w:r>
      <w:r w:rsidR="0038745F">
        <w:t>,</w:t>
      </w:r>
      <w:r w:rsidR="00AE36DE">
        <w:t xml:space="preserve"> 876-884.</w:t>
      </w:r>
      <w:proofErr w:type="gramEnd"/>
    </w:p>
    <w:p w:rsidR="005A6841" w:rsidRPr="00BB3C05" w:rsidRDefault="005A6841" w:rsidP="005A6841">
      <w:proofErr w:type="gramStart"/>
      <w:r w:rsidRPr="00BB3C05">
        <w:t xml:space="preserve">Moon, C. M., Kim, T. I. </w:t>
      </w:r>
      <w:r>
        <w:t>et al</w:t>
      </w:r>
      <w:r w:rsidRPr="00423FF6">
        <w:t xml:space="preserve"> </w:t>
      </w:r>
      <w:r>
        <w:t>2010.</w:t>
      </w:r>
      <w:proofErr w:type="gramEnd"/>
      <w:r w:rsidRPr="00BB3C05">
        <w:t xml:space="preserve"> </w:t>
      </w:r>
      <w:r>
        <w:t>‘</w:t>
      </w:r>
      <w:r w:rsidRPr="00BB3C05">
        <w:t>Comparison of a newly designed double-layered combination covered stent and D-weave uncovered stent for decompression of obstructive colorectal cancer: a prospective multicenter study</w:t>
      </w:r>
      <w:r>
        <w:t>’</w:t>
      </w:r>
      <w:r w:rsidRPr="00BB3C05">
        <w:t xml:space="preserve">, </w:t>
      </w:r>
      <w:r w:rsidRPr="00BB3C05">
        <w:rPr>
          <w:i/>
          <w:iCs/>
        </w:rPr>
        <w:t>Dis</w:t>
      </w:r>
      <w:r>
        <w:rPr>
          <w:i/>
          <w:iCs/>
        </w:rPr>
        <w:t>eases of the</w:t>
      </w:r>
      <w:r w:rsidRPr="00BB3C05">
        <w:rPr>
          <w:i/>
          <w:iCs/>
        </w:rPr>
        <w:t xml:space="preserve"> Colon</w:t>
      </w:r>
      <w:r>
        <w:rPr>
          <w:i/>
          <w:iCs/>
        </w:rPr>
        <w:t xml:space="preserve"> and</w:t>
      </w:r>
      <w:r w:rsidRPr="00BB3C05">
        <w:rPr>
          <w:i/>
          <w:iCs/>
        </w:rPr>
        <w:t xml:space="preserve"> Rectum</w:t>
      </w:r>
      <w:r w:rsidRPr="00BB3C05">
        <w:t>, 53</w:t>
      </w:r>
      <w:r>
        <w:t xml:space="preserve"> (</w:t>
      </w:r>
      <w:r w:rsidRPr="00BB3C05">
        <w:t>8</w:t>
      </w:r>
      <w:r>
        <w:t>)</w:t>
      </w:r>
      <w:r w:rsidR="0038745F">
        <w:t>,</w:t>
      </w:r>
      <w:r w:rsidRPr="00BB3C05">
        <w:t xml:space="preserve"> 1190-1196.</w:t>
      </w:r>
    </w:p>
    <w:p w:rsidR="00652380" w:rsidRPr="00BB3C05" w:rsidRDefault="00652380" w:rsidP="00652380">
      <w:proofErr w:type="gramStart"/>
      <w:r w:rsidRPr="00BB3C05">
        <w:t>Mucci-Hennekinne, S., Kervegant, A. G.</w:t>
      </w:r>
      <w:r w:rsidR="00CC6479" w:rsidRPr="00BB3C05">
        <w:t xml:space="preserve"> </w:t>
      </w:r>
      <w:r w:rsidR="00CC6479">
        <w:t>et al</w:t>
      </w:r>
      <w:r w:rsidR="00CC6479" w:rsidRPr="00423FF6">
        <w:t xml:space="preserve"> </w:t>
      </w:r>
      <w:r w:rsidR="00993CAF">
        <w:t>2007.</w:t>
      </w:r>
      <w:proofErr w:type="gramEnd"/>
      <w:r w:rsidRPr="00BB3C05">
        <w:t xml:space="preserve"> </w:t>
      </w:r>
      <w:proofErr w:type="gramStart"/>
      <w:r w:rsidR="00993CAF">
        <w:t>‘</w:t>
      </w:r>
      <w:r w:rsidRPr="00BB3C05">
        <w:t>Management of acute malignant large-bowel obstruction with self-expanding metal stent</w:t>
      </w:r>
      <w:r w:rsidR="00993CAF">
        <w:t>’</w:t>
      </w:r>
      <w:r w:rsidRPr="00BB3C05">
        <w:t xml:space="preserve">, </w:t>
      </w:r>
      <w:r w:rsidRPr="00BB3C05">
        <w:rPr>
          <w:i/>
          <w:iCs/>
        </w:rPr>
        <w:t>Surg</w:t>
      </w:r>
      <w:r w:rsidR="00E56A97">
        <w:rPr>
          <w:i/>
          <w:iCs/>
        </w:rPr>
        <w:t>ical</w:t>
      </w:r>
      <w:r w:rsidRPr="00BB3C05">
        <w:rPr>
          <w:i/>
          <w:iCs/>
        </w:rPr>
        <w:t xml:space="preserve"> Endosc</w:t>
      </w:r>
      <w:r w:rsidR="00E56A97">
        <w:rPr>
          <w:i/>
          <w:iCs/>
        </w:rPr>
        <w:t>opy</w:t>
      </w:r>
      <w:r w:rsidRPr="00BB3C05">
        <w:t>, 21</w:t>
      </w:r>
      <w:r w:rsidR="005267B7">
        <w:t xml:space="preserve"> (</w:t>
      </w:r>
      <w:r w:rsidRPr="00BB3C05">
        <w:t>7</w:t>
      </w:r>
      <w:r w:rsidR="005267B7">
        <w:t>)</w:t>
      </w:r>
      <w:r w:rsidR="0038745F">
        <w:t>,</w:t>
      </w:r>
      <w:r w:rsidRPr="00BB3C05">
        <w:t xml:space="preserve"> 1101-1103.</w:t>
      </w:r>
      <w:proofErr w:type="gramEnd"/>
    </w:p>
    <w:p w:rsidR="001273B6" w:rsidRPr="00BB3C05" w:rsidRDefault="001273B6" w:rsidP="001273B6">
      <w:proofErr w:type="gramStart"/>
      <w:r w:rsidRPr="00BB3C05">
        <w:t>Park, S., Cheon, J. H.</w:t>
      </w:r>
      <w:r w:rsidR="00CC6479" w:rsidRPr="00BB3C05">
        <w:t xml:space="preserve"> </w:t>
      </w:r>
      <w:r w:rsidR="00CC6479">
        <w:t>et al</w:t>
      </w:r>
      <w:r w:rsidR="00CC6479" w:rsidRPr="00423FF6">
        <w:t xml:space="preserve"> </w:t>
      </w:r>
      <w:r w:rsidR="00993CAF">
        <w:t>2010.</w:t>
      </w:r>
      <w:proofErr w:type="gramEnd"/>
      <w:r w:rsidRPr="00BB3C05">
        <w:t xml:space="preserve"> </w:t>
      </w:r>
      <w:proofErr w:type="gramStart"/>
      <w:r w:rsidR="00993CAF">
        <w:t>‘</w:t>
      </w:r>
      <w:r w:rsidRPr="00BB3C05">
        <w:t>Comparison of efficacies between stents for malignant colorectal obstruction: a randomized, prospective study</w:t>
      </w:r>
      <w:r w:rsidR="00993CAF">
        <w:t>’</w:t>
      </w:r>
      <w:r w:rsidRPr="00BB3C05">
        <w:t xml:space="preserve">, </w:t>
      </w:r>
      <w:r w:rsidRPr="00BB3C05">
        <w:rPr>
          <w:i/>
          <w:iCs/>
        </w:rPr>
        <w:t>Gastrointestinal Endoscopy</w:t>
      </w:r>
      <w:r w:rsidRPr="00BB3C05">
        <w:t>, 72</w:t>
      </w:r>
      <w:r w:rsidR="005267B7">
        <w:t xml:space="preserve"> (</w:t>
      </w:r>
      <w:r w:rsidRPr="00BB3C05">
        <w:t>2</w:t>
      </w:r>
      <w:r w:rsidR="005267B7">
        <w:t>)</w:t>
      </w:r>
      <w:r w:rsidR="0038745F">
        <w:t>,</w:t>
      </w:r>
      <w:r w:rsidRPr="00BB3C05">
        <w:t xml:space="preserve"> 304-310.</w:t>
      </w:r>
      <w:proofErr w:type="gramEnd"/>
    </w:p>
    <w:p w:rsidR="005A6841" w:rsidRPr="00BB3C05" w:rsidRDefault="005A6841" w:rsidP="005A6841">
      <w:r w:rsidRPr="00BB3C05">
        <w:t xml:space="preserve">Park, J. K., Lee, M. S. </w:t>
      </w:r>
      <w:r>
        <w:t>et al</w:t>
      </w:r>
      <w:r w:rsidRPr="00BB3C05">
        <w:t xml:space="preserve"> </w:t>
      </w:r>
      <w:r>
        <w:t>2011.</w:t>
      </w:r>
      <w:r w:rsidRPr="00BB3C05">
        <w:t xml:space="preserve"> </w:t>
      </w:r>
      <w:proofErr w:type="gramStart"/>
      <w:r>
        <w:t>‘</w:t>
      </w:r>
      <w:r w:rsidRPr="00BB3C05">
        <w:t>Outcome of palliative self-expanding metal stent placement in malignant colorectal obstruction according to stent type and manufacturer</w:t>
      </w:r>
      <w:r>
        <w:t>’</w:t>
      </w:r>
      <w:r w:rsidRPr="00BB3C05">
        <w:t xml:space="preserve">, </w:t>
      </w:r>
      <w:r w:rsidRPr="00BB3C05">
        <w:rPr>
          <w:i/>
          <w:iCs/>
        </w:rPr>
        <w:t>Surg</w:t>
      </w:r>
      <w:r>
        <w:rPr>
          <w:i/>
          <w:iCs/>
        </w:rPr>
        <w:t>ical</w:t>
      </w:r>
      <w:r w:rsidRPr="00BB3C05">
        <w:rPr>
          <w:i/>
          <w:iCs/>
        </w:rPr>
        <w:t xml:space="preserve"> Endosc</w:t>
      </w:r>
      <w:r>
        <w:rPr>
          <w:i/>
          <w:iCs/>
        </w:rPr>
        <w:t>opy</w:t>
      </w:r>
      <w:r w:rsidRPr="00BB3C05">
        <w:t>, 25</w:t>
      </w:r>
      <w:r>
        <w:t xml:space="preserve"> (</w:t>
      </w:r>
      <w:r w:rsidRPr="00BB3C05">
        <w:t>4</w:t>
      </w:r>
      <w:r>
        <w:t>)</w:t>
      </w:r>
      <w:r w:rsidR="0038745F">
        <w:t>,</w:t>
      </w:r>
      <w:r w:rsidRPr="00BB3C05">
        <w:t xml:space="preserve"> 1293-1299.</w:t>
      </w:r>
      <w:proofErr w:type="gramEnd"/>
    </w:p>
    <w:p w:rsidR="00652380" w:rsidRPr="00BB3C05" w:rsidRDefault="00652380" w:rsidP="00652380">
      <w:r w:rsidRPr="00BB3C05">
        <w:t>Selinger, C. P., Ramesh, J.</w:t>
      </w:r>
      <w:r w:rsidR="00CC6479">
        <w:t xml:space="preserve"> and </w:t>
      </w:r>
      <w:r w:rsidRPr="00BB3C05">
        <w:t xml:space="preserve">Martin, D. F. </w:t>
      </w:r>
      <w:r w:rsidR="00993CAF">
        <w:t>2011.</w:t>
      </w:r>
      <w:r w:rsidRPr="00BB3C05">
        <w:t xml:space="preserve"> </w:t>
      </w:r>
      <w:r w:rsidR="00993CAF">
        <w:t>‘</w:t>
      </w:r>
      <w:r w:rsidRPr="00BB3C05">
        <w:t>Long-term success of colonic stent insertion is influenced by indication but not by length of stent or site of obstruction</w:t>
      </w:r>
      <w:r w:rsidR="00993CAF">
        <w:t>’</w:t>
      </w:r>
      <w:r w:rsidRPr="00BB3C05">
        <w:t xml:space="preserve">, </w:t>
      </w:r>
      <w:r w:rsidRPr="00BB3C05">
        <w:rPr>
          <w:i/>
          <w:iCs/>
        </w:rPr>
        <w:t>Int</w:t>
      </w:r>
      <w:r w:rsidR="00E56A97">
        <w:rPr>
          <w:i/>
          <w:iCs/>
        </w:rPr>
        <w:t>ernational</w:t>
      </w:r>
      <w:r w:rsidRPr="00BB3C05">
        <w:rPr>
          <w:i/>
          <w:iCs/>
        </w:rPr>
        <w:t xml:space="preserve"> J</w:t>
      </w:r>
      <w:r w:rsidR="00E56A97">
        <w:rPr>
          <w:i/>
          <w:iCs/>
        </w:rPr>
        <w:t>ournal of</w:t>
      </w:r>
      <w:r w:rsidRPr="00BB3C05">
        <w:rPr>
          <w:i/>
          <w:iCs/>
        </w:rPr>
        <w:t xml:space="preserve"> Colorectal Dis</w:t>
      </w:r>
      <w:r w:rsidR="00E56A97">
        <w:rPr>
          <w:i/>
          <w:iCs/>
        </w:rPr>
        <w:t>ease</w:t>
      </w:r>
      <w:r w:rsidRPr="00BB3C05">
        <w:t>, 26</w:t>
      </w:r>
      <w:r w:rsidR="005267B7">
        <w:t xml:space="preserve"> (</w:t>
      </w:r>
      <w:r w:rsidRPr="00BB3C05">
        <w:t>2</w:t>
      </w:r>
      <w:r w:rsidR="005267B7">
        <w:t>)</w:t>
      </w:r>
      <w:r w:rsidR="0038745F">
        <w:t>,</w:t>
      </w:r>
      <w:r w:rsidRPr="00BB3C05">
        <w:t xml:space="preserve"> 215-218.</w:t>
      </w:r>
    </w:p>
    <w:p w:rsidR="00B02DE2" w:rsidRPr="00BB3C05" w:rsidRDefault="00B02DE2" w:rsidP="00B02DE2">
      <w:proofErr w:type="gramStart"/>
      <w:r w:rsidRPr="00BB3C05">
        <w:t>Shrivastava, V., Tariq, O.</w:t>
      </w:r>
      <w:r w:rsidR="00CC6479" w:rsidRPr="00BB3C05">
        <w:t xml:space="preserve"> </w:t>
      </w:r>
      <w:r w:rsidR="00CC6479">
        <w:t>et al</w:t>
      </w:r>
      <w:r w:rsidR="00CC6479" w:rsidRPr="00423FF6">
        <w:t xml:space="preserve"> </w:t>
      </w:r>
      <w:r w:rsidR="00993CAF">
        <w:t>2008.</w:t>
      </w:r>
      <w:proofErr w:type="gramEnd"/>
      <w:r w:rsidRPr="00BB3C05">
        <w:t xml:space="preserve"> </w:t>
      </w:r>
      <w:proofErr w:type="gramStart"/>
      <w:r w:rsidR="00993CAF">
        <w:t>‘</w:t>
      </w:r>
      <w:r w:rsidRPr="00BB3C05">
        <w:t>Palliation of obstructing malignant colonic lesions using self-expanding metal stents: a single-center experience</w:t>
      </w:r>
      <w:r w:rsidR="00993CAF">
        <w:t>’</w:t>
      </w:r>
      <w:r w:rsidRPr="00BB3C05">
        <w:t xml:space="preserve">, </w:t>
      </w:r>
      <w:r w:rsidRPr="00BB3C05">
        <w:rPr>
          <w:i/>
          <w:iCs/>
        </w:rPr>
        <w:t>Cardiovasc</w:t>
      </w:r>
      <w:r w:rsidR="00E56A97">
        <w:rPr>
          <w:i/>
          <w:iCs/>
        </w:rPr>
        <w:t>ular and</w:t>
      </w:r>
      <w:r w:rsidRPr="00BB3C05">
        <w:rPr>
          <w:i/>
          <w:iCs/>
        </w:rPr>
        <w:t xml:space="preserve"> Intervent</w:t>
      </w:r>
      <w:r w:rsidR="00E56A97">
        <w:rPr>
          <w:i/>
          <w:iCs/>
        </w:rPr>
        <w:t>ional</w:t>
      </w:r>
      <w:r w:rsidRPr="00BB3C05">
        <w:rPr>
          <w:i/>
          <w:iCs/>
        </w:rPr>
        <w:t xml:space="preserve"> Radiol</w:t>
      </w:r>
      <w:r w:rsidR="00E56A97">
        <w:rPr>
          <w:i/>
          <w:iCs/>
        </w:rPr>
        <w:t>ogy</w:t>
      </w:r>
      <w:r w:rsidRPr="00BB3C05">
        <w:t>, 31</w:t>
      </w:r>
      <w:r w:rsidR="005267B7">
        <w:t xml:space="preserve"> (</w:t>
      </w:r>
      <w:r w:rsidRPr="00BB3C05">
        <w:t>5</w:t>
      </w:r>
      <w:r w:rsidR="005267B7">
        <w:t>)</w:t>
      </w:r>
      <w:r w:rsidR="0038745F">
        <w:t>,</w:t>
      </w:r>
      <w:r w:rsidRPr="00BB3C05">
        <w:t xml:space="preserve"> 931-936.</w:t>
      </w:r>
      <w:proofErr w:type="gramEnd"/>
    </w:p>
    <w:p w:rsidR="00B02DE2" w:rsidRPr="00BB3C05" w:rsidRDefault="00B02DE2" w:rsidP="00B02DE2">
      <w:proofErr w:type="gramStart"/>
      <w:r w:rsidRPr="00BB3C05">
        <w:t xml:space="preserve">Small, A. J. </w:t>
      </w:r>
      <w:r w:rsidR="00CC6479">
        <w:t>and</w:t>
      </w:r>
      <w:r w:rsidR="00CC6479" w:rsidRPr="00BB3C05">
        <w:t xml:space="preserve"> </w:t>
      </w:r>
      <w:r w:rsidRPr="00BB3C05">
        <w:t xml:space="preserve">Baron, T. H. </w:t>
      </w:r>
      <w:r w:rsidR="00993CAF">
        <w:t>2008.</w:t>
      </w:r>
      <w:proofErr w:type="gramEnd"/>
      <w:r w:rsidRPr="00BB3C05">
        <w:t xml:space="preserve"> </w:t>
      </w:r>
      <w:proofErr w:type="gramStart"/>
      <w:r w:rsidR="00993CAF">
        <w:t>‘</w:t>
      </w:r>
      <w:r w:rsidRPr="00BB3C05">
        <w:t>Comparison of Wallstent and Ultraflex stents for palliation of malignant left-sided colon obstruction: a retrospective, case-matched analysis</w:t>
      </w:r>
      <w:r w:rsidR="00993CAF">
        <w:t>’</w:t>
      </w:r>
      <w:r w:rsidRPr="00BB3C05">
        <w:t xml:space="preserve">, </w:t>
      </w:r>
      <w:r w:rsidRPr="00BB3C05">
        <w:rPr>
          <w:i/>
          <w:iCs/>
        </w:rPr>
        <w:t>Gastrointestinal Endoscopy</w:t>
      </w:r>
      <w:r w:rsidRPr="00BB3C05">
        <w:t>, 67</w:t>
      </w:r>
      <w:r w:rsidR="005267B7">
        <w:t xml:space="preserve"> (</w:t>
      </w:r>
      <w:r w:rsidRPr="00BB3C05">
        <w:t>3</w:t>
      </w:r>
      <w:r w:rsidR="005267B7">
        <w:t>)</w:t>
      </w:r>
      <w:r w:rsidR="0038745F">
        <w:t>,</w:t>
      </w:r>
      <w:r w:rsidRPr="00BB3C05">
        <w:t xml:space="preserve"> 478-488.</w:t>
      </w:r>
      <w:proofErr w:type="gramEnd"/>
    </w:p>
    <w:p w:rsidR="00B02DE2" w:rsidRPr="00BB3C05" w:rsidRDefault="00B02DE2" w:rsidP="00B02DE2">
      <w:proofErr w:type="gramStart"/>
      <w:r w:rsidRPr="00BB3C05">
        <w:t>Small, A. J., Coelho-Prabhu, N.</w:t>
      </w:r>
      <w:r w:rsidR="00CC6479">
        <w:t xml:space="preserve"> and </w:t>
      </w:r>
      <w:r w:rsidRPr="00BB3C05">
        <w:t xml:space="preserve">Baron, T. H. </w:t>
      </w:r>
      <w:r w:rsidR="00993CAF">
        <w:t>2010.</w:t>
      </w:r>
      <w:proofErr w:type="gramEnd"/>
      <w:r w:rsidRPr="00BB3C05">
        <w:t xml:space="preserve"> </w:t>
      </w:r>
      <w:proofErr w:type="gramStart"/>
      <w:r w:rsidR="00993CAF">
        <w:t>‘</w:t>
      </w:r>
      <w:r w:rsidRPr="00BB3C05">
        <w:t>Endoscopic placement of self-expandable metal stents for malignant colonic obstruction: long-term outcomes and complication factors</w:t>
      </w:r>
      <w:r w:rsidR="00993CAF">
        <w:t>’</w:t>
      </w:r>
      <w:r w:rsidRPr="00BB3C05">
        <w:t xml:space="preserve">, </w:t>
      </w:r>
      <w:r w:rsidRPr="00BB3C05">
        <w:rPr>
          <w:i/>
          <w:iCs/>
        </w:rPr>
        <w:t>Gastrointestinal Endoscopy</w:t>
      </w:r>
      <w:r w:rsidRPr="00BB3C05">
        <w:t>, 71</w:t>
      </w:r>
      <w:r w:rsidR="005267B7">
        <w:t xml:space="preserve"> (</w:t>
      </w:r>
      <w:r w:rsidRPr="00BB3C05">
        <w:t>3</w:t>
      </w:r>
      <w:r w:rsidR="005267B7">
        <w:t>)</w:t>
      </w:r>
      <w:r w:rsidR="0038745F">
        <w:t>,</w:t>
      </w:r>
      <w:r w:rsidRPr="00BB3C05">
        <w:t xml:space="preserve"> 560-572.</w:t>
      </w:r>
      <w:proofErr w:type="gramEnd"/>
    </w:p>
    <w:p w:rsidR="00652380" w:rsidRPr="00BB3C05" w:rsidRDefault="00652380" w:rsidP="00652380">
      <w:r w:rsidRPr="00BB3C05">
        <w:t>Stenhouse, A., Page, B.</w:t>
      </w:r>
      <w:r w:rsidR="005B46CA" w:rsidRPr="00BB3C05">
        <w:t xml:space="preserve"> </w:t>
      </w:r>
      <w:r w:rsidR="005B46CA">
        <w:t>et al</w:t>
      </w:r>
      <w:r w:rsidRPr="00BB3C05">
        <w:t xml:space="preserve"> </w:t>
      </w:r>
      <w:r w:rsidR="00993CAF">
        <w:t>2009.</w:t>
      </w:r>
      <w:r w:rsidRPr="00BB3C05">
        <w:t xml:space="preserve"> </w:t>
      </w:r>
      <w:r w:rsidR="00993CAF">
        <w:t>‘</w:t>
      </w:r>
      <w:r w:rsidRPr="00BB3C05">
        <w:t>Self expanding wall stents in malignant colorectal cancer: is complete obstruction a contraindication to stent placement?</w:t>
      </w:r>
      <w:proofErr w:type="gramStart"/>
      <w:r w:rsidR="00993CAF">
        <w:t>’</w:t>
      </w:r>
      <w:r w:rsidRPr="00BB3C05">
        <w:t>,</w:t>
      </w:r>
      <w:proofErr w:type="gramEnd"/>
      <w:r w:rsidRPr="00BB3C05">
        <w:t xml:space="preserve"> </w:t>
      </w:r>
      <w:r w:rsidRPr="00BB3C05">
        <w:rPr>
          <w:i/>
          <w:iCs/>
        </w:rPr>
        <w:t>Colorectal Dis</w:t>
      </w:r>
      <w:r w:rsidR="00E56A97">
        <w:rPr>
          <w:i/>
          <w:iCs/>
        </w:rPr>
        <w:t>ease</w:t>
      </w:r>
      <w:r w:rsidRPr="00BB3C05">
        <w:t>, 11</w:t>
      </w:r>
      <w:r w:rsidR="005267B7">
        <w:t xml:space="preserve"> (</w:t>
      </w:r>
      <w:r w:rsidRPr="00BB3C05">
        <w:t>8</w:t>
      </w:r>
      <w:r w:rsidR="005267B7">
        <w:t>)</w:t>
      </w:r>
      <w:r w:rsidR="00017BD7">
        <w:t>,</w:t>
      </w:r>
      <w:r w:rsidRPr="00BB3C05">
        <w:t xml:space="preserve"> 854-858.</w:t>
      </w:r>
      <w:r w:rsidRPr="00BB3C05">
        <w:tab/>
      </w:r>
    </w:p>
    <w:p w:rsidR="00B02DE2" w:rsidRPr="00BB3C05" w:rsidRDefault="00B02DE2" w:rsidP="00B02DE2">
      <w:r w:rsidRPr="00BB3C05">
        <w:t>Suh, J. P., Kim, S. W.</w:t>
      </w:r>
      <w:r w:rsidR="005B46CA" w:rsidRPr="00BB3C05">
        <w:t xml:space="preserve"> </w:t>
      </w:r>
      <w:r w:rsidR="005B46CA">
        <w:t>et al</w:t>
      </w:r>
      <w:r w:rsidRPr="00BB3C05">
        <w:t xml:space="preserve"> </w:t>
      </w:r>
      <w:r w:rsidR="00993CAF">
        <w:t>2010.</w:t>
      </w:r>
      <w:r w:rsidRPr="00BB3C05">
        <w:t xml:space="preserve"> </w:t>
      </w:r>
      <w:proofErr w:type="gramStart"/>
      <w:r w:rsidR="00993CAF">
        <w:t>‘</w:t>
      </w:r>
      <w:r w:rsidRPr="00BB3C05">
        <w:t>Effectiveness of stent placement for palliative treatment in malignant colorectal obstruction and predictive factors for stent occlusion</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24</w:t>
      </w:r>
      <w:r w:rsidR="005267B7">
        <w:t xml:space="preserve"> (</w:t>
      </w:r>
      <w:r w:rsidRPr="00BB3C05">
        <w:t>2</w:t>
      </w:r>
      <w:r w:rsidR="005267B7">
        <w:t>)</w:t>
      </w:r>
      <w:r w:rsidR="00017BD7">
        <w:t>,</w:t>
      </w:r>
      <w:r w:rsidRPr="00BB3C05">
        <w:t xml:space="preserve"> 400-406.</w:t>
      </w:r>
      <w:proofErr w:type="gramEnd"/>
    </w:p>
    <w:p w:rsidR="00652380" w:rsidRPr="00BB3C05" w:rsidRDefault="00652380" w:rsidP="00652380">
      <w:r w:rsidRPr="00BB3C05">
        <w:lastRenderedPageBreak/>
        <w:t>Vitale, M. A., Villotti, G.</w:t>
      </w:r>
      <w:r w:rsidR="005B46CA" w:rsidRPr="00BB3C05">
        <w:t xml:space="preserve"> </w:t>
      </w:r>
      <w:r w:rsidR="005B46CA">
        <w:t>et al</w:t>
      </w:r>
      <w:r w:rsidRPr="00BB3C05">
        <w:t xml:space="preserve"> </w:t>
      </w:r>
      <w:r w:rsidR="00993CAF">
        <w:t>2006.</w:t>
      </w:r>
      <w:r w:rsidRPr="00BB3C05">
        <w:t xml:space="preserve"> </w:t>
      </w:r>
      <w:proofErr w:type="gramStart"/>
      <w:r w:rsidR="00993CAF">
        <w:t>‘</w:t>
      </w:r>
      <w:r w:rsidRPr="00BB3C05">
        <w:t>Preoperative colonoscopy after self-expandable metallic stent placement in patients with acute neoplastic colon obstruction</w:t>
      </w:r>
      <w:r w:rsidR="00993CAF">
        <w:t>’</w:t>
      </w:r>
      <w:r w:rsidRPr="00BB3C05">
        <w:t xml:space="preserve">, </w:t>
      </w:r>
      <w:r w:rsidRPr="00BB3C05">
        <w:rPr>
          <w:i/>
          <w:iCs/>
        </w:rPr>
        <w:t>Gastrointestinal Endoscopy</w:t>
      </w:r>
      <w:r w:rsidRPr="00BB3C05">
        <w:t>, 63</w:t>
      </w:r>
      <w:r w:rsidR="005267B7">
        <w:t xml:space="preserve"> (</w:t>
      </w:r>
      <w:r w:rsidRPr="00BB3C05">
        <w:t>6</w:t>
      </w:r>
      <w:r w:rsidR="005267B7">
        <w:t>)</w:t>
      </w:r>
      <w:r w:rsidR="00017BD7">
        <w:t>,</w:t>
      </w:r>
      <w:r w:rsidRPr="00BB3C05">
        <w:t xml:space="preserve"> 814-819.</w:t>
      </w:r>
      <w:proofErr w:type="gramEnd"/>
    </w:p>
    <w:p w:rsidR="001273B6" w:rsidRPr="00BB3C05" w:rsidRDefault="001273B6" w:rsidP="001273B6">
      <w:pPr>
        <w:rPr>
          <w:i/>
          <w:iCs/>
        </w:rPr>
      </w:pPr>
      <w:r w:rsidRPr="00BB3C05">
        <w:t>Yoon, J. Y., Jung, Y. S.</w:t>
      </w:r>
      <w:r w:rsidR="005B46CA" w:rsidRPr="00BB3C05">
        <w:t xml:space="preserve"> </w:t>
      </w:r>
      <w:r w:rsidR="005B46CA">
        <w:t>et al</w:t>
      </w:r>
      <w:r w:rsidRPr="00BB3C05">
        <w:t xml:space="preserve"> </w:t>
      </w:r>
      <w:r w:rsidR="00993CAF">
        <w:t>2011.</w:t>
      </w:r>
      <w:r w:rsidRPr="00BB3C05">
        <w:t xml:space="preserve"> </w:t>
      </w:r>
      <w:proofErr w:type="gramStart"/>
      <w:r w:rsidR="00993CAF">
        <w:t>‘</w:t>
      </w:r>
      <w:r w:rsidRPr="00BB3C05">
        <w:t>Clinical outcomes and risk factors for technical and clinical failures of self-expandable metal stent insertion for malignant colorectal obstruction</w:t>
      </w:r>
      <w:r w:rsidR="00993CAF">
        <w:t>’</w:t>
      </w:r>
      <w:r w:rsidRPr="00BB3C05">
        <w:t xml:space="preserve">, </w:t>
      </w:r>
      <w:r w:rsidRPr="00BB3C05">
        <w:rPr>
          <w:i/>
          <w:iCs/>
        </w:rPr>
        <w:t>Gastrointest</w:t>
      </w:r>
      <w:r w:rsidR="00E56A97">
        <w:rPr>
          <w:i/>
          <w:iCs/>
        </w:rPr>
        <w:t>inal</w:t>
      </w:r>
      <w:r w:rsidRPr="00BB3C05">
        <w:rPr>
          <w:i/>
          <w:iCs/>
        </w:rPr>
        <w:t xml:space="preserve"> Endosc</w:t>
      </w:r>
      <w:r w:rsidR="00E56A97">
        <w:rPr>
          <w:i/>
          <w:iCs/>
        </w:rPr>
        <w:t>opy</w:t>
      </w:r>
      <w:r w:rsidR="00017BD7">
        <w:rPr>
          <w:i/>
          <w:iCs/>
        </w:rPr>
        <w:t xml:space="preserve">, </w:t>
      </w:r>
      <w:r w:rsidR="00017BD7" w:rsidRPr="003056F3">
        <w:rPr>
          <w:iCs/>
        </w:rPr>
        <w:t>74 (4), 858-868.</w:t>
      </w:r>
      <w:proofErr w:type="gramEnd"/>
      <w:r w:rsidR="00017BD7">
        <w:rPr>
          <w:i/>
          <w:iCs/>
        </w:rPr>
        <w:t xml:space="preserve"> </w:t>
      </w:r>
    </w:p>
    <w:p w:rsidR="00652380" w:rsidRPr="00BB3C05" w:rsidRDefault="00652380" w:rsidP="00652380">
      <w:r w:rsidRPr="00BB3C05">
        <w:t>Young, C. J., Suen, M. K.</w:t>
      </w:r>
      <w:r w:rsidR="005B46CA" w:rsidRPr="00BB3C05">
        <w:t xml:space="preserve"> </w:t>
      </w:r>
      <w:r w:rsidR="005B46CA">
        <w:t>et al</w:t>
      </w:r>
      <w:r w:rsidRPr="00BB3C05">
        <w:t xml:space="preserve"> </w:t>
      </w:r>
      <w:r w:rsidR="00993CAF">
        <w:t>201</w:t>
      </w:r>
      <w:r w:rsidR="00274F23">
        <w:t>1</w:t>
      </w:r>
      <w:r w:rsidR="00993CAF">
        <w:t>.</w:t>
      </w:r>
      <w:r w:rsidRPr="00BB3C05">
        <w:t xml:space="preserve"> </w:t>
      </w:r>
      <w:r w:rsidR="00993CAF">
        <w:t>‘</w:t>
      </w:r>
      <w:r w:rsidRPr="00BB3C05">
        <w:t>Stenting Large Bowel Obstruction Avoids a Stoma: Consecutive Series of 100 Patients</w:t>
      </w:r>
      <w:r w:rsidR="00993CAF">
        <w:t>’</w:t>
      </w:r>
      <w:r w:rsidRPr="00BB3C05">
        <w:t xml:space="preserve">, </w:t>
      </w:r>
      <w:r w:rsidRPr="00BB3C05">
        <w:rPr>
          <w:i/>
          <w:iCs/>
        </w:rPr>
        <w:t>Colorectal Dis</w:t>
      </w:r>
      <w:r w:rsidR="00E56A97">
        <w:rPr>
          <w:i/>
          <w:iCs/>
        </w:rPr>
        <w:t>ease</w:t>
      </w:r>
      <w:r w:rsidR="00017BD7">
        <w:t>, 13 (10), 1138-1141.</w:t>
      </w:r>
    </w:p>
    <w:p w:rsidR="00ED1A98" w:rsidRPr="00BB3C05" w:rsidRDefault="00ED1A98" w:rsidP="0007443E">
      <w:pPr>
        <w:pStyle w:val="Heading2a"/>
      </w:pPr>
      <w:r w:rsidRPr="00BB3C05">
        <w:t>Patients with colorectal obstruction, stricture or stenosis medically unfit for surgery</w:t>
      </w:r>
    </w:p>
    <w:p w:rsidR="00ED1A98" w:rsidRPr="00BB3C05" w:rsidRDefault="00A04C2B" w:rsidP="0007443E">
      <w:r w:rsidRPr="00BB3C05">
        <w:t xml:space="preserve">No evidence found. </w:t>
      </w:r>
    </w:p>
    <w:p w:rsidR="00ED1A98" w:rsidRPr="00BB3C05" w:rsidRDefault="00ED1A98" w:rsidP="00ED1A98">
      <w:pPr>
        <w:keepNext/>
        <w:keepLines/>
        <w:spacing w:before="240"/>
        <w:ind w:left="0"/>
        <w:rPr>
          <w:rFonts w:ascii="Tahoma" w:hAnsi="Tahoma" w:cs="Tahoma"/>
          <w:b/>
          <w:sz w:val="22"/>
          <w:szCs w:val="22"/>
        </w:rPr>
      </w:pPr>
    </w:p>
    <w:p w:rsidR="00ED1A98" w:rsidRPr="00BB3C05" w:rsidRDefault="00DA4FC8" w:rsidP="00DA4FC8">
      <w:pPr>
        <w:pStyle w:val="Heading1"/>
      </w:pPr>
      <w:bookmarkStart w:id="343" w:name="_Appendix_F_Current"/>
      <w:bookmarkStart w:id="344" w:name="_Toc306634403"/>
      <w:bookmarkStart w:id="345" w:name="_Toc352924453"/>
      <w:bookmarkEnd w:id="343"/>
      <w:r w:rsidRPr="00BB3C05">
        <w:rPr>
          <w:bCs/>
        </w:rPr>
        <w:lastRenderedPageBreak/>
        <w:t xml:space="preserve">Appendix </w:t>
      </w:r>
      <w:r w:rsidR="00F76B65">
        <w:rPr>
          <w:bCs/>
          <w:lang w:val="en-AU"/>
        </w:rPr>
        <w:t>E</w:t>
      </w:r>
      <w:r w:rsidR="00ED1A98" w:rsidRPr="00BB3C05">
        <w:tab/>
        <w:t xml:space="preserve">Current clinical trials for </w:t>
      </w:r>
      <w:bookmarkEnd w:id="344"/>
      <w:r w:rsidR="00A848A0" w:rsidRPr="00BB3C05">
        <w:t>colonic stents</w:t>
      </w:r>
      <w:bookmarkEnd w:id="345"/>
    </w:p>
    <w:p w:rsidR="00A848A0" w:rsidRPr="00BB3C05" w:rsidRDefault="00A848A0" w:rsidP="00A848A0">
      <w:pPr>
        <w:keepNext/>
        <w:spacing w:before="240"/>
        <w:ind w:left="0"/>
        <w:rPr>
          <w:rFonts w:ascii="Tahoma" w:hAnsi="Tahoma"/>
          <w:b/>
          <w:sz w:val="28"/>
        </w:rPr>
      </w:pPr>
      <w:r w:rsidRPr="00BB3C05">
        <w:rPr>
          <w:rFonts w:ascii="Tahoma" w:hAnsi="Tahoma"/>
          <w:b/>
          <w:sz w:val="28"/>
        </w:rPr>
        <w:t>Completed</w:t>
      </w:r>
    </w:p>
    <w:p w:rsidR="0082344B" w:rsidRPr="00BB3C05" w:rsidRDefault="0082344B" w:rsidP="00044F89">
      <w:proofErr w:type="gramStart"/>
      <w:r w:rsidRPr="00BB3C05">
        <w:t>Gerdes, H.</w:t>
      </w:r>
      <w:r w:rsidR="00E56A97">
        <w:t xml:space="preserve"> </w:t>
      </w:r>
      <w:r w:rsidRPr="00BB3C05">
        <w:t>(Principal Investigator), Memorial Sloan-Kettering Cancer Center, New York, United States.</w:t>
      </w:r>
      <w:proofErr w:type="gramEnd"/>
      <w:r w:rsidRPr="00BB3C05">
        <w:t xml:space="preserve"> ‘Outcome of Palliative Management of Malignant Large </w:t>
      </w:r>
      <w:r w:rsidRPr="009326A0">
        <w:t>Bowel Obstruction</w:t>
      </w:r>
      <w:r w:rsidRPr="00BB3C05">
        <w:t xml:space="preserve"> </w:t>
      </w:r>
      <w:proofErr w:type="gramStart"/>
      <w:r w:rsidRPr="00BB3C05">
        <w:t>With</w:t>
      </w:r>
      <w:proofErr w:type="gramEnd"/>
      <w:r w:rsidRPr="00BB3C05">
        <w:t xml:space="preserve"> Colorectal </w:t>
      </w:r>
      <w:r w:rsidRPr="009326A0">
        <w:t>Stents</w:t>
      </w:r>
      <w:r w:rsidRPr="00BB3C05">
        <w:t xml:space="preserve"> or Surgery.’ </w:t>
      </w:r>
      <w:proofErr w:type="gramStart"/>
      <w:r w:rsidRPr="00BB3C05">
        <w:t>Reported completion October 2006.</w:t>
      </w:r>
      <w:proofErr w:type="gramEnd"/>
      <w:r w:rsidRPr="00BB3C05">
        <w:t xml:space="preserve"> </w:t>
      </w:r>
      <w:r w:rsidR="00044F89" w:rsidRPr="00BB3C05">
        <w:t xml:space="preserve">Location: Memorial Sloan-Kettering Cancer Center, New York. </w:t>
      </w:r>
      <w:r w:rsidRPr="00BB3C05">
        <w:t xml:space="preserve">See </w:t>
      </w:r>
      <w:r w:rsidR="0085254F" w:rsidRPr="00BB3C05">
        <w:t xml:space="preserve">ClinicalTrials.gov </w:t>
      </w:r>
      <w:r w:rsidRPr="00BB3C05">
        <w:t xml:space="preserve">for more information, identifier NCT00140868. </w:t>
      </w:r>
    </w:p>
    <w:p w:rsidR="0082344B" w:rsidRPr="00BB3C05" w:rsidRDefault="0082344B" w:rsidP="00044F89">
      <w:r w:rsidRPr="00BB3C05">
        <w:t>Ho, K</w:t>
      </w:r>
      <w:r w:rsidR="00E56A97">
        <w:t xml:space="preserve">. </w:t>
      </w:r>
      <w:r w:rsidRPr="00BB3C05">
        <w:t xml:space="preserve">(Responsible Party), Department of Colorectal Surgery, Singapore General Hospital, Singapore. ‘Endoscopic Stenting and Elective Surgery </w:t>
      </w:r>
      <w:r w:rsidR="00D96335" w:rsidRPr="00BB3C05">
        <w:t>v</w:t>
      </w:r>
      <w:r w:rsidRPr="00BB3C05">
        <w:t>ersus Emergency Surgery for Left-Sided Malignant Colonic Obstruction: A Prospective Randomized Trial.’</w:t>
      </w:r>
      <w:r w:rsidR="009E1D8E" w:rsidRPr="00BB3C05">
        <w:t xml:space="preserve"> </w:t>
      </w:r>
      <w:proofErr w:type="gramStart"/>
      <w:r w:rsidR="009E1D8E" w:rsidRPr="00BB3C05">
        <w:t>Reported completion June 2008.</w:t>
      </w:r>
      <w:proofErr w:type="gramEnd"/>
      <w:r w:rsidR="009E1D8E" w:rsidRPr="00BB3C05">
        <w:t xml:space="preserve"> </w:t>
      </w:r>
      <w:r w:rsidR="00044F89" w:rsidRPr="00BB3C05">
        <w:t xml:space="preserve">Location: Singapore General Hospital, Singapore. </w:t>
      </w:r>
      <w:r w:rsidR="009E1D8E" w:rsidRPr="00BB3C05">
        <w:t xml:space="preserve">See </w:t>
      </w:r>
      <w:r w:rsidR="0085254F" w:rsidRPr="00BB3C05">
        <w:t xml:space="preserve">ClinicalTrials.gov </w:t>
      </w:r>
      <w:r w:rsidR="009E1D8E" w:rsidRPr="00BB3C05">
        <w:t xml:space="preserve">for more information, identifier NCT00758186. </w:t>
      </w:r>
    </w:p>
    <w:p w:rsidR="0082344B" w:rsidRPr="00BB3C05" w:rsidRDefault="00B241F9" w:rsidP="00044F89">
      <w:proofErr w:type="gramStart"/>
      <w:r w:rsidRPr="00BB3C05">
        <w:t>Julie</w:t>
      </w:r>
      <w:r w:rsidR="000573AF">
        <w:t>,</w:t>
      </w:r>
      <w:r w:rsidRPr="00BB3C05">
        <w:t xml:space="preserve"> </w:t>
      </w:r>
      <w:r w:rsidR="00E56A97" w:rsidRPr="00BB3C05">
        <w:t>K</w:t>
      </w:r>
      <w:r w:rsidR="00E56A97">
        <w:t xml:space="preserve">. </w:t>
      </w:r>
      <w:r w:rsidRPr="00BB3C05">
        <w:t>(Responsible Party), Comprehensive Cancer Center, Northwestern University, Illinois, United States.</w:t>
      </w:r>
      <w:proofErr w:type="gramEnd"/>
      <w:r w:rsidRPr="00BB3C05">
        <w:t xml:space="preserve"> ‘A Pilot </w:t>
      </w:r>
      <w:proofErr w:type="gramStart"/>
      <w:r w:rsidRPr="00BB3C05">
        <w:t>Phase</w:t>
      </w:r>
      <w:proofErr w:type="gramEnd"/>
      <w:r w:rsidRPr="00BB3C05">
        <w:t xml:space="preserve"> I/II Trial of Enteral Wallstents for Colonic Obstruction in the Setting of Malignancy.’ </w:t>
      </w:r>
      <w:proofErr w:type="gramStart"/>
      <w:r w:rsidRPr="00BB3C05">
        <w:t>Reported completion February 2003.</w:t>
      </w:r>
      <w:proofErr w:type="gramEnd"/>
      <w:r w:rsidRPr="00BB3C05">
        <w:t xml:space="preserve"> </w:t>
      </w:r>
      <w:r w:rsidR="00044F89" w:rsidRPr="00BB3C05">
        <w:t xml:space="preserve">Location: Robert H. Lurie Comprehensive Cancer Center, Northwestern University, Chicago, Illinois. </w:t>
      </w:r>
      <w:r w:rsidRPr="00BB3C05">
        <w:t xml:space="preserve">See </w:t>
      </w:r>
      <w:r w:rsidR="0085254F" w:rsidRPr="00BB3C05">
        <w:t xml:space="preserve">ClinicalTrials.gov </w:t>
      </w:r>
      <w:r w:rsidRPr="00BB3C05">
        <w:t>for more information, identifier NCT00004911.</w:t>
      </w:r>
    </w:p>
    <w:p w:rsidR="0085254F" w:rsidRPr="00BB3C05" w:rsidRDefault="0085254F" w:rsidP="00F830CC">
      <w:r w:rsidRPr="00BB3C05">
        <w:t>Hauge</w:t>
      </w:r>
      <w:r w:rsidR="000573AF">
        <w:t>,</w:t>
      </w:r>
      <w:r w:rsidRPr="00BB3C05">
        <w:t xml:space="preserve"> T</w:t>
      </w:r>
      <w:r w:rsidR="00E56A97">
        <w:t xml:space="preserve">. </w:t>
      </w:r>
      <w:r w:rsidRPr="00BB3C05">
        <w:t xml:space="preserve">(Study Director), Multiple centres from Norway. ‘Palliative Endoscopic Treatment of Malignant GI-strictures With Self Expanding Metal </w:t>
      </w:r>
      <w:proofErr w:type="gramStart"/>
      <w:r w:rsidRPr="00BB3C05">
        <w:t>Stents(</w:t>
      </w:r>
      <w:proofErr w:type="gramEnd"/>
      <w:r w:rsidRPr="00BB3C05">
        <w:t xml:space="preserve">SEMS)-a Prospective Multicenter Study.’ </w:t>
      </w:r>
      <w:proofErr w:type="gramStart"/>
      <w:r w:rsidRPr="00BB3C05">
        <w:t>Reported Completion April 2010.</w:t>
      </w:r>
      <w:proofErr w:type="gramEnd"/>
      <w:r w:rsidRPr="00BB3C05">
        <w:t xml:space="preserve"> </w:t>
      </w:r>
      <w:r w:rsidR="00044F89" w:rsidRPr="00BB3C05">
        <w:t xml:space="preserve">Location: seven health care institutions in Norway. </w:t>
      </w:r>
      <w:r w:rsidRPr="00BB3C05">
        <w:t>See ClinicalTrials.gov for more information, identifier NCT00422409.</w:t>
      </w:r>
    </w:p>
    <w:p w:rsidR="0085254F" w:rsidRPr="00BB3C05" w:rsidRDefault="0085254F" w:rsidP="00044F89">
      <w:proofErr w:type="gramStart"/>
      <w:r w:rsidRPr="00BB3C05">
        <w:t>Wah</w:t>
      </w:r>
      <w:r w:rsidR="000573AF">
        <w:t>,</w:t>
      </w:r>
      <w:r w:rsidRPr="00BB3C05">
        <w:t xml:space="preserve"> L</w:t>
      </w:r>
      <w:r w:rsidR="00E56A97">
        <w:t>.</w:t>
      </w:r>
      <w:r w:rsidRPr="00BB3C05">
        <w:t>K</w:t>
      </w:r>
      <w:r w:rsidR="00E56A97">
        <w:t xml:space="preserve">. </w:t>
      </w:r>
      <w:r w:rsidRPr="00BB3C05">
        <w:t>(Study Director), Pamela Youde Nethersole Eastern Hosptial, Hong Kong.</w:t>
      </w:r>
      <w:proofErr w:type="gramEnd"/>
      <w:r w:rsidRPr="00BB3C05">
        <w:t xml:space="preserve"> ‘Endo-Laparoscopic Approach </w:t>
      </w:r>
      <w:r w:rsidR="00D96335" w:rsidRPr="00BB3C05">
        <w:t>v</w:t>
      </w:r>
      <w:r w:rsidRPr="00BB3C05">
        <w:t xml:space="preserve">ersus Conventional Open Surgery in the Management of Obstructing Left-Sided Colon Cancer: A Randomized Trial’. </w:t>
      </w:r>
      <w:proofErr w:type="gramStart"/>
      <w:r w:rsidRPr="00BB3C05">
        <w:t xml:space="preserve">Reported </w:t>
      </w:r>
      <w:r w:rsidR="00D96335" w:rsidRPr="00BB3C05">
        <w:t>completion date</w:t>
      </w:r>
      <w:r w:rsidRPr="00BB3C05">
        <w:t xml:space="preserve"> December 2007.</w:t>
      </w:r>
      <w:proofErr w:type="gramEnd"/>
      <w:r w:rsidRPr="00BB3C05">
        <w:t xml:space="preserve"> </w:t>
      </w:r>
      <w:r w:rsidR="00044F89" w:rsidRPr="00BB3C05">
        <w:t xml:space="preserve">Location: Pamela Youde Nethersole Eastern Hosptial, Hong Kong. </w:t>
      </w:r>
      <w:r w:rsidRPr="00BB3C05">
        <w:t>See ClinicalTrials.gov for more information, identifier NCT00654212.</w:t>
      </w:r>
    </w:p>
    <w:p w:rsidR="00A848A0" w:rsidRPr="00BB3C05" w:rsidRDefault="00A848A0" w:rsidP="00A848A0">
      <w:pPr>
        <w:keepNext/>
        <w:spacing w:before="240"/>
        <w:ind w:left="0"/>
        <w:rPr>
          <w:rFonts w:ascii="Tahoma" w:hAnsi="Tahoma"/>
          <w:b/>
          <w:sz w:val="28"/>
        </w:rPr>
      </w:pPr>
      <w:r w:rsidRPr="00BB3C05">
        <w:rPr>
          <w:rFonts w:ascii="Tahoma" w:hAnsi="Tahoma"/>
          <w:b/>
          <w:sz w:val="28"/>
        </w:rPr>
        <w:t>Ongoing</w:t>
      </w:r>
      <w:r w:rsidR="00B241F9" w:rsidRPr="00BB3C05">
        <w:rPr>
          <w:rFonts w:ascii="Tahoma" w:hAnsi="Tahoma"/>
          <w:b/>
          <w:sz w:val="28"/>
        </w:rPr>
        <w:t xml:space="preserve">/recruiting </w:t>
      </w:r>
    </w:p>
    <w:p w:rsidR="0082344B" w:rsidRPr="00BB3C05" w:rsidRDefault="00B241F9" w:rsidP="00044F89">
      <w:proofErr w:type="gramStart"/>
      <w:r w:rsidRPr="00BB3C05">
        <w:t>Morino</w:t>
      </w:r>
      <w:r w:rsidR="000573AF">
        <w:t>,</w:t>
      </w:r>
      <w:r w:rsidRPr="00BB3C05">
        <w:t xml:space="preserve"> M</w:t>
      </w:r>
      <w:r w:rsidR="00E56A97">
        <w:t>.</w:t>
      </w:r>
      <w:r w:rsidR="008977CE" w:rsidRPr="00BB3C05">
        <w:t xml:space="preserve"> and Targarona</w:t>
      </w:r>
      <w:r w:rsidR="000573AF">
        <w:t>,</w:t>
      </w:r>
      <w:r w:rsidR="008977CE" w:rsidRPr="00BB3C05">
        <w:t xml:space="preserve"> E</w:t>
      </w:r>
      <w:r w:rsidR="00E56A97">
        <w:t>.</w:t>
      </w:r>
      <w:r w:rsidR="008977CE" w:rsidRPr="00BB3C05">
        <w:t>M</w:t>
      </w:r>
      <w:r w:rsidR="00E56A97">
        <w:t>.</w:t>
      </w:r>
      <w:r w:rsidRPr="00BB3C05">
        <w:t xml:space="preserve"> (Principal Investigator), </w:t>
      </w:r>
      <w:r w:rsidR="008977CE" w:rsidRPr="00BB3C05">
        <w:t>Multiple centers from Italy and Spain.</w:t>
      </w:r>
      <w:proofErr w:type="gramEnd"/>
      <w:r w:rsidR="008977CE" w:rsidRPr="00BB3C05">
        <w:t xml:space="preserve"> ‘Prospective, Randomised European Multicentric Study, Comparing Enteral Stent Followed by Elective Surgery </w:t>
      </w:r>
      <w:r w:rsidR="00D96335" w:rsidRPr="00BB3C05">
        <w:t>v</w:t>
      </w:r>
      <w:r w:rsidR="008977CE" w:rsidRPr="00BB3C05">
        <w:t xml:space="preserve">ersus Emergency Surgical Treatment in Malignant Colonic Obstruction.’ </w:t>
      </w:r>
      <w:proofErr w:type="gramStart"/>
      <w:r w:rsidR="008977CE" w:rsidRPr="00BB3C05">
        <w:t xml:space="preserve">Estimated </w:t>
      </w:r>
      <w:r w:rsidR="00D96335" w:rsidRPr="00BB3C05">
        <w:t xml:space="preserve">primary completion </w:t>
      </w:r>
      <w:r w:rsidR="008977CE" w:rsidRPr="00BB3C05">
        <w:t>December 2012.</w:t>
      </w:r>
      <w:proofErr w:type="gramEnd"/>
      <w:r w:rsidR="008977CE" w:rsidRPr="00BB3C05">
        <w:t xml:space="preserve"> </w:t>
      </w:r>
      <w:r w:rsidR="00044F89" w:rsidRPr="00BB3C05">
        <w:t xml:space="preserve">Location: University of Torino, Italy and Hospital de la Santa Creu i Sant Pau, </w:t>
      </w:r>
      <w:r w:rsidR="00E264B2" w:rsidRPr="00BB3C05">
        <w:t>Barcelona</w:t>
      </w:r>
      <w:r w:rsidR="00E56A97">
        <w:t xml:space="preserve"> </w:t>
      </w:r>
      <w:r w:rsidR="00E264B2" w:rsidRPr="00BB3C05">
        <w:t>(</w:t>
      </w:r>
      <w:r w:rsidR="00044F89" w:rsidRPr="00BB3C05">
        <w:t>Spain</w:t>
      </w:r>
      <w:r w:rsidR="00E264B2" w:rsidRPr="00BB3C05">
        <w:t>)</w:t>
      </w:r>
      <w:r w:rsidR="00044F89" w:rsidRPr="00BB3C05">
        <w:t xml:space="preserve">. </w:t>
      </w:r>
      <w:r w:rsidR="008977CE" w:rsidRPr="00BB3C05">
        <w:t xml:space="preserve">See </w:t>
      </w:r>
      <w:r w:rsidR="0085254F" w:rsidRPr="00BB3C05">
        <w:t xml:space="preserve">ClinicalTrials.gov </w:t>
      </w:r>
      <w:r w:rsidR="008977CE" w:rsidRPr="00BB3C05">
        <w:t>for more information, identifier NCT00591695.</w:t>
      </w:r>
    </w:p>
    <w:p w:rsidR="00A848A0" w:rsidRPr="00BB3C05" w:rsidRDefault="00A848A0" w:rsidP="00A848A0">
      <w:pPr>
        <w:keepNext/>
        <w:spacing w:before="240"/>
        <w:ind w:left="0"/>
        <w:rPr>
          <w:rFonts w:ascii="Tahoma" w:hAnsi="Tahoma"/>
          <w:b/>
          <w:sz w:val="28"/>
        </w:rPr>
      </w:pPr>
      <w:r w:rsidRPr="00BB3C05">
        <w:rPr>
          <w:rFonts w:ascii="Tahoma" w:hAnsi="Tahoma"/>
          <w:b/>
          <w:sz w:val="28"/>
        </w:rPr>
        <w:t>Not yet recruiting</w:t>
      </w:r>
    </w:p>
    <w:p w:rsidR="00ED1A98" w:rsidRPr="00BB3C05" w:rsidRDefault="009E1D8E" w:rsidP="00F830CC">
      <w:pPr>
        <w:rPr>
          <w:rFonts w:ascii="Tahoma" w:hAnsi="Tahoma" w:cs="Tahoma"/>
        </w:rPr>
      </w:pPr>
      <w:r w:rsidRPr="00BB3C05">
        <w:t xml:space="preserve">Cook (Responsible Party), </w:t>
      </w:r>
      <w:proofErr w:type="gramStart"/>
      <w:r w:rsidRPr="00BB3C05">
        <w:t>Multiple</w:t>
      </w:r>
      <w:proofErr w:type="gramEnd"/>
      <w:r w:rsidRPr="00BB3C05">
        <w:t xml:space="preserve"> centers from Canada, Denmark, France, Italy, Netherlands, Spain, United Kingdom. </w:t>
      </w:r>
      <w:proofErr w:type="gramStart"/>
      <w:r w:rsidRPr="00BB3C05">
        <w:t xml:space="preserve">‘Treatment of Colonic Obstruction </w:t>
      </w:r>
      <w:r w:rsidR="00D96335" w:rsidRPr="00BB3C05">
        <w:t>w</w:t>
      </w:r>
      <w:r w:rsidRPr="00BB3C05">
        <w:t>ith Cook Evolution® Colonic Stent System.’</w:t>
      </w:r>
      <w:proofErr w:type="gramEnd"/>
      <w:r w:rsidRPr="00BB3C05">
        <w:t xml:space="preserve"> Study </w:t>
      </w:r>
      <w:r w:rsidR="00D96335" w:rsidRPr="00BB3C05">
        <w:t xml:space="preserve">first received </w:t>
      </w:r>
      <w:r w:rsidRPr="00BB3C05">
        <w:t>March 29, 2010</w:t>
      </w:r>
      <w:r w:rsidR="00224EA3" w:rsidRPr="00BB3C05">
        <w:t xml:space="preserve">. </w:t>
      </w:r>
      <w:r w:rsidR="00E264B2" w:rsidRPr="00BB3C05">
        <w:t xml:space="preserve">Location: </w:t>
      </w:r>
      <w:r w:rsidR="00E264B2" w:rsidRPr="00BB3C05">
        <w:lastRenderedPageBreak/>
        <w:t xml:space="preserve">Canada, Denmark, France, Italy, Netherland, Spain, UK. </w:t>
      </w:r>
      <w:r w:rsidR="00224EA3" w:rsidRPr="00BB3C05">
        <w:t xml:space="preserve">See </w:t>
      </w:r>
      <w:r w:rsidR="0085254F" w:rsidRPr="00BB3C05">
        <w:t xml:space="preserve">ClinicalTrials.gov </w:t>
      </w:r>
      <w:r w:rsidR="00224EA3" w:rsidRPr="00BB3C05">
        <w:t>for more information, identifier NCT01102283.</w:t>
      </w:r>
    </w:p>
    <w:p w:rsidR="00B241F9" w:rsidRPr="00BB3C05" w:rsidRDefault="00B241F9" w:rsidP="00B241F9">
      <w:pPr>
        <w:keepNext/>
        <w:spacing w:before="240"/>
        <w:ind w:left="0"/>
        <w:rPr>
          <w:rFonts w:ascii="Tahoma" w:hAnsi="Tahoma"/>
          <w:b/>
          <w:sz w:val="28"/>
        </w:rPr>
      </w:pPr>
      <w:r w:rsidRPr="00BB3C05">
        <w:rPr>
          <w:rFonts w:ascii="Tahoma" w:hAnsi="Tahoma"/>
          <w:b/>
          <w:sz w:val="28"/>
        </w:rPr>
        <w:t>Unk</w:t>
      </w:r>
      <w:r w:rsidR="000E6387">
        <w:rPr>
          <w:rFonts w:ascii="Tahoma" w:hAnsi="Tahoma"/>
          <w:b/>
          <w:sz w:val="28"/>
        </w:rPr>
        <w:t>n</w:t>
      </w:r>
      <w:r w:rsidRPr="00BB3C05">
        <w:rPr>
          <w:rFonts w:ascii="Tahoma" w:hAnsi="Tahoma"/>
          <w:b/>
          <w:sz w:val="28"/>
        </w:rPr>
        <w:t>own</w:t>
      </w:r>
    </w:p>
    <w:p w:rsidR="00B241F9" w:rsidRPr="00BB3C05" w:rsidRDefault="00B241F9" w:rsidP="00E264B2">
      <w:pPr>
        <w:rPr>
          <w:szCs w:val="24"/>
        </w:rPr>
      </w:pPr>
      <w:r w:rsidRPr="00BB3C05">
        <w:rPr>
          <w:szCs w:val="24"/>
        </w:rPr>
        <w:t>Lau</w:t>
      </w:r>
      <w:r w:rsidR="000573AF">
        <w:rPr>
          <w:szCs w:val="24"/>
        </w:rPr>
        <w:t>,</w:t>
      </w:r>
      <w:r w:rsidRPr="00BB3C05">
        <w:rPr>
          <w:szCs w:val="24"/>
        </w:rPr>
        <w:t xml:space="preserve"> J</w:t>
      </w:r>
      <w:r w:rsidR="00E56A97">
        <w:rPr>
          <w:szCs w:val="24"/>
        </w:rPr>
        <w:t>.</w:t>
      </w:r>
      <w:r w:rsidRPr="00BB3C05">
        <w:rPr>
          <w:szCs w:val="24"/>
        </w:rPr>
        <w:t>Y</w:t>
      </w:r>
      <w:r w:rsidR="00E56A97">
        <w:rPr>
          <w:szCs w:val="24"/>
        </w:rPr>
        <w:t>.</w:t>
      </w:r>
      <w:r w:rsidRPr="00BB3C05">
        <w:rPr>
          <w:szCs w:val="24"/>
        </w:rPr>
        <w:t>M</w:t>
      </w:r>
      <w:r w:rsidR="00E56A97">
        <w:rPr>
          <w:szCs w:val="24"/>
        </w:rPr>
        <w:t xml:space="preserve">. </w:t>
      </w:r>
      <w:r w:rsidRPr="00BB3C05">
        <w:rPr>
          <w:szCs w:val="24"/>
        </w:rPr>
        <w:t xml:space="preserve">(Principal Investigator), Endoscopy Centre, Prince of Wales Hospital, Hong Kong, China. ‘Endolaparoscopic </w:t>
      </w:r>
      <w:r w:rsidR="00D96335" w:rsidRPr="00BB3C05">
        <w:rPr>
          <w:szCs w:val="24"/>
        </w:rPr>
        <w:t>v</w:t>
      </w:r>
      <w:r w:rsidRPr="00BB3C05">
        <w:rPr>
          <w:szCs w:val="24"/>
        </w:rPr>
        <w:t xml:space="preserve">ersus Immediate Surgery for Obstructing Colorectal Cancers: A Randomised Trial.’ Study </w:t>
      </w:r>
      <w:r w:rsidR="000573AF" w:rsidRPr="00BB3C05">
        <w:rPr>
          <w:szCs w:val="24"/>
        </w:rPr>
        <w:t xml:space="preserve">first received </w:t>
      </w:r>
      <w:r w:rsidRPr="00BB3C05">
        <w:rPr>
          <w:szCs w:val="24"/>
        </w:rPr>
        <w:t xml:space="preserve">September 12, 2005. </w:t>
      </w:r>
      <w:r w:rsidR="00E264B2" w:rsidRPr="00BB3C05">
        <w:rPr>
          <w:szCs w:val="24"/>
        </w:rPr>
        <w:t xml:space="preserve">Location: Prince of Wales Hospital, Hong Kong. </w:t>
      </w:r>
      <w:r w:rsidRPr="00BB3C05">
        <w:rPr>
          <w:szCs w:val="24"/>
        </w:rPr>
        <w:t xml:space="preserve">See </w:t>
      </w:r>
      <w:r w:rsidR="0085254F" w:rsidRPr="00BB3C05">
        <w:rPr>
          <w:rFonts w:cs="Arial"/>
          <w:szCs w:val="24"/>
        </w:rPr>
        <w:t xml:space="preserve">ClinicalTrials.gov </w:t>
      </w:r>
      <w:r w:rsidRPr="00BB3C05">
        <w:rPr>
          <w:szCs w:val="24"/>
        </w:rPr>
        <w:t>for more information, identifier NCT00164879.</w:t>
      </w:r>
    </w:p>
    <w:p w:rsidR="00EC5168" w:rsidRPr="009E5C53" w:rsidRDefault="00EC5168" w:rsidP="00F830CC">
      <w:pPr>
        <w:rPr>
          <w:szCs w:val="24"/>
        </w:rPr>
      </w:pPr>
      <w:proofErr w:type="gramStart"/>
      <w:r w:rsidRPr="00BB3C05">
        <w:rPr>
          <w:szCs w:val="24"/>
        </w:rPr>
        <w:t>Peute</w:t>
      </w:r>
      <w:r w:rsidR="000573AF">
        <w:rPr>
          <w:szCs w:val="24"/>
        </w:rPr>
        <w:t>,</w:t>
      </w:r>
      <w:r w:rsidRPr="00BB3C05">
        <w:rPr>
          <w:szCs w:val="24"/>
        </w:rPr>
        <w:t xml:space="preserve"> I</w:t>
      </w:r>
      <w:r w:rsidR="00E56A97">
        <w:rPr>
          <w:szCs w:val="24"/>
        </w:rPr>
        <w:t xml:space="preserve">. </w:t>
      </w:r>
      <w:r w:rsidRPr="00BB3C05">
        <w:rPr>
          <w:szCs w:val="24"/>
        </w:rPr>
        <w:t xml:space="preserve">(Contact name), Academic Medical Center, Department of Gastroenterology, </w:t>
      </w:r>
      <w:r w:rsidRPr="00BB3C05">
        <w:rPr>
          <w:szCs w:val="24"/>
        </w:rPr>
        <w:br/>
        <w:t>Amsterdam, Netherlands.</w:t>
      </w:r>
      <w:proofErr w:type="gramEnd"/>
      <w:r w:rsidRPr="00BB3C05">
        <w:rPr>
          <w:szCs w:val="24"/>
        </w:rPr>
        <w:t xml:space="preserve"> ‘Colonic stenting as bridge to surgery versus emergency surgery for management of acute left-sided malignant colonic obstruction: a multicentre randomised trial.’ </w:t>
      </w:r>
      <w:proofErr w:type="gramStart"/>
      <w:r w:rsidRPr="00BB3C05">
        <w:rPr>
          <w:szCs w:val="24"/>
        </w:rPr>
        <w:t>Anticipated end January 2010.</w:t>
      </w:r>
      <w:proofErr w:type="gramEnd"/>
      <w:r w:rsidRPr="00BB3C05">
        <w:rPr>
          <w:szCs w:val="24"/>
        </w:rPr>
        <w:t xml:space="preserve"> </w:t>
      </w:r>
      <w:r w:rsidR="00E264B2" w:rsidRPr="00BB3C05">
        <w:rPr>
          <w:szCs w:val="24"/>
        </w:rPr>
        <w:t xml:space="preserve">Location: Academic Medical Center, Amsterdam (Netherland). </w:t>
      </w:r>
      <w:r w:rsidRPr="00BB3C05">
        <w:rPr>
          <w:szCs w:val="24"/>
        </w:rPr>
        <w:t xml:space="preserve">See controlled-trials.com for more information, identifier </w:t>
      </w:r>
      <w:r w:rsidR="000573AF" w:rsidRPr="000573AF">
        <w:rPr>
          <w:rFonts w:cs="Tahoma"/>
          <w:szCs w:val="24"/>
        </w:rPr>
        <w:t>ISRCTN46462267</w:t>
      </w:r>
      <w:r w:rsidRPr="009E5C53">
        <w:rPr>
          <w:szCs w:val="24"/>
        </w:rPr>
        <w:t>.</w:t>
      </w:r>
    </w:p>
    <w:p w:rsidR="00C87B36" w:rsidRPr="00E2422F" w:rsidRDefault="00C87B36" w:rsidP="00B241F9">
      <w:pPr>
        <w:keepNext/>
        <w:spacing w:before="240"/>
        <w:ind w:left="0"/>
        <w:rPr>
          <w:rFonts w:ascii="Tahoma" w:hAnsi="Tahoma" w:cs="Tahoma"/>
          <w:b/>
          <w:sz w:val="28"/>
          <w:szCs w:val="28"/>
        </w:rPr>
      </w:pPr>
      <w:r w:rsidRPr="00E2422F">
        <w:rPr>
          <w:rFonts w:ascii="Tahoma" w:hAnsi="Tahoma" w:cs="Tahoma"/>
          <w:b/>
          <w:sz w:val="28"/>
          <w:szCs w:val="28"/>
        </w:rPr>
        <w:t>Terminated</w:t>
      </w:r>
    </w:p>
    <w:p w:rsidR="00C87B36" w:rsidRPr="000573AF" w:rsidRDefault="000573AF" w:rsidP="00F830CC">
      <w:pPr>
        <w:rPr>
          <w:szCs w:val="24"/>
        </w:rPr>
      </w:pPr>
      <w:r w:rsidRPr="000573AF">
        <w:rPr>
          <w:szCs w:val="24"/>
        </w:rPr>
        <w:t>http://clinicaltrials.gov/show/NCT01196494</w:t>
      </w:r>
    </w:p>
    <w:p w:rsidR="00676F9B" w:rsidRPr="00E2422F" w:rsidRDefault="00676F9B" w:rsidP="00F830CC">
      <w:pPr>
        <w:rPr>
          <w:szCs w:val="24"/>
        </w:rPr>
      </w:pPr>
      <w:r w:rsidRPr="00E2422F">
        <w:rPr>
          <w:szCs w:val="24"/>
        </w:rPr>
        <w:t>http://clinicaltrials.gov/ct2/show/NCT00514332</w:t>
      </w:r>
    </w:p>
    <w:p w:rsidR="00BB3432" w:rsidRPr="00A30BA9" w:rsidRDefault="00463B74" w:rsidP="00F830CC">
      <w:pPr>
        <w:rPr>
          <w:szCs w:val="24"/>
        </w:rPr>
      </w:pPr>
      <w:r w:rsidRPr="00892811">
        <w:rPr>
          <w:szCs w:val="24"/>
        </w:rPr>
        <w:t>Search date</w:t>
      </w:r>
      <w:r w:rsidR="00676F9B" w:rsidRPr="008978EE">
        <w:rPr>
          <w:szCs w:val="24"/>
        </w:rPr>
        <w:t>: 2</w:t>
      </w:r>
      <w:r w:rsidR="00EC5168" w:rsidRPr="008978EE">
        <w:rPr>
          <w:szCs w:val="24"/>
        </w:rPr>
        <w:t>2/11/2011</w:t>
      </w:r>
    </w:p>
    <w:p w:rsidR="00BB3432" w:rsidRPr="005646B6" w:rsidRDefault="00BB3432" w:rsidP="00FD7C0C">
      <w:pPr>
        <w:rPr>
          <w:rFonts w:ascii="Tahoma" w:hAnsi="Tahoma"/>
          <w:szCs w:val="24"/>
        </w:rPr>
      </w:pPr>
    </w:p>
    <w:p w:rsidR="00BB3432" w:rsidRPr="005646B6" w:rsidRDefault="00BB3432" w:rsidP="00FD7C0C">
      <w:pPr>
        <w:rPr>
          <w:rFonts w:ascii="Tahoma" w:hAnsi="Tahoma"/>
          <w:szCs w:val="24"/>
        </w:rPr>
      </w:pPr>
    </w:p>
    <w:p w:rsidR="00BB3432" w:rsidRPr="00003831" w:rsidRDefault="00BB3432" w:rsidP="00FD7C0C">
      <w:pPr>
        <w:rPr>
          <w:rFonts w:ascii="Tahoma" w:hAnsi="Tahoma"/>
          <w:szCs w:val="24"/>
        </w:rPr>
      </w:pPr>
    </w:p>
    <w:p w:rsidR="00BB3432" w:rsidRPr="00A87C52" w:rsidRDefault="00BB3432" w:rsidP="00BB3432">
      <w:pPr>
        <w:rPr>
          <w:rFonts w:ascii="Tahoma" w:hAnsi="Tahoma"/>
          <w:szCs w:val="24"/>
        </w:rPr>
      </w:pPr>
    </w:p>
    <w:p w:rsidR="00BB3432" w:rsidRPr="00BB3C05" w:rsidRDefault="00BB3432" w:rsidP="00BB3432">
      <w:pPr>
        <w:rPr>
          <w:rFonts w:ascii="Tahoma" w:hAnsi="Tahoma"/>
          <w:szCs w:val="24"/>
        </w:rPr>
        <w:sectPr w:rsidR="00BB3432" w:rsidRPr="00BB3C05" w:rsidSect="00A90770">
          <w:pgSz w:w="11906" w:h="16838"/>
          <w:pgMar w:top="1440" w:right="1440" w:bottom="1440" w:left="1440" w:header="720" w:footer="720" w:gutter="0"/>
          <w:paperSrc w:first="7" w:other="7"/>
          <w:cols w:space="720"/>
          <w:docGrid w:linePitch="326"/>
        </w:sectPr>
      </w:pPr>
    </w:p>
    <w:p w:rsidR="008F59A8" w:rsidRPr="00BB3C05" w:rsidRDefault="00DA4FC8" w:rsidP="00DC053D">
      <w:pPr>
        <w:pStyle w:val="Heading1"/>
        <w:rPr>
          <w:bCs/>
        </w:rPr>
      </w:pPr>
      <w:bookmarkStart w:id="346" w:name="_Appendix_G_Critical"/>
      <w:bookmarkStart w:id="347" w:name="_Appendix_G_Summary"/>
      <w:bookmarkStart w:id="348" w:name="_Ref325977669"/>
      <w:bookmarkStart w:id="349" w:name="_Ref326048840"/>
      <w:bookmarkStart w:id="350" w:name="_Ref326048853"/>
      <w:bookmarkStart w:id="351" w:name="_Toc352924454"/>
      <w:bookmarkEnd w:id="346"/>
      <w:bookmarkEnd w:id="347"/>
      <w:r w:rsidRPr="00BB3C05">
        <w:rPr>
          <w:bCs/>
        </w:rPr>
        <w:lastRenderedPageBreak/>
        <w:t xml:space="preserve">Appendix </w:t>
      </w:r>
      <w:r w:rsidR="00F76B65">
        <w:rPr>
          <w:bCs/>
          <w:lang w:val="en-AU"/>
        </w:rPr>
        <w:t>F</w:t>
      </w:r>
      <w:r w:rsidR="008F59A8" w:rsidRPr="00BB3C05">
        <w:rPr>
          <w:bCs/>
        </w:rPr>
        <w:tab/>
      </w:r>
      <w:r w:rsidR="006D07D2">
        <w:rPr>
          <w:bCs/>
          <w:lang w:val="en-AU"/>
        </w:rPr>
        <w:t>Included studies –</w:t>
      </w:r>
      <w:r w:rsidR="00A848A0" w:rsidRPr="00BB3C05">
        <w:rPr>
          <w:bCs/>
        </w:rPr>
        <w:t xml:space="preserve"> randomised controlled </w:t>
      </w:r>
      <w:bookmarkEnd w:id="336"/>
      <w:bookmarkEnd w:id="337"/>
      <w:bookmarkEnd w:id="341"/>
      <w:bookmarkEnd w:id="342"/>
      <w:bookmarkEnd w:id="348"/>
      <w:bookmarkEnd w:id="349"/>
      <w:bookmarkEnd w:id="350"/>
      <w:r w:rsidR="00C7480F" w:rsidRPr="00BB3C05">
        <w:rPr>
          <w:bCs/>
        </w:rPr>
        <w:t>tr</w:t>
      </w:r>
      <w:r w:rsidR="00C7480F">
        <w:rPr>
          <w:bCs/>
          <w:lang w:val="en-AU"/>
        </w:rPr>
        <w:t>ia</w:t>
      </w:r>
      <w:r w:rsidR="00C7480F" w:rsidRPr="00BB3C05">
        <w:rPr>
          <w:bCs/>
        </w:rPr>
        <w:t>ls</w:t>
      </w:r>
      <w:bookmarkEnd w:id="351"/>
      <w:r w:rsidR="00C7480F" w:rsidRPr="00BB3C05">
        <w:rPr>
          <w:bCs/>
        </w:rPr>
        <w:t xml:space="preserve"> </w:t>
      </w:r>
    </w:p>
    <w:tbl>
      <w:tblPr>
        <w:tblW w:w="1420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91"/>
        <w:gridCol w:w="992"/>
        <w:gridCol w:w="1134"/>
        <w:gridCol w:w="1843"/>
        <w:gridCol w:w="2551"/>
        <w:gridCol w:w="2880"/>
        <w:gridCol w:w="3111"/>
      </w:tblGrid>
      <w:tr w:rsidR="00FA5C4F" w:rsidRPr="00361416" w:rsidTr="0006338A">
        <w:trPr>
          <w:trHeight w:val="281"/>
        </w:trPr>
        <w:tc>
          <w:tcPr>
            <w:tcW w:w="1691" w:type="dxa"/>
            <w:tcBorders>
              <w:top w:val="single" w:sz="12" w:space="0" w:color="auto"/>
              <w:bottom w:val="single" w:sz="4" w:space="0" w:color="auto"/>
            </w:tcBorders>
            <w:shd w:val="clear" w:color="auto" w:fill="auto"/>
          </w:tcPr>
          <w:p w:rsidR="000E2E02" w:rsidRPr="00361416" w:rsidRDefault="00344ADF" w:rsidP="0007443E">
            <w:pPr>
              <w:pStyle w:val="TableHeading0"/>
            </w:pPr>
            <w:bookmarkStart w:id="352" w:name="_Toc214339201"/>
            <w:r w:rsidRPr="00361416">
              <w:t xml:space="preserve">Authors (year), </w:t>
            </w:r>
            <w:r w:rsidR="000E2E02" w:rsidRPr="00361416">
              <w:t>location</w:t>
            </w:r>
          </w:p>
        </w:tc>
        <w:tc>
          <w:tcPr>
            <w:tcW w:w="992" w:type="dxa"/>
            <w:tcBorders>
              <w:top w:val="single" w:sz="12" w:space="0" w:color="auto"/>
              <w:bottom w:val="single" w:sz="4" w:space="0" w:color="auto"/>
            </w:tcBorders>
            <w:shd w:val="clear" w:color="auto" w:fill="auto"/>
          </w:tcPr>
          <w:p w:rsidR="000E2E02" w:rsidRPr="00361416" w:rsidRDefault="000E2E02" w:rsidP="0007443E">
            <w:pPr>
              <w:pStyle w:val="TableHeading0"/>
            </w:pPr>
            <w:r w:rsidRPr="00361416">
              <w:t>N</w:t>
            </w:r>
          </w:p>
        </w:tc>
        <w:tc>
          <w:tcPr>
            <w:tcW w:w="1134" w:type="dxa"/>
            <w:tcBorders>
              <w:top w:val="single" w:sz="12" w:space="0" w:color="auto"/>
              <w:bottom w:val="single" w:sz="4" w:space="0" w:color="auto"/>
            </w:tcBorders>
            <w:shd w:val="clear" w:color="auto" w:fill="auto"/>
          </w:tcPr>
          <w:p w:rsidR="000E2E02" w:rsidRPr="00361416" w:rsidRDefault="000E2E02" w:rsidP="0007443E">
            <w:pPr>
              <w:pStyle w:val="TableHeading0"/>
            </w:pPr>
            <w:r w:rsidRPr="00361416">
              <w:t>Male/</w:t>
            </w:r>
            <w:r w:rsidR="00FA5C4F">
              <w:br/>
            </w:r>
            <w:r w:rsidR="00CB3729" w:rsidRPr="00361416">
              <w:t>f</w:t>
            </w:r>
            <w:r w:rsidRPr="00361416">
              <w:t>emale</w:t>
            </w:r>
          </w:p>
        </w:tc>
        <w:tc>
          <w:tcPr>
            <w:tcW w:w="1843" w:type="dxa"/>
            <w:tcBorders>
              <w:top w:val="single" w:sz="12" w:space="0" w:color="auto"/>
              <w:bottom w:val="single" w:sz="4" w:space="0" w:color="auto"/>
            </w:tcBorders>
            <w:shd w:val="clear" w:color="auto" w:fill="auto"/>
          </w:tcPr>
          <w:p w:rsidR="000E2E02" w:rsidRPr="00361416" w:rsidRDefault="00E446E5" w:rsidP="0007443E">
            <w:pPr>
              <w:pStyle w:val="TableHeading0"/>
            </w:pPr>
            <w:r w:rsidRPr="00361416">
              <w:t>Age (me</w:t>
            </w:r>
            <w:r w:rsidR="000E2E02" w:rsidRPr="00361416">
              <w:t>an</w:t>
            </w:r>
            <w:r w:rsidRPr="00361416">
              <w:t>)</w:t>
            </w:r>
          </w:p>
        </w:tc>
        <w:tc>
          <w:tcPr>
            <w:tcW w:w="2551" w:type="dxa"/>
            <w:tcBorders>
              <w:top w:val="single" w:sz="12" w:space="0" w:color="auto"/>
              <w:bottom w:val="single" w:sz="4" w:space="0" w:color="auto"/>
            </w:tcBorders>
            <w:shd w:val="clear" w:color="auto" w:fill="auto"/>
          </w:tcPr>
          <w:p w:rsidR="000E2E02" w:rsidRPr="00361416" w:rsidRDefault="000E2E02" w:rsidP="0007443E">
            <w:pPr>
              <w:pStyle w:val="TableHeading0"/>
            </w:pPr>
            <w:r w:rsidRPr="00361416">
              <w:t>Population</w:t>
            </w:r>
          </w:p>
        </w:tc>
        <w:tc>
          <w:tcPr>
            <w:tcW w:w="2880" w:type="dxa"/>
            <w:tcBorders>
              <w:top w:val="single" w:sz="12" w:space="0" w:color="auto"/>
              <w:bottom w:val="single" w:sz="4" w:space="0" w:color="auto"/>
            </w:tcBorders>
            <w:shd w:val="clear" w:color="auto" w:fill="auto"/>
          </w:tcPr>
          <w:p w:rsidR="000E2E02" w:rsidRPr="00361416" w:rsidRDefault="000E2E02" w:rsidP="0007443E">
            <w:pPr>
              <w:pStyle w:val="TableHeading0"/>
            </w:pPr>
            <w:r w:rsidRPr="00361416">
              <w:t>Intervention</w:t>
            </w:r>
            <w:r w:rsidR="003D4774" w:rsidRPr="00361416">
              <w:t xml:space="preserve"> (manufacturer)</w:t>
            </w:r>
          </w:p>
        </w:tc>
        <w:tc>
          <w:tcPr>
            <w:tcW w:w="3111" w:type="dxa"/>
            <w:tcBorders>
              <w:top w:val="single" w:sz="12" w:space="0" w:color="auto"/>
              <w:bottom w:val="single" w:sz="4" w:space="0" w:color="auto"/>
            </w:tcBorders>
            <w:shd w:val="clear" w:color="auto" w:fill="auto"/>
          </w:tcPr>
          <w:p w:rsidR="000E2E02" w:rsidRPr="00361416" w:rsidRDefault="000E2E02" w:rsidP="0007443E">
            <w:pPr>
              <w:pStyle w:val="TableHeading0"/>
            </w:pPr>
            <w:r w:rsidRPr="00361416">
              <w:t>Inclusion/exclusion criteria</w:t>
            </w:r>
          </w:p>
        </w:tc>
      </w:tr>
      <w:tr w:rsidR="00FA5C4F" w:rsidRPr="00361416" w:rsidTr="003C6263">
        <w:trPr>
          <w:trHeight w:val="3370"/>
        </w:trPr>
        <w:tc>
          <w:tcPr>
            <w:tcW w:w="1691" w:type="dxa"/>
            <w:tcBorders>
              <w:bottom w:val="nil"/>
            </w:tcBorders>
            <w:shd w:val="clear" w:color="auto" w:fill="auto"/>
          </w:tcPr>
          <w:p w:rsidR="000E2E02" w:rsidRPr="00361416" w:rsidRDefault="00270339" w:rsidP="00AE37E2">
            <w:pPr>
              <w:spacing w:after="0"/>
              <w:ind w:left="0"/>
              <w:rPr>
                <w:rFonts w:ascii="Arial Narrow" w:hAnsi="Arial Narrow"/>
                <w:sz w:val="18"/>
                <w:szCs w:val="18"/>
              </w:rPr>
            </w:pPr>
            <w:r w:rsidRPr="00361416">
              <w:rPr>
                <w:rFonts w:ascii="Arial Narrow" w:hAnsi="Arial Narrow"/>
                <w:sz w:val="18"/>
                <w:szCs w:val="18"/>
              </w:rPr>
              <w:t xml:space="preserve">Fiori et al (2004), </w:t>
            </w:r>
            <w:r w:rsidR="009326A0">
              <w:rPr>
                <w:rFonts w:ascii="Arial Narrow" w:hAnsi="Arial Narrow"/>
                <w:sz w:val="18"/>
                <w:szCs w:val="18"/>
              </w:rPr>
              <w:t>Italy</w:t>
            </w:r>
            <w:r w:rsidR="00AF185C" w:rsidRPr="00361416">
              <w:rPr>
                <w:rFonts w:ascii="Arial Narrow" w:hAnsi="Arial Narrow"/>
                <w:sz w:val="18"/>
                <w:szCs w:val="18"/>
              </w:rPr>
              <w:t xml:space="preserve"> </w:t>
            </w:r>
          </w:p>
        </w:tc>
        <w:tc>
          <w:tcPr>
            <w:tcW w:w="992" w:type="dxa"/>
            <w:tcBorders>
              <w:bottom w:val="nil"/>
            </w:tcBorders>
            <w:shd w:val="clear" w:color="auto" w:fill="auto"/>
          </w:tcPr>
          <w:p w:rsidR="00E446E5" w:rsidRPr="00361416" w:rsidRDefault="00E446E5" w:rsidP="00AE37E2">
            <w:pPr>
              <w:spacing w:after="0"/>
              <w:ind w:left="0"/>
              <w:rPr>
                <w:rFonts w:ascii="Arial Narrow" w:hAnsi="Arial Narrow"/>
                <w:sz w:val="18"/>
                <w:szCs w:val="18"/>
              </w:rPr>
            </w:pPr>
            <w:r w:rsidRPr="00361416">
              <w:rPr>
                <w:rFonts w:ascii="Arial Narrow" w:hAnsi="Arial Narrow"/>
                <w:sz w:val="18"/>
                <w:szCs w:val="18"/>
              </w:rPr>
              <w:t>Total:</w:t>
            </w:r>
            <w:r w:rsidR="004F7692">
              <w:rPr>
                <w:rFonts w:ascii="Arial Narrow" w:hAnsi="Arial Narrow"/>
                <w:sz w:val="18"/>
                <w:szCs w:val="18"/>
              </w:rPr>
              <w:t xml:space="preserve"> </w:t>
            </w:r>
            <w:r w:rsidRPr="00361416">
              <w:rPr>
                <w:rFonts w:ascii="Arial Narrow" w:hAnsi="Arial Narrow"/>
                <w:sz w:val="18"/>
                <w:szCs w:val="18"/>
              </w:rPr>
              <w:t>22</w:t>
            </w:r>
          </w:p>
          <w:p w:rsidR="00E446E5" w:rsidRPr="00361416" w:rsidRDefault="00E446E5" w:rsidP="00AE37E2">
            <w:pPr>
              <w:spacing w:after="0"/>
              <w:ind w:left="0"/>
              <w:rPr>
                <w:rFonts w:ascii="Arial Narrow" w:hAnsi="Arial Narrow"/>
                <w:sz w:val="18"/>
                <w:szCs w:val="18"/>
              </w:rPr>
            </w:pPr>
          </w:p>
          <w:p w:rsidR="000E2E02" w:rsidRPr="00361416" w:rsidRDefault="00AF185C" w:rsidP="00AE37E2">
            <w:pPr>
              <w:spacing w:after="0"/>
              <w:ind w:left="0"/>
              <w:rPr>
                <w:rFonts w:ascii="Arial Narrow" w:hAnsi="Arial Narrow"/>
                <w:sz w:val="18"/>
                <w:szCs w:val="18"/>
              </w:rPr>
            </w:pPr>
            <w:r w:rsidRPr="00361416">
              <w:rPr>
                <w:rFonts w:ascii="Arial Narrow" w:hAnsi="Arial Narrow"/>
                <w:sz w:val="18"/>
                <w:szCs w:val="18"/>
              </w:rPr>
              <w:t>SEMS</w:t>
            </w:r>
            <w:r w:rsidR="00E446E5" w:rsidRPr="00361416">
              <w:rPr>
                <w:rFonts w:ascii="Arial Narrow" w:hAnsi="Arial Narrow"/>
                <w:sz w:val="18"/>
                <w:szCs w:val="18"/>
              </w:rPr>
              <w:t>:</w:t>
            </w:r>
            <w:r w:rsidR="004F7692">
              <w:rPr>
                <w:rFonts w:ascii="Arial Narrow" w:hAnsi="Arial Narrow"/>
                <w:sz w:val="18"/>
                <w:szCs w:val="18"/>
              </w:rPr>
              <w:t xml:space="preserve"> </w:t>
            </w:r>
            <w:r w:rsidRPr="00361416">
              <w:rPr>
                <w:rFonts w:ascii="Arial Narrow" w:hAnsi="Arial Narrow"/>
                <w:sz w:val="18"/>
                <w:szCs w:val="18"/>
              </w:rPr>
              <w:t>11</w:t>
            </w:r>
          </w:p>
          <w:p w:rsidR="00AF185C" w:rsidRPr="00361416" w:rsidRDefault="00AF185C" w:rsidP="00AE37E2">
            <w:pPr>
              <w:spacing w:after="0"/>
              <w:ind w:left="0"/>
              <w:rPr>
                <w:rFonts w:ascii="Arial Narrow" w:hAnsi="Arial Narrow"/>
                <w:sz w:val="18"/>
                <w:szCs w:val="18"/>
              </w:rPr>
            </w:pPr>
          </w:p>
          <w:p w:rsidR="000E2E02" w:rsidRPr="00361416" w:rsidRDefault="00AF185C" w:rsidP="00AE37E2">
            <w:pPr>
              <w:spacing w:after="0"/>
              <w:ind w:left="0"/>
              <w:rPr>
                <w:rFonts w:ascii="Arial Narrow" w:hAnsi="Arial Narrow"/>
                <w:sz w:val="18"/>
                <w:szCs w:val="18"/>
              </w:rPr>
            </w:pPr>
            <w:r w:rsidRPr="00361416">
              <w:rPr>
                <w:rFonts w:ascii="Arial Narrow" w:hAnsi="Arial Narrow"/>
                <w:sz w:val="18"/>
                <w:szCs w:val="18"/>
              </w:rPr>
              <w:t>Surgery</w:t>
            </w:r>
            <w:r w:rsidR="00E446E5" w:rsidRPr="00361416">
              <w:rPr>
                <w:rFonts w:ascii="Arial Narrow" w:hAnsi="Arial Narrow"/>
                <w:sz w:val="18"/>
                <w:szCs w:val="18"/>
              </w:rPr>
              <w:t>:</w:t>
            </w:r>
            <w:r w:rsidR="004F7692">
              <w:rPr>
                <w:rFonts w:ascii="Arial Narrow" w:hAnsi="Arial Narrow"/>
                <w:sz w:val="18"/>
                <w:szCs w:val="18"/>
              </w:rPr>
              <w:t xml:space="preserve"> </w:t>
            </w:r>
            <w:r w:rsidRPr="00361416">
              <w:rPr>
                <w:rFonts w:ascii="Arial Narrow" w:hAnsi="Arial Narrow"/>
                <w:sz w:val="18"/>
                <w:szCs w:val="18"/>
              </w:rPr>
              <w:t>11</w:t>
            </w:r>
          </w:p>
        </w:tc>
        <w:tc>
          <w:tcPr>
            <w:tcW w:w="1134" w:type="dxa"/>
            <w:tcBorders>
              <w:bottom w:val="nil"/>
            </w:tcBorders>
            <w:shd w:val="clear" w:color="auto" w:fill="auto"/>
          </w:tcPr>
          <w:p w:rsidR="00E446E5" w:rsidRPr="00361416" w:rsidRDefault="00E446E5" w:rsidP="00AE37E2">
            <w:pPr>
              <w:spacing w:after="0"/>
              <w:ind w:left="0"/>
              <w:rPr>
                <w:rFonts w:ascii="Arial Narrow" w:hAnsi="Arial Narrow"/>
                <w:sz w:val="18"/>
                <w:szCs w:val="18"/>
              </w:rPr>
            </w:pPr>
            <w:r w:rsidRPr="00361416">
              <w:rPr>
                <w:rFonts w:ascii="Arial Narrow" w:hAnsi="Arial Narrow"/>
                <w:sz w:val="18"/>
                <w:szCs w:val="18"/>
              </w:rPr>
              <w:t>Total:</w:t>
            </w:r>
            <w:r w:rsidR="004F7692">
              <w:rPr>
                <w:rFonts w:ascii="Arial Narrow" w:hAnsi="Arial Narrow"/>
                <w:sz w:val="18"/>
                <w:szCs w:val="18"/>
              </w:rPr>
              <w:t xml:space="preserve"> </w:t>
            </w:r>
            <w:r w:rsidRPr="00361416">
              <w:rPr>
                <w:rFonts w:ascii="Arial Narrow" w:hAnsi="Arial Narrow"/>
                <w:sz w:val="18"/>
                <w:szCs w:val="18"/>
              </w:rPr>
              <w:t>13/9</w:t>
            </w:r>
          </w:p>
          <w:p w:rsidR="00E446E5" w:rsidRPr="00361416" w:rsidRDefault="00E446E5" w:rsidP="00AE37E2">
            <w:pPr>
              <w:spacing w:after="0"/>
              <w:ind w:left="0"/>
              <w:rPr>
                <w:rFonts w:ascii="Arial Narrow" w:hAnsi="Arial Narrow"/>
                <w:sz w:val="18"/>
                <w:szCs w:val="18"/>
              </w:rPr>
            </w:pPr>
          </w:p>
          <w:p w:rsidR="000E2E02" w:rsidRPr="00361416" w:rsidRDefault="00AF185C" w:rsidP="00AE37E2">
            <w:pPr>
              <w:spacing w:after="0"/>
              <w:ind w:left="0"/>
              <w:rPr>
                <w:rFonts w:ascii="Arial Narrow" w:hAnsi="Arial Narrow"/>
                <w:sz w:val="18"/>
                <w:szCs w:val="18"/>
              </w:rPr>
            </w:pPr>
            <w:r w:rsidRPr="00361416">
              <w:rPr>
                <w:rFonts w:ascii="Arial Narrow" w:hAnsi="Arial Narrow"/>
                <w:sz w:val="18"/>
                <w:szCs w:val="18"/>
              </w:rPr>
              <w:t>SEMS</w:t>
            </w:r>
            <w:r w:rsidR="00E446E5" w:rsidRPr="00361416">
              <w:rPr>
                <w:rFonts w:ascii="Arial Narrow" w:hAnsi="Arial Narrow"/>
                <w:sz w:val="18"/>
                <w:szCs w:val="18"/>
              </w:rPr>
              <w:t>:</w:t>
            </w:r>
            <w:r w:rsidR="004F7692">
              <w:rPr>
                <w:rFonts w:ascii="Arial Narrow" w:hAnsi="Arial Narrow"/>
                <w:sz w:val="18"/>
                <w:szCs w:val="18"/>
              </w:rPr>
              <w:t xml:space="preserve"> </w:t>
            </w:r>
            <w:r w:rsidRPr="00361416">
              <w:rPr>
                <w:rFonts w:ascii="Arial Narrow" w:hAnsi="Arial Narrow"/>
                <w:sz w:val="18"/>
                <w:szCs w:val="18"/>
              </w:rPr>
              <w:t>6/5</w:t>
            </w:r>
            <w:r w:rsidRPr="00361416">
              <w:rPr>
                <w:rFonts w:ascii="Arial Narrow" w:hAnsi="Arial Narrow"/>
                <w:b/>
                <w:sz w:val="18"/>
                <w:szCs w:val="18"/>
              </w:rPr>
              <w:t xml:space="preserve">   </w:t>
            </w:r>
          </w:p>
          <w:p w:rsidR="000E2E02" w:rsidRPr="00361416" w:rsidRDefault="000E2E02" w:rsidP="00AE37E2">
            <w:pPr>
              <w:spacing w:after="0"/>
              <w:ind w:left="0"/>
              <w:rPr>
                <w:rFonts w:ascii="Arial Narrow" w:hAnsi="Arial Narrow"/>
                <w:sz w:val="18"/>
                <w:szCs w:val="18"/>
              </w:rPr>
            </w:pPr>
          </w:p>
          <w:p w:rsidR="000E2E02" w:rsidRPr="00361416" w:rsidRDefault="00AF185C" w:rsidP="00AE37E2">
            <w:pPr>
              <w:spacing w:after="0"/>
              <w:ind w:left="0"/>
              <w:rPr>
                <w:rFonts w:ascii="Arial Narrow" w:hAnsi="Arial Narrow"/>
                <w:sz w:val="18"/>
                <w:szCs w:val="18"/>
              </w:rPr>
            </w:pPr>
            <w:r w:rsidRPr="00361416">
              <w:rPr>
                <w:rFonts w:ascii="Arial Narrow" w:hAnsi="Arial Narrow"/>
                <w:sz w:val="18"/>
                <w:szCs w:val="18"/>
              </w:rPr>
              <w:t>Surgery</w:t>
            </w:r>
            <w:r w:rsidR="00E446E5" w:rsidRPr="00361416">
              <w:rPr>
                <w:rFonts w:ascii="Arial Narrow" w:hAnsi="Arial Narrow"/>
                <w:sz w:val="18"/>
                <w:szCs w:val="18"/>
              </w:rPr>
              <w:t>:</w:t>
            </w:r>
            <w:r w:rsidR="004F7692">
              <w:rPr>
                <w:rFonts w:ascii="Arial Narrow" w:hAnsi="Arial Narrow"/>
                <w:sz w:val="18"/>
                <w:szCs w:val="18"/>
              </w:rPr>
              <w:t xml:space="preserve"> </w:t>
            </w:r>
            <w:r w:rsidRPr="00361416">
              <w:rPr>
                <w:rFonts w:ascii="Arial Narrow" w:hAnsi="Arial Narrow"/>
                <w:sz w:val="18"/>
                <w:szCs w:val="18"/>
              </w:rPr>
              <w:t>7/4</w:t>
            </w:r>
          </w:p>
        </w:tc>
        <w:tc>
          <w:tcPr>
            <w:tcW w:w="1843" w:type="dxa"/>
            <w:tcBorders>
              <w:bottom w:val="nil"/>
            </w:tcBorders>
            <w:shd w:val="clear" w:color="auto" w:fill="auto"/>
          </w:tcPr>
          <w:p w:rsidR="00E446E5" w:rsidRPr="00361416" w:rsidRDefault="00E446E5" w:rsidP="00AE37E2">
            <w:pPr>
              <w:spacing w:after="0"/>
              <w:ind w:left="0"/>
              <w:rPr>
                <w:rFonts w:ascii="Arial Narrow" w:hAnsi="Arial Narrow"/>
                <w:sz w:val="18"/>
                <w:szCs w:val="18"/>
              </w:rPr>
            </w:pPr>
            <w:r w:rsidRPr="00361416">
              <w:rPr>
                <w:rFonts w:ascii="Arial Narrow" w:hAnsi="Arial Narrow"/>
                <w:sz w:val="18"/>
                <w:szCs w:val="18"/>
              </w:rPr>
              <w:t>Total:</w:t>
            </w:r>
            <w:r w:rsidR="004F7692">
              <w:rPr>
                <w:rFonts w:ascii="Arial Narrow" w:hAnsi="Arial Narrow"/>
                <w:sz w:val="18"/>
                <w:szCs w:val="18"/>
              </w:rPr>
              <w:t xml:space="preserve"> </w:t>
            </w:r>
            <w:r w:rsidRPr="00361416">
              <w:rPr>
                <w:rFonts w:ascii="Arial Narrow" w:hAnsi="Arial Narrow"/>
                <w:sz w:val="18"/>
                <w:szCs w:val="18"/>
              </w:rPr>
              <w:t>77.2</w:t>
            </w:r>
            <w:r w:rsidR="004F7692">
              <w:rPr>
                <w:rFonts w:ascii="Arial Narrow" w:hAnsi="Arial Narrow"/>
                <w:sz w:val="18"/>
                <w:szCs w:val="18"/>
              </w:rPr>
              <w:t xml:space="preserve"> </w:t>
            </w:r>
            <w:r w:rsidRPr="00361416">
              <w:rPr>
                <w:rFonts w:ascii="Arial Narrow" w:hAnsi="Arial Narrow"/>
                <w:sz w:val="18"/>
                <w:szCs w:val="18"/>
              </w:rPr>
              <w:t>±</w:t>
            </w:r>
            <w:r w:rsidR="004F7692">
              <w:rPr>
                <w:rFonts w:ascii="Arial Narrow" w:hAnsi="Arial Narrow"/>
                <w:sz w:val="18"/>
                <w:szCs w:val="18"/>
              </w:rPr>
              <w:t xml:space="preserve"> </w:t>
            </w:r>
            <w:r w:rsidRPr="00361416">
              <w:rPr>
                <w:rFonts w:ascii="Arial Narrow" w:hAnsi="Arial Narrow"/>
                <w:sz w:val="18"/>
                <w:szCs w:val="18"/>
              </w:rPr>
              <w:t>3.3</w:t>
            </w:r>
            <w:r w:rsidR="00205C05" w:rsidRPr="00361416">
              <w:rPr>
                <w:rFonts w:ascii="Arial Narrow" w:hAnsi="Arial Narrow"/>
                <w:sz w:val="18"/>
                <w:szCs w:val="18"/>
              </w:rPr>
              <w:t xml:space="preserve"> years</w:t>
            </w:r>
          </w:p>
          <w:p w:rsidR="00E446E5" w:rsidRPr="00361416" w:rsidRDefault="00E446E5" w:rsidP="00AE37E2">
            <w:pPr>
              <w:spacing w:after="0"/>
              <w:ind w:left="0"/>
              <w:rPr>
                <w:rFonts w:ascii="Arial Narrow" w:hAnsi="Arial Narrow"/>
                <w:sz w:val="18"/>
                <w:szCs w:val="18"/>
              </w:rPr>
            </w:pPr>
          </w:p>
          <w:p w:rsidR="000E2E02" w:rsidRPr="00361416" w:rsidRDefault="00AF185C" w:rsidP="00AE37E2">
            <w:pPr>
              <w:spacing w:after="0"/>
              <w:ind w:left="0"/>
              <w:rPr>
                <w:rFonts w:ascii="Arial Narrow" w:hAnsi="Arial Narrow"/>
                <w:sz w:val="18"/>
                <w:szCs w:val="18"/>
              </w:rPr>
            </w:pPr>
            <w:r w:rsidRPr="00361416">
              <w:rPr>
                <w:rFonts w:ascii="Arial Narrow" w:hAnsi="Arial Narrow"/>
                <w:sz w:val="18"/>
                <w:szCs w:val="18"/>
              </w:rPr>
              <w:t>SEMS:</w:t>
            </w:r>
            <w:r w:rsidR="004F7692">
              <w:rPr>
                <w:rFonts w:ascii="Arial Narrow" w:hAnsi="Arial Narrow"/>
                <w:sz w:val="18"/>
                <w:szCs w:val="18"/>
              </w:rPr>
              <w:t xml:space="preserve"> </w:t>
            </w:r>
            <w:r w:rsidRPr="00361416">
              <w:rPr>
                <w:rFonts w:ascii="Arial Narrow" w:hAnsi="Arial Narrow"/>
                <w:sz w:val="18"/>
                <w:szCs w:val="18"/>
              </w:rPr>
              <w:t>77.2</w:t>
            </w:r>
            <w:r w:rsidR="004F7692">
              <w:rPr>
                <w:rFonts w:ascii="Arial Narrow" w:hAnsi="Arial Narrow"/>
                <w:sz w:val="18"/>
                <w:szCs w:val="18"/>
              </w:rPr>
              <w:t xml:space="preserve"> </w:t>
            </w:r>
            <w:r w:rsidRPr="00361416">
              <w:rPr>
                <w:rFonts w:ascii="Arial Narrow" w:hAnsi="Arial Narrow"/>
                <w:sz w:val="18"/>
                <w:szCs w:val="18"/>
              </w:rPr>
              <w:t>±</w:t>
            </w:r>
            <w:r w:rsidR="004F7692">
              <w:rPr>
                <w:rFonts w:ascii="Arial Narrow" w:hAnsi="Arial Narrow"/>
                <w:sz w:val="18"/>
                <w:szCs w:val="18"/>
              </w:rPr>
              <w:t xml:space="preserve"> </w:t>
            </w:r>
            <w:r w:rsidRPr="00361416">
              <w:rPr>
                <w:rFonts w:ascii="Arial Narrow" w:hAnsi="Arial Narrow"/>
                <w:sz w:val="18"/>
                <w:szCs w:val="18"/>
              </w:rPr>
              <w:t>3.3</w:t>
            </w:r>
            <w:r w:rsidR="00205C05" w:rsidRPr="00361416">
              <w:rPr>
                <w:rFonts w:ascii="Arial Narrow" w:hAnsi="Arial Narrow"/>
                <w:sz w:val="18"/>
                <w:szCs w:val="18"/>
              </w:rPr>
              <w:t xml:space="preserve"> years</w:t>
            </w:r>
          </w:p>
          <w:p w:rsidR="00F56DA6" w:rsidRPr="00361416" w:rsidRDefault="00F56DA6" w:rsidP="00AE37E2">
            <w:pPr>
              <w:spacing w:after="0"/>
              <w:ind w:left="0"/>
              <w:rPr>
                <w:rFonts w:ascii="Arial Narrow" w:hAnsi="Arial Narrow"/>
                <w:sz w:val="18"/>
                <w:szCs w:val="18"/>
              </w:rPr>
            </w:pPr>
          </w:p>
          <w:p w:rsidR="00AF185C" w:rsidRPr="00361416" w:rsidRDefault="00E446E5" w:rsidP="00AE37E2">
            <w:pPr>
              <w:spacing w:after="0"/>
              <w:ind w:left="0"/>
              <w:rPr>
                <w:rFonts w:ascii="Arial Narrow" w:hAnsi="Arial Narrow"/>
                <w:sz w:val="18"/>
                <w:szCs w:val="18"/>
              </w:rPr>
            </w:pPr>
            <w:r w:rsidRPr="00361416">
              <w:rPr>
                <w:rFonts w:ascii="Arial Narrow" w:hAnsi="Arial Narrow"/>
                <w:sz w:val="18"/>
                <w:szCs w:val="18"/>
              </w:rPr>
              <w:t>Surgery:</w:t>
            </w:r>
            <w:r w:rsidR="004F7692">
              <w:rPr>
                <w:rFonts w:ascii="Arial Narrow" w:hAnsi="Arial Narrow"/>
                <w:sz w:val="18"/>
                <w:szCs w:val="18"/>
              </w:rPr>
              <w:t xml:space="preserve"> </w:t>
            </w:r>
            <w:r w:rsidR="00AF185C" w:rsidRPr="00361416">
              <w:rPr>
                <w:rFonts w:ascii="Arial Narrow" w:hAnsi="Arial Narrow"/>
                <w:sz w:val="18"/>
                <w:szCs w:val="18"/>
              </w:rPr>
              <w:t>76</w:t>
            </w:r>
            <w:r w:rsidR="004F7692">
              <w:rPr>
                <w:rFonts w:ascii="Arial Narrow" w:hAnsi="Arial Narrow"/>
                <w:sz w:val="18"/>
                <w:szCs w:val="18"/>
              </w:rPr>
              <w:t xml:space="preserve"> </w:t>
            </w:r>
            <w:r w:rsidR="00AF185C" w:rsidRPr="00361416">
              <w:rPr>
                <w:rFonts w:ascii="Arial Narrow" w:hAnsi="Arial Narrow"/>
                <w:sz w:val="18"/>
                <w:szCs w:val="18"/>
              </w:rPr>
              <w:t>±</w:t>
            </w:r>
            <w:r w:rsidR="004F7692">
              <w:rPr>
                <w:rFonts w:ascii="Arial Narrow" w:hAnsi="Arial Narrow"/>
                <w:sz w:val="18"/>
                <w:szCs w:val="18"/>
              </w:rPr>
              <w:t xml:space="preserve"> </w:t>
            </w:r>
            <w:r w:rsidR="00AF185C" w:rsidRPr="00361416">
              <w:rPr>
                <w:rFonts w:ascii="Arial Narrow" w:hAnsi="Arial Narrow"/>
                <w:sz w:val="18"/>
                <w:szCs w:val="18"/>
              </w:rPr>
              <w:t>4.6</w:t>
            </w:r>
            <w:r w:rsidR="00205C05" w:rsidRPr="00361416">
              <w:rPr>
                <w:rFonts w:ascii="Arial Narrow" w:hAnsi="Arial Narrow"/>
                <w:sz w:val="18"/>
                <w:szCs w:val="18"/>
              </w:rPr>
              <w:t xml:space="preserve"> years</w:t>
            </w:r>
          </w:p>
        </w:tc>
        <w:tc>
          <w:tcPr>
            <w:tcW w:w="2551" w:type="dxa"/>
            <w:tcBorders>
              <w:bottom w:val="nil"/>
            </w:tcBorders>
            <w:shd w:val="clear" w:color="auto" w:fill="auto"/>
          </w:tcPr>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Type of obstruction</w:t>
            </w: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Partial:</w:t>
            </w:r>
            <w:r w:rsidR="00F56DA6" w:rsidRPr="00361416">
              <w:rPr>
                <w:rFonts w:ascii="Arial Narrow" w:hAnsi="Arial Narrow"/>
                <w:sz w:val="18"/>
                <w:szCs w:val="18"/>
              </w:rPr>
              <w:t xml:space="preserve"> NR</w:t>
            </w:r>
            <w:r w:rsidR="00F013CB" w:rsidRPr="00361416">
              <w:rPr>
                <w:rFonts w:ascii="Arial Narrow" w:hAnsi="Arial Narrow"/>
                <w:sz w:val="18"/>
                <w:szCs w:val="18"/>
              </w:rPr>
              <w:t xml:space="preserve">; </w:t>
            </w:r>
            <w:r w:rsidRPr="00361416">
              <w:rPr>
                <w:rFonts w:ascii="Arial Narrow" w:hAnsi="Arial Narrow"/>
                <w:sz w:val="18"/>
                <w:szCs w:val="18"/>
              </w:rPr>
              <w:t>Complete:</w:t>
            </w:r>
            <w:r w:rsidR="00F56DA6" w:rsidRPr="00361416">
              <w:rPr>
                <w:rFonts w:ascii="Arial Narrow" w:hAnsi="Arial Narrow"/>
                <w:sz w:val="18"/>
                <w:szCs w:val="18"/>
              </w:rPr>
              <w:t xml:space="preserve"> NR</w:t>
            </w:r>
          </w:p>
          <w:p w:rsidR="000E2E02" w:rsidRPr="00361416" w:rsidRDefault="000E2E02" w:rsidP="00AE37E2">
            <w:pPr>
              <w:spacing w:after="0"/>
              <w:ind w:left="0"/>
              <w:rPr>
                <w:rFonts w:ascii="Arial Narrow" w:hAnsi="Arial Narrow"/>
                <w:sz w:val="18"/>
                <w:szCs w:val="18"/>
              </w:rPr>
            </w:pPr>
          </w:p>
          <w:p w:rsidR="000E2E02" w:rsidRPr="00361416" w:rsidRDefault="00AE78DE" w:rsidP="00AE37E2">
            <w:pPr>
              <w:spacing w:after="0"/>
              <w:ind w:left="0"/>
              <w:rPr>
                <w:rFonts w:ascii="Arial Narrow" w:hAnsi="Arial Narrow"/>
                <w:sz w:val="18"/>
                <w:szCs w:val="18"/>
              </w:rPr>
            </w:pPr>
            <w:r w:rsidRPr="00361416">
              <w:rPr>
                <w:rFonts w:ascii="Arial Narrow" w:hAnsi="Arial Narrow"/>
                <w:sz w:val="18"/>
                <w:szCs w:val="18"/>
              </w:rPr>
              <w:t>Location of obstruction</w:t>
            </w:r>
          </w:p>
          <w:p w:rsidR="000106D2" w:rsidRPr="00361416" w:rsidRDefault="000106D2" w:rsidP="00AE37E2">
            <w:pPr>
              <w:spacing w:after="0"/>
              <w:ind w:left="0"/>
              <w:rPr>
                <w:rFonts w:ascii="Arial Narrow" w:hAnsi="Arial Narrow"/>
                <w:sz w:val="18"/>
                <w:szCs w:val="18"/>
              </w:rPr>
            </w:pPr>
            <w:r w:rsidRPr="00361416">
              <w:rPr>
                <w:rFonts w:ascii="Arial Narrow" w:hAnsi="Arial Narrow"/>
                <w:sz w:val="18"/>
                <w:szCs w:val="18"/>
              </w:rPr>
              <w:t>Rectum: 14</w:t>
            </w:r>
            <w:r w:rsidR="00017BD7">
              <w:rPr>
                <w:rFonts w:ascii="Arial Narrow" w:hAnsi="Arial Narrow"/>
                <w:sz w:val="18"/>
                <w:szCs w:val="18"/>
              </w:rPr>
              <w:t xml:space="preserve"> (63.6%)</w:t>
            </w:r>
            <w:r w:rsidR="00F013CB" w:rsidRPr="00361416">
              <w:rPr>
                <w:rFonts w:ascii="Arial Narrow" w:hAnsi="Arial Narrow"/>
                <w:sz w:val="18"/>
                <w:szCs w:val="18"/>
              </w:rPr>
              <w:t xml:space="preserve">; </w:t>
            </w:r>
            <w:r w:rsidRPr="00361416">
              <w:rPr>
                <w:rFonts w:ascii="Arial Narrow" w:hAnsi="Arial Narrow"/>
                <w:sz w:val="18"/>
                <w:szCs w:val="18"/>
              </w:rPr>
              <w:t>Sigmoid colon: 8</w:t>
            </w:r>
            <w:r w:rsidR="00017BD7">
              <w:rPr>
                <w:rFonts w:ascii="Arial Narrow" w:hAnsi="Arial Narrow"/>
                <w:sz w:val="18"/>
                <w:szCs w:val="18"/>
              </w:rPr>
              <w:t xml:space="preserve"> (36.4%)</w:t>
            </w:r>
          </w:p>
          <w:p w:rsidR="000E2E02" w:rsidRPr="00361416" w:rsidRDefault="000E2E02" w:rsidP="00AE37E2">
            <w:pPr>
              <w:spacing w:after="0"/>
              <w:ind w:left="0"/>
              <w:rPr>
                <w:rFonts w:ascii="Arial Narrow" w:hAnsi="Arial Narrow"/>
                <w:sz w:val="18"/>
                <w:szCs w:val="18"/>
              </w:rPr>
            </w:pP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 xml:space="preserve">Length of stenosis (mean): </w:t>
            </w:r>
            <w:r w:rsidR="000106D2" w:rsidRPr="00361416">
              <w:rPr>
                <w:rFonts w:ascii="Arial Narrow" w:hAnsi="Arial Narrow"/>
                <w:sz w:val="18"/>
                <w:szCs w:val="18"/>
              </w:rPr>
              <w:t>NR</w:t>
            </w:r>
          </w:p>
          <w:p w:rsidR="000E2E02" w:rsidRPr="00361416" w:rsidRDefault="000E2E02" w:rsidP="00AE37E2">
            <w:pPr>
              <w:spacing w:after="0"/>
              <w:ind w:left="0"/>
              <w:rPr>
                <w:rFonts w:ascii="Arial Narrow" w:hAnsi="Arial Narrow"/>
                <w:sz w:val="18"/>
                <w:szCs w:val="18"/>
              </w:rPr>
            </w:pP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 xml:space="preserve">Diagnosis </w:t>
            </w: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Benign:</w:t>
            </w:r>
            <w:r w:rsidR="000106D2" w:rsidRPr="00361416">
              <w:rPr>
                <w:rFonts w:ascii="Arial Narrow" w:hAnsi="Arial Narrow"/>
                <w:sz w:val="18"/>
                <w:szCs w:val="18"/>
              </w:rPr>
              <w:t xml:space="preserve"> 0</w:t>
            </w:r>
            <w:r w:rsidR="00F013CB" w:rsidRPr="00361416">
              <w:rPr>
                <w:rFonts w:ascii="Arial Narrow" w:hAnsi="Arial Narrow"/>
                <w:sz w:val="18"/>
                <w:szCs w:val="18"/>
              </w:rPr>
              <w:t xml:space="preserve">; </w:t>
            </w:r>
            <w:r w:rsidRPr="00361416">
              <w:rPr>
                <w:rFonts w:ascii="Arial Narrow" w:hAnsi="Arial Narrow"/>
                <w:sz w:val="18"/>
                <w:szCs w:val="18"/>
              </w:rPr>
              <w:t>Malignant:</w:t>
            </w:r>
            <w:r w:rsidR="000106D2" w:rsidRPr="00361416">
              <w:rPr>
                <w:rFonts w:ascii="Arial Narrow" w:hAnsi="Arial Narrow"/>
                <w:sz w:val="18"/>
                <w:szCs w:val="18"/>
              </w:rPr>
              <w:t xml:space="preserve"> 22</w:t>
            </w:r>
            <w:r w:rsidR="00017BD7">
              <w:rPr>
                <w:rFonts w:ascii="Arial Narrow" w:hAnsi="Arial Narrow"/>
                <w:sz w:val="18"/>
                <w:szCs w:val="18"/>
              </w:rPr>
              <w:t xml:space="preserve"> (100%)</w:t>
            </w:r>
          </w:p>
          <w:p w:rsidR="000E2E02" w:rsidRPr="00361416" w:rsidRDefault="00270339" w:rsidP="00AE37E2">
            <w:pPr>
              <w:spacing w:after="0"/>
              <w:ind w:left="0"/>
              <w:rPr>
                <w:rFonts w:ascii="Arial Narrow" w:hAnsi="Arial Narrow"/>
                <w:sz w:val="18"/>
                <w:szCs w:val="18"/>
              </w:rPr>
            </w:pPr>
            <w:r w:rsidRPr="00361416">
              <w:rPr>
                <w:rFonts w:ascii="Arial Narrow" w:hAnsi="Arial Narrow"/>
                <w:sz w:val="18"/>
                <w:szCs w:val="18"/>
              </w:rPr>
              <w:t xml:space="preserve">  </w:t>
            </w: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Site of metastases:</w:t>
            </w:r>
          </w:p>
          <w:p w:rsidR="000106D2" w:rsidRPr="00361416" w:rsidRDefault="004F7692" w:rsidP="00AE37E2">
            <w:pPr>
              <w:spacing w:after="0"/>
              <w:ind w:left="0"/>
              <w:rPr>
                <w:rFonts w:ascii="Arial Narrow" w:hAnsi="Arial Narrow"/>
                <w:sz w:val="18"/>
                <w:szCs w:val="18"/>
                <w:lang w:eastAsia="en-US"/>
              </w:rPr>
            </w:pPr>
            <w:r>
              <w:rPr>
                <w:rFonts w:ascii="Arial Narrow" w:hAnsi="Arial Narrow"/>
                <w:sz w:val="18"/>
                <w:szCs w:val="18"/>
                <w:lang w:eastAsia="en-US"/>
              </w:rPr>
              <w:t>L</w:t>
            </w:r>
            <w:r w:rsidR="00F013CB" w:rsidRPr="00361416">
              <w:rPr>
                <w:rFonts w:ascii="Arial Narrow" w:hAnsi="Arial Narrow"/>
                <w:sz w:val="18"/>
                <w:szCs w:val="18"/>
                <w:lang w:eastAsia="en-US"/>
              </w:rPr>
              <w:t>iver</w:t>
            </w:r>
            <w:r w:rsidR="000106D2" w:rsidRPr="00361416">
              <w:rPr>
                <w:rFonts w:ascii="Arial Narrow" w:hAnsi="Arial Narrow"/>
                <w:sz w:val="18"/>
                <w:szCs w:val="18"/>
                <w:lang w:eastAsia="en-US"/>
              </w:rPr>
              <w:t>: 18</w:t>
            </w:r>
            <w:r w:rsidR="00F013CB" w:rsidRPr="00361416">
              <w:rPr>
                <w:rFonts w:ascii="Arial Narrow" w:hAnsi="Arial Narrow"/>
                <w:sz w:val="18"/>
                <w:szCs w:val="18"/>
                <w:lang w:eastAsia="en-US"/>
              </w:rPr>
              <w:t xml:space="preserve">; </w:t>
            </w:r>
            <w:r w:rsidR="000106D2" w:rsidRPr="00361416">
              <w:rPr>
                <w:rFonts w:ascii="Arial Narrow" w:hAnsi="Arial Narrow"/>
                <w:sz w:val="18"/>
                <w:szCs w:val="18"/>
                <w:lang w:eastAsia="en-US"/>
              </w:rPr>
              <w:t>L</w:t>
            </w:r>
            <w:r w:rsidR="00F013CB" w:rsidRPr="00361416">
              <w:rPr>
                <w:rFonts w:ascii="Arial Narrow" w:hAnsi="Arial Narrow"/>
                <w:sz w:val="18"/>
                <w:szCs w:val="18"/>
                <w:lang w:eastAsia="en-US"/>
              </w:rPr>
              <w:t>ung</w:t>
            </w:r>
            <w:r w:rsidR="000106D2" w:rsidRPr="00361416">
              <w:rPr>
                <w:rFonts w:ascii="Arial Narrow" w:hAnsi="Arial Narrow"/>
                <w:sz w:val="18"/>
                <w:szCs w:val="18"/>
                <w:lang w:eastAsia="en-US"/>
              </w:rPr>
              <w:t>: 4</w:t>
            </w:r>
          </w:p>
          <w:p w:rsidR="000106D2" w:rsidRPr="00361416" w:rsidRDefault="000106D2" w:rsidP="00AE37E2">
            <w:pPr>
              <w:spacing w:after="0"/>
              <w:ind w:left="0"/>
              <w:rPr>
                <w:rFonts w:ascii="Arial Narrow" w:hAnsi="Arial Narrow"/>
                <w:sz w:val="18"/>
                <w:szCs w:val="18"/>
                <w:lang w:eastAsia="en-US"/>
              </w:rPr>
            </w:pPr>
            <w:r w:rsidRPr="00361416">
              <w:rPr>
                <w:rFonts w:ascii="Arial Narrow" w:hAnsi="Arial Narrow"/>
                <w:sz w:val="18"/>
                <w:szCs w:val="18"/>
                <w:lang w:eastAsia="en-US"/>
              </w:rPr>
              <w:t>Advanced local diseases: 9</w:t>
            </w:r>
          </w:p>
        </w:tc>
        <w:tc>
          <w:tcPr>
            <w:tcW w:w="2880" w:type="dxa"/>
            <w:tcBorders>
              <w:bottom w:val="nil"/>
            </w:tcBorders>
            <w:shd w:val="clear" w:color="auto" w:fill="auto"/>
          </w:tcPr>
          <w:p w:rsidR="00F013CB" w:rsidRPr="00361416" w:rsidRDefault="00F013CB" w:rsidP="00AE37E2">
            <w:pPr>
              <w:spacing w:after="0"/>
              <w:ind w:left="0"/>
              <w:rPr>
                <w:rFonts w:ascii="Arial Narrow" w:hAnsi="Arial Narrow"/>
                <w:sz w:val="18"/>
                <w:szCs w:val="18"/>
              </w:rPr>
            </w:pPr>
            <w:r w:rsidRPr="00361416">
              <w:rPr>
                <w:rFonts w:ascii="Arial Narrow" w:hAnsi="Arial Narrow"/>
                <w:sz w:val="18"/>
                <w:szCs w:val="18"/>
              </w:rPr>
              <w:t>SEMS (Boston Scientific)</w:t>
            </w:r>
          </w:p>
          <w:p w:rsidR="00F013CB" w:rsidRPr="00361416" w:rsidRDefault="00F013CB" w:rsidP="00AE37E2">
            <w:pPr>
              <w:spacing w:after="0"/>
              <w:ind w:left="0"/>
              <w:rPr>
                <w:rFonts w:ascii="Arial Narrow" w:hAnsi="Arial Narrow"/>
                <w:sz w:val="18"/>
                <w:szCs w:val="18"/>
              </w:rPr>
            </w:pPr>
          </w:p>
          <w:p w:rsidR="003920E7" w:rsidRPr="00361416" w:rsidRDefault="000E2E02" w:rsidP="00AE37E2">
            <w:pPr>
              <w:spacing w:after="0"/>
              <w:ind w:left="0"/>
              <w:rPr>
                <w:rFonts w:ascii="Arial Narrow" w:hAnsi="Arial Narrow"/>
                <w:sz w:val="18"/>
                <w:szCs w:val="18"/>
              </w:rPr>
            </w:pPr>
            <w:r w:rsidRPr="00361416">
              <w:rPr>
                <w:rFonts w:ascii="Arial Narrow" w:hAnsi="Arial Narrow"/>
                <w:sz w:val="18"/>
                <w:szCs w:val="18"/>
              </w:rPr>
              <w:t>Type of SEMS</w:t>
            </w:r>
          </w:p>
          <w:p w:rsidR="000E2E02" w:rsidRPr="00361416" w:rsidRDefault="003920E7" w:rsidP="00AE37E2">
            <w:pPr>
              <w:spacing w:after="0"/>
              <w:ind w:left="0"/>
              <w:rPr>
                <w:rFonts w:ascii="Arial Narrow" w:hAnsi="Arial Narrow"/>
                <w:sz w:val="18"/>
                <w:szCs w:val="18"/>
              </w:rPr>
            </w:pPr>
            <w:r w:rsidRPr="00361416">
              <w:rPr>
                <w:rFonts w:ascii="Arial Narrow" w:hAnsi="Arial Narrow"/>
                <w:sz w:val="18"/>
                <w:szCs w:val="18"/>
              </w:rPr>
              <w:t xml:space="preserve">Covered: </w:t>
            </w:r>
            <w:r w:rsidR="00F013CB" w:rsidRPr="00361416">
              <w:rPr>
                <w:rFonts w:ascii="Arial Narrow" w:hAnsi="Arial Narrow"/>
                <w:sz w:val="18"/>
                <w:szCs w:val="18"/>
              </w:rPr>
              <w:t>NR</w:t>
            </w:r>
            <w:r w:rsidRPr="00361416">
              <w:rPr>
                <w:rFonts w:ascii="Arial Narrow" w:hAnsi="Arial Narrow"/>
                <w:sz w:val="18"/>
                <w:szCs w:val="18"/>
              </w:rPr>
              <w:t>; Uncovered: NR</w:t>
            </w:r>
          </w:p>
          <w:p w:rsidR="000106D2" w:rsidRPr="00361416" w:rsidRDefault="000106D2" w:rsidP="00AE37E2">
            <w:pPr>
              <w:spacing w:after="0"/>
              <w:ind w:left="0"/>
              <w:rPr>
                <w:rFonts w:ascii="Arial Narrow" w:hAnsi="Arial Narrow"/>
                <w:sz w:val="18"/>
                <w:szCs w:val="18"/>
              </w:rPr>
            </w:pPr>
          </w:p>
          <w:p w:rsidR="000106D2" w:rsidRPr="00361416" w:rsidRDefault="000106D2" w:rsidP="00AE37E2">
            <w:pPr>
              <w:spacing w:after="0"/>
              <w:ind w:left="0"/>
              <w:rPr>
                <w:rFonts w:ascii="Arial Narrow" w:hAnsi="Arial Narrow"/>
                <w:sz w:val="18"/>
                <w:szCs w:val="18"/>
              </w:rPr>
            </w:pPr>
            <w:r w:rsidRPr="00361416">
              <w:rPr>
                <w:rFonts w:ascii="Arial Narrow" w:hAnsi="Arial Narrow"/>
                <w:sz w:val="18"/>
                <w:szCs w:val="18"/>
              </w:rPr>
              <w:t>Size of SEMS</w:t>
            </w:r>
          </w:p>
          <w:p w:rsidR="000106D2" w:rsidRPr="00361416" w:rsidRDefault="000106D2" w:rsidP="00AE37E2">
            <w:pPr>
              <w:spacing w:after="0"/>
              <w:ind w:left="0"/>
              <w:rPr>
                <w:rFonts w:ascii="Arial Narrow" w:hAnsi="Arial Narrow"/>
                <w:sz w:val="18"/>
                <w:szCs w:val="18"/>
              </w:rPr>
            </w:pPr>
            <w:r w:rsidRPr="00361416">
              <w:rPr>
                <w:rFonts w:ascii="Arial Narrow" w:hAnsi="Arial Narrow"/>
                <w:sz w:val="18"/>
                <w:szCs w:val="18"/>
              </w:rPr>
              <w:t>Length:</w:t>
            </w:r>
            <w:r w:rsidRPr="00361416">
              <w:t xml:space="preserve"> </w:t>
            </w:r>
            <w:r w:rsidRPr="00361416">
              <w:rPr>
                <w:rFonts w:ascii="Arial Narrow" w:hAnsi="Arial Narrow"/>
                <w:sz w:val="18"/>
                <w:szCs w:val="18"/>
              </w:rPr>
              <w:t>9</w:t>
            </w:r>
            <w:r w:rsidR="00EC4FDC">
              <w:rPr>
                <w:rFonts w:ascii="Arial Narrow" w:hAnsi="Arial Narrow"/>
                <w:sz w:val="18"/>
                <w:szCs w:val="18"/>
              </w:rPr>
              <w:t xml:space="preserve"> </w:t>
            </w:r>
            <w:r w:rsidRPr="00361416">
              <w:rPr>
                <w:rFonts w:ascii="Arial Narrow" w:hAnsi="Arial Narrow"/>
                <w:sz w:val="18"/>
                <w:szCs w:val="18"/>
              </w:rPr>
              <w:t>cm (n=8) or 12</w:t>
            </w:r>
            <w:r w:rsidR="00EC4FDC">
              <w:rPr>
                <w:rFonts w:ascii="Arial Narrow" w:hAnsi="Arial Narrow"/>
                <w:sz w:val="18"/>
                <w:szCs w:val="18"/>
              </w:rPr>
              <w:t xml:space="preserve"> </w:t>
            </w:r>
            <w:r w:rsidRPr="00361416">
              <w:rPr>
                <w:rFonts w:ascii="Arial Narrow" w:hAnsi="Arial Narrow"/>
                <w:sz w:val="18"/>
                <w:szCs w:val="18"/>
              </w:rPr>
              <w:t>cm (n=3)</w:t>
            </w:r>
            <w:r w:rsidR="003920E7" w:rsidRPr="00361416">
              <w:rPr>
                <w:rFonts w:ascii="Arial Narrow" w:hAnsi="Arial Narrow"/>
                <w:sz w:val="18"/>
                <w:szCs w:val="18"/>
              </w:rPr>
              <w:t xml:space="preserve">; </w:t>
            </w:r>
            <w:r w:rsidRPr="00361416">
              <w:rPr>
                <w:rFonts w:ascii="Arial Narrow" w:hAnsi="Arial Narrow"/>
                <w:sz w:val="18"/>
                <w:szCs w:val="18"/>
              </w:rPr>
              <w:t>Diameter: NR</w:t>
            </w:r>
          </w:p>
          <w:p w:rsidR="000E2E02" w:rsidRPr="00361416" w:rsidRDefault="000E2E02" w:rsidP="00AE37E2">
            <w:pPr>
              <w:spacing w:after="0"/>
              <w:ind w:left="0"/>
              <w:rPr>
                <w:rFonts w:ascii="Arial Narrow" w:hAnsi="Arial Narrow"/>
                <w:sz w:val="18"/>
                <w:szCs w:val="18"/>
              </w:rPr>
            </w:pPr>
          </w:p>
          <w:p w:rsidR="000E2E02" w:rsidRPr="00361416" w:rsidRDefault="000106D2" w:rsidP="00AE37E2">
            <w:pPr>
              <w:spacing w:after="0"/>
              <w:ind w:left="0"/>
              <w:rPr>
                <w:rFonts w:ascii="Arial Narrow" w:hAnsi="Arial Narrow"/>
                <w:sz w:val="18"/>
                <w:szCs w:val="18"/>
              </w:rPr>
            </w:pPr>
            <w:r w:rsidRPr="00361416">
              <w:rPr>
                <w:rFonts w:ascii="Arial Narrow" w:hAnsi="Arial Narrow"/>
                <w:sz w:val="18"/>
                <w:szCs w:val="18"/>
              </w:rPr>
              <w:t xml:space="preserve">Guidance: endoscopic and fluoroscopic </w:t>
            </w:r>
          </w:p>
          <w:p w:rsidR="000106D2" w:rsidRPr="00361416" w:rsidRDefault="000106D2" w:rsidP="00AE37E2">
            <w:pPr>
              <w:spacing w:after="0"/>
              <w:ind w:left="0"/>
              <w:rPr>
                <w:rFonts w:ascii="Arial Narrow" w:hAnsi="Arial Narrow"/>
                <w:sz w:val="18"/>
                <w:szCs w:val="18"/>
              </w:rPr>
            </w:pP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Anaesthesia</w:t>
            </w:r>
            <w:r w:rsidR="000106D2" w:rsidRPr="00361416">
              <w:rPr>
                <w:rFonts w:ascii="Arial Narrow" w:hAnsi="Arial Narrow"/>
                <w:sz w:val="18"/>
                <w:szCs w:val="18"/>
              </w:rPr>
              <w:t>: conscious sedation (Midazolam)</w:t>
            </w:r>
          </w:p>
          <w:p w:rsidR="000E2E02" w:rsidRPr="00361416" w:rsidRDefault="000E2E02" w:rsidP="00AE37E2">
            <w:pPr>
              <w:spacing w:after="0"/>
              <w:ind w:left="0"/>
              <w:rPr>
                <w:rFonts w:ascii="Arial Narrow" w:hAnsi="Arial Narrow"/>
                <w:sz w:val="18"/>
                <w:szCs w:val="18"/>
              </w:rPr>
            </w:pP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Use of balloon dilation</w:t>
            </w:r>
            <w:r w:rsidR="000106D2" w:rsidRPr="00361416">
              <w:rPr>
                <w:rFonts w:ascii="Arial Narrow" w:hAnsi="Arial Narrow"/>
                <w:sz w:val="18"/>
                <w:szCs w:val="18"/>
              </w:rPr>
              <w:t>: NR</w:t>
            </w:r>
          </w:p>
          <w:p w:rsidR="007D6381" w:rsidRPr="00361416" w:rsidRDefault="007D6381" w:rsidP="00AE37E2">
            <w:pPr>
              <w:spacing w:after="0"/>
              <w:ind w:left="0"/>
              <w:rPr>
                <w:rFonts w:ascii="Arial Narrow" w:hAnsi="Arial Narrow"/>
                <w:sz w:val="18"/>
                <w:szCs w:val="18"/>
              </w:rPr>
            </w:pPr>
          </w:p>
        </w:tc>
        <w:tc>
          <w:tcPr>
            <w:tcW w:w="3111" w:type="dxa"/>
            <w:tcBorders>
              <w:bottom w:val="nil"/>
            </w:tcBorders>
            <w:shd w:val="clear" w:color="auto" w:fill="auto"/>
          </w:tcPr>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Inclusion criteria</w:t>
            </w:r>
            <w:r w:rsidR="00E446E5" w:rsidRPr="00361416">
              <w:rPr>
                <w:rFonts w:ascii="Arial Narrow" w:hAnsi="Arial Narrow"/>
                <w:sz w:val="18"/>
                <w:szCs w:val="18"/>
              </w:rPr>
              <w:t xml:space="preserve">: </w:t>
            </w:r>
            <w:r w:rsidR="00C7480F" w:rsidRPr="00361416">
              <w:rPr>
                <w:rFonts w:ascii="Arial Narrow" w:hAnsi="Arial Narrow"/>
                <w:sz w:val="18"/>
                <w:szCs w:val="18"/>
              </w:rPr>
              <w:t>P</w:t>
            </w:r>
            <w:r w:rsidR="00E446E5" w:rsidRPr="00361416">
              <w:rPr>
                <w:rFonts w:ascii="Arial Narrow" w:hAnsi="Arial Narrow"/>
                <w:sz w:val="18"/>
                <w:szCs w:val="18"/>
              </w:rPr>
              <w:t>atients with malign</w:t>
            </w:r>
            <w:r w:rsidR="0099511A">
              <w:rPr>
                <w:rFonts w:ascii="Arial Narrow" w:hAnsi="Arial Narrow"/>
                <w:sz w:val="18"/>
                <w:szCs w:val="18"/>
              </w:rPr>
              <w:t>ant recto-sigmoidal obstruction; patients informed consent</w:t>
            </w:r>
          </w:p>
          <w:p w:rsidR="000E2E02" w:rsidRPr="00361416" w:rsidRDefault="000E2E02" w:rsidP="00AE37E2">
            <w:pPr>
              <w:spacing w:after="0"/>
              <w:ind w:left="0"/>
              <w:rPr>
                <w:rFonts w:ascii="Arial Narrow" w:hAnsi="Arial Narrow"/>
                <w:sz w:val="18"/>
                <w:szCs w:val="18"/>
              </w:rPr>
            </w:pPr>
          </w:p>
          <w:p w:rsidR="000E2E02" w:rsidRPr="00361416" w:rsidRDefault="000E2E02" w:rsidP="00AE37E2">
            <w:pPr>
              <w:spacing w:after="0"/>
              <w:ind w:left="0"/>
              <w:rPr>
                <w:rFonts w:ascii="Arial Narrow" w:hAnsi="Arial Narrow"/>
                <w:sz w:val="18"/>
                <w:szCs w:val="18"/>
              </w:rPr>
            </w:pPr>
            <w:r w:rsidRPr="00361416">
              <w:rPr>
                <w:rFonts w:ascii="Arial Narrow" w:hAnsi="Arial Narrow"/>
                <w:sz w:val="18"/>
                <w:szCs w:val="18"/>
              </w:rPr>
              <w:t xml:space="preserve">Exclusion criteria: </w:t>
            </w:r>
            <w:r w:rsidR="00E446E5" w:rsidRPr="00361416">
              <w:rPr>
                <w:rFonts w:ascii="Arial Narrow" w:hAnsi="Arial Narrow"/>
                <w:sz w:val="18"/>
                <w:szCs w:val="18"/>
              </w:rPr>
              <w:t>NR</w:t>
            </w:r>
          </w:p>
          <w:p w:rsidR="00344ADF" w:rsidRPr="00361416" w:rsidRDefault="00344ADF" w:rsidP="00AE37E2">
            <w:pPr>
              <w:spacing w:after="0"/>
              <w:ind w:left="0"/>
              <w:rPr>
                <w:rFonts w:ascii="Arial Narrow" w:hAnsi="Arial Narrow"/>
                <w:sz w:val="18"/>
                <w:szCs w:val="18"/>
              </w:rPr>
            </w:pPr>
          </w:p>
          <w:p w:rsidR="00344ADF" w:rsidRPr="00361416" w:rsidRDefault="00344ADF" w:rsidP="00AE37E2">
            <w:pPr>
              <w:spacing w:after="0"/>
              <w:ind w:left="0"/>
              <w:rPr>
                <w:rFonts w:ascii="Arial Narrow" w:hAnsi="Arial Narrow"/>
                <w:sz w:val="18"/>
                <w:szCs w:val="18"/>
              </w:rPr>
            </w:pPr>
            <w:r w:rsidRPr="00361416">
              <w:rPr>
                <w:rFonts w:ascii="Arial Narrow" w:hAnsi="Arial Narrow"/>
                <w:sz w:val="18"/>
                <w:szCs w:val="18"/>
              </w:rPr>
              <w:t>Patients excluded: NR</w:t>
            </w:r>
          </w:p>
          <w:p w:rsidR="00344ADF" w:rsidRPr="00361416" w:rsidRDefault="00344ADF" w:rsidP="00AE37E2">
            <w:pPr>
              <w:spacing w:after="0"/>
              <w:ind w:left="0"/>
              <w:rPr>
                <w:rFonts w:ascii="Arial Narrow" w:hAnsi="Arial Narrow"/>
                <w:sz w:val="18"/>
                <w:szCs w:val="18"/>
              </w:rPr>
            </w:pPr>
          </w:p>
          <w:p w:rsidR="00344ADF" w:rsidRPr="00361416" w:rsidRDefault="00344ADF" w:rsidP="00AE37E2">
            <w:pPr>
              <w:spacing w:after="0"/>
              <w:ind w:left="0"/>
              <w:rPr>
                <w:rFonts w:ascii="Arial Narrow" w:hAnsi="Arial Narrow"/>
                <w:sz w:val="18"/>
                <w:szCs w:val="18"/>
              </w:rPr>
            </w:pPr>
          </w:p>
          <w:p w:rsidR="00344ADF" w:rsidRPr="00361416" w:rsidRDefault="00344ADF" w:rsidP="00AE37E2">
            <w:pPr>
              <w:spacing w:after="0"/>
              <w:ind w:left="0"/>
              <w:rPr>
                <w:rFonts w:ascii="Arial Narrow" w:hAnsi="Arial Narrow"/>
                <w:sz w:val="18"/>
                <w:szCs w:val="18"/>
              </w:rPr>
            </w:pPr>
          </w:p>
          <w:p w:rsidR="00344ADF" w:rsidRPr="00361416" w:rsidRDefault="00344ADF" w:rsidP="00AE37E2">
            <w:pPr>
              <w:spacing w:after="0"/>
              <w:ind w:left="0"/>
              <w:rPr>
                <w:rFonts w:ascii="Arial Narrow" w:hAnsi="Arial Narrow"/>
                <w:sz w:val="18"/>
                <w:szCs w:val="18"/>
              </w:rPr>
            </w:pPr>
          </w:p>
        </w:tc>
      </w:tr>
      <w:tr w:rsidR="00FA5C4F" w:rsidRPr="00361416" w:rsidTr="0006338A">
        <w:trPr>
          <w:trHeight w:val="3159"/>
        </w:trPr>
        <w:tc>
          <w:tcPr>
            <w:tcW w:w="1691" w:type="dxa"/>
            <w:tcBorders>
              <w:top w:val="nil"/>
              <w:bottom w:val="single" w:sz="12" w:space="0" w:color="auto"/>
            </w:tcBorders>
            <w:shd w:val="clear" w:color="auto" w:fill="auto"/>
          </w:tcPr>
          <w:p w:rsidR="000E2E02" w:rsidRPr="00361416" w:rsidRDefault="00E446E5" w:rsidP="00AE37E2">
            <w:pPr>
              <w:spacing w:after="0"/>
              <w:ind w:left="0"/>
              <w:rPr>
                <w:rFonts w:ascii="Arial Narrow" w:hAnsi="Arial Narrow"/>
                <w:sz w:val="18"/>
                <w:szCs w:val="18"/>
              </w:rPr>
            </w:pPr>
            <w:r w:rsidRPr="00361416">
              <w:rPr>
                <w:rFonts w:ascii="Arial Narrow" w:hAnsi="Arial Narrow"/>
                <w:sz w:val="18"/>
                <w:szCs w:val="18"/>
              </w:rPr>
              <w:t>Xinopoulos et al (2004), Greece</w:t>
            </w:r>
          </w:p>
        </w:tc>
        <w:tc>
          <w:tcPr>
            <w:tcW w:w="992" w:type="dxa"/>
            <w:tcBorders>
              <w:top w:val="nil"/>
              <w:bottom w:val="single" w:sz="12" w:space="0" w:color="auto"/>
            </w:tcBorders>
            <w:shd w:val="clear" w:color="auto" w:fill="auto"/>
          </w:tcPr>
          <w:p w:rsidR="00E446E5" w:rsidRPr="00361416" w:rsidRDefault="00E446E5" w:rsidP="00AE37E2">
            <w:pPr>
              <w:spacing w:after="0"/>
              <w:ind w:left="0"/>
              <w:rPr>
                <w:rFonts w:ascii="Arial Narrow" w:hAnsi="Arial Narrow"/>
                <w:sz w:val="18"/>
                <w:szCs w:val="18"/>
              </w:rPr>
            </w:pPr>
            <w:r w:rsidRPr="00361416">
              <w:rPr>
                <w:rFonts w:ascii="Arial Narrow" w:hAnsi="Arial Narrow"/>
                <w:sz w:val="18"/>
                <w:szCs w:val="18"/>
              </w:rPr>
              <w:t>Total:</w:t>
            </w:r>
            <w:r w:rsidR="005560DB">
              <w:rPr>
                <w:rFonts w:ascii="Arial Narrow" w:hAnsi="Arial Narrow"/>
                <w:sz w:val="18"/>
                <w:szCs w:val="18"/>
              </w:rPr>
              <w:t xml:space="preserve"> </w:t>
            </w:r>
            <w:r w:rsidRPr="00361416">
              <w:rPr>
                <w:rFonts w:ascii="Arial Narrow" w:hAnsi="Arial Narrow"/>
                <w:sz w:val="18"/>
                <w:szCs w:val="18"/>
              </w:rPr>
              <w:t>30</w:t>
            </w:r>
          </w:p>
          <w:p w:rsidR="00E446E5" w:rsidRPr="00361416" w:rsidRDefault="00E446E5" w:rsidP="00AE37E2">
            <w:pPr>
              <w:spacing w:after="0"/>
              <w:ind w:left="0"/>
              <w:rPr>
                <w:rFonts w:ascii="Arial Narrow" w:hAnsi="Arial Narrow"/>
                <w:sz w:val="18"/>
                <w:szCs w:val="18"/>
              </w:rPr>
            </w:pPr>
          </w:p>
          <w:p w:rsidR="0071538D" w:rsidRPr="00361416" w:rsidRDefault="00E446E5" w:rsidP="00AE37E2">
            <w:pPr>
              <w:spacing w:after="0"/>
              <w:ind w:left="0"/>
              <w:rPr>
                <w:rFonts w:ascii="Arial Narrow" w:hAnsi="Arial Narrow"/>
                <w:sz w:val="18"/>
                <w:szCs w:val="18"/>
              </w:rPr>
            </w:pPr>
            <w:r w:rsidRPr="00361416">
              <w:rPr>
                <w:rFonts w:ascii="Arial Narrow" w:hAnsi="Arial Narrow"/>
                <w:sz w:val="18"/>
                <w:szCs w:val="18"/>
              </w:rPr>
              <w:t>SEMS:</w:t>
            </w:r>
            <w:r w:rsidR="005560DB">
              <w:rPr>
                <w:rFonts w:ascii="Arial Narrow" w:hAnsi="Arial Narrow"/>
                <w:sz w:val="18"/>
                <w:szCs w:val="18"/>
              </w:rPr>
              <w:t xml:space="preserve"> </w:t>
            </w:r>
            <w:r w:rsidRPr="00361416">
              <w:rPr>
                <w:rFonts w:ascii="Arial Narrow" w:hAnsi="Arial Narrow"/>
                <w:sz w:val="18"/>
                <w:szCs w:val="18"/>
              </w:rPr>
              <w:t>15</w:t>
            </w:r>
          </w:p>
          <w:p w:rsidR="0071538D" w:rsidRPr="00361416" w:rsidRDefault="0071538D" w:rsidP="00AE37E2">
            <w:pPr>
              <w:spacing w:after="0"/>
              <w:ind w:left="0"/>
              <w:rPr>
                <w:rFonts w:ascii="Arial Narrow" w:hAnsi="Arial Narrow"/>
                <w:sz w:val="18"/>
                <w:szCs w:val="18"/>
              </w:rPr>
            </w:pPr>
          </w:p>
          <w:p w:rsidR="000E2E02" w:rsidRPr="00361416" w:rsidRDefault="00E446E5" w:rsidP="00AE37E2">
            <w:pPr>
              <w:spacing w:after="0"/>
              <w:ind w:left="0"/>
              <w:rPr>
                <w:rFonts w:ascii="Arial Narrow" w:hAnsi="Arial Narrow"/>
                <w:sz w:val="18"/>
                <w:szCs w:val="18"/>
              </w:rPr>
            </w:pPr>
            <w:r w:rsidRPr="00361416">
              <w:rPr>
                <w:rFonts w:ascii="Arial Narrow" w:hAnsi="Arial Narrow"/>
                <w:sz w:val="18"/>
                <w:szCs w:val="18"/>
              </w:rPr>
              <w:t>Surgery:</w:t>
            </w:r>
            <w:r w:rsidR="005560DB">
              <w:rPr>
                <w:rFonts w:ascii="Arial Narrow" w:hAnsi="Arial Narrow"/>
                <w:sz w:val="18"/>
                <w:szCs w:val="18"/>
              </w:rPr>
              <w:t xml:space="preserve"> </w:t>
            </w:r>
            <w:r w:rsidRPr="00361416">
              <w:rPr>
                <w:rFonts w:ascii="Arial Narrow" w:hAnsi="Arial Narrow"/>
                <w:sz w:val="18"/>
                <w:szCs w:val="18"/>
              </w:rPr>
              <w:t>15</w:t>
            </w:r>
          </w:p>
        </w:tc>
        <w:tc>
          <w:tcPr>
            <w:tcW w:w="1134" w:type="dxa"/>
            <w:tcBorders>
              <w:top w:val="nil"/>
              <w:bottom w:val="single" w:sz="12" w:space="0" w:color="auto"/>
            </w:tcBorders>
            <w:shd w:val="clear" w:color="auto" w:fill="auto"/>
          </w:tcPr>
          <w:p w:rsidR="00E446E5" w:rsidRPr="00361416" w:rsidRDefault="00E446E5" w:rsidP="00AE37E2">
            <w:pPr>
              <w:spacing w:after="0"/>
              <w:ind w:left="0"/>
              <w:rPr>
                <w:rFonts w:ascii="Arial Narrow" w:hAnsi="Arial Narrow"/>
                <w:sz w:val="18"/>
                <w:szCs w:val="18"/>
              </w:rPr>
            </w:pPr>
            <w:r w:rsidRPr="00361416">
              <w:rPr>
                <w:rFonts w:ascii="Arial Narrow" w:hAnsi="Arial Narrow"/>
                <w:sz w:val="18"/>
                <w:szCs w:val="18"/>
              </w:rPr>
              <w:t>Total:</w:t>
            </w:r>
            <w:r w:rsidRPr="00361416">
              <w:t xml:space="preserve"> </w:t>
            </w:r>
            <w:r w:rsidRPr="00361416">
              <w:rPr>
                <w:rFonts w:ascii="Arial Narrow" w:hAnsi="Arial Narrow"/>
                <w:sz w:val="18"/>
                <w:szCs w:val="18"/>
              </w:rPr>
              <w:t>16/14</w:t>
            </w:r>
          </w:p>
          <w:p w:rsidR="00E446E5" w:rsidRPr="00361416" w:rsidRDefault="00E446E5" w:rsidP="00AE37E2">
            <w:pPr>
              <w:spacing w:after="0"/>
              <w:ind w:left="0"/>
              <w:rPr>
                <w:rFonts w:ascii="Arial Narrow" w:hAnsi="Arial Narrow"/>
                <w:sz w:val="18"/>
                <w:szCs w:val="18"/>
              </w:rPr>
            </w:pPr>
          </w:p>
          <w:p w:rsidR="0071538D" w:rsidRPr="00361416" w:rsidRDefault="00E446E5" w:rsidP="00AE37E2">
            <w:pPr>
              <w:spacing w:after="0"/>
              <w:ind w:left="0"/>
              <w:rPr>
                <w:rFonts w:ascii="Arial Narrow" w:hAnsi="Arial Narrow"/>
                <w:sz w:val="18"/>
                <w:szCs w:val="18"/>
              </w:rPr>
            </w:pPr>
            <w:r w:rsidRPr="00361416">
              <w:rPr>
                <w:rFonts w:ascii="Arial Narrow" w:hAnsi="Arial Narrow"/>
                <w:sz w:val="18"/>
                <w:szCs w:val="18"/>
              </w:rPr>
              <w:t>SEMS:</w:t>
            </w:r>
            <w:r w:rsidRPr="00361416">
              <w:t xml:space="preserve"> </w:t>
            </w:r>
            <w:r w:rsidRPr="00361416">
              <w:rPr>
                <w:rFonts w:ascii="Arial Narrow" w:hAnsi="Arial Narrow"/>
                <w:sz w:val="18"/>
                <w:szCs w:val="18"/>
              </w:rPr>
              <w:t xml:space="preserve">9/6   </w:t>
            </w:r>
          </w:p>
          <w:p w:rsidR="0071538D" w:rsidRPr="00361416" w:rsidRDefault="0071538D" w:rsidP="00AE37E2">
            <w:pPr>
              <w:spacing w:after="0"/>
              <w:ind w:left="0"/>
              <w:rPr>
                <w:rFonts w:ascii="Arial Narrow" w:hAnsi="Arial Narrow"/>
                <w:sz w:val="18"/>
                <w:szCs w:val="18"/>
              </w:rPr>
            </w:pPr>
          </w:p>
          <w:p w:rsidR="000E2E02" w:rsidRPr="00361416" w:rsidRDefault="00E446E5" w:rsidP="00AE37E2">
            <w:pPr>
              <w:spacing w:after="0"/>
              <w:ind w:left="0"/>
              <w:rPr>
                <w:rFonts w:ascii="Arial Narrow" w:hAnsi="Arial Narrow"/>
                <w:sz w:val="18"/>
                <w:szCs w:val="18"/>
              </w:rPr>
            </w:pPr>
            <w:r w:rsidRPr="00361416">
              <w:rPr>
                <w:rFonts w:ascii="Arial Narrow" w:hAnsi="Arial Narrow"/>
                <w:sz w:val="18"/>
                <w:szCs w:val="18"/>
              </w:rPr>
              <w:t>Surgery:</w:t>
            </w:r>
            <w:r w:rsidRPr="00361416">
              <w:t xml:space="preserve"> </w:t>
            </w:r>
            <w:r w:rsidRPr="00361416">
              <w:rPr>
                <w:rFonts w:ascii="Arial Narrow" w:hAnsi="Arial Narrow"/>
                <w:sz w:val="18"/>
                <w:szCs w:val="18"/>
              </w:rPr>
              <w:t>7/8</w:t>
            </w:r>
          </w:p>
        </w:tc>
        <w:tc>
          <w:tcPr>
            <w:tcW w:w="1843" w:type="dxa"/>
            <w:tcBorders>
              <w:top w:val="nil"/>
              <w:bottom w:val="single" w:sz="12" w:space="0" w:color="auto"/>
            </w:tcBorders>
            <w:shd w:val="clear" w:color="auto" w:fill="auto"/>
          </w:tcPr>
          <w:p w:rsidR="00E446E5" w:rsidRPr="00361416" w:rsidRDefault="00E446E5" w:rsidP="00AE37E2">
            <w:pPr>
              <w:spacing w:after="0"/>
              <w:ind w:left="0"/>
              <w:rPr>
                <w:rFonts w:ascii="Arial Narrow" w:hAnsi="Arial Narrow"/>
                <w:sz w:val="18"/>
                <w:szCs w:val="18"/>
              </w:rPr>
            </w:pPr>
            <w:r w:rsidRPr="00361416">
              <w:rPr>
                <w:rFonts w:ascii="Arial Narrow" w:hAnsi="Arial Narrow"/>
                <w:sz w:val="18"/>
                <w:szCs w:val="18"/>
              </w:rPr>
              <w:t>Total:</w:t>
            </w:r>
            <w:r w:rsidRPr="00361416">
              <w:t xml:space="preserve"> </w:t>
            </w:r>
            <w:r w:rsidRPr="00361416">
              <w:rPr>
                <w:rFonts w:ascii="Arial Narrow" w:hAnsi="Arial Narrow"/>
                <w:sz w:val="18"/>
                <w:szCs w:val="18"/>
              </w:rPr>
              <w:t>72.4 years</w:t>
            </w:r>
          </w:p>
          <w:p w:rsidR="00E446E5" w:rsidRPr="00361416" w:rsidRDefault="00E446E5" w:rsidP="00AE37E2">
            <w:pPr>
              <w:spacing w:after="0"/>
              <w:ind w:left="0"/>
              <w:rPr>
                <w:rFonts w:ascii="Arial Narrow" w:hAnsi="Arial Narrow"/>
                <w:sz w:val="18"/>
                <w:szCs w:val="18"/>
              </w:rPr>
            </w:pPr>
          </w:p>
          <w:p w:rsidR="00E446E5" w:rsidRPr="00361416" w:rsidRDefault="00E446E5" w:rsidP="00AE37E2">
            <w:pPr>
              <w:spacing w:after="0"/>
              <w:ind w:left="0"/>
              <w:rPr>
                <w:rFonts w:ascii="Arial Narrow" w:hAnsi="Arial Narrow"/>
                <w:sz w:val="18"/>
                <w:szCs w:val="18"/>
              </w:rPr>
            </w:pPr>
            <w:r w:rsidRPr="00361416">
              <w:rPr>
                <w:rFonts w:ascii="Arial Narrow" w:hAnsi="Arial Narrow"/>
                <w:sz w:val="18"/>
                <w:szCs w:val="18"/>
              </w:rPr>
              <w:t>SEMS: NR</w:t>
            </w:r>
          </w:p>
          <w:p w:rsidR="00E446E5" w:rsidRPr="00361416" w:rsidRDefault="00E446E5" w:rsidP="00AE37E2">
            <w:pPr>
              <w:spacing w:after="0"/>
              <w:ind w:left="0"/>
              <w:rPr>
                <w:rFonts w:ascii="Arial Narrow" w:hAnsi="Arial Narrow"/>
                <w:sz w:val="18"/>
                <w:szCs w:val="18"/>
              </w:rPr>
            </w:pPr>
          </w:p>
          <w:p w:rsidR="000E2E02" w:rsidRPr="00361416" w:rsidRDefault="00E446E5" w:rsidP="00AE37E2">
            <w:pPr>
              <w:spacing w:after="0"/>
              <w:ind w:left="0"/>
              <w:rPr>
                <w:rFonts w:ascii="Arial Narrow" w:hAnsi="Arial Narrow"/>
                <w:sz w:val="18"/>
                <w:szCs w:val="18"/>
              </w:rPr>
            </w:pPr>
            <w:r w:rsidRPr="00361416">
              <w:rPr>
                <w:rFonts w:ascii="Arial Narrow" w:hAnsi="Arial Narrow"/>
                <w:sz w:val="18"/>
                <w:szCs w:val="18"/>
              </w:rPr>
              <w:t>Surgery: NR</w:t>
            </w:r>
          </w:p>
        </w:tc>
        <w:tc>
          <w:tcPr>
            <w:tcW w:w="2551" w:type="dxa"/>
            <w:tcBorders>
              <w:top w:val="nil"/>
              <w:bottom w:val="single" w:sz="12" w:space="0" w:color="auto"/>
            </w:tcBorders>
            <w:shd w:val="clear" w:color="auto" w:fill="auto"/>
          </w:tcPr>
          <w:p w:rsidR="0071538D" w:rsidRPr="00361416" w:rsidRDefault="0071538D" w:rsidP="00AE37E2">
            <w:pPr>
              <w:spacing w:after="0"/>
              <w:ind w:left="0"/>
              <w:rPr>
                <w:rFonts w:ascii="Arial Narrow" w:hAnsi="Arial Narrow"/>
                <w:sz w:val="18"/>
                <w:szCs w:val="18"/>
              </w:rPr>
            </w:pPr>
            <w:r w:rsidRPr="00361416">
              <w:rPr>
                <w:rFonts w:ascii="Arial Narrow" w:hAnsi="Arial Narrow"/>
                <w:sz w:val="18"/>
                <w:szCs w:val="18"/>
              </w:rPr>
              <w:t>Type of obstruction</w:t>
            </w:r>
          </w:p>
          <w:p w:rsidR="0071538D" w:rsidRPr="00361416" w:rsidRDefault="0071538D" w:rsidP="00AE37E2">
            <w:pPr>
              <w:spacing w:after="0"/>
              <w:ind w:left="0"/>
              <w:rPr>
                <w:rFonts w:ascii="Arial Narrow" w:hAnsi="Arial Narrow"/>
                <w:sz w:val="18"/>
                <w:szCs w:val="18"/>
              </w:rPr>
            </w:pPr>
            <w:r w:rsidRPr="00361416">
              <w:rPr>
                <w:rFonts w:ascii="Arial Narrow" w:hAnsi="Arial Narrow"/>
                <w:sz w:val="18"/>
                <w:szCs w:val="18"/>
              </w:rPr>
              <w:t>Partial:</w:t>
            </w:r>
            <w:r w:rsidR="00AE78DE" w:rsidRPr="00361416">
              <w:rPr>
                <w:rFonts w:ascii="Arial Narrow" w:hAnsi="Arial Narrow"/>
                <w:sz w:val="18"/>
                <w:szCs w:val="18"/>
              </w:rPr>
              <w:t>30</w:t>
            </w:r>
            <w:r w:rsidR="003C6263" w:rsidRPr="003C6263">
              <w:rPr>
                <w:rFonts w:ascii="Arial Narrow" w:hAnsi="Arial Narrow"/>
                <w:sz w:val="18"/>
                <w:szCs w:val="18"/>
                <w:vertAlign w:val="superscript"/>
              </w:rPr>
              <w:t>a</w:t>
            </w:r>
            <w:r w:rsidR="003900BE">
              <w:rPr>
                <w:rFonts w:ascii="Arial Narrow" w:hAnsi="Arial Narrow"/>
                <w:sz w:val="18"/>
                <w:szCs w:val="18"/>
              </w:rPr>
              <w:t xml:space="preserve"> (100%)</w:t>
            </w:r>
            <w:r w:rsidR="00F013CB" w:rsidRPr="00361416">
              <w:rPr>
                <w:rFonts w:ascii="Arial Narrow" w:hAnsi="Arial Narrow"/>
                <w:sz w:val="18"/>
                <w:szCs w:val="18"/>
              </w:rPr>
              <w:t xml:space="preserve">; </w:t>
            </w:r>
            <w:r w:rsidRPr="00361416">
              <w:rPr>
                <w:rFonts w:ascii="Arial Narrow" w:hAnsi="Arial Narrow"/>
                <w:sz w:val="18"/>
                <w:szCs w:val="18"/>
              </w:rPr>
              <w:t>Complete</w:t>
            </w:r>
            <w:r w:rsidR="00AE78DE" w:rsidRPr="00361416">
              <w:rPr>
                <w:rFonts w:ascii="Arial Narrow" w:hAnsi="Arial Narrow"/>
                <w:sz w:val="18"/>
                <w:szCs w:val="18"/>
              </w:rPr>
              <w:t>: 0</w:t>
            </w:r>
          </w:p>
          <w:p w:rsidR="0071538D" w:rsidRPr="00361416" w:rsidRDefault="0071538D" w:rsidP="00AE37E2">
            <w:pPr>
              <w:spacing w:after="0"/>
              <w:ind w:left="0"/>
              <w:rPr>
                <w:rFonts w:ascii="Arial Narrow" w:hAnsi="Arial Narrow"/>
                <w:sz w:val="18"/>
                <w:szCs w:val="18"/>
              </w:rPr>
            </w:pPr>
          </w:p>
          <w:p w:rsidR="0071538D" w:rsidRPr="00361416" w:rsidRDefault="00AE78DE" w:rsidP="00AE37E2">
            <w:pPr>
              <w:spacing w:after="0"/>
              <w:ind w:left="0"/>
              <w:rPr>
                <w:rFonts w:ascii="Arial Narrow" w:hAnsi="Arial Narrow"/>
                <w:sz w:val="18"/>
                <w:szCs w:val="18"/>
              </w:rPr>
            </w:pPr>
            <w:r w:rsidRPr="00361416">
              <w:rPr>
                <w:rFonts w:ascii="Arial Narrow" w:hAnsi="Arial Narrow"/>
                <w:sz w:val="18"/>
                <w:szCs w:val="18"/>
              </w:rPr>
              <w:t>Location of obstruction</w:t>
            </w:r>
          </w:p>
          <w:p w:rsidR="0071538D" w:rsidRPr="00361416" w:rsidRDefault="00AE78DE" w:rsidP="00AE37E2">
            <w:pPr>
              <w:spacing w:after="0"/>
              <w:ind w:left="0"/>
              <w:rPr>
                <w:rFonts w:ascii="Arial Narrow" w:hAnsi="Arial Narrow"/>
                <w:sz w:val="18"/>
                <w:szCs w:val="18"/>
              </w:rPr>
            </w:pPr>
            <w:r w:rsidRPr="00361416">
              <w:rPr>
                <w:rFonts w:ascii="Arial Narrow" w:hAnsi="Arial Narrow"/>
                <w:sz w:val="18"/>
                <w:szCs w:val="18"/>
              </w:rPr>
              <w:t>Rectosigmoid:</w:t>
            </w:r>
            <w:r w:rsidR="00017BD7">
              <w:rPr>
                <w:rFonts w:ascii="Arial Narrow" w:hAnsi="Arial Narrow"/>
                <w:sz w:val="18"/>
                <w:szCs w:val="18"/>
              </w:rPr>
              <w:t xml:space="preserve"> </w:t>
            </w:r>
            <w:r w:rsidR="00F013CB" w:rsidRPr="00361416">
              <w:rPr>
                <w:rFonts w:ascii="Arial Narrow" w:hAnsi="Arial Narrow"/>
                <w:sz w:val="18"/>
                <w:szCs w:val="18"/>
              </w:rPr>
              <w:t>18</w:t>
            </w:r>
            <w:r w:rsidR="00017BD7">
              <w:rPr>
                <w:rFonts w:ascii="Arial Narrow" w:hAnsi="Arial Narrow"/>
                <w:sz w:val="18"/>
                <w:szCs w:val="18"/>
              </w:rPr>
              <w:t xml:space="preserve"> (60%)</w:t>
            </w:r>
            <w:r w:rsidR="00F013CB" w:rsidRPr="00361416">
              <w:rPr>
                <w:rFonts w:ascii="Arial Narrow" w:hAnsi="Arial Narrow"/>
                <w:sz w:val="18"/>
                <w:szCs w:val="18"/>
              </w:rPr>
              <w:t xml:space="preserve">; </w:t>
            </w:r>
            <w:r w:rsidRPr="00361416">
              <w:rPr>
                <w:rFonts w:ascii="Arial Narrow" w:hAnsi="Arial Narrow"/>
                <w:sz w:val="18"/>
                <w:szCs w:val="18"/>
              </w:rPr>
              <w:t>Sigmoid colon:</w:t>
            </w:r>
            <w:r w:rsidR="00017BD7">
              <w:rPr>
                <w:rFonts w:ascii="Arial Narrow" w:hAnsi="Arial Narrow"/>
                <w:sz w:val="18"/>
                <w:szCs w:val="18"/>
              </w:rPr>
              <w:t xml:space="preserve"> </w:t>
            </w:r>
            <w:r w:rsidRPr="00361416">
              <w:rPr>
                <w:rFonts w:ascii="Arial Narrow" w:hAnsi="Arial Narrow"/>
                <w:sz w:val="18"/>
                <w:szCs w:val="18"/>
              </w:rPr>
              <w:t>12</w:t>
            </w:r>
            <w:r w:rsidR="00017BD7">
              <w:rPr>
                <w:rFonts w:ascii="Arial Narrow" w:hAnsi="Arial Narrow"/>
                <w:sz w:val="18"/>
                <w:szCs w:val="18"/>
              </w:rPr>
              <w:t xml:space="preserve"> (40%)</w:t>
            </w:r>
          </w:p>
          <w:p w:rsidR="0071538D" w:rsidRPr="00361416" w:rsidRDefault="0071538D" w:rsidP="00AE37E2">
            <w:pPr>
              <w:spacing w:after="0"/>
              <w:ind w:left="0"/>
              <w:rPr>
                <w:rFonts w:ascii="Arial Narrow" w:hAnsi="Arial Narrow"/>
                <w:sz w:val="18"/>
                <w:szCs w:val="18"/>
              </w:rPr>
            </w:pPr>
          </w:p>
          <w:p w:rsidR="0071538D" w:rsidRPr="00361416" w:rsidRDefault="0071538D" w:rsidP="00AE37E2">
            <w:pPr>
              <w:spacing w:after="0"/>
              <w:ind w:left="0"/>
              <w:rPr>
                <w:rFonts w:ascii="Arial Narrow" w:hAnsi="Arial Narrow"/>
                <w:sz w:val="18"/>
                <w:szCs w:val="18"/>
              </w:rPr>
            </w:pPr>
            <w:r w:rsidRPr="00361416">
              <w:rPr>
                <w:rFonts w:ascii="Arial Narrow" w:hAnsi="Arial Narrow"/>
                <w:sz w:val="18"/>
                <w:szCs w:val="18"/>
              </w:rPr>
              <w:t xml:space="preserve">Length of stenosis (mean): </w:t>
            </w:r>
            <w:r w:rsidR="00AE78DE" w:rsidRPr="00361416">
              <w:rPr>
                <w:rFonts w:ascii="Arial Narrow" w:hAnsi="Arial Narrow"/>
                <w:sz w:val="18"/>
                <w:szCs w:val="18"/>
              </w:rPr>
              <w:t>4.2 cm (range 3-6)</w:t>
            </w:r>
          </w:p>
          <w:p w:rsidR="00AE78DE" w:rsidRPr="00361416" w:rsidRDefault="00AE78DE" w:rsidP="00AE37E2">
            <w:pPr>
              <w:spacing w:after="0"/>
              <w:ind w:left="0"/>
              <w:rPr>
                <w:rFonts w:ascii="Arial Narrow" w:hAnsi="Arial Narrow"/>
                <w:sz w:val="18"/>
                <w:szCs w:val="18"/>
              </w:rPr>
            </w:pPr>
          </w:p>
          <w:p w:rsidR="0071538D" w:rsidRPr="00361416" w:rsidRDefault="0071538D" w:rsidP="00AE37E2">
            <w:pPr>
              <w:spacing w:after="0"/>
              <w:ind w:left="0"/>
              <w:rPr>
                <w:rFonts w:ascii="Arial Narrow" w:hAnsi="Arial Narrow"/>
                <w:sz w:val="18"/>
                <w:szCs w:val="18"/>
              </w:rPr>
            </w:pPr>
            <w:r w:rsidRPr="00361416">
              <w:rPr>
                <w:rFonts w:ascii="Arial Narrow" w:hAnsi="Arial Narrow"/>
                <w:sz w:val="18"/>
                <w:szCs w:val="18"/>
              </w:rPr>
              <w:t xml:space="preserve">Diagnosis </w:t>
            </w:r>
          </w:p>
          <w:p w:rsidR="0071538D" w:rsidRPr="00361416" w:rsidRDefault="0071538D" w:rsidP="00AE37E2">
            <w:pPr>
              <w:spacing w:after="0"/>
              <w:ind w:left="0"/>
              <w:rPr>
                <w:rFonts w:ascii="Arial Narrow" w:hAnsi="Arial Narrow"/>
                <w:sz w:val="18"/>
                <w:szCs w:val="18"/>
              </w:rPr>
            </w:pPr>
            <w:r w:rsidRPr="00361416">
              <w:rPr>
                <w:rFonts w:ascii="Arial Narrow" w:hAnsi="Arial Narrow"/>
                <w:sz w:val="18"/>
                <w:szCs w:val="18"/>
              </w:rPr>
              <w:t>Benign:</w:t>
            </w:r>
            <w:r w:rsidR="00017BD7">
              <w:rPr>
                <w:rFonts w:ascii="Arial Narrow" w:hAnsi="Arial Narrow"/>
                <w:sz w:val="18"/>
                <w:szCs w:val="18"/>
              </w:rPr>
              <w:t xml:space="preserve"> </w:t>
            </w:r>
            <w:r w:rsidR="00AE78DE" w:rsidRPr="00361416">
              <w:rPr>
                <w:rFonts w:ascii="Arial Narrow" w:hAnsi="Arial Narrow"/>
                <w:sz w:val="18"/>
                <w:szCs w:val="18"/>
              </w:rPr>
              <w:t>0</w:t>
            </w:r>
            <w:r w:rsidR="00F013CB" w:rsidRPr="00361416">
              <w:rPr>
                <w:rFonts w:ascii="Arial Narrow" w:hAnsi="Arial Narrow"/>
                <w:sz w:val="18"/>
                <w:szCs w:val="18"/>
              </w:rPr>
              <w:t xml:space="preserve">; </w:t>
            </w:r>
            <w:r w:rsidRPr="00361416">
              <w:rPr>
                <w:rFonts w:ascii="Arial Narrow" w:hAnsi="Arial Narrow"/>
                <w:sz w:val="18"/>
                <w:szCs w:val="18"/>
              </w:rPr>
              <w:t>Malignant:</w:t>
            </w:r>
            <w:r w:rsidR="00017BD7">
              <w:rPr>
                <w:rFonts w:ascii="Arial Narrow" w:hAnsi="Arial Narrow"/>
                <w:sz w:val="18"/>
                <w:szCs w:val="18"/>
              </w:rPr>
              <w:t xml:space="preserve"> </w:t>
            </w:r>
            <w:r w:rsidR="00AE78DE" w:rsidRPr="00361416">
              <w:rPr>
                <w:rFonts w:ascii="Arial Narrow" w:hAnsi="Arial Narrow"/>
                <w:sz w:val="18"/>
                <w:szCs w:val="18"/>
              </w:rPr>
              <w:t>30</w:t>
            </w:r>
            <w:r w:rsidR="00017BD7">
              <w:rPr>
                <w:rFonts w:ascii="Arial Narrow" w:hAnsi="Arial Narrow"/>
                <w:sz w:val="18"/>
                <w:szCs w:val="18"/>
              </w:rPr>
              <w:t xml:space="preserve"> (100%)</w:t>
            </w:r>
          </w:p>
          <w:p w:rsidR="0071538D" w:rsidRPr="00361416" w:rsidRDefault="0071538D" w:rsidP="00AE37E2">
            <w:pPr>
              <w:spacing w:after="0"/>
              <w:ind w:left="0"/>
              <w:rPr>
                <w:rFonts w:ascii="Arial Narrow" w:hAnsi="Arial Narrow"/>
                <w:sz w:val="18"/>
                <w:szCs w:val="18"/>
              </w:rPr>
            </w:pPr>
          </w:p>
          <w:p w:rsidR="0071538D" w:rsidRPr="00361416" w:rsidRDefault="00AE78DE" w:rsidP="00AE37E2">
            <w:pPr>
              <w:spacing w:after="0"/>
              <w:ind w:left="0"/>
              <w:rPr>
                <w:rFonts w:ascii="Arial Narrow" w:hAnsi="Arial Narrow"/>
                <w:sz w:val="18"/>
                <w:szCs w:val="18"/>
              </w:rPr>
            </w:pPr>
            <w:r w:rsidRPr="00361416">
              <w:rPr>
                <w:rFonts w:ascii="Arial Narrow" w:hAnsi="Arial Narrow"/>
                <w:sz w:val="18"/>
                <w:szCs w:val="18"/>
              </w:rPr>
              <w:t>Site of metastases</w:t>
            </w:r>
          </w:p>
          <w:p w:rsidR="000E2E02" w:rsidRPr="00361416" w:rsidRDefault="00AE78DE" w:rsidP="00AE37E2">
            <w:pPr>
              <w:spacing w:after="0"/>
              <w:ind w:left="0"/>
              <w:rPr>
                <w:rFonts w:ascii="Arial Narrow" w:hAnsi="Arial Narrow"/>
                <w:sz w:val="18"/>
                <w:szCs w:val="18"/>
              </w:rPr>
            </w:pPr>
            <w:r w:rsidRPr="00361416">
              <w:rPr>
                <w:rFonts w:ascii="Arial Narrow" w:hAnsi="Arial Narrow"/>
                <w:sz w:val="18"/>
                <w:szCs w:val="18"/>
              </w:rPr>
              <w:t>Liver, lungs, bones and/or brain: 16</w:t>
            </w:r>
          </w:p>
        </w:tc>
        <w:tc>
          <w:tcPr>
            <w:tcW w:w="2880" w:type="dxa"/>
            <w:tcBorders>
              <w:top w:val="nil"/>
              <w:bottom w:val="single" w:sz="12" w:space="0" w:color="auto"/>
            </w:tcBorders>
            <w:shd w:val="clear" w:color="auto" w:fill="auto"/>
          </w:tcPr>
          <w:p w:rsidR="00AE78DE" w:rsidRPr="00361416" w:rsidRDefault="00F013CB" w:rsidP="00AE37E2">
            <w:pPr>
              <w:spacing w:after="0"/>
              <w:ind w:left="0"/>
              <w:rPr>
                <w:rFonts w:ascii="Arial Narrow" w:hAnsi="Arial Narrow"/>
                <w:sz w:val="18"/>
                <w:szCs w:val="18"/>
              </w:rPr>
            </w:pPr>
            <w:r w:rsidRPr="00361416">
              <w:rPr>
                <w:rFonts w:ascii="Arial Narrow" w:hAnsi="Arial Narrow"/>
                <w:sz w:val="18"/>
                <w:szCs w:val="18"/>
              </w:rPr>
              <w:t>Wallstent</w:t>
            </w:r>
            <w:r w:rsidR="00AE78DE" w:rsidRPr="00361416">
              <w:rPr>
                <w:rFonts w:ascii="Arial Narrow" w:hAnsi="Arial Narrow"/>
                <w:sz w:val="18"/>
                <w:szCs w:val="18"/>
              </w:rPr>
              <w:t xml:space="preserve"> (Boston Scientific)</w:t>
            </w:r>
          </w:p>
          <w:p w:rsidR="00AE78DE" w:rsidRPr="00361416" w:rsidRDefault="00AE78DE" w:rsidP="00AE37E2">
            <w:pPr>
              <w:spacing w:after="0"/>
              <w:ind w:left="0"/>
              <w:rPr>
                <w:rFonts w:ascii="Arial Narrow" w:hAnsi="Arial Narrow"/>
                <w:sz w:val="18"/>
                <w:szCs w:val="18"/>
              </w:rPr>
            </w:pPr>
          </w:p>
          <w:p w:rsidR="0071538D" w:rsidRPr="00361416" w:rsidRDefault="00F013CB" w:rsidP="00AE37E2">
            <w:pPr>
              <w:spacing w:after="0"/>
              <w:ind w:left="0"/>
              <w:rPr>
                <w:rFonts w:ascii="Arial Narrow" w:hAnsi="Arial Narrow"/>
                <w:sz w:val="18"/>
                <w:szCs w:val="18"/>
              </w:rPr>
            </w:pPr>
            <w:r w:rsidRPr="00361416">
              <w:rPr>
                <w:rFonts w:ascii="Arial Narrow" w:hAnsi="Arial Narrow"/>
                <w:sz w:val="18"/>
                <w:szCs w:val="18"/>
              </w:rPr>
              <w:t>Type of SEMS: uncovered</w:t>
            </w:r>
          </w:p>
          <w:p w:rsidR="0071538D" w:rsidRPr="00361416" w:rsidRDefault="0071538D" w:rsidP="00AE37E2">
            <w:pPr>
              <w:spacing w:after="0"/>
              <w:ind w:left="0"/>
              <w:rPr>
                <w:rFonts w:ascii="Arial Narrow" w:hAnsi="Arial Narrow"/>
                <w:sz w:val="18"/>
                <w:szCs w:val="18"/>
              </w:rPr>
            </w:pPr>
          </w:p>
          <w:p w:rsidR="000106D2" w:rsidRPr="00361416" w:rsidRDefault="000106D2" w:rsidP="00AE37E2">
            <w:pPr>
              <w:spacing w:after="0"/>
              <w:ind w:left="0"/>
              <w:rPr>
                <w:rFonts w:ascii="Arial Narrow" w:hAnsi="Arial Narrow"/>
                <w:sz w:val="18"/>
                <w:szCs w:val="18"/>
              </w:rPr>
            </w:pPr>
            <w:r w:rsidRPr="00361416">
              <w:rPr>
                <w:rFonts w:ascii="Arial Narrow" w:hAnsi="Arial Narrow"/>
                <w:sz w:val="18"/>
                <w:szCs w:val="18"/>
              </w:rPr>
              <w:t>Size of SEMS</w:t>
            </w:r>
          </w:p>
          <w:p w:rsidR="000106D2" w:rsidRPr="00361416" w:rsidRDefault="000106D2" w:rsidP="00AE37E2">
            <w:pPr>
              <w:spacing w:after="0"/>
              <w:ind w:left="0"/>
              <w:rPr>
                <w:rFonts w:ascii="Arial Narrow" w:hAnsi="Arial Narrow"/>
                <w:sz w:val="18"/>
                <w:szCs w:val="18"/>
              </w:rPr>
            </w:pPr>
            <w:r w:rsidRPr="00361416">
              <w:rPr>
                <w:rFonts w:ascii="Arial Narrow" w:hAnsi="Arial Narrow"/>
                <w:sz w:val="18"/>
                <w:szCs w:val="18"/>
              </w:rPr>
              <w:t xml:space="preserve">Length: </w:t>
            </w:r>
            <w:r w:rsidR="00F013CB" w:rsidRPr="00361416">
              <w:rPr>
                <w:rFonts w:ascii="Arial Narrow" w:hAnsi="Arial Narrow"/>
                <w:sz w:val="18"/>
                <w:szCs w:val="18"/>
              </w:rPr>
              <w:t xml:space="preserve">8cm; </w:t>
            </w:r>
            <w:r w:rsidRPr="00361416">
              <w:rPr>
                <w:rFonts w:ascii="Arial Narrow" w:hAnsi="Arial Narrow"/>
                <w:sz w:val="18"/>
                <w:szCs w:val="18"/>
              </w:rPr>
              <w:t xml:space="preserve">Diameter: </w:t>
            </w:r>
            <w:r w:rsidR="00F013CB" w:rsidRPr="00361416">
              <w:rPr>
                <w:rFonts w:ascii="Arial Narrow" w:hAnsi="Arial Narrow"/>
                <w:sz w:val="18"/>
                <w:szCs w:val="18"/>
              </w:rPr>
              <w:t>20-22</w:t>
            </w:r>
            <w:r w:rsidR="00FA39F7">
              <w:rPr>
                <w:rFonts w:ascii="Arial Narrow" w:hAnsi="Arial Narrow"/>
                <w:sz w:val="18"/>
                <w:szCs w:val="18"/>
              </w:rPr>
              <w:t xml:space="preserve"> mm</w:t>
            </w:r>
            <w:r w:rsidR="00F013CB" w:rsidRPr="00361416">
              <w:rPr>
                <w:rFonts w:ascii="Arial Narrow" w:hAnsi="Arial Narrow"/>
                <w:sz w:val="18"/>
                <w:szCs w:val="18"/>
              </w:rPr>
              <w:t xml:space="preserve"> </w:t>
            </w:r>
          </w:p>
          <w:p w:rsidR="00F013CB" w:rsidRPr="00361416" w:rsidRDefault="00F013CB" w:rsidP="00AE37E2">
            <w:pPr>
              <w:spacing w:after="0"/>
              <w:ind w:left="0"/>
              <w:rPr>
                <w:rFonts w:ascii="Arial Narrow" w:hAnsi="Arial Narrow"/>
                <w:sz w:val="18"/>
                <w:szCs w:val="18"/>
              </w:rPr>
            </w:pPr>
          </w:p>
          <w:p w:rsidR="0071538D" w:rsidRPr="00361416" w:rsidRDefault="0071538D" w:rsidP="00AE37E2">
            <w:pPr>
              <w:spacing w:after="0"/>
              <w:ind w:left="0"/>
              <w:rPr>
                <w:rFonts w:ascii="Arial Narrow" w:hAnsi="Arial Narrow"/>
                <w:sz w:val="18"/>
                <w:szCs w:val="18"/>
              </w:rPr>
            </w:pPr>
            <w:r w:rsidRPr="00361416">
              <w:rPr>
                <w:rFonts w:ascii="Arial Narrow" w:hAnsi="Arial Narrow"/>
                <w:sz w:val="18"/>
                <w:szCs w:val="18"/>
              </w:rPr>
              <w:t>Guidance</w:t>
            </w:r>
            <w:r w:rsidR="000106D2" w:rsidRPr="00361416">
              <w:rPr>
                <w:rFonts w:ascii="Arial Narrow" w:hAnsi="Arial Narrow"/>
                <w:sz w:val="18"/>
                <w:szCs w:val="18"/>
              </w:rPr>
              <w:t xml:space="preserve">: </w:t>
            </w:r>
            <w:r w:rsidR="00F013CB" w:rsidRPr="00361416">
              <w:rPr>
                <w:rFonts w:ascii="Arial Narrow" w:hAnsi="Arial Narrow"/>
                <w:sz w:val="18"/>
                <w:szCs w:val="18"/>
              </w:rPr>
              <w:t>endoscopic and fluoroscopic</w:t>
            </w:r>
          </w:p>
          <w:p w:rsidR="0071538D" w:rsidRPr="00361416" w:rsidRDefault="0071538D" w:rsidP="00AE37E2">
            <w:pPr>
              <w:spacing w:after="0"/>
              <w:ind w:left="0"/>
              <w:rPr>
                <w:rFonts w:ascii="Arial Narrow" w:hAnsi="Arial Narrow"/>
                <w:sz w:val="18"/>
                <w:szCs w:val="18"/>
              </w:rPr>
            </w:pPr>
          </w:p>
          <w:p w:rsidR="0071538D" w:rsidRPr="00361416" w:rsidRDefault="00AE78DE" w:rsidP="00AE37E2">
            <w:pPr>
              <w:spacing w:after="0"/>
              <w:ind w:left="0"/>
              <w:rPr>
                <w:rFonts w:ascii="Arial Narrow" w:hAnsi="Arial Narrow"/>
                <w:sz w:val="18"/>
                <w:szCs w:val="18"/>
              </w:rPr>
            </w:pPr>
            <w:r w:rsidRPr="00361416">
              <w:rPr>
                <w:rFonts w:ascii="Arial Narrow" w:hAnsi="Arial Narrow"/>
                <w:sz w:val="18"/>
                <w:szCs w:val="18"/>
              </w:rPr>
              <w:t>Anaesthesia</w:t>
            </w:r>
            <w:r w:rsidR="000106D2" w:rsidRPr="00361416">
              <w:rPr>
                <w:rFonts w:ascii="Arial Narrow" w:hAnsi="Arial Narrow"/>
                <w:sz w:val="18"/>
                <w:szCs w:val="18"/>
              </w:rPr>
              <w:t xml:space="preserve">: </w:t>
            </w:r>
            <w:r w:rsidR="00F013CB" w:rsidRPr="00361416">
              <w:rPr>
                <w:rFonts w:ascii="Arial Narrow" w:hAnsi="Arial Narrow"/>
                <w:sz w:val="18"/>
                <w:szCs w:val="18"/>
              </w:rPr>
              <w:t>IV Midazolam and Pethidi</w:t>
            </w:r>
            <w:r w:rsidR="00242BAC">
              <w:rPr>
                <w:rFonts w:ascii="Arial Narrow" w:hAnsi="Arial Narrow"/>
                <w:sz w:val="18"/>
                <w:szCs w:val="18"/>
              </w:rPr>
              <w:t>ne. No general anaesthesia used</w:t>
            </w:r>
          </w:p>
          <w:p w:rsidR="0071538D" w:rsidRPr="00361416" w:rsidRDefault="0071538D" w:rsidP="00AE37E2">
            <w:pPr>
              <w:spacing w:after="0"/>
              <w:ind w:left="0"/>
              <w:rPr>
                <w:rFonts w:ascii="Arial Narrow" w:hAnsi="Arial Narrow"/>
                <w:sz w:val="18"/>
                <w:szCs w:val="18"/>
              </w:rPr>
            </w:pPr>
          </w:p>
          <w:p w:rsidR="000E2E02" w:rsidRPr="00361416" w:rsidRDefault="0071538D" w:rsidP="00AE37E2">
            <w:pPr>
              <w:spacing w:after="0"/>
              <w:ind w:left="0"/>
              <w:rPr>
                <w:rFonts w:ascii="Arial Narrow" w:hAnsi="Arial Narrow"/>
                <w:sz w:val="18"/>
                <w:szCs w:val="18"/>
              </w:rPr>
            </w:pPr>
            <w:r w:rsidRPr="00361416">
              <w:rPr>
                <w:rFonts w:ascii="Arial Narrow" w:hAnsi="Arial Narrow"/>
                <w:sz w:val="18"/>
                <w:szCs w:val="18"/>
              </w:rPr>
              <w:t>Use of balloon dilation</w:t>
            </w:r>
            <w:r w:rsidR="000106D2" w:rsidRPr="00361416">
              <w:rPr>
                <w:rFonts w:ascii="Arial Narrow" w:hAnsi="Arial Narrow"/>
                <w:sz w:val="18"/>
                <w:szCs w:val="18"/>
              </w:rPr>
              <w:t xml:space="preserve">: </w:t>
            </w:r>
            <w:r w:rsidR="00F013CB" w:rsidRPr="00361416">
              <w:rPr>
                <w:rFonts w:ascii="Arial Narrow" w:hAnsi="Arial Narrow"/>
                <w:sz w:val="18"/>
                <w:szCs w:val="18"/>
              </w:rPr>
              <w:t>20 mm dilation with Savary-Gillard</w:t>
            </w:r>
            <w:r w:rsidR="00242BAC">
              <w:rPr>
                <w:rFonts w:ascii="Arial Narrow" w:hAnsi="Arial Narrow"/>
                <w:sz w:val="18"/>
                <w:szCs w:val="18"/>
              </w:rPr>
              <w:t xml:space="preserve"> dilators was performed (n=30)</w:t>
            </w:r>
          </w:p>
        </w:tc>
        <w:tc>
          <w:tcPr>
            <w:tcW w:w="3111" w:type="dxa"/>
            <w:tcBorders>
              <w:top w:val="nil"/>
              <w:bottom w:val="single" w:sz="12" w:space="0" w:color="auto"/>
            </w:tcBorders>
            <w:shd w:val="clear" w:color="auto" w:fill="auto"/>
          </w:tcPr>
          <w:p w:rsidR="0071538D" w:rsidRPr="00361416" w:rsidRDefault="0071538D" w:rsidP="00AE37E2">
            <w:pPr>
              <w:spacing w:after="0"/>
              <w:ind w:left="0"/>
              <w:rPr>
                <w:rFonts w:ascii="Arial Narrow" w:hAnsi="Arial Narrow"/>
                <w:sz w:val="18"/>
                <w:szCs w:val="18"/>
              </w:rPr>
            </w:pPr>
            <w:r w:rsidRPr="00361416">
              <w:rPr>
                <w:rFonts w:ascii="Arial Narrow" w:hAnsi="Arial Narrow"/>
                <w:sz w:val="18"/>
                <w:szCs w:val="18"/>
              </w:rPr>
              <w:t>Inclusion criteria</w:t>
            </w:r>
            <w:r w:rsidR="00E446E5" w:rsidRPr="00361416">
              <w:rPr>
                <w:rFonts w:ascii="Arial Narrow" w:hAnsi="Arial Narrow"/>
                <w:sz w:val="18"/>
                <w:szCs w:val="18"/>
              </w:rPr>
              <w:t>:</w:t>
            </w:r>
            <w:r w:rsidR="00F013CB" w:rsidRPr="00361416">
              <w:t xml:space="preserve"> </w:t>
            </w:r>
            <w:r w:rsidR="00C7480F" w:rsidRPr="00361416">
              <w:rPr>
                <w:rFonts w:ascii="Arial Narrow" w:hAnsi="Arial Narrow"/>
                <w:sz w:val="18"/>
                <w:szCs w:val="18"/>
              </w:rPr>
              <w:t>P</w:t>
            </w:r>
            <w:r w:rsidR="00F013CB" w:rsidRPr="00361416">
              <w:rPr>
                <w:rFonts w:ascii="Arial Narrow" w:hAnsi="Arial Narrow"/>
                <w:sz w:val="18"/>
                <w:szCs w:val="18"/>
              </w:rPr>
              <w:t>atients with inoperable (metastases, h</w:t>
            </w:r>
            <w:r w:rsidR="00CE6D5E">
              <w:rPr>
                <w:rFonts w:ascii="Arial Narrow" w:hAnsi="Arial Narrow"/>
                <w:sz w:val="18"/>
                <w:szCs w:val="18"/>
              </w:rPr>
              <w:t>a</w:t>
            </w:r>
            <w:r w:rsidR="00F013CB" w:rsidRPr="00361416">
              <w:rPr>
                <w:rFonts w:ascii="Arial Narrow" w:hAnsi="Arial Narrow"/>
                <w:sz w:val="18"/>
                <w:szCs w:val="18"/>
              </w:rPr>
              <w:t xml:space="preserve">emodynamic or pulmonary instability) malignant partial obstruction in the left colon due </w:t>
            </w:r>
            <w:r w:rsidR="0099511A">
              <w:rPr>
                <w:rFonts w:ascii="Arial Narrow" w:hAnsi="Arial Narrow"/>
                <w:sz w:val="18"/>
                <w:szCs w:val="18"/>
              </w:rPr>
              <w:t>to colorectal or ovarian cancer; patients informed consent</w:t>
            </w:r>
          </w:p>
          <w:p w:rsidR="0071538D" w:rsidRPr="00361416" w:rsidRDefault="0071538D" w:rsidP="00AE37E2">
            <w:pPr>
              <w:spacing w:after="0"/>
              <w:ind w:left="0"/>
              <w:rPr>
                <w:rFonts w:ascii="Arial Narrow" w:hAnsi="Arial Narrow"/>
                <w:sz w:val="18"/>
                <w:szCs w:val="18"/>
              </w:rPr>
            </w:pPr>
          </w:p>
          <w:p w:rsidR="00344ADF" w:rsidRPr="00361416" w:rsidRDefault="0071538D" w:rsidP="00AE37E2">
            <w:pPr>
              <w:spacing w:after="0"/>
              <w:ind w:left="0"/>
              <w:rPr>
                <w:rFonts w:ascii="Arial Narrow" w:hAnsi="Arial Narrow"/>
                <w:sz w:val="18"/>
                <w:szCs w:val="18"/>
              </w:rPr>
            </w:pPr>
            <w:r w:rsidRPr="00361416">
              <w:rPr>
                <w:rFonts w:ascii="Arial Narrow" w:hAnsi="Arial Narrow"/>
                <w:sz w:val="18"/>
                <w:szCs w:val="18"/>
              </w:rPr>
              <w:t>Exclusion criteria:</w:t>
            </w:r>
            <w:r w:rsidR="00F013CB" w:rsidRPr="00361416">
              <w:rPr>
                <w:rFonts w:ascii="Arial Narrow" w:hAnsi="Arial Narrow"/>
                <w:sz w:val="18"/>
                <w:szCs w:val="18"/>
              </w:rPr>
              <w:t xml:space="preserve"> NR</w:t>
            </w:r>
            <w:r w:rsidR="00344ADF" w:rsidRPr="00361416">
              <w:rPr>
                <w:rFonts w:ascii="Arial Narrow" w:hAnsi="Arial Narrow"/>
                <w:sz w:val="18"/>
                <w:szCs w:val="18"/>
              </w:rPr>
              <w:t xml:space="preserve"> </w:t>
            </w:r>
          </w:p>
          <w:p w:rsidR="00344ADF" w:rsidRPr="00361416" w:rsidRDefault="00344ADF" w:rsidP="00AE37E2">
            <w:pPr>
              <w:spacing w:after="0"/>
              <w:ind w:left="0"/>
              <w:rPr>
                <w:rFonts w:ascii="Arial Narrow" w:hAnsi="Arial Narrow"/>
                <w:sz w:val="18"/>
                <w:szCs w:val="18"/>
              </w:rPr>
            </w:pPr>
          </w:p>
          <w:p w:rsidR="000E2E02" w:rsidRPr="00361416" w:rsidRDefault="00344ADF" w:rsidP="00AE37E2">
            <w:pPr>
              <w:spacing w:after="0"/>
              <w:ind w:left="0"/>
              <w:rPr>
                <w:rFonts w:ascii="Arial Narrow" w:hAnsi="Arial Narrow"/>
                <w:sz w:val="18"/>
                <w:szCs w:val="18"/>
              </w:rPr>
            </w:pPr>
            <w:r w:rsidRPr="00361416">
              <w:rPr>
                <w:rFonts w:ascii="Arial Narrow" w:hAnsi="Arial Narrow"/>
                <w:sz w:val="18"/>
                <w:szCs w:val="18"/>
              </w:rPr>
              <w:t xml:space="preserve">Patients excluded: </w:t>
            </w:r>
            <w:r w:rsidR="00C7480F" w:rsidRPr="00361416">
              <w:rPr>
                <w:rFonts w:ascii="Arial Narrow" w:hAnsi="Arial Narrow"/>
                <w:sz w:val="18"/>
                <w:szCs w:val="18"/>
              </w:rPr>
              <w:t>O</w:t>
            </w:r>
            <w:r w:rsidRPr="00361416">
              <w:rPr>
                <w:rFonts w:ascii="Arial Narrow" w:hAnsi="Arial Narrow"/>
                <w:sz w:val="18"/>
                <w:szCs w:val="18"/>
              </w:rPr>
              <w:t xml:space="preserve">ne patient with obstruction of a tortuous rectosigmoid flexure was excluded from the SEMS group, as </w:t>
            </w:r>
            <w:r w:rsidR="0099511A">
              <w:rPr>
                <w:rFonts w:ascii="Arial Narrow" w:hAnsi="Arial Narrow"/>
                <w:sz w:val="18"/>
                <w:szCs w:val="18"/>
              </w:rPr>
              <w:t>colon stenting was not possible</w:t>
            </w:r>
          </w:p>
        </w:tc>
      </w:tr>
    </w:tbl>
    <w:p w:rsidR="003C6263" w:rsidRDefault="003C6263" w:rsidP="003C6263">
      <w:pPr>
        <w:ind w:left="0"/>
        <w:contextualSpacing/>
        <w:rPr>
          <w:rFonts w:ascii="Arial Narrow" w:hAnsi="Arial Narrow"/>
          <w:sz w:val="16"/>
          <w:szCs w:val="16"/>
        </w:rPr>
      </w:pPr>
      <w:proofErr w:type="gramStart"/>
      <w:r>
        <w:rPr>
          <w:rFonts w:ascii="Arial Narrow" w:hAnsi="Arial Narrow"/>
          <w:sz w:val="16"/>
          <w:szCs w:val="16"/>
        </w:rPr>
        <w:t xml:space="preserve">a  </w:t>
      </w:r>
      <w:r w:rsidRPr="00F94339">
        <w:rPr>
          <w:rFonts w:ascii="Arial Narrow" w:hAnsi="Arial Narrow"/>
          <w:sz w:val="16"/>
          <w:szCs w:val="16"/>
        </w:rPr>
        <w:t>A</w:t>
      </w:r>
      <w:r w:rsidRPr="0007443E">
        <w:rPr>
          <w:rFonts w:ascii="Arial Narrow" w:hAnsi="Arial Narrow"/>
          <w:sz w:val="16"/>
          <w:szCs w:val="16"/>
        </w:rPr>
        <w:t>ll</w:t>
      </w:r>
      <w:proofErr w:type="gramEnd"/>
      <w:r w:rsidRPr="0007443E">
        <w:rPr>
          <w:rFonts w:ascii="Arial Narrow" w:hAnsi="Arial Narrow"/>
          <w:sz w:val="16"/>
          <w:szCs w:val="16"/>
        </w:rPr>
        <w:t xml:space="preserve"> patients had greater</w:t>
      </w:r>
      <w:r>
        <w:rPr>
          <w:rFonts w:ascii="Arial Narrow" w:hAnsi="Arial Narrow"/>
          <w:sz w:val="16"/>
          <w:szCs w:val="16"/>
        </w:rPr>
        <w:t xml:space="preserve"> than 70% of colonic narrowing</w:t>
      </w:r>
    </w:p>
    <w:p w:rsidR="003C6263" w:rsidRDefault="003C6263" w:rsidP="003C6263">
      <w:pPr>
        <w:ind w:left="0"/>
      </w:pPr>
      <w:r w:rsidRPr="0007443E">
        <w:rPr>
          <w:rFonts w:ascii="Arial Narrow" w:hAnsi="Arial Narrow"/>
          <w:sz w:val="16"/>
          <w:szCs w:val="16"/>
        </w:rPr>
        <w:t>N</w:t>
      </w:r>
      <w:r>
        <w:rPr>
          <w:rFonts w:ascii="Arial Narrow" w:hAnsi="Arial Narrow"/>
          <w:sz w:val="16"/>
          <w:szCs w:val="16"/>
        </w:rPr>
        <w:t>:</w:t>
      </w:r>
      <w:r w:rsidRPr="0007443E">
        <w:rPr>
          <w:rFonts w:ascii="Arial Narrow" w:hAnsi="Arial Narrow"/>
          <w:sz w:val="16"/>
          <w:szCs w:val="16"/>
        </w:rPr>
        <w:t xml:space="preserve"> </w:t>
      </w:r>
      <w:r w:rsidRPr="00C7480F">
        <w:rPr>
          <w:rFonts w:ascii="Arial Narrow" w:hAnsi="Arial Narrow"/>
          <w:sz w:val="16"/>
          <w:szCs w:val="16"/>
        </w:rPr>
        <w:t>B</w:t>
      </w:r>
      <w:r w:rsidRPr="0007443E">
        <w:rPr>
          <w:rFonts w:ascii="Arial Narrow" w:hAnsi="Arial Narrow"/>
          <w:sz w:val="16"/>
          <w:szCs w:val="16"/>
        </w:rPr>
        <w:t>ased on all patients for whom safety data are reported, regardless of the number of patients enrolled in a study, or their technical/clinical success. In some cases</w:t>
      </w:r>
      <w:r>
        <w:rPr>
          <w:rFonts w:ascii="Arial Narrow" w:hAnsi="Arial Narrow"/>
          <w:sz w:val="16"/>
          <w:szCs w:val="16"/>
        </w:rPr>
        <w:t>,</w:t>
      </w:r>
      <w:r w:rsidRPr="0007443E">
        <w:rPr>
          <w:rFonts w:ascii="Arial Narrow" w:hAnsi="Arial Narrow"/>
          <w:sz w:val="16"/>
          <w:szCs w:val="16"/>
        </w:rPr>
        <w:t xml:space="preserve"> the number of stenting attempts or procedures performed </w:t>
      </w:r>
      <w:r>
        <w:rPr>
          <w:rFonts w:ascii="Arial Narrow" w:hAnsi="Arial Narrow"/>
          <w:sz w:val="16"/>
          <w:szCs w:val="16"/>
        </w:rPr>
        <w:t>has been</w:t>
      </w:r>
      <w:r w:rsidRPr="0007443E">
        <w:rPr>
          <w:rFonts w:ascii="Arial Narrow" w:hAnsi="Arial Narrow"/>
          <w:sz w:val="16"/>
          <w:szCs w:val="16"/>
        </w:rPr>
        <w:t xml:space="preserve"> considered as the denominator instead of the number of patients; NR: </w:t>
      </w:r>
      <w:r w:rsidRPr="00F94339">
        <w:rPr>
          <w:rFonts w:ascii="Arial Narrow" w:hAnsi="Arial Narrow"/>
          <w:sz w:val="16"/>
          <w:szCs w:val="16"/>
        </w:rPr>
        <w:t>N</w:t>
      </w:r>
      <w:r w:rsidRPr="0007443E">
        <w:rPr>
          <w:rFonts w:ascii="Arial Narrow" w:hAnsi="Arial Narrow"/>
          <w:sz w:val="16"/>
          <w:szCs w:val="16"/>
        </w:rPr>
        <w:t>ot reported</w:t>
      </w:r>
      <w:r>
        <w:rPr>
          <w:rFonts w:ascii="Arial Narrow" w:hAnsi="Arial Narrow"/>
          <w:sz w:val="16"/>
          <w:szCs w:val="16"/>
        </w:rPr>
        <w:t xml:space="preserve">; </w:t>
      </w:r>
      <w:r w:rsidRPr="0007443E">
        <w:rPr>
          <w:rFonts w:ascii="Arial Narrow" w:hAnsi="Arial Narrow"/>
          <w:sz w:val="16"/>
          <w:szCs w:val="16"/>
        </w:rPr>
        <w:t xml:space="preserve">SEMS: </w:t>
      </w:r>
      <w:r w:rsidRPr="00F94339">
        <w:rPr>
          <w:rFonts w:ascii="Arial Narrow" w:hAnsi="Arial Narrow"/>
          <w:sz w:val="16"/>
          <w:szCs w:val="16"/>
        </w:rPr>
        <w:t>S</w:t>
      </w:r>
      <w:r>
        <w:rPr>
          <w:rFonts w:ascii="Arial Narrow" w:hAnsi="Arial Narrow"/>
          <w:sz w:val="16"/>
          <w:szCs w:val="16"/>
        </w:rPr>
        <w:t>elf-expanding metallic stent.</w:t>
      </w:r>
    </w:p>
    <w:p w:rsidR="00DC053D" w:rsidRPr="001166E9" w:rsidRDefault="00DA4FC8" w:rsidP="00DA4FC8">
      <w:pPr>
        <w:pStyle w:val="Heading1"/>
      </w:pPr>
      <w:bookmarkStart w:id="353" w:name="_Appendix_H_Summary"/>
      <w:bookmarkStart w:id="354" w:name="_Toc306634405"/>
      <w:bookmarkStart w:id="355" w:name="_Ref325969290"/>
      <w:bookmarkStart w:id="356" w:name="_Ref325970335"/>
      <w:bookmarkStart w:id="357" w:name="_Ref326048883"/>
      <w:bookmarkStart w:id="358" w:name="_Toc352924455"/>
      <w:bookmarkEnd w:id="353"/>
      <w:r w:rsidRPr="0086082D">
        <w:rPr>
          <w:bCs/>
        </w:rPr>
        <w:lastRenderedPageBreak/>
        <w:t xml:space="preserve">Appendix </w:t>
      </w:r>
      <w:r w:rsidR="00F76B65">
        <w:rPr>
          <w:bCs/>
          <w:lang w:val="en-AU"/>
        </w:rPr>
        <w:t>G</w:t>
      </w:r>
      <w:r w:rsidR="00736C43" w:rsidRPr="004016F9">
        <w:rPr>
          <w:bCs/>
        </w:rPr>
        <w:tab/>
      </w:r>
      <w:r w:rsidR="006D07D2">
        <w:rPr>
          <w:bCs/>
          <w:lang w:val="en-AU"/>
        </w:rPr>
        <w:t>Included studies –</w:t>
      </w:r>
      <w:r w:rsidR="006D07D2" w:rsidRPr="00BB3C05">
        <w:rPr>
          <w:bCs/>
        </w:rPr>
        <w:t xml:space="preserve"> </w:t>
      </w:r>
      <w:r w:rsidR="00EF04ED">
        <w:t>non-randomised</w:t>
      </w:r>
      <w:r w:rsidR="00EF04ED">
        <w:rPr>
          <w:lang w:val="en-AU"/>
        </w:rPr>
        <w:t xml:space="preserve"> </w:t>
      </w:r>
      <w:r w:rsidR="00736C43" w:rsidRPr="00C71844">
        <w:t>comparative studies</w:t>
      </w:r>
      <w:bookmarkEnd w:id="354"/>
      <w:bookmarkEnd w:id="355"/>
      <w:bookmarkEnd w:id="356"/>
      <w:bookmarkEnd w:id="357"/>
      <w:bookmarkEnd w:id="358"/>
      <w:r w:rsidR="00DC053D" w:rsidRPr="001166E9">
        <w:t xml:space="preserve"> </w:t>
      </w:r>
    </w:p>
    <w:tbl>
      <w:tblPr>
        <w:tblW w:w="14000" w:type="dxa"/>
        <w:tblBorders>
          <w:top w:val="single" w:sz="4" w:space="0" w:color="auto"/>
          <w:bottom w:val="single" w:sz="4" w:space="0" w:color="auto"/>
          <w:insideH w:val="single" w:sz="4" w:space="0" w:color="auto"/>
        </w:tblBorders>
        <w:tblLook w:val="04A0" w:firstRow="1" w:lastRow="0" w:firstColumn="1" w:lastColumn="0" w:noHBand="0" w:noVBand="1"/>
      </w:tblPr>
      <w:tblGrid>
        <w:gridCol w:w="1242"/>
        <w:gridCol w:w="1134"/>
        <w:gridCol w:w="1134"/>
        <w:gridCol w:w="1560"/>
        <w:gridCol w:w="2693"/>
        <w:gridCol w:w="3260"/>
        <w:gridCol w:w="2977"/>
      </w:tblGrid>
      <w:tr w:rsidR="00CB3729" w:rsidRPr="00361416" w:rsidTr="0006338A">
        <w:tc>
          <w:tcPr>
            <w:tcW w:w="1242" w:type="dxa"/>
            <w:tcBorders>
              <w:top w:val="single" w:sz="12" w:space="0" w:color="auto"/>
              <w:left w:val="nil"/>
              <w:bottom w:val="single" w:sz="4" w:space="0" w:color="auto"/>
              <w:right w:val="nil"/>
            </w:tcBorders>
            <w:shd w:val="clear" w:color="auto" w:fill="auto"/>
          </w:tcPr>
          <w:p w:rsidR="00E446E5" w:rsidRPr="00361416" w:rsidRDefault="00E446E5" w:rsidP="00EE44A1">
            <w:pPr>
              <w:pStyle w:val="TableHeading"/>
            </w:pPr>
            <w:r w:rsidRPr="00361416">
              <w:t>Authors (year), location</w:t>
            </w:r>
          </w:p>
        </w:tc>
        <w:tc>
          <w:tcPr>
            <w:tcW w:w="1134" w:type="dxa"/>
            <w:tcBorders>
              <w:top w:val="single" w:sz="12" w:space="0" w:color="auto"/>
              <w:left w:val="nil"/>
              <w:bottom w:val="single" w:sz="4" w:space="0" w:color="auto"/>
              <w:right w:val="nil"/>
            </w:tcBorders>
            <w:shd w:val="clear" w:color="auto" w:fill="auto"/>
          </w:tcPr>
          <w:p w:rsidR="00E446E5" w:rsidRPr="00361416" w:rsidRDefault="00E446E5" w:rsidP="00EE44A1">
            <w:pPr>
              <w:pStyle w:val="TableHeading"/>
            </w:pPr>
            <w:r w:rsidRPr="00361416">
              <w:t>N</w:t>
            </w:r>
          </w:p>
        </w:tc>
        <w:tc>
          <w:tcPr>
            <w:tcW w:w="1134" w:type="dxa"/>
            <w:tcBorders>
              <w:top w:val="single" w:sz="12" w:space="0" w:color="auto"/>
              <w:left w:val="nil"/>
              <w:bottom w:val="single" w:sz="4" w:space="0" w:color="auto"/>
              <w:right w:val="nil"/>
            </w:tcBorders>
            <w:shd w:val="clear" w:color="auto" w:fill="auto"/>
          </w:tcPr>
          <w:p w:rsidR="00E446E5" w:rsidRPr="00361416" w:rsidRDefault="00E446E5" w:rsidP="00EE44A1">
            <w:pPr>
              <w:pStyle w:val="TableHeading"/>
            </w:pPr>
            <w:r w:rsidRPr="00361416">
              <w:t>Male/</w:t>
            </w:r>
            <w:r w:rsidR="00CB3729" w:rsidRPr="00361416">
              <w:t>f</w:t>
            </w:r>
            <w:r w:rsidRPr="00361416">
              <w:t>emale</w:t>
            </w:r>
          </w:p>
        </w:tc>
        <w:tc>
          <w:tcPr>
            <w:tcW w:w="1560" w:type="dxa"/>
            <w:tcBorders>
              <w:top w:val="single" w:sz="12" w:space="0" w:color="auto"/>
              <w:left w:val="nil"/>
              <w:bottom w:val="single" w:sz="4" w:space="0" w:color="auto"/>
              <w:right w:val="nil"/>
            </w:tcBorders>
            <w:shd w:val="clear" w:color="auto" w:fill="auto"/>
          </w:tcPr>
          <w:p w:rsidR="00E446E5" w:rsidRPr="00361416" w:rsidRDefault="00205C05" w:rsidP="00EE44A1">
            <w:pPr>
              <w:pStyle w:val="TableHeading"/>
            </w:pPr>
            <w:r w:rsidRPr="00361416">
              <w:t>A</w:t>
            </w:r>
            <w:r w:rsidR="00E446E5" w:rsidRPr="00361416">
              <w:t>ge</w:t>
            </w:r>
            <w:r w:rsidRPr="00361416">
              <w:t xml:space="preserve"> (mean)</w:t>
            </w:r>
          </w:p>
        </w:tc>
        <w:tc>
          <w:tcPr>
            <w:tcW w:w="2693" w:type="dxa"/>
            <w:tcBorders>
              <w:top w:val="single" w:sz="12" w:space="0" w:color="auto"/>
              <w:left w:val="nil"/>
              <w:bottom w:val="single" w:sz="4" w:space="0" w:color="auto"/>
              <w:right w:val="nil"/>
            </w:tcBorders>
            <w:shd w:val="clear" w:color="auto" w:fill="auto"/>
          </w:tcPr>
          <w:p w:rsidR="00E446E5" w:rsidRPr="00361416" w:rsidRDefault="00E446E5" w:rsidP="00EE44A1">
            <w:pPr>
              <w:pStyle w:val="TableHeading"/>
            </w:pPr>
            <w:r w:rsidRPr="00361416">
              <w:t>Population</w:t>
            </w:r>
          </w:p>
        </w:tc>
        <w:tc>
          <w:tcPr>
            <w:tcW w:w="3260" w:type="dxa"/>
            <w:tcBorders>
              <w:top w:val="single" w:sz="12" w:space="0" w:color="auto"/>
              <w:left w:val="nil"/>
              <w:bottom w:val="single" w:sz="4" w:space="0" w:color="auto"/>
              <w:right w:val="nil"/>
            </w:tcBorders>
            <w:shd w:val="clear" w:color="auto" w:fill="auto"/>
          </w:tcPr>
          <w:p w:rsidR="00E446E5" w:rsidRPr="00361416" w:rsidRDefault="00E446E5" w:rsidP="00EE44A1">
            <w:pPr>
              <w:pStyle w:val="TableHeading"/>
            </w:pPr>
            <w:r w:rsidRPr="00361416">
              <w:t>Intervention</w:t>
            </w:r>
            <w:r w:rsidR="003D4774" w:rsidRPr="00361416">
              <w:t xml:space="preserve"> (manufacturer)</w:t>
            </w:r>
          </w:p>
        </w:tc>
        <w:tc>
          <w:tcPr>
            <w:tcW w:w="2977" w:type="dxa"/>
            <w:tcBorders>
              <w:top w:val="single" w:sz="12" w:space="0" w:color="auto"/>
              <w:left w:val="nil"/>
              <w:bottom w:val="single" w:sz="4" w:space="0" w:color="auto"/>
              <w:right w:val="nil"/>
            </w:tcBorders>
            <w:shd w:val="clear" w:color="auto" w:fill="auto"/>
          </w:tcPr>
          <w:p w:rsidR="00E446E5" w:rsidRPr="00361416" w:rsidRDefault="00E446E5" w:rsidP="00EE44A1">
            <w:pPr>
              <w:pStyle w:val="TableHeading"/>
            </w:pPr>
            <w:r w:rsidRPr="00361416">
              <w:t>Inclusion/exclusion criteria</w:t>
            </w:r>
          </w:p>
        </w:tc>
      </w:tr>
      <w:tr w:rsidR="00CC6F7A" w:rsidRPr="00361416" w:rsidTr="003056F3">
        <w:tc>
          <w:tcPr>
            <w:tcW w:w="1242" w:type="dxa"/>
            <w:tcBorders>
              <w:top w:val="nil"/>
              <w:left w:val="nil"/>
              <w:bottom w:val="nil"/>
              <w:right w:val="nil"/>
            </w:tcBorders>
            <w:shd w:val="clear" w:color="auto" w:fill="auto"/>
          </w:tcPr>
          <w:p w:rsidR="00CC6F7A" w:rsidRPr="00361416" w:rsidRDefault="00CC6F7A" w:rsidP="002C47C9">
            <w:pPr>
              <w:pStyle w:val="TableText"/>
            </w:pPr>
            <w:r w:rsidRPr="00361416">
              <w:t>Baik et al (20</w:t>
            </w:r>
            <w:r>
              <w:t>06), South Korea</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37</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18</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19</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 22/15</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10/8</w:t>
            </w:r>
          </w:p>
          <w:p w:rsidR="00CC6F7A" w:rsidRPr="00361416" w:rsidRDefault="00CC6F7A" w:rsidP="00EE44A1">
            <w:pPr>
              <w:pStyle w:val="TableText"/>
            </w:pPr>
          </w:p>
          <w:p w:rsidR="00CC6F7A" w:rsidRPr="00361416" w:rsidRDefault="00CC6F7A" w:rsidP="00EE44A1">
            <w:pPr>
              <w:pStyle w:val="TableText"/>
            </w:pPr>
            <w:r w:rsidRPr="00361416">
              <w:t>Surgery: 12/7</w:t>
            </w:r>
          </w:p>
        </w:tc>
        <w:tc>
          <w:tcPr>
            <w:tcW w:w="1560" w:type="dxa"/>
            <w:tcBorders>
              <w:top w:val="nil"/>
              <w:left w:val="nil"/>
              <w:bottom w:val="nil"/>
              <w:right w:val="nil"/>
            </w:tcBorders>
            <w:shd w:val="clear" w:color="auto" w:fill="auto"/>
          </w:tcPr>
          <w:p w:rsidR="00CC6F7A" w:rsidRPr="00361416" w:rsidRDefault="00CC6F7A" w:rsidP="00EE44A1">
            <w:pPr>
              <w:pStyle w:val="TableText"/>
            </w:pPr>
            <w:r w:rsidRPr="00361416">
              <w:t>Total: NR</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58.4±13.9 years</w:t>
            </w:r>
          </w:p>
          <w:p w:rsidR="00CC6F7A" w:rsidRPr="00361416" w:rsidRDefault="00CC6F7A" w:rsidP="00EE44A1">
            <w:pPr>
              <w:pStyle w:val="TableText"/>
            </w:pPr>
          </w:p>
          <w:p w:rsidR="00CC6F7A" w:rsidRPr="00361416" w:rsidRDefault="00CC6F7A" w:rsidP="00EE44A1">
            <w:pPr>
              <w:pStyle w:val="TableText"/>
            </w:pPr>
            <w:r w:rsidRPr="00361416">
              <w:t>Surgery: 57.2 years</w:t>
            </w:r>
          </w:p>
        </w:tc>
        <w:tc>
          <w:tcPr>
            <w:tcW w:w="2693" w:type="dxa"/>
            <w:tcBorders>
              <w:top w:val="nil"/>
              <w:left w:val="nil"/>
              <w:bottom w:val="nil"/>
              <w:right w:val="nil"/>
            </w:tcBorders>
            <w:shd w:val="clear" w:color="auto" w:fill="auto"/>
          </w:tcPr>
          <w:p w:rsidR="00CC6F7A" w:rsidRPr="00361416" w:rsidRDefault="00CC6F7A" w:rsidP="00EE44A1">
            <w:pPr>
              <w:pStyle w:val="TableText"/>
            </w:pPr>
            <w:r w:rsidRPr="00361416">
              <w:t>Type of obstruction</w:t>
            </w:r>
          </w:p>
          <w:p w:rsidR="00CC6F7A" w:rsidRPr="00361416" w:rsidRDefault="00CC6F7A" w:rsidP="00EE44A1">
            <w:pPr>
              <w:pStyle w:val="TableText"/>
            </w:pPr>
            <w:r w:rsidRPr="00361416">
              <w:t>Partial: NR; Complete: NR</w:t>
            </w:r>
          </w:p>
          <w:p w:rsidR="00CC6F7A" w:rsidRPr="00361416" w:rsidRDefault="00CC6F7A" w:rsidP="00EE44A1">
            <w:pPr>
              <w:pStyle w:val="TableText"/>
            </w:pPr>
          </w:p>
          <w:p w:rsidR="00CC6F7A" w:rsidRPr="00361416" w:rsidRDefault="00CC6F7A" w:rsidP="00EE44A1">
            <w:pPr>
              <w:pStyle w:val="TableText"/>
            </w:pPr>
            <w:r w:rsidRPr="00361416">
              <w:t>Location of obstruction:</w:t>
            </w:r>
          </w:p>
          <w:p w:rsidR="00CC6F7A" w:rsidRPr="00361416" w:rsidRDefault="00CC6F7A" w:rsidP="00EE44A1">
            <w:pPr>
              <w:pStyle w:val="TableText"/>
            </w:pPr>
            <w:r w:rsidRPr="00361416">
              <w:t>Rectum: 17</w:t>
            </w:r>
            <w:r>
              <w:t xml:space="preserve"> (45.9%)</w:t>
            </w:r>
            <w:r w:rsidRPr="00361416">
              <w:t>; Sigmoid colon: 17</w:t>
            </w:r>
            <w:r>
              <w:t xml:space="preserve"> (45.9%)</w:t>
            </w:r>
            <w:r w:rsidRPr="00361416">
              <w:t>; Descending colon: 3</w:t>
            </w:r>
            <w:r>
              <w:t xml:space="preserve"> (8.1%)</w:t>
            </w:r>
          </w:p>
          <w:p w:rsidR="00CC6F7A" w:rsidRPr="00361416" w:rsidRDefault="00CC6F7A" w:rsidP="00EE44A1">
            <w:pPr>
              <w:pStyle w:val="TableText"/>
            </w:pPr>
          </w:p>
          <w:p w:rsidR="00CC6F7A" w:rsidRPr="00361416" w:rsidRDefault="00CC6F7A" w:rsidP="00EE44A1">
            <w:pPr>
              <w:pStyle w:val="TableText"/>
            </w:pPr>
            <w:r w:rsidRPr="00361416">
              <w:t>Length of stenosis: NR</w:t>
            </w:r>
          </w:p>
          <w:p w:rsidR="00CC6F7A" w:rsidRPr="00361416" w:rsidRDefault="00CC6F7A" w:rsidP="00EE44A1">
            <w:pPr>
              <w:pStyle w:val="TableText"/>
            </w:pPr>
          </w:p>
          <w:p w:rsidR="00CC6F7A" w:rsidRPr="00361416" w:rsidRDefault="00CC6F7A" w:rsidP="00EE44A1">
            <w:pPr>
              <w:pStyle w:val="TableText"/>
            </w:pPr>
            <w:r w:rsidRPr="00361416">
              <w:t xml:space="preserve">Diagnosis </w:t>
            </w:r>
          </w:p>
          <w:p w:rsidR="00CC6F7A" w:rsidRPr="00361416" w:rsidRDefault="00CC6F7A" w:rsidP="00EE44A1">
            <w:pPr>
              <w:pStyle w:val="TableText"/>
            </w:pPr>
            <w:r w:rsidRPr="00361416">
              <w:t>Benign: 0;</w:t>
            </w:r>
            <w:r>
              <w:t xml:space="preserve"> </w:t>
            </w:r>
            <w:r w:rsidRPr="00361416">
              <w:t>Malignant: 37</w:t>
            </w:r>
            <w:r>
              <w:t xml:space="preserve"> (100%)</w:t>
            </w:r>
          </w:p>
          <w:p w:rsidR="00CC6F7A" w:rsidRPr="00361416" w:rsidRDefault="00CC6F7A" w:rsidP="00EE44A1">
            <w:pPr>
              <w:pStyle w:val="TableText"/>
            </w:pPr>
          </w:p>
          <w:p w:rsidR="00CC6F7A" w:rsidRPr="00361416" w:rsidRDefault="00CC6F7A" w:rsidP="00EE44A1">
            <w:pPr>
              <w:pStyle w:val="TableText"/>
            </w:pPr>
            <w:r w:rsidRPr="00361416">
              <w:t>Site of metastases: Nil, patients with distant metastasis were excluded</w:t>
            </w:r>
          </w:p>
          <w:p w:rsidR="00CC6F7A" w:rsidRPr="00361416" w:rsidRDefault="00CC6F7A" w:rsidP="00EE44A1">
            <w:pPr>
              <w:pStyle w:val="TableText"/>
            </w:pPr>
          </w:p>
        </w:tc>
        <w:tc>
          <w:tcPr>
            <w:tcW w:w="3260" w:type="dxa"/>
            <w:tcBorders>
              <w:top w:val="nil"/>
              <w:left w:val="nil"/>
              <w:bottom w:val="nil"/>
              <w:right w:val="nil"/>
            </w:tcBorders>
            <w:shd w:val="clear" w:color="auto" w:fill="auto"/>
          </w:tcPr>
          <w:p w:rsidR="00CC6F7A" w:rsidRPr="00361416" w:rsidRDefault="00CC6F7A" w:rsidP="00EE44A1">
            <w:pPr>
              <w:pStyle w:val="TableText"/>
            </w:pPr>
            <w:r w:rsidRPr="00361416">
              <w:t>Choo stent</w:t>
            </w:r>
            <w:r>
              <w:t xml:space="preserve"> </w:t>
            </w:r>
            <w:r w:rsidRPr="00361416">
              <w:t>(Soho Medi-Tech, Korea)</w:t>
            </w:r>
          </w:p>
          <w:p w:rsidR="00CC6F7A" w:rsidRPr="00361416" w:rsidRDefault="00CC6F7A" w:rsidP="00EE44A1">
            <w:pPr>
              <w:pStyle w:val="TableText"/>
            </w:pPr>
          </w:p>
          <w:p w:rsidR="00CC6F7A" w:rsidRPr="00361416" w:rsidRDefault="00CC6F7A" w:rsidP="00EE44A1">
            <w:pPr>
              <w:pStyle w:val="TableText"/>
            </w:pPr>
            <w:r w:rsidRPr="00361416">
              <w:t>Type of SEMS: Covered and uncovered</w:t>
            </w:r>
          </w:p>
          <w:p w:rsidR="00CC6F7A" w:rsidRPr="00361416" w:rsidRDefault="00CC6F7A" w:rsidP="00EE44A1">
            <w:pPr>
              <w:pStyle w:val="TableText"/>
            </w:pPr>
          </w:p>
          <w:p w:rsidR="00CC6F7A" w:rsidRPr="00361416" w:rsidRDefault="00CC6F7A" w:rsidP="00EE44A1">
            <w:pPr>
              <w:pStyle w:val="TableText"/>
            </w:pPr>
            <w:r w:rsidRPr="00361416">
              <w:t>Size of SEMS</w:t>
            </w:r>
          </w:p>
          <w:p w:rsidR="00CC6F7A" w:rsidRPr="00361416" w:rsidRDefault="00CC6F7A" w:rsidP="00EE44A1">
            <w:pPr>
              <w:pStyle w:val="TableText"/>
            </w:pPr>
            <w:r w:rsidRPr="00361416">
              <w:t>Length: 8 to 14</w:t>
            </w:r>
            <w:r>
              <w:t xml:space="preserve"> cm</w:t>
            </w:r>
            <w:r w:rsidRPr="00361416">
              <w:t>; Diameter: 22</w:t>
            </w:r>
            <w:r>
              <w:t xml:space="preserve"> mm</w:t>
            </w:r>
          </w:p>
          <w:p w:rsidR="00CC6F7A" w:rsidRPr="00361416" w:rsidRDefault="00CC6F7A" w:rsidP="00EE44A1">
            <w:pPr>
              <w:pStyle w:val="TableText"/>
            </w:pPr>
          </w:p>
          <w:p w:rsidR="00CC6F7A" w:rsidRPr="00361416" w:rsidRDefault="00CC6F7A" w:rsidP="00EE44A1">
            <w:pPr>
              <w:pStyle w:val="TableText"/>
            </w:pPr>
            <w:r w:rsidRPr="00361416">
              <w:t>Guidance: Endoscopic or fluoroscopic</w:t>
            </w:r>
          </w:p>
          <w:p w:rsidR="00CC6F7A" w:rsidRPr="00361416" w:rsidRDefault="00CC6F7A" w:rsidP="00EE44A1">
            <w:pPr>
              <w:pStyle w:val="TableText"/>
            </w:pPr>
          </w:p>
          <w:p w:rsidR="00CC6F7A" w:rsidRPr="00361416" w:rsidRDefault="00CC6F7A" w:rsidP="00EE44A1">
            <w:pPr>
              <w:pStyle w:val="TableText"/>
            </w:pPr>
            <w:r w:rsidRPr="00361416">
              <w:t>Anaesthesia use: IV sedation</w:t>
            </w:r>
          </w:p>
          <w:p w:rsidR="00CC6F7A" w:rsidRPr="00361416" w:rsidRDefault="00CC6F7A" w:rsidP="00EE44A1">
            <w:pPr>
              <w:pStyle w:val="TableText"/>
            </w:pPr>
          </w:p>
          <w:p w:rsidR="00CC6F7A" w:rsidRPr="00361416" w:rsidRDefault="00CC6F7A" w:rsidP="00EE44A1">
            <w:pPr>
              <w:pStyle w:val="TableText"/>
            </w:pPr>
            <w:r w:rsidRPr="00361416">
              <w:t>Use of balloon dilation: not performed</w:t>
            </w:r>
          </w:p>
        </w:tc>
        <w:tc>
          <w:tcPr>
            <w:tcW w:w="2977" w:type="dxa"/>
            <w:tcBorders>
              <w:top w:val="nil"/>
              <w:left w:val="nil"/>
              <w:bottom w:val="nil"/>
              <w:right w:val="nil"/>
            </w:tcBorders>
            <w:shd w:val="clear" w:color="auto" w:fill="auto"/>
          </w:tcPr>
          <w:p w:rsidR="00CC6F7A" w:rsidRPr="00361416" w:rsidRDefault="00CC6F7A" w:rsidP="00EE44A1">
            <w:pPr>
              <w:pStyle w:val="TableText"/>
            </w:pPr>
            <w:r w:rsidRPr="00361416">
              <w:t xml:space="preserve">Inclusion criteria: patients with </w:t>
            </w:r>
            <w:r>
              <w:t>s</w:t>
            </w:r>
            <w:r w:rsidRPr="00361416">
              <w:t xml:space="preserve">ymptoms of vomiting, nausea, abdominal fullness, pain, no passage of flatus and stool; </w:t>
            </w:r>
            <w:r>
              <w:t>a</w:t>
            </w:r>
            <w:r w:rsidRPr="00361416">
              <w:t xml:space="preserve">bdominal distension or tympanic, increased mechanical bowel sounds; </w:t>
            </w:r>
            <w:r>
              <w:t>t</w:t>
            </w:r>
            <w:r w:rsidRPr="00361416">
              <w:t>ypical plain radiog</w:t>
            </w:r>
            <w:r>
              <w:t>raphs on intestinal obstruction</w:t>
            </w:r>
          </w:p>
          <w:p w:rsidR="00CC6F7A" w:rsidRPr="00361416" w:rsidRDefault="00CC6F7A" w:rsidP="00EE44A1">
            <w:pPr>
              <w:pStyle w:val="TableText"/>
            </w:pPr>
          </w:p>
          <w:p w:rsidR="00CC6F7A" w:rsidRPr="00361416" w:rsidRDefault="00CC6F7A" w:rsidP="00EE44A1">
            <w:pPr>
              <w:pStyle w:val="TableText"/>
            </w:pPr>
            <w:r w:rsidRPr="00361416">
              <w:t xml:space="preserve">Exclusion criteria: signs of peritonitis and exhibited volvulus of a bowel segment, obstruction that was </w:t>
            </w:r>
            <w:r>
              <w:t>proximal to the splenic flexure;</w:t>
            </w:r>
            <w:r w:rsidRPr="00361416">
              <w:t xml:space="preserve"> </w:t>
            </w:r>
            <w:r>
              <w:t>patients with distant metastasis</w:t>
            </w:r>
          </w:p>
          <w:p w:rsidR="00CC6F7A" w:rsidRPr="00361416" w:rsidRDefault="00CC6F7A" w:rsidP="00EE44A1">
            <w:pPr>
              <w:pStyle w:val="TableText"/>
            </w:pPr>
          </w:p>
          <w:p w:rsidR="00CC6F7A" w:rsidRPr="00361416" w:rsidRDefault="00CC6F7A" w:rsidP="00EE44A1">
            <w:pPr>
              <w:pStyle w:val="TableText"/>
            </w:pPr>
            <w:r w:rsidRPr="00361416">
              <w:t>Patients  excluded: NR</w:t>
            </w:r>
          </w:p>
        </w:tc>
      </w:tr>
      <w:tr w:rsidR="00CC6F7A" w:rsidRPr="00361416" w:rsidTr="003056F3">
        <w:tc>
          <w:tcPr>
            <w:tcW w:w="1242" w:type="dxa"/>
            <w:tcBorders>
              <w:top w:val="nil"/>
              <w:left w:val="nil"/>
              <w:bottom w:val="nil"/>
              <w:right w:val="nil"/>
            </w:tcBorders>
            <w:shd w:val="clear" w:color="auto" w:fill="auto"/>
          </w:tcPr>
          <w:p w:rsidR="00CC6F7A" w:rsidRPr="00361416" w:rsidRDefault="00CC6F7A" w:rsidP="00EE44A1">
            <w:pPr>
              <w:pStyle w:val="TableText"/>
            </w:pPr>
            <w:r>
              <w:t>Johnson et al (2004), UK</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38</w:t>
            </w:r>
          </w:p>
          <w:p w:rsidR="00CC6F7A" w:rsidRPr="00361416" w:rsidRDefault="00CC6F7A" w:rsidP="00EE44A1">
            <w:pPr>
              <w:pStyle w:val="TableText"/>
            </w:pPr>
          </w:p>
          <w:p w:rsidR="00CC6F7A" w:rsidRPr="00361416" w:rsidRDefault="00CC6F7A" w:rsidP="00EE44A1">
            <w:pPr>
              <w:pStyle w:val="TableText"/>
            </w:pPr>
            <w:r w:rsidRPr="00361416">
              <w:t>SEMS: 20</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18</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21/17</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 xml:space="preserve">11/9  </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10/8</w:t>
            </w:r>
          </w:p>
        </w:tc>
        <w:tc>
          <w:tcPr>
            <w:tcW w:w="1560" w:type="dxa"/>
            <w:tcBorders>
              <w:top w:val="nil"/>
              <w:left w:val="nil"/>
              <w:bottom w:val="nil"/>
              <w:right w:val="nil"/>
            </w:tcBorders>
            <w:shd w:val="clear" w:color="auto" w:fill="auto"/>
          </w:tcPr>
          <w:p w:rsidR="00CC6F7A" w:rsidRPr="00361416" w:rsidRDefault="00CC6F7A" w:rsidP="00EE44A1">
            <w:pPr>
              <w:pStyle w:val="TableText"/>
            </w:pPr>
            <w:r w:rsidRPr="00361416">
              <w:t>Total: NR</w:t>
            </w:r>
            <w:r>
              <w:t>.</w:t>
            </w:r>
          </w:p>
          <w:p w:rsidR="00CC6F7A" w:rsidRPr="00361416" w:rsidRDefault="00CC6F7A" w:rsidP="00EE44A1">
            <w:pPr>
              <w:pStyle w:val="TableText"/>
            </w:pPr>
          </w:p>
          <w:p w:rsidR="00CC6F7A" w:rsidRPr="00361416" w:rsidRDefault="00CC6F7A" w:rsidP="00EE44A1">
            <w:pPr>
              <w:pStyle w:val="TableText"/>
            </w:pPr>
            <w:r w:rsidRPr="00361416">
              <w:t>SEMS: median 81 years (range 60-93)</w:t>
            </w:r>
          </w:p>
          <w:p w:rsidR="00CC6F7A" w:rsidRPr="00361416" w:rsidRDefault="00CC6F7A" w:rsidP="00EE44A1">
            <w:pPr>
              <w:pStyle w:val="TableText"/>
            </w:pPr>
          </w:p>
          <w:p w:rsidR="00CC6F7A" w:rsidRPr="00361416" w:rsidRDefault="00CC6F7A" w:rsidP="00EE44A1">
            <w:pPr>
              <w:pStyle w:val="TableText"/>
            </w:pPr>
            <w:r w:rsidRPr="00361416">
              <w:t>Surgery: median 70 years (range 36-90)</w:t>
            </w:r>
          </w:p>
        </w:tc>
        <w:tc>
          <w:tcPr>
            <w:tcW w:w="2693" w:type="dxa"/>
            <w:tcBorders>
              <w:top w:val="nil"/>
              <w:left w:val="nil"/>
              <w:bottom w:val="nil"/>
              <w:right w:val="nil"/>
            </w:tcBorders>
            <w:shd w:val="clear" w:color="auto" w:fill="auto"/>
          </w:tcPr>
          <w:p w:rsidR="00CC6F7A" w:rsidRPr="00361416" w:rsidRDefault="00CC6F7A" w:rsidP="00EE44A1">
            <w:pPr>
              <w:pStyle w:val="TableText"/>
            </w:pPr>
            <w:r w:rsidRPr="00361416">
              <w:t>Type of obstruction</w:t>
            </w:r>
          </w:p>
          <w:p w:rsidR="00CC6F7A" w:rsidRPr="00361416" w:rsidRDefault="00CC6F7A" w:rsidP="00EE44A1">
            <w:pPr>
              <w:pStyle w:val="TableText"/>
            </w:pPr>
            <w:r w:rsidRPr="00361416">
              <w:t>Partial: NR; Complete: NR</w:t>
            </w:r>
          </w:p>
          <w:p w:rsidR="00CC6F7A" w:rsidRPr="00361416" w:rsidRDefault="00CC6F7A" w:rsidP="00EE44A1">
            <w:pPr>
              <w:pStyle w:val="TableText"/>
            </w:pPr>
          </w:p>
          <w:p w:rsidR="00CC6F7A" w:rsidRPr="00361416" w:rsidRDefault="00CC6F7A" w:rsidP="00EE44A1">
            <w:pPr>
              <w:pStyle w:val="TableText"/>
            </w:pPr>
            <w:r w:rsidRPr="00361416">
              <w:t>Location of obstruction: NR</w:t>
            </w:r>
          </w:p>
          <w:p w:rsidR="00CC6F7A" w:rsidRPr="00361416" w:rsidRDefault="00CC6F7A" w:rsidP="00EE44A1">
            <w:pPr>
              <w:pStyle w:val="TableText"/>
            </w:pPr>
          </w:p>
          <w:p w:rsidR="00CC6F7A" w:rsidRPr="00361416" w:rsidRDefault="00CC6F7A" w:rsidP="00EE44A1">
            <w:pPr>
              <w:pStyle w:val="TableText"/>
            </w:pPr>
            <w:r w:rsidRPr="00361416">
              <w:t>Length of stenosis: NR</w:t>
            </w:r>
          </w:p>
          <w:p w:rsidR="00CC6F7A" w:rsidRPr="00361416" w:rsidRDefault="00CC6F7A" w:rsidP="00EE44A1">
            <w:pPr>
              <w:pStyle w:val="TableText"/>
            </w:pPr>
          </w:p>
          <w:p w:rsidR="00CC6F7A" w:rsidRPr="00361416" w:rsidRDefault="00CC6F7A" w:rsidP="00EE44A1">
            <w:pPr>
              <w:pStyle w:val="TableText"/>
            </w:pPr>
            <w:r w:rsidRPr="00361416">
              <w:t xml:space="preserve">Diagnosis </w:t>
            </w:r>
          </w:p>
          <w:p w:rsidR="00CC6F7A" w:rsidRPr="00361416" w:rsidRDefault="00CC6F7A" w:rsidP="00EE44A1">
            <w:pPr>
              <w:pStyle w:val="TableText"/>
            </w:pPr>
            <w:r w:rsidRPr="00361416">
              <w:t>Benign: NR; Malignant:</w:t>
            </w:r>
            <w:r>
              <w:t xml:space="preserve"> </w:t>
            </w:r>
            <w:r w:rsidRPr="00361416">
              <w:t>NR</w:t>
            </w:r>
          </w:p>
          <w:p w:rsidR="00CC6F7A" w:rsidRPr="00361416" w:rsidRDefault="00CC6F7A" w:rsidP="00EE44A1">
            <w:pPr>
              <w:pStyle w:val="TableText"/>
            </w:pPr>
          </w:p>
          <w:p w:rsidR="00CC6F7A" w:rsidRPr="00361416" w:rsidRDefault="00CC6F7A" w:rsidP="00EE44A1">
            <w:pPr>
              <w:pStyle w:val="TableText"/>
            </w:pPr>
            <w:r w:rsidRPr="00361416">
              <w:t>Site of metastases: NR</w:t>
            </w:r>
          </w:p>
          <w:p w:rsidR="00CC6F7A" w:rsidRPr="00361416" w:rsidRDefault="00CC6F7A" w:rsidP="00EE44A1">
            <w:pPr>
              <w:pStyle w:val="TableText"/>
            </w:pPr>
          </w:p>
        </w:tc>
        <w:tc>
          <w:tcPr>
            <w:tcW w:w="3260" w:type="dxa"/>
            <w:tcBorders>
              <w:top w:val="nil"/>
              <w:left w:val="nil"/>
              <w:bottom w:val="nil"/>
              <w:right w:val="nil"/>
            </w:tcBorders>
            <w:shd w:val="clear" w:color="auto" w:fill="auto"/>
          </w:tcPr>
          <w:p w:rsidR="00CC6F7A" w:rsidRPr="00361416" w:rsidRDefault="00CC6F7A" w:rsidP="00EE44A1">
            <w:pPr>
              <w:pStyle w:val="TableText"/>
            </w:pPr>
            <w:r w:rsidRPr="00361416">
              <w:t>Memotherm and Wallstent</w:t>
            </w:r>
          </w:p>
          <w:p w:rsidR="00CC6F7A" w:rsidRPr="00361416" w:rsidRDefault="00CC6F7A" w:rsidP="00EE44A1">
            <w:pPr>
              <w:pStyle w:val="TableText"/>
            </w:pPr>
          </w:p>
          <w:p w:rsidR="00CC6F7A" w:rsidRPr="00361416" w:rsidRDefault="00CC6F7A" w:rsidP="00EE44A1">
            <w:pPr>
              <w:pStyle w:val="TableText"/>
            </w:pPr>
            <w:r w:rsidRPr="00361416">
              <w:t>Type of SEMS</w:t>
            </w:r>
          </w:p>
          <w:p w:rsidR="00CC6F7A" w:rsidRPr="00361416" w:rsidRDefault="00CC6F7A" w:rsidP="00EE44A1">
            <w:pPr>
              <w:pStyle w:val="TableText"/>
            </w:pPr>
            <w:r w:rsidRPr="00361416">
              <w:t>Covered: NR; Uncovered: NR</w:t>
            </w:r>
          </w:p>
          <w:p w:rsidR="00CC6F7A" w:rsidRPr="00361416" w:rsidRDefault="00CC6F7A" w:rsidP="00EE44A1">
            <w:pPr>
              <w:pStyle w:val="TableText"/>
            </w:pPr>
          </w:p>
          <w:p w:rsidR="00CC6F7A" w:rsidRPr="00361416" w:rsidRDefault="00CC6F7A" w:rsidP="00EE44A1">
            <w:pPr>
              <w:pStyle w:val="TableText"/>
            </w:pPr>
            <w:r w:rsidRPr="00361416">
              <w:t>Size of SEMS</w:t>
            </w:r>
          </w:p>
          <w:p w:rsidR="00CC6F7A" w:rsidRPr="00361416" w:rsidRDefault="00CC6F7A" w:rsidP="00EE44A1">
            <w:pPr>
              <w:pStyle w:val="TableText"/>
            </w:pPr>
            <w:r w:rsidRPr="00361416">
              <w:t xml:space="preserve">Length: NR; Diameter: NR </w:t>
            </w:r>
          </w:p>
          <w:p w:rsidR="00CC6F7A" w:rsidRPr="00361416" w:rsidRDefault="00CC6F7A" w:rsidP="00EE44A1">
            <w:pPr>
              <w:pStyle w:val="TableText"/>
            </w:pPr>
          </w:p>
          <w:p w:rsidR="00CC6F7A" w:rsidRPr="00361416" w:rsidRDefault="00CC6F7A" w:rsidP="00EE44A1">
            <w:pPr>
              <w:pStyle w:val="TableText"/>
            </w:pPr>
            <w:r w:rsidRPr="00361416">
              <w:t>Guidance: NR</w:t>
            </w:r>
          </w:p>
          <w:p w:rsidR="00CC6F7A" w:rsidRPr="00361416" w:rsidRDefault="00CC6F7A" w:rsidP="00EE44A1">
            <w:pPr>
              <w:pStyle w:val="TableText"/>
            </w:pPr>
          </w:p>
          <w:p w:rsidR="00CC6F7A" w:rsidRPr="00361416" w:rsidRDefault="00CC6F7A" w:rsidP="00EE44A1">
            <w:pPr>
              <w:pStyle w:val="TableText"/>
            </w:pPr>
            <w:r w:rsidRPr="00361416">
              <w:t>Anaesthesia use: NR</w:t>
            </w:r>
          </w:p>
          <w:p w:rsidR="00CC6F7A" w:rsidRPr="00361416" w:rsidRDefault="00CC6F7A" w:rsidP="00EE44A1">
            <w:pPr>
              <w:pStyle w:val="TableText"/>
            </w:pPr>
            <w:r w:rsidRPr="00361416">
              <w:t>Use of balloon dilation: NR</w:t>
            </w:r>
          </w:p>
          <w:p w:rsidR="00CC6F7A" w:rsidRPr="00361416" w:rsidRDefault="00CC6F7A" w:rsidP="00EE44A1">
            <w:pPr>
              <w:pStyle w:val="TableText"/>
            </w:pPr>
          </w:p>
        </w:tc>
        <w:tc>
          <w:tcPr>
            <w:tcW w:w="2977" w:type="dxa"/>
            <w:tcBorders>
              <w:top w:val="nil"/>
              <w:left w:val="nil"/>
              <w:bottom w:val="nil"/>
              <w:right w:val="nil"/>
            </w:tcBorders>
            <w:shd w:val="clear" w:color="auto" w:fill="auto"/>
          </w:tcPr>
          <w:p w:rsidR="00CC6F7A" w:rsidRPr="00361416" w:rsidRDefault="00CC6F7A" w:rsidP="00EE44A1">
            <w:pPr>
              <w:pStyle w:val="TableText"/>
            </w:pPr>
            <w:r w:rsidRPr="00361416">
              <w:lastRenderedPageBreak/>
              <w:t>Inclusion criteria: Patients medically unfit for major surgery (ASA 4 or 5) with irreversible disease or have incurable malignancy due either to radiologically confirmed metastatic disease or locall</w:t>
            </w:r>
            <w:r>
              <w:t>y advanced fixed pelvic tumours</w:t>
            </w:r>
          </w:p>
          <w:p w:rsidR="00CC6F7A" w:rsidRPr="00361416" w:rsidRDefault="00CC6F7A" w:rsidP="00EE44A1">
            <w:pPr>
              <w:pStyle w:val="TableText"/>
            </w:pPr>
          </w:p>
          <w:p w:rsidR="00CC6F7A" w:rsidRPr="00361416" w:rsidRDefault="00CC6F7A" w:rsidP="00EE44A1">
            <w:pPr>
              <w:pStyle w:val="TableText"/>
            </w:pPr>
            <w:r w:rsidRPr="00361416">
              <w:t>Exclusion criteria: NR</w:t>
            </w:r>
          </w:p>
          <w:p w:rsidR="00CC6F7A" w:rsidRPr="00361416" w:rsidRDefault="00CC6F7A" w:rsidP="00EE44A1">
            <w:pPr>
              <w:pStyle w:val="TableText"/>
            </w:pPr>
          </w:p>
          <w:p w:rsidR="00CC6F7A" w:rsidRPr="00361416" w:rsidRDefault="00CC6F7A" w:rsidP="00EE44A1">
            <w:pPr>
              <w:pStyle w:val="TableText"/>
            </w:pPr>
            <w:r w:rsidRPr="00361416">
              <w:t>Patients excluded: NR</w:t>
            </w:r>
          </w:p>
        </w:tc>
      </w:tr>
      <w:tr w:rsidR="00CC6F7A" w:rsidRPr="00361416" w:rsidTr="00CC6F7A">
        <w:tc>
          <w:tcPr>
            <w:tcW w:w="1242" w:type="dxa"/>
            <w:tcBorders>
              <w:top w:val="nil"/>
              <w:left w:val="nil"/>
              <w:bottom w:val="nil"/>
              <w:right w:val="nil"/>
            </w:tcBorders>
            <w:shd w:val="clear" w:color="auto" w:fill="auto"/>
          </w:tcPr>
          <w:p w:rsidR="00CC6F7A" w:rsidRPr="00361416" w:rsidRDefault="00CC6F7A" w:rsidP="00EE44A1">
            <w:pPr>
              <w:pStyle w:val="TableText"/>
            </w:pPr>
            <w:r w:rsidRPr="00361416">
              <w:lastRenderedPageBreak/>
              <w:t>Nagula et al (2010), USA</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44</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30</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14</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13/31</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 xml:space="preserve">8/22   </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5/9</w:t>
            </w:r>
          </w:p>
        </w:tc>
        <w:tc>
          <w:tcPr>
            <w:tcW w:w="1560"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57 years</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59 years</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54 years</w:t>
            </w:r>
          </w:p>
        </w:tc>
        <w:tc>
          <w:tcPr>
            <w:tcW w:w="2693" w:type="dxa"/>
            <w:tcBorders>
              <w:top w:val="nil"/>
              <w:left w:val="nil"/>
              <w:bottom w:val="nil"/>
              <w:right w:val="nil"/>
            </w:tcBorders>
            <w:shd w:val="clear" w:color="auto" w:fill="auto"/>
          </w:tcPr>
          <w:p w:rsidR="00CC6F7A" w:rsidRPr="00361416" w:rsidRDefault="00CC6F7A" w:rsidP="00EE44A1">
            <w:pPr>
              <w:pStyle w:val="TableText"/>
            </w:pPr>
            <w:r w:rsidRPr="00361416">
              <w:t>Type of obstruction</w:t>
            </w:r>
          </w:p>
          <w:p w:rsidR="00CC6F7A" w:rsidRPr="00361416" w:rsidRDefault="00CC6F7A" w:rsidP="00EE44A1">
            <w:pPr>
              <w:pStyle w:val="TableText"/>
            </w:pPr>
            <w:r w:rsidRPr="00361416">
              <w:t>Partial: NR; Complete: NR</w:t>
            </w:r>
          </w:p>
          <w:p w:rsidR="00CC6F7A" w:rsidRPr="00361416" w:rsidRDefault="00CC6F7A" w:rsidP="00EE44A1">
            <w:pPr>
              <w:pStyle w:val="TableText"/>
            </w:pPr>
          </w:p>
          <w:p w:rsidR="00CC6F7A" w:rsidRPr="00361416" w:rsidRDefault="00CC6F7A" w:rsidP="00EE44A1">
            <w:pPr>
              <w:pStyle w:val="TableText"/>
            </w:pPr>
            <w:r w:rsidRPr="00361416">
              <w:t>Location of obstruction:</w:t>
            </w:r>
          </w:p>
          <w:p w:rsidR="00CC6F7A" w:rsidRPr="00361416" w:rsidRDefault="00CC6F7A" w:rsidP="00EE44A1">
            <w:pPr>
              <w:pStyle w:val="TableText"/>
            </w:pPr>
            <w:r w:rsidRPr="00361416">
              <w:t>Rectum:</w:t>
            </w:r>
            <w:r>
              <w:t xml:space="preserve"> </w:t>
            </w:r>
            <w:r w:rsidRPr="00361416">
              <w:t>4</w:t>
            </w:r>
            <w:r>
              <w:t xml:space="preserve"> (9.1%)</w:t>
            </w:r>
            <w:r w:rsidRPr="00361416">
              <w:t>; Rectosigmoid:</w:t>
            </w:r>
            <w:r>
              <w:t xml:space="preserve"> </w:t>
            </w:r>
            <w:r w:rsidRPr="00361416">
              <w:t>15</w:t>
            </w:r>
            <w:r>
              <w:t xml:space="preserve"> (34.1%)</w:t>
            </w:r>
            <w:r w:rsidRPr="00361416">
              <w:t>; Sigmoid:</w:t>
            </w:r>
            <w:r>
              <w:t xml:space="preserve"> </w:t>
            </w:r>
            <w:r w:rsidRPr="00361416">
              <w:t>16</w:t>
            </w:r>
            <w:r>
              <w:t xml:space="preserve"> (36.4%)</w:t>
            </w:r>
            <w:r w:rsidRPr="00361416">
              <w:t xml:space="preserve">; </w:t>
            </w:r>
          </w:p>
          <w:p w:rsidR="00CC6F7A" w:rsidRPr="00361416" w:rsidRDefault="00CC6F7A" w:rsidP="00EE44A1">
            <w:pPr>
              <w:pStyle w:val="TableText"/>
            </w:pPr>
            <w:r w:rsidRPr="00361416">
              <w:t>Descending: 2</w:t>
            </w:r>
            <w:r>
              <w:t xml:space="preserve"> (4.5%)</w:t>
            </w:r>
            <w:r w:rsidRPr="00361416">
              <w:t>; Splenic flexure:</w:t>
            </w:r>
            <w:r>
              <w:t xml:space="preserve"> </w:t>
            </w:r>
            <w:r w:rsidRPr="00361416">
              <w:t>2</w:t>
            </w:r>
            <w:r>
              <w:t xml:space="preserve"> (4.5%)</w:t>
            </w:r>
            <w:r w:rsidRPr="00361416">
              <w:t>; Transverse:</w:t>
            </w:r>
            <w:r>
              <w:t xml:space="preserve"> </w:t>
            </w:r>
            <w:r w:rsidRPr="00361416">
              <w:t>2</w:t>
            </w:r>
            <w:r>
              <w:t xml:space="preserve"> (4.5%)</w:t>
            </w:r>
            <w:r w:rsidRPr="00361416">
              <w:t>; Hepatic flexure:</w:t>
            </w:r>
            <w:r>
              <w:t xml:space="preserve"> </w:t>
            </w:r>
            <w:r w:rsidRPr="00361416">
              <w:t>3</w:t>
            </w:r>
            <w:r>
              <w:t xml:space="preserve"> (6.8%)</w:t>
            </w:r>
          </w:p>
          <w:p w:rsidR="00CC6F7A" w:rsidRPr="00361416" w:rsidRDefault="00CC6F7A" w:rsidP="00EE44A1">
            <w:pPr>
              <w:pStyle w:val="TableText"/>
            </w:pPr>
          </w:p>
          <w:p w:rsidR="00CC6F7A" w:rsidRPr="00361416" w:rsidRDefault="00CC6F7A" w:rsidP="00EE44A1">
            <w:pPr>
              <w:pStyle w:val="TableText"/>
            </w:pPr>
            <w:r w:rsidRPr="00361416">
              <w:t>Length of stenosis: NR</w:t>
            </w:r>
          </w:p>
          <w:p w:rsidR="00CC6F7A" w:rsidRPr="00361416" w:rsidRDefault="00CC6F7A" w:rsidP="00EE44A1">
            <w:pPr>
              <w:pStyle w:val="TableText"/>
            </w:pPr>
          </w:p>
          <w:p w:rsidR="00CC6F7A" w:rsidRPr="00361416" w:rsidRDefault="00CC6F7A" w:rsidP="00EE44A1">
            <w:pPr>
              <w:pStyle w:val="TableText"/>
            </w:pPr>
            <w:r w:rsidRPr="00361416">
              <w:t xml:space="preserve">Diagnosis </w:t>
            </w:r>
          </w:p>
          <w:p w:rsidR="00CC6F7A" w:rsidRPr="00361416" w:rsidRDefault="00CC6F7A" w:rsidP="00EE44A1">
            <w:pPr>
              <w:pStyle w:val="TableText"/>
            </w:pPr>
            <w:r w:rsidRPr="00361416">
              <w:t>Benign: 0; Malignant:</w:t>
            </w:r>
            <w:r>
              <w:t xml:space="preserve"> </w:t>
            </w:r>
            <w:r w:rsidRPr="00361416">
              <w:t>44</w:t>
            </w:r>
            <w:r>
              <w:t xml:space="preserve"> (100%)</w:t>
            </w:r>
          </w:p>
          <w:p w:rsidR="00CC6F7A" w:rsidRPr="00361416" w:rsidRDefault="00CC6F7A" w:rsidP="00EE44A1">
            <w:pPr>
              <w:pStyle w:val="TableText"/>
            </w:pPr>
          </w:p>
          <w:p w:rsidR="00CC6F7A" w:rsidRPr="00361416" w:rsidRDefault="00CC6F7A" w:rsidP="00EE44A1">
            <w:pPr>
              <w:pStyle w:val="TableText"/>
            </w:pPr>
            <w:r w:rsidRPr="00361416">
              <w:t>Site of metastases: NR</w:t>
            </w:r>
          </w:p>
          <w:p w:rsidR="00CC6F7A" w:rsidRPr="00361416" w:rsidRDefault="00CC6F7A" w:rsidP="00EE44A1">
            <w:pPr>
              <w:pStyle w:val="TableText"/>
            </w:pPr>
          </w:p>
        </w:tc>
        <w:tc>
          <w:tcPr>
            <w:tcW w:w="3260" w:type="dxa"/>
            <w:tcBorders>
              <w:top w:val="nil"/>
              <w:left w:val="nil"/>
              <w:bottom w:val="nil"/>
              <w:right w:val="nil"/>
            </w:tcBorders>
            <w:shd w:val="clear" w:color="auto" w:fill="auto"/>
          </w:tcPr>
          <w:p w:rsidR="00CC6F7A" w:rsidRPr="00361416" w:rsidRDefault="00CC6F7A" w:rsidP="00EE44A1">
            <w:pPr>
              <w:pStyle w:val="TableText"/>
            </w:pPr>
            <w:r w:rsidRPr="00361416">
              <w:t>Wallstent or Ultraflex (Boston Scientific)</w:t>
            </w:r>
          </w:p>
          <w:p w:rsidR="00CC6F7A" w:rsidRPr="00361416" w:rsidRDefault="00CC6F7A" w:rsidP="00EE44A1">
            <w:pPr>
              <w:pStyle w:val="TableText"/>
            </w:pPr>
            <w:r w:rsidRPr="00361416">
              <w:t xml:space="preserve"> </w:t>
            </w:r>
          </w:p>
          <w:p w:rsidR="00CC6F7A" w:rsidRPr="00361416" w:rsidRDefault="00CC6F7A" w:rsidP="00EE44A1">
            <w:pPr>
              <w:pStyle w:val="TableText"/>
            </w:pPr>
            <w:r w:rsidRPr="00361416">
              <w:t>Type of SEMS</w:t>
            </w:r>
          </w:p>
          <w:p w:rsidR="00CC6F7A" w:rsidRPr="00361416" w:rsidRDefault="00CC6F7A" w:rsidP="00EE44A1">
            <w:pPr>
              <w:pStyle w:val="TableText"/>
            </w:pPr>
            <w:r w:rsidRPr="00361416">
              <w:t>Covered: NR; Uncovered: NR</w:t>
            </w:r>
          </w:p>
          <w:p w:rsidR="00CC6F7A" w:rsidRPr="00361416" w:rsidRDefault="00CC6F7A" w:rsidP="00EE44A1">
            <w:pPr>
              <w:pStyle w:val="TableText"/>
            </w:pPr>
          </w:p>
          <w:p w:rsidR="00CC6F7A" w:rsidRPr="00361416" w:rsidRDefault="00CC6F7A" w:rsidP="00EE44A1">
            <w:pPr>
              <w:pStyle w:val="TableText"/>
            </w:pPr>
            <w:r w:rsidRPr="00361416">
              <w:t>Size of SEMS</w:t>
            </w:r>
          </w:p>
          <w:p w:rsidR="00CC6F7A" w:rsidRPr="00361416" w:rsidRDefault="00CC6F7A" w:rsidP="00EE44A1">
            <w:pPr>
              <w:pStyle w:val="TableText"/>
            </w:pPr>
            <w:r w:rsidRPr="00361416">
              <w:t>Length: NR; Diameter: NR</w:t>
            </w:r>
          </w:p>
          <w:p w:rsidR="00CC6F7A" w:rsidRPr="00361416" w:rsidRDefault="00CC6F7A" w:rsidP="00EE44A1">
            <w:pPr>
              <w:pStyle w:val="TableText"/>
            </w:pPr>
          </w:p>
          <w:p w:rsidR="00CC6F7A" w:rsidRPr="00361416" w:rsidRDefault="00CC6F7A" w:rsidP="00EE44A1">
            <w:pPr>
              <w:pStyle w:val="TableText"/>
            </w:pPr>
            <w:r w:rsidRPr="00361416">
              <w:t>Guidance: endoscopic or fluoroscopic, or both</w:t>
            </w:r>
          </w:p>
          <w:p w:rsidR="00CC6F7A" w:rsidRPr="00361416" w:rsidRDefault="00CC6F7A" w:rsidP="00EE44A1">
            <w:pPr>
              <w:pStyle w:val="TableText"/>
            </w:pPr>
            <w:r w:rsidRPr="00361416">
              <w:t>Anaesthesia use: IV conscious sedation or general anaesthesia</w:t>
            </w:r>
            <w:r>
              <w:t>.</w:t>
            </w:r>
          </w:p>
          <w:p w:rsidR="00CC6F7A" w:rsidRPr="00361416" w:rsidRDefault="00CC6F7A" w:rsidP="00EE44A1">
            <w:pPr>
              <w:pStyle w:val="TableText"/>
            </w:pPr>
            <w:r w:rsidRPr="00361416">
              <w:t>Use of balloon dilation: NR</w:t>
            </w:r>
          </w:p>
        </w:tc>
        <w:tc>
          <w:tcPr>
            <w:tcW w:w="2977" w:type="dxa"/>
            <w:tcBorders>
              <w:top w:val="nil"/>
              <w:left w:val="nil"/>
              <w:bottom w:val="nil"/>
              <w:right w:val="nil"/>
            </w:tcBorders>
            <w:shd w:val="clear" w:color="auto" w:fill="auto"/>
          </w:tcPr>
          <w:p w:rsidR="00CC6F7A" w:rsidRPr="00361416" w:rsidRDefault="00CC6F7A" w:rsidP="00EE44A1">
            <w:pPr>
              <w:pStyle w:val="TableText"/>
            </w:pPr>
            <w:r w:rsidRPr="00361416">
              <w:t>Inclusion criteria: Patients &gt;18 years old with unres</w:t>
            </w:r>
            <w:r>
              <w:t>e</w:t>
            </w:r>
            <w:r w:rsidRPr="00361416">
              <w:t>ctable-for-cure malignancies presenting with symp</w:t>
            </w:r>
            <w:r>
              <w:t>toms of large bowel obstruction</w:t>
            </w:r>
          </w:p>
          <w:p w:rsidR="00CC6F7A" w:rsidRPr="00361416" w:rsidRDefault="00CC6F7A" w:rsidP="00EE44A1">
            <w:pPr>
              <w:pStyle w:val="TableText"/>
            </w:pPr>
          </w:p>
          <w:p w:rsidR="00CC6F7A" w:rsidRPr="00361416" w:rsidRDefault="00CC6F7A" w:rsidP="00EE44A1">
            <w:pPr>
              <w:pStyle w:val="TableText"/>
            </w:pPr>
            <w:r w:rsidRPr="00361416">
              <w:t>Exclusion criteria: Patient unwilling to provide informed consent, evidence of perforation, previous palliation for malignant bowel obstruction, multifocal obstruction, or obstruction located within 2</w:t>
            </w:r>
            <w:r>
              <w:t xml:space="preserve"> cm</w:t>
            </w:r>
            <w:r w:rsidRPr="00361416">
              <w:t xml:space="preserve"> of the dentate line or proximal to the hepatic flexure</w:t>
            </w:r>
            <w:r>
              <w:t>, r</w:t>
            </w:r>
            <w:r w:rsidRPr="00361416">
              <w:t>ecent myocardial infarction or cerebrovascular accident or un-correctable coagulopathy</w:t>
            </w:r>
            <w:r>
              <w:t>.</w:t>
            </w:r>
            <w:r w:rsidRPr="00361416">
              <w:t xml:space="preserve"> After enrolment patients were excluded if any palliative procedures for obstruction were performed</w:t>
            </w:r>
            <w:r>
              <w:t xml:space="preserve"> at an outside institution</w:t>
            </w:r>
          </w:p>
          <w:p w:rsidR="00CC6F7A" w:rsidRPr="00361416" w:rsidRDefault="00CC6F7A" w:rsidP="00EE44A1">
            <w:pPr>
              <w:pStyle w:val="TableText"/>
            </w:pPr>
          </w:p>
          <w:p w:rsidR="00CC6F7A" w:rsidRPr="00361416" w:rsidRDefault="00CC6F7A" w:rsidP="00EE44A1">
            <w:pPr>
              <w:pStyle w:val="TableText"/>
            </w:pPr>
            <w:r w:rsidRPr="00361416">
              <w:t>Patients excluded: 7 (withdrew consent</w:t>
            </w:r>
            <w:r>
              <w:t xml:space="preserve"> </w:t>
            </w:r>
            <w:r w:rsidRPr="00361416">
              <w:t>(1), lost to follow-up before first survey</w:t>
            </w:r>
            <w:r>
              <w:t xml:space="preserve"> </w:t>
            </w:r>
            <w:r w:rsidRPr="00361416">
              <w:t>(2), protocol violation, as a surgical procedure performed at an outside institution</w:t>
            </w:r>
            <w:r>
              <w:t xml:space="preserve"> </w:t>
            </w:r>
            <w:r w:rsidRPr="00361416">
              <w:t>(1), no endoscopic evidence of colonic obstruction (1), died before first follow-up from n</w:t>
            </w:r>
            <w:r>
              <w:t>on-procedural complication (2))</w:t>
            </w:r>
          </w:p>
          <w:p w:rsidR="00CC6F7A" w:rsidRPr="00361416" w:rsidRDefault="00CC6F7A" w:rsidP="00EE44A1">
            <w:pPr>
              <w:pStyle w:val="TableText"/>
            </w:pPr>
          </w:p>
        </w:tc>
      </w:tr>
      <w:tr w:rsidR="00CC6F7A" w:rsidRPr="00361416" w:rsidTr="00CC6F7A">
        <w:tc>
          <w:tcPr>
            <w:tcW w:w="1242" w:type="dxa"/>
            <w:tcBorders>
              <w:top w:val="nil"/>
              <w:left w:val="nil"/>
              <w:bottom w:val="nil"/>
              <w:right w:val="nil"/>
            </w:tcBorders>
            <w:shd w:val="clear" w:color="auto" w:fill="auto"/>
          </w:tcPr>
          <w:p w:rsidR="00CC6F7A" w:rsidRPr="00361416" w:rsidRDefault="00CC6F7A" w:rsidP="00EE44A1">
            <w:pPr>
              <w:pStyle w:val="TableText"/>
            </w:pPr>
            <w:r w:rsidRPr="00361416">
              <w:t>Osman et al (2000),</w:t>
            </w:r>
            <w:r>
              <w:t xml:space="preserve"> UK</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26</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16</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10</w:t>
            </w:r>
          </w:p>
        </w:tc>
        <w:tc>
          <w:tcPr>
            <w:tcW w:w="1134" w:type="dxa"/>
            <w:tcBorders>
              <w:top w:val="nil"/>
              <w:left w:val="nil"/>
              <w:bottom w:val="nil"/>
              <w:right w:val="nil"/>
            </w:tcBorders>
            <w:shd w:val="clear" w:color="auto" w:fill="auto"/>
          </w:tcPr>
          <w:p w:rsidR="00CC6F7A" w:rsidRPr="00361416" w:rsidRDefault="00CC6F7A" w:rsidP="00EE44A1">
            <w:pPr>
              <w:pStyle w:val="TableText"/>
            </w:pPr>
            <w:r w:rsidRPr="00361416">
              <w:t>Total:</w:t>
            </w:r>
            <w:r>
              <w:t xml:space="preserve"> </w:t>
            </w:r>
            <w:r w:rsidRPr="00361416">
              <w:t>12/14</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8/8</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4/6</w:t>
            </w:r>
          </w:p>
        </w:tc>
        <w:tc>
          <w:tcPr>
            <w:tcW w:w="1560" w:type="dxa"/>
            <w:tcBorders>
              <w:top w:val="nil"/>
              <w:left w:val="nil"/>
              <w:bottom w:val="nil"/>
              <w:right w:val="nil"/>
            </w:tcBorders>
            <w:shd w:val="clear" w:color="auto" w:fill="auto"/>
          </w:tcPr>
          <w:p w:rsidR="00CC6F7A" w:rsidRPr="00361416" w:rsidRDefault="00CC6F7A" w:rsidP="00EE44A1">
            <w:pPr>
              <w:pStyle w:val="TableText"/>
            </w:pPr>
            <w:r w:rsidRPr="00361416">
              <w:t>Total: NR</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72 years (range 42-91)</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73 years (range 53-95)</w:t>
            </w:r>
          </w:p>
        </w:tc>
        <w:tc>
          <w:tcPr>
            <w:tcW w:w="2693" w:type="dxa"/>
            <w:tcBorders>
              <w:top w:val="nil"/>
              <w:left w:val="nil"/>
              <w:bottom w:val="nil"/>
              <w:right w:val="nil"/>
            </w:tcBorders>
            <w:shd w:val="clear" w:color="auto" w:fill="auto"/>
          </w:tcPr>
          <w:p w:rsidR="00CC6F7A" w:rsidRPr="00361416" w:rsidRDefault="00CC6F7A" w:rsidP="00EE44A1">
            <w:pPr>
              <w:pStyle w:val="TableText"/>
            </w:pPr>
            <w:r w:rsidRPr="00361416">
              <w:t>Type of obstruction</w:t>
            </w:r>
          </w:p>
          <w:p w:rsidR="00CC6F7A" w:rsidRPr="00361416" w:rsidRDefault="00CC6F7A" w:rsidP="00EE44A1">
            <w:pPr>
              <w:pStyle w:val="TableText"/>
            </w:pPr>
            <w:r w:rsidRPr="00361416">
              <w:t>Partial: NR; Complete: NR</w:t>
            </w:r>
          </w:p>
          <w:p w:rsidR="00CC6F7A" w:rsidRPr="00361416" w:rsidRDefault="00CC6F7A" w:rsidP="00EE44A1">
            <w:pPr>
              <w:pStyle w:val="TableText"/>
            </w:pPr>
          </w:p>
          <w:p w:rsidR="00CC6F7A" w:rsidRPr="00361416" w:rsidRDefault="00CC6F7A" w:rsidP="00EE44A1">
            <w:pPr>
              <w:pStyle w:val="TableText"/>
            </w:pPr>
            <w:r w:rsidRPr="00361416">
              <w:t>Location of obstruction (expressed as the distance from anus for SEMS group only): &lt;5</w:t>
            </w:r>
            <w:r>
              <w:t xml:space="preserve"> cm</w:t>
            </w:r>
            <w:r w:rsidRPr="00361416">
              <w:t>: 1</w:t>
            </w:r>
            <w:r>
              <w:t xml:space="preserve"> (6.2%)</w:t>
            </w:r>
            <w:r w:rsidRPr="00361416">
              <w:t xml:space="preserve">; </w:t>
            </w:r>
            <w:r>
              <w:br/>
            </w:r>
            <w:r w:rsidRPr="00361416">
              <w:t>5-10</w:t>
            </w:r>
            <w:r>
              <w:t xml:space="preserve"> cm</w:t>
            </w:r>
            <w:r w:rsidRPr="00361416">
              <w:t>: 1</w:t>
            </w:r>
            <w:r>
              <w:t xml:space="preserve"> (6.2%)</w:t>
            </w:r>
            <w:r w:rsidRPr="00361416">
              <w:t>; 11-15</w:t>
            </w:r>
            <w:r>
              <w:t xml:space="preserve"> cm</w:t>
            </w:r>
            <w:r w:rsidRPr="00361416">
              <w:t>: 3</w:t>
            </w:r>
            <w:r>
              <w:t xml:space="preserve"> (18.8%)</w:t>
            </w:r>
            <w:r w:rsidRPr="00361416">
              <w:t xml:space="preserve">; </w:t>
            </w:r>
            <w:r>
              <w:br/>
            </w:r>
            <w:r w:rsidRPr="00361416">
              <w:t>16-20</w:t>
            </w:r>
            <w:r>
              <w:t xml:space="preserve"> cm</w:t>
            </w:r>
            <w:r w:rsidRPr="00361416">
              <w:t>: 3</w:t>
            </w:r>
            <w:r>
              <w:t xml:space="preserve"> (18.8%)</w:t>
            </w:r>
            <w:r w:rsidRPr="00361416">
              <w:t>; 21-25</w:t>
            </w:r>
            <w:r>
              <w:t xml:space="preserve"> cm</w:t>
            </w:r>
            <w:r w:rsidRPr="00361416">
              <w:t>: 4</w:t>
            </w:r>
            <w:r>
              <w:t xml:space="preserve"> (25%)</w:t>
            </w:r>
            <w:r w:rsidRPr="00361416">
              <w:t xml:space="preserve">; </w:t>
            </w:r>
            <w:r>
              <w:br/>
            </w:r>
            <w:r w:rsidRPr="00361416">
              <w:t>26-30</w:t>
            </w:r>
            <w:r>
              <w:t xml:space="preserve"> cm</w:t>
            </w:r>
            <w:r w:rsidRPr="00361416">
              <w:t>:</w:t>
            </w:r>
            <w:r>
              <w:t xml:space="preserve"> </w:t>
            </w:r>
            <w:r w:rsidRPr="00361416">
              <w:t>1</w:t>
            </w:r>
            <w:r>
              <w:t xml:space="preserve"> (6.2%)</w:t>
            </w:r>
            <w:r w:rsidRPr="00361416">
              <w:t>; &gt;30</w:t>
            </w:r>
            <w:r>
              <w:t xml:space="preserve"> cm</w:t>
            </w:r>
            <w:r w:rsidRPr="00361416">
              <w:t>: 3</w:t>
            </w:r>
            <w:r>
              <w:t xml:space="preserve"> (18.8%)</w:t>
            </w:r>
          </w:p>
          <w:p w:rsidR="00CC6F7A" w:rsidRPr="00361416" w:rsidRDefault="00CC6F7A" w:rsidP="00EE44A1">
            <w:pPr>
              <w:pStyle w:val="TableText"/>
            </w:pPr>
          </w:p>
          <w:p w:rsidR="00CC6F7A" w:rsidRPr="00361416" w:rsidRDefault="00CC6F7A" w:rsidP="00EE44A1">
            <w:pPr>
              <w:pStyle w:val="TableText"/>
            </w:pPr>
            <w:r w:rsidRPr="00361416">
              <w:t>Length of stenosis (SEMS group only): &lt;5</w:t>
            </w:r>
            <w:r>
              <w:t xml:space="preserve"> cm</w:t>
            </w:r>
            <w:r w:rsidRPr="00361416">
              <w:t>: 9</w:t>
            </w:r>
            <w:r>
              <w:t xml:space="preserve"> (56.2%)</w:t>
            </w:r>
            <w:r w:rsidRPr="00361416">
              <w:t>; ≥5</w:t>
            </w:r>
            <w:r>
              <w:t xml:space="preserve"> cm</w:t>
            </w:r>
            <w:r w:rsidRPr="00361416">
              <w:t>:</w:t>
            </w:r>
            <w:r>
              <w:t xml:space="preserve"> </w:t>
            </w:r>
            <w:r w:rsidRPr="00361416">
              <w:t>7</w:t>
            </w:r>
            <w:r>
              <w:t xml:space="preserve"> (43.8%)</w:t>
            </w:r>
          </w:p>
          <w:p w:rsidR="00CC6F7A" w:rsidRPr="00361416" w:rsidRDefault="00CC6F7A" w:rsidP="00EE44A1">
            <w:pPr>
              <w:pStyle w:val="TableText"/>
            </w:pPr>
          </w:p>
          <w:p w:rsidR="00CC6F7A" w:rsidRPr="00361416" w:rsidRDefault="00CC6F7A" w:rsidP="00EE44A1">
            <w:pPr>
              <w:pStyle w:val="TableText"/>
            </w:pPr>
            <w:r w:rsidRPr="00361416">
              <w:t xml:space="preserve">Diagnosis </w:t>
            </w:r>
          </w:p>
          <w:p w:rsidR="00CC6F7A" w:rsidRPr="00361416" w:rsidRDefault="00CC6F7A" w:rsidP="00EE44A1">
            <w:pPr>
              <w:pStyle w:val="TableText"/>
            </w:pPr>
            <w:r w:rsidRPr="00361416">
              <w:t>Benign: 0; Malignant: 26</w:t>
            </w:r>
            <w:r>
              <w:t xml:space="preserve"> (100%)</w:t>
            </w:r>
          </w:p>
          <w:p w:rsidR="00CC6F7A" w:rsidRPr="00361416" w:rsidRDefault="00CC6F7A" w:rsidP="00EE44A1">
            <w:pPr>
              <w:pStyle w:val="TableText"/>
            </w:pPr>
          </w:p>
          <w:p w:rsidR="00CC6F7A" w:rsidRPr="00361416" w:rsidRDefault="00CC6F7A" w:rsidP="00EE44A1">
            <w:pPr>
              <w:pStyle w:val="TableText"/>
            </w:pPr>
            <w:r w:rsidRPr="00361416">
              <w:t>Site of metastases: NR</w:t>
            </w:r>
          </w:p>
          <w:p w:rsidR="00CC6F7A" w:rsidRPr="00361416" w:rsidRDefault="00CC6F7A" w:rsidP="00EE44A1">
            <w:pPr>
              <w:pStyle w:val="TableText"/>
            </w:pPr>
          </w:p>
        </w:tc>
        <w:tc>
          <w:tcPr>
            <w:tcW w:w="3260" w:type="dxa"/>
            <w:tcBorders>
              <w:top w:val="nil"/>
              <w:left w:val="nil"/>
              <w:bottom w:val="nil"/>
              <w:right w:val="nil"/>
            </w:tcBorders>
            <w:shd w:val="clear" w:color="auto" w:fill="auto"/>
          </w:tcPr>
          <w:p w:rsidR="00CC6F7A" w:rsidRPr="00361416" w:rsidRDefault="00CC6F7A" w:rsidP="00EE44A1">
            <w:pPr>
              <w:pStyle w:val="TableText"/>
            </w:pPr>
            <w:r w:rsidRPr="00361416">
              <w:lastRenderedPageBreak/>
              <w:t>Wallstent (Schneider Inc.)</w:t>
            </w:r>
          </w:p>
          <w:p w:rsidR="00CC6F7A" w:rsidRPr="00361416" w:rsidRDefault="00CC6F7A" w:rsidP="00EE44A1">
            <w:pPr>
              <w:pStyle w:val="TableText"/>
            </w:pPr>
          </w:p>
          <w:p w:rsidR="00CC6F7A" w:rsidRPr="00361416" w:rsidRDefault="00CC6F7A" w:rsidP="00EE44A1">
            <w:pPr>
              <w:pStyle w:val="TableText"/>
            </w:pPr>
            <w:r w:rsidRPr="00361416">
              <w:t>Type of SEMS</w:t>
            </w:r>
          </w:p>
          <w:p w:rsidR="00CC6F7A" w:rsidRPr="00361416" w:rsidRDefault="00CC6F7A" w:rsidP="00EE44A1">
            <w:pPr>
              <w:pStyle w:val="TableText"/>
            </w:pPr>
            <w:r w:rsidRPr="00361416">
              <w:t>Covered: NR; Uncovered: NR</w:t>
            </w:r>
          </w:p>
          <w:p w:rsidR="00CC6F7A" w:rsidRPr="00361416" w:rsidRDefault="00CC6F7A" w:rsidP="00EE44A1">
            <w:pPr>
              <w:pStyle w:val="TableText"/>
            </w:pPr>
          </w:p>
          <w:p w:rsidR="00CC6F7A" w:rsidRPr="00361416" w:rsidRDefault="00CC6F7A" w:rsidP="00EE44A1">
            <w:pPr>
              <w:pStyle w:val="TableText"/>
            </w:pPr>
            <w:r w:rsidRPr="00361416">
              <w:t>Size of SEMS</w:t>
            </w:r>
          </w:p>
          <w:p w:rsidR="00CC6F7A" w:rsidRPr="00361416" w:rsidRDefault="00CC6F7A" w:rsidP="00EE44A1">
            <w:pPr>
              <w:pStyle w:val="TableText"/>
            </w:pPr>
            <w:r w:rsidRPr="00361416">
              <w:t>Length:</w:t>
            </w:r>
            <w:r>
              <w:t xml:space="preserve"> </w:t>
            </w:r>
            <w:r w:rsidRPr="00361416">
              <w:t>6-9</w:t>
            </w:r>
            <w:r>
              <w:t xml:space="preserve"> cm</w:t>
            </w:r>
            <w:r w:rsidRPr="00361416">
              <w:t>; Diameter: 20-22</w:t>
            </w:r>
            <w:r>
              <w:t xml:space="preserve"> mm</w:t>
            </w:r>
          </w:p>
          <w:p w:rsidR="00CC6F7A" w:rsidRPr="00361416" w:rsidRDefault="00CC6F7A" w:rsidP="00EE44A1">
            <w:pPr>
              <w:pStyle w:val="TableText"/>
            </w:pPr>
          </w:p>
          <w:p w:rsidR="00CC6F7A" w:rsidRPr="00361416" w:rsidRDefault="00CC6F7A" w:rsidP="00EE44A1">
            <w:pPr>
              <w:pStyle w:val="TableText"/>
            </w:pPr>
            <w:r w:rsidRPr="00361416">
              <w:t>Guidance: Endoscopic or fluoroscopic</w:t>
            </w:r>
          </w:p>
          <w:p w:rsidR="00CC6F7A" w:rsidRPr="00361416" w:rsidRDefault="00CC6F7A" w:rsidP="00EE44A1">
            <w:pPr>
              <w:pStyle w:val="TableText"/>
            </w:pPr>
          </w:p>
          <w:p w:rsidR="00CC6F7A" w:rsidRPr="00361416" w:rsidRDefault="00CC6F7A" w:rsidP="00EE44A1">
            <w:pPr>
              <w:pStyle w:val="TableText"/>
            </w:pPr>
            <w:r w:rsidRPr="00361416">
              <w:t xml:space="preserve">Anaesthesia use: Minimal sedation and </w:t>
            </w:r>
            <w:r w:rsidRPr="00361416">
              <w:lastRenderedPageBreak/>
              <w:t>analgesia</w:t>
            </w:r>
          </w:p>
          <w:p w:rsidR="00CC6F7A" w:rsidRPr="00361416" w:rsidRDefault="00CC6F7A" w:rsidP="00EE44A1">
            <w:pPr>
              <w:pStyle w:val="TableText"/>
            </w:pPr>
          </w:p>
          <w:p w:rsidR="00CC6F7A" w:rsidRPr="00361416" w:rsidRDefault="00CC6F7A" w:rsidP="00EE44A1">
            <w:pPr>
              <w:pStyle w:val="TableText"/>
            </w:pPr>
            <w:r w:rsidRPr="00361416">
              <w:t>Use of balloon dilation: NR</w:t>
            </w:r>
          </w:p>
        </w:tc>
        <w:tc>
          <w:tcPr>
            <w:tcW w:w="2977" w:type="dxa"/>
            <w:tcBorders>
              <w:top w:val="nil"/>
              <w:left w:val="nil"/>
              <w:bottom w:val="nil"/>
              <w:right w:val="nil"/>
            </w:tcBorders>
            <w:shd w:val="clear" w:color="auto" w:fill="auto"/>
          </w:tcPr>
          <w:p w:rsidR="00CC6F7A" w:rsidRPr="00361416" w:rsidRDefault="00CC6F7A" w:rsidP="00EE44A1">
            <w:pPr>
              <w:pStyle w:val="TableText"/>
            </w:pPr>
            <w:r w:rsidRPr="00361416">
              <w:lastRenderedPageBreak/>
              <w:t>Inclusion criteria: Patients with malignant acute left-sided large-bowel obstruction</w:t>
            </w:r>
          </w:p>
          <w:p w:rsidR="00CC6F7A" w:rsidRPr="00361416" w:rsidRDefault="00CC6F7A" w:rsidP="00EE44A1">
            <w:pPr>
              <w:pStyle w:val="TableText"/>
            </w:pPr>
          </w:p>
          <w:p w:rsidR="00CC6F7A" w:rsidRPr="00361416" w:rsidRDefault="00CC6F7A" w:rsidP="00EE44A1">
            <w:pPr>
              <w:pStyle w:val="TableText"/>
            </w:pPr>
            <w:r w:rsidRPr="00361416">
              <w:t>Exclusion criteria: NR</w:t>
            </w:r>
          </w:p>
          <w:p w:rsidR="00CC6F7A" w:rsidRPr="00361416" w:rsidRDefault="00CC6F7A" w:rsidP="00EE44A1">
            <w:pPr>
              <w:pStyle w:val="TableText"/>
            </w:pPr>
          </w:p>
          <w:p w:rsidR="00CC6F7A" w:rsidRPr="00361416" w:rsidRDefault="00CC6F7A" w:rsidP="00EE44A1">
            <w:pPr>
              <w:pStyle w:val="TableText"/>
            </w:pPr>
            <w:r w:rsidRPr="00361416">
              <w:t>Patients excluded: NR</w:t>
            </w:r>
          </w:p>
        </w:tc>
      </w:tr>
      <w:tr w:rsidR="00CC6F7A" w:rsidRPr="00361416" w:rsidTr="00CC6F7A">
        <w:tc>
          <w:tcPr>
            <w:tcW w:w="1242" w:type="dxa"/>
            <w:tcBorders>
              <w:top w:val="nil"/>
              <w:left w:val="nil"/>
              <w:bottom w:val="single" w:sz="12" w:space="0" w:color="auto"/>
              <w:right w:val="nil"/>
            </w:tcBorders>
            <w:shd w:val="clear" w:color="auto" w:fill="auto"/>
          </w:tcPr>
          <w:p w:rsidR="00CC6F7A" w:rsidRPr="00361416" w:rsidRDefault="00CC6F7A" w:rsidP="00EE44A1">
            <w:pPr>
              <w:pStyle w:val="TableText"/>
            </w:pPr>
            <w:r w:rsidRPr="00361416">
              <w:lastRenderedPageBreak/>
              <w:t xml:space="preserve">Varadarajulu et al (2011), USA </w:t>
            </w:r>
          </w:p>
        </w:tc>
        <w:tc>
          <w:tcPr>
            <w:tcW w:w="1134" w:type="dxa"/>
            <w:tcBorders>
              <w:top w:val="nil"/>
              <w:left w:val="nil"/>
              <w:bottom w:val="single" w:sz="12" w:space="0" w:color="auto"/>
              <w:right w:val="nil"/>
            </w:tcBorders>
            <w:shd w:val="clear" w:color="auto" w:fill="auto"/>
          </w:tcPr>
          <w:p w:rsidR="00CC6F7A" w:rsidRPr="00361416" w:rsidRDefault="00CC6F7A" w:rsidP="00EE44A1">
            <w:pPr>
              <w:pStyle w:val="TableText"/>
            </w:pPr>
            <w:r w:rsidRPr="00361416">
              <w:t>Total:</w:t>
            </w:r>
            <w:r>
              <w:t xml:space="preserve"> </w:t>
            </w:r>
            <w:r w:rsidRPr="00361416">
              <w:t>36</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12</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24</w:t>
            </w:r>
          </w:p>
        </w:tc>
        <w:tc>
          <w:tcPr>
            <w:tcW w:w="1134" w:type="dxa"/>
            <w:tcBorders>
              <w:top w:val="nil"/>
              <w:left w:val="nil"/>
              <w:bottom w:val="single" w:sz="12" w:space="0" w:color="auto"/>
              <w:right w:val="nil"/>
            </w:tcBorders>
            <w:shd w:val="clear" w:color="auto" w:fill="auto"/>
          </w:tcPr>
          <w:p w:rsidR="00CC6F7A" w:rsidRPr="00361416" w:rsidRDefault="00CC6F7A" w:rsidP="00EE44A1">
            <w:pPr>
              <w:pStyle w:val="TableText"/>
            </w:pPr>
            <w:r w:rsidRPr="00361416">
              <w:t>Total:</w:t>
            </w:r>
            <w:r>
              <w:t xml:space="preserve"> </w:t>
            </w:r>
            <w:r w:rsidRPr="00361416">
              <w:t>17/19</w:t>
            </w:r>
          </w:p>
          <w:p w:rsidR="00CC6F7A" w:rsidRPr="00361416" w:rsidRDefault="00CC6F7A" w:rsidP="00EE44A1">
            <w:pPr>
              <w:pStyle w:val="TableText"/>
            </w:pPr>
          </w:p>
          <w:p w:rsidR="00CC6F7A" w:rsidRPr="00361416" w:rsidRDefault="00CC6F7A" w:rsidP="00EE44A1">
            <w:pPr>
              <w:pStyle w:val="TableText"/>
            </w:pPr>
            <w:r w:rsidRPr="00361416">
              <w:t>SEMS:</w:t>
            </w:r>
            <w:r>
              <w:t xml:space="preserve"> </w:t>
            </w:r>
            <w:r w:rsidRPr="00361416">
              <w:t>6/6</w:t>
            </w:r>
          </w:p>
          <w:p w:rsidR="00CC6F7A" w:rsidRPr="00361416" w:rsidRDefault="00CC6F7A" w:rsidP="00EE44A1">
            <w:pPr>
              <w:pStyle w:val="TableText"/>
            </w:pPr>
          </w:p>
          <w:p w:rsidR="00CC6F7A" w:rsidRPr="00361416" w:rsidRDefault="00CC6F7A" w:rsidP="00EE44A1">
            <w:pPr>
              <w:pStyle w:val="TableText"/>
            </w:pPr>
            <w:r w:rsidRPr="00361416">
              <w:t>Surgery:</w:t>
            </w:r>
            <w:r>
              <w:t xml:space="preserve"> </w:t>
            </w:r>
            <w:r w:rsidRPr="00361416">
              <w:t>11/13</w:t>
            </w:r>
          </w:p>
        </w:tc>
        <w:tc>
          <w:tcPr>
            <w:tcW w:w="1560" w:type="dxa"/>
            <w:tcBorders>
              <w:top w:val="nil"/>
              <w:left w:val="nil"/>
              <w:bottom w:val="single" w:sz="12" w:space="0" w:color="auto"/>
              <w:right w:val="nil"/>
            </w:tcBorders>
            <w:shd w:val="clear" w:color="auto" w:fill="auto"/>
          </w:tcPr>
          <w:p w:rsidR="00CC6F7A" w:rsidRPr="00361416" w:rsidRDefault="00CC6F7A" w:rsidP="00EE44A1">
            <w:pPr>
              <w:pStyle w:val="TableText"/>
            </w:pPr>
            <w:r w:rsidRPr="00361416">
              <w:t>Total: NR</w:t>
            </w:r>
          </w:p>
          <w:p w:rsidR="00CC6F7A" w:rsidRPr="00361416" w:rsidRDefault="00CC6F7A" w:rsidP="00EE44A1">
            <w:pPr>
              <w:pStyle w:val="TableText"/>
            </w:pPr>
          </w:p>
          <w:p w:rsidR="00CC6F7A" w:rsidRPr="00361416" w:rsidRDefault="00CC6F7A" w:rsidP="00EE44A1">
            <w:pPr>
              <w:pStyle w:val="TableText"/>
            </w:pPr>
            <w:r w:rsidRPr="00361416">
              <w:t>SEMS: 67.08 years</w:t>
            </w:r>
          </w:p>
          <w:p w:rsidR="00CC6F7A" w:rsidRPr="00361416" w:rsidRDefault="00CC6F7A" w:rsidP="00EE44A1">
            <w:pPr>
              <w:pStyle w:val="TableText"/>
            </w:pPr>
          </w:p>
          <w:p w:rsidR="00CC6F7A" w:rsidRPr="00361416" w:rsidRDefault="00CC6F7A" w:rsidP="00EE44A1">
            <w:pPr>
              <w:pStyle w:val="TableText"/>
            </w:pPr>
            <w:r w:rsidRPr="00361416">
              <w:t>Surgery: 58.25 years</w:t>
            </w:r>
          </w:p>
        </w:tc>
        <w:tc>
          <w:tcPr>
            <w:tcW w:w="2693" w:type="dxa"/>
            <w:tcBorders>
              <w:top w:val="nil"/>
              <w:left w:val="nil"/>
              <w:bottom w:val="single" w:sz="12" w:space="0" w:color="auto"/>
              <w:right w:val="nil"/>
            </w:tcBorders>
            <w:shd w:val="clear" w:color="auto" w:fill="auto"/>
          </w:tcPr>
          <w:p w:rsidR="00CC6F7A" w:rsidRPr="00361416" w:rsidRDefault="00CC6F7A" w:rsidP="00EE44A1">
            <w:pPr>
              <w:pStyle w:val="TableText"/>
              <w:rPr>
                <w:lang w:eastAsia="en-US"/>
              </w:rPr>
            </w:pPr>
            <w:r w:rsidRPr="00361416">
              <w:rPr>
                <w:lang w:eastAsia="en-US"/>
              </w:rPr>
              <w:t>Type of obstruction</w:t>
            </w:r>
          </w:p>
          <w:p w:rsidR="00CC6F7A" w:rsidRPr="00361416" w:rsidRDefault="00CC6F7A" w:rsidP="00EE44A1">
            <w:pPr>
              <w:pStyle w:val="TableText"/>
              <w:rPr>
                <w:lang w:eastAsia="en-US"/>
              </w:rPr>
            </w:pPr>
            <w:r w:rsidRPr="00361416">
              <w:rPr>
                <w:lang w:eastAsia="en-US"/>
              </w:rPr>
              <w:t>Partial: NR; Complete: NR</w:t>
            </w:r>
          </w:p>
          <w:p w:rsidR="00CC6F7A" w:rsidRPr="00361416" w:rsidRDefault="00CC6F7A" w:rsidP="00EE44A1">
            <w:pPr>
              <w:pStyle w:val="TableText"/>
              <w:rPr>
                <w:lang w:eastAsia="en-US"/>
              </w:rPr>
            </w:pPr>
          </w:p>
          <w:p w:rsidR="00CC6F7A" w:rsidRPr="00361416" w:rsidRDefault="00CC6F7A" w:rsidP="00EE44A1">
            <w:pPr>
              <w:pStyle w:val="TableText"/>
              <w:rPr>
                <w:lang w:eastAsia="en-US"/>
              </w:rPr>
            </w:pPr>
            <w:r w:rsidRPr="00361416">
              <w:rPr>
                <w:lang w:eastAsia="en-US"/>
              </w:rPr>
              <w:t>Location of obstruction:</w:t>
            </w:r>
          </w:p>
          <w:p w:rsidR="00CC6F7A" w:rsidRPr="00361416" w:rsidRDefault="00CC6F7A" w:rsidP="00EE44A1">
            <w:pPr>
              <w:pStyle w:val="TableText"/>
              <w:rPr>
                <w:lang w:eastAsia="en-US"/>
              </w:rPr>
            </w:pPr>
            <w:r w:rsidRPr="00361416">
              <w:rPr>
                <w:lang w:eastAsia="en-US"/>
              </w:rPr>
              <w:t>Rectum: 6</w:t>
            </w:r>
            <w:r>
              <w:rPr>
                <w:lang w:eastAsia="en-US"/>
              </w:rPr>
              <w:t xml:space="preserve"> (16.7%)</w:t>
            </w:r>
            <w:r w:rsidRPr="00361416">
              <w:rPr>
                <w:lang w:eastAsia="en-US"/>
              </w:rPr>
              <w:t>; Sigmoid: 27</w:t>
            </w:r>
            <w:r>
              <w:rPr>
                <w:lang w:eastAsia="en-US"/>
              </w:rPr>
              <w:t xml:space="preserve"> (75%)</w:t>
            </w:r>
            <w:r w:rsidRPr="00361416">
              <w:rPr>
                <w:lang w:eastAsia="en-US"/>
              </w:rPr>
              <w:t>; Transverse: 3</w:t>
            </w:r>
            <w:r>
              <w:rPr>
                <w:lang w:eastAsia="en-US"/>
              </w:rPr>
              <w:t xml:space="preserve"> (8.3%)</w:t>
            </w:r>
          </w:p>
          <w:p w:rsidR="00CC6F7A" w:rsidRPr="00361416" w:rsidRDefault="00CC6F7A" w:rsidP="00EE44A1">
            <w:pPr>
              <w:pStyle w:val="TableText"/>
              <w:rPr>
                <w:lang w:eastAsia="en-US"/>
              </w:rPr>
            </w:pPr>
          </w:p>
          <w:p w:rsidR="00CC6F7A" w:rsidRPr="00361416" w:rsidRDefault="00CC6F7A" w:rsidP="00EE44A1">
            <w:pPr>
              <w:pStyle w:val="TableText"/>
              <w:rPr>
                <w:lang w:eastAsia="en-US"/>
              </w:rPr>
            </w:pPr>
            <w:r w:rsidRPr="00361416">
              <w:rPr>
                <w:lang w:eastAsia="en-US"/>
              </w:rPr>
              <w:t>Length of stenosis: NR</w:t>
            </w:r>
          </w:p>
          <w:p w:rsidR="00CC6F7A" w:rsidRPr="00361416" w:rsidRDefault="00CC6F7A" w:rsidP="00EE44A1">
            <w:pPr>
              <w:pStyle w:val="TableText"/>
              <w:rPr>
                <w:lang w:eastAsia="en-US"/>
              </w:rPr>
            </w:pPr>
          </w:p>
          <w:p w:rsidR="00CC6F7A" w:rsidRPr="00361416" w:rsidRDefault="00CC6F7A" w:rsidP="00EE44A1">
            <w:pPr>
              <w:pStyle w:val="TableText"/>
              <w:rPr>
                <w:lang w:eastAsia="en-US"/>
              </w:rPr>
            </w:pPr>
            <w:r w:rsidRPr="00361416">
              <w:rPr>
                <w:lang w:eastAsia="en-US"/>
              </w:rPr>
              <w:t xml:space="preserve">Diagnosis </w:t>
            </w:r>
          </w:p>
          <w:p w:rsidR="00CC6F7A" w:rsidRPr="00361416" w:rsidRDefault="00CC6F7A" w:rsidP="00EE44A1">
            <w:pPr>
              <w:pStyle w:val="TableText"/>
              <w:rPr>
                <w:lang w:eastAsia="en-US"/>
              </w:rPr>
            </w:pPr>
            <w:r w:rsidRPr="00361416">
              <w:rPr>
                <w:lang w:eastAsia="en-US"/>
              </w:rPr>
              <w:t>Benign:</w:t>
            </w:r>
            <w:r>
              <w:rPr>
                <w:lang w:eastAsia="en-US"/>
              </w:rPr>
              <w:t xml:space="preserve"> </w:t>
            </w:r>
            <w:r w:rsidRPr="00361416">
              <w:rPr>
                <w:lang w:eastAsia="en-US"/>
              </w:rPr>
              <w:t>0; Malignant:</w:t>
            </w:r>
            <w:r>
              <w:rPr>
                <w:lang w:eastAsia="en-US"/>
              </w:rPr>
              <w:t xml:space="preserve"> </w:t>
            </w:r>
            <w:r w:rsidRPr="00361416">
              <w:rPr>
                <w:lang w:eastAsia="en-US"/>
              </w:rPr>
              <w:t>36</w:t>
            </w:r>
            <w:r>
              <w:rPr>
                <w:lang w:eastAsia="en-US"/>
              </w:rPr>
              <w:t xml:space="preserve"> (100%)</w:t>
            </w:r>
          </w:p>
          <w:p w:rsidR="00CC6F7A" w:rsidRPr="00361416" w:rsidRDefault="00CC6F7A" w:rsidP="00EE44A1">
            <w:pPr>
              <w:pStyle w:val="TableText"/>
              <w:rPr>
                <w:lang w:eastAsia="en-US"/>
              </w:rPr>
            </w:pPr>
          </w:p>
          <w:p w:rsidR="00CC6F7A" w:rsidRPr="00361416" w:rsidRDefault="00CC6F7A" w:rsidP="00EE44A1">
            <w:pPr>
              <w:pStyle w:val="TableText"/>
              <w:rPr>
                <w:lang w:eastAsia="en-US"/>
              </w:rPr>
            </w:pPr>
            <w:r w:rsidRPr="00361416">
              <w:rPr>
                <w:lang w:eastAsia="en-US"/>
              </w:rPr>
              <w:t>Site of metastases: NR</w:t>
            </w:r>
          </w:p>
        </w:tc>
        <w:tc>
          <w:tcPr>
            <w:tcW w:w="3260" w:type="dxa"/>
            <w:tcBorders>
              <w:top w:val="nil"/>
              <w:left w:val="nil"/>
              <w:bottom w:val="single" w:sz="12" w:space="0" w:color="auto"/>
              <w:right w:val="nil"/>
            </w:tcBorders>
            <w:shd w:val="clear" w:color="auto" w:fill="auto"/>
          </w:tcPr>
          <w:p w:rsidR="00CC6F7A" w:rsidRPr="00361416" w:rsidRDefault="00CC6F7A" w:rsidP="00EE44A1">
            <w:pPr>
              <w:pStyle w:val="TableText"/>
            </w:pPr>
            <w:r w:rsidRPr="00361416">
              <w:t>Ultraflex (Boston Scientific)</w:t>
            </w:r>
          </w:p>
          <w:p w:rsidR="00CC6F7A" w:rsidRPr="00361416" w:rsidRDefault="00CC6F7A" w:rsidP="00EE44A1">
            <w:pPr>
              <w:pStyle w:val="TableText"/>
            </w:pPr>
          </w:p>
          <w:p w:rsidR="00CC6F7A" w:rsidRPr="00361416" w:rsidRDefault="00CC6F7A" w:rsidP="00EE44A1">
            <w:pPr>
              <w:pStyle w:val="TableText"/>
            </w:pPr>
            <w:r w:rsidRPr="00361416">
              <w:t>Type of SEMS</w:t>
            </w:r>
          </w:p>
          <w:p w:rsidR="00CC6F7A" w:rsidRPr="00361416" w:rsidRDefault="00CC6F7A" w:rsidP="00EE44A1">
            <w:pPr>
              <w:pStyle w:val="TableText"/>
            </w:pPr>
            <w:r w:rsidRPr="00361416">
              <w:t>Covered: NR; Uncovered: NR</w:t>
            </w:r>
          </w:p>
          <w:p w:rsidR="00CC6F7A" w:rsidRPr="00361416" w:rsidRDefault="00CC6F7A" w:rsidP="00EE44A1">
            <w:pPr>
              <w:pStyle w:val="TableText"/>
            </w:pPr>
          </w:p>
          <w:p w:rsidR="00CC6F7A" w:rsidRPr="00361416" w:rsidRDefault="00CC6F7A" w:rsidP="00EE44A1">
            <w:pPr>
              <w:pStyle w:val="TableText"/>
            </w:pPr>
            <w:r w:rsidRPr="00361416">
              <w:t>Size of SEMS</w:t>
            </w:r>
          </w:p>
          <w:p w:rsidR="00CC6F7A" w:rsidRPr="00361416" w:rsidRDefault="00CC6F7A" w:rsidP="00EE44A1">
            <w:pPr>
              <w:pStyle w:val="TableText"/>
            </w:pPr>
            <w:r w:rsidRPr="00361416">
              <w:t>Length: 6, 9 or 12</w:t>
            </w:r>
            <w:r>
              <w:t xml:space="preserve"> cm</w:t>
            </w:r>
            <w:r w:rsidRPr="00361416">
              <w:t>; Diameter: 25</w:t>
            </w:r>
            <w:r>
              <w:t xml:space="preserve"> mm</w:t>
            </w:r>
          </w:p>
          <w:p w:rsidR="00CC6F7A" w:rsidRPr="00361416" w:rsidRDefault="00CC6F7A" w:rsidP="00EE44A1">
            <w:pPr>
              <w:pStyle w:val="TableText"/>
            </w:pPr>
          </w:p>
          <w:p w:rsidR="00CC6F7A" w:rsidRPr="00361416" w:rsidRDefault="00CC6F7A" w:rsidP="00EE44A1">
            <w:pPr>
              <w:pStyle w:val="TableText"/>
            </w:pPr>
            <w:r w:rsidRPr="00361416">
              <w:t>Guidance: Fluoroscopic</w:t>
            </w:r>
          </w:p>
          <w:p w:rsidR="00CC6F7A" w:rsidRPr="00361416" w:rsidRDefault="00CC6F7A" w:rsidP="00EE44A1">
            <w:pPr>
              <w:pStyle w:val="TableText"/>
            </w:pPr>
          </w:p>
          <w:p w:rsidR="00CC6F7A" w:rsidRPr="00361416" w:rsidRDefault="00CC6F7A" w:rsidP="00EE44A1">
            <w:pPr>
              <w:pStyle w:val="TableText"/>
            </w:pPr>
            <w:r w:rsidRPr="00361416">
              <w:t>Anaesthesia use: IV midazolam and meperidine</w:t>
            </w:r>
          </w:p>
          <w:p w:rsidR="00CC6F7A" w:rsidRPr="00361416" w:rsidRDefault="00CC6F7A" w:rsidP="00EE44A1">
            <w:pPr>
              <w:pStyle w:val="TableText"/>
            </w:pPr>
          </w:p>
          <w:p w:rsidR="00CC6F7A" w:rsidRPr="00361416" w:rsidRDefault="00CC6F7A" w:rsidP="00EE44A1">
            <w:pPr>
              <w:pStyle w:val="TableText"/>
            </w:pPr>
            <w:r w:rsidRPr="00361416">
              <w:t>Use of balloon dilation: NR</w:t>
            </w:r>
          </w:p>
        </w:tc>
        <w:tc>
          <w:tcPr>
            <w:tcW w:w="2977" w:type="dxa"/>
            <w:tcBorders>
              <w:top w:val="nil"/>
              <w:left w:val="nil"/>
              <w:bottom w:val="single" w:sz="12" w:space="0" w:color="auto"/>
              <w:right w:val="nil"/>
            </w:tcBorders>
            <w:shd w:val="clear" w:color="auto" w:fill="auto"/>
          </w:tcPr>
          <w:p w:rsidR="00CC6F7A" w:rsidRPr="00361416" w:rsidRDefault="00CC6F7A" w:rsidP="00EE44A1">
            <w:pPr>
              <w:pStyle w:val="TableText"/>
            </w:pPr>
            <w:r w:rsidRPr="00361416">
              <w:t xml:space="preserve">Inclusion criteria: &gt; 19 years of age, underlying diagnosis of colorectal cancer, who underwent procedures </w:t>
            </w:r>
            <w:r>
              <w:t>for relief of acute obstruction</w:t>
            </w:r>
          </w:p>
          <w:p w:rsidR="00CC6F7A" w:rsidRPr="00361416" w:rsidRDefault="00CC6F7A" w:rsidP="00EE44A1">
            <w:pPr>
              <w:pStyle w:val="TableText"/>
            </w:pPr>
          </w:p>
          <w:p w:rsidR="00CC6F7A" w:rsidRPr="00361416" w:rsidRDefault="00CC6F7A" w:rsidP="00EE44A1">
            <w:pPr>
              <w:pStyle w:val="TableText"/>
            </w:pPr>
            <w:r w:rsidRPr="00361416">
              <w:t>Exclusion criteria: Patients who had undergone colost</w:t>
            </w:r>
            <w:r>
              <w:t>omy for perforated colon cancer;</w:t>
            </w:r>
            <w:r w:rsidRPr="00361416">
              <w:t xml:space="preserve"> </w:t>
            </w:r>
            <w:r>
              <w:t>s</w:t>
            </w:r>
            <w:r w:rsidRPr="00361416">
              <w:t>tenting for benign dise</w:t>
            </w:r>
            <w:r>
              <w:t>ase</w:t>
            </w:r>
          </w:p>
          <w:p w:rsidR="00CC6F7A" w:rsidRPr="00361416" w:rsidRDefault="00CC6F7A" w:rsidP="00EE44A1">
            <w:pPr>
              <w:pStyle w:val="TableText"/>
            </w:pPr>
          </w:p>
          <w:p w:rsidR="00CC6F7A" w:rsidRPr="00361416" w:rsidRDefault="00CC6F7A" w:rsidP="00EE44A1">
            <w:pPr>
              <w:pStyle w:val="TableText"/>
            </w:pPr>
            <w:r w:rsidRPr="00361416">
              <w:t>Patients excluded: 2 SEMS patients were excluded because they returned to the referring facility for fur</w:t>
            </w:r>
            <w:r>
              <w:t>ther care after stent placement;</w:t>
            </w:r>
            <w:r w:rsidRPr="00361416">
              <w:t xml:space="preserve"> </w:t>
            </w:r>
            <w:r>
              <w:t>n</w:t>
            </w:r>
            <w:r w:rsidRPr="00361416">
              <w:t>one of them had experienced any intr</w:t>
            </w:r>
            <w:r>
              <w:t>a-procedural complications</w:t>
            </w:r>
          </w:p>
          <w:p w:rsidR="00CC6F7A" w:rsidRPr="00361416" w:rsidRDefault="00CC6F7A" w:rsidP="00EE44A1">
            <w:pPr>
              <w:pStyle w:val="TableText"/>
            </w:pPr>
          </w:p>
        </w:tc>
      </w:tr>
    </w:tbl>
    <w:p w:rsidR="003C6263" w:rsidRPr="003C6263" w:rsidRDefault="003C6263" w:rsidP="003C6263">
      <w:pPr>
        <w:ind w:left="0"/>
        <w:contextualSpacing/>
        <w:rPr>
          <w:rFonts w:ascii="Arial Narrow" w:hAnsi="Arial Narrow"/>
          <w:sz w:val="16"/>
          <w:szCs w:val="16"/>
        </w:rPr>
      </w:pPr>
      <w:r w:rsidRPr="003C6263">
        <w:rPr>
          <w:rFonts w:ascii="Arial Narrow" w:hAnsi="Arial Narrow"/>
          <w:sz w:val="16"/>
          <w:szCs w:val="16"/>
        </w:rPr>
        <w:t>N: Based on all patients for whom safety data are reported, regardless of the number of patients enrolled in a study, or their technical/clinical success. In some cases, the number of stenting attempts or procedures performed has been considered as the denominator instead of the number of patients; NR: Not reported; SEMS: Self-expanding metallic stent.</w:t>
      </w:r>
    </w:p>
    <w:p w:rsidR="00DC053D" w:rsidRPr="00BB3C05" w:rsidRDefault="00DA4FC8" w:rsidP="00DA4FC8">
      <w:pPr>
        <w:pStyle w:val="Heading1"/>
      </w:pPr>
      <w:bookmarkStart w:id="359" w:name="_Appendix_I_Critical"/>
      <w:bookmarkStart w:id="360" w:name="_Appendix_I_Summary"/>
      <w:bookmarkStart w:id="361" w:name="_Toc306634406"/>
      <w:bookmarkStart w:id="362" w:name="_Ref325969152"/>
      <w:bookmarkStart w:id="363" w:name="_Ref325977565"/>
      <w:bookmarkStart w:id="364" w:name="_Ref326051771"/>
      <w:bookmarkStart w:id="365" w:name="_Toc352924456"/>
      <w:bookmarkEnd w:id="359"/>
      <w:bookmarkEnd w:id="360"/>
      <w:r w:rsidRPr="0086082D">
        <w:rPr>
          <w:bCs/>
        </w:rPr>
        <w:lastRenderedPageBreak/>
        <w:t xml:space="preserve">Appendix </w:t>
      </w:r>
      <w:r w:rsidR="00F76B65">
        <w:rPr>
          <w:bCs/>
          <w:lang w:val="en-AU"/>
        </w:rPr>
        <w:t>H</w:t>
      </w:r>
      <w:r w:rsidR="00736C43" w:rsidRPr="004016F9">
        <w:rPr>
          <w:bCs/>
        </w:rPr>
        <w:tab/>
      </w:r>
      <w:bookmarkEnd w:id="361"/>
      <w:r w:rsidR="006D07D2">
        <w:rPr>
          <w:bCs/>
          <w:lang w:val="en-AU"/>
        </w:rPr>
        <w:t>Included studies –</w:t>
      </w:r>
      <w:r w:rsidR="006D07D2" w:rsidRPr="00BB3C05">
        <w:rPr>
          <w:bCs/>
        </w:rPr>
        <w:t xml:space="preserve"> </w:t>
      </w:r>
      <w:r w:rsidR="00E70E70" w:rsidRPr="001166E9">
        <w:t xml:space="preserve">level IV </w:t>
      </w:r>
      <w:r w:rsidR="00931DB6" w:rsidRPr="00BB3C05">
        <w:t>evidence</w:t>
      </w:r>
      <w:bookmarkEnd w:id="362"/>
      <w:bookmarkEnd w:id="363"/>
      <w:bookmarkEnd w:id="364"/>
      <w:bookmarkEnd w:id="365"/>
    </w:p>
    <w:tbl>
      <w:tblPr>
        <w:tblW w:w="1400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33"/>
        <w:gridCol w:w="7"/>
        <w:gridCol w:w="917"/>
        <w:gridCol w:w="6"/>
        <w:gridCol w:w="1413"/>
        <w:gridCol w:w="1501"/>
        <w:gridCol w:w="2853"/>
        <w:gridCol w:w="15"/>
        <w:gridCol w:w="2704"/>
        <w:gridCol w:w="3251"/>
      </w:tblGrid>
      <w:tr w:rsidR="0099511A" w:rsidRPr="00361416" w:rsidTr="00CC6F7A">
        <w:tc>
          <w:tcPr>
            <w:tcW w:w="1333" w:type="dxa"/>
            <w:tcBorders>
              <w:top w:val="single" w:sz="12" w:space="0" w:color="auto"/>
            </w:tcBorders>
            <w:shd w:val="clear" w:color="auto" w:fill="auto"/>
          </w:tcPr>
          <w:p w:rsidR="0099511A" w:rsidRPr="00361416" w:rsidRDefault="0099511A" w:rsidP="00EE44A1">
            <w:pPr>
              <w:pStyle w:val="TableHeading0"/>
            </w:pPr>
            <w:bookmarkStart w:id="366" w:name="_Toc306634272"/>
            <w:r w:rsidRPr="00361416">
              <w:t>Authors (year), location</w:t>
            </w:r>
          </w:p>
        </w:tc>
        <w:tc>
          <w:tcPr>
            <w:tcW w:w="924" w:type="dxa"/>
            <w:gridSpan w:val="2"/>
            <w:tcBorders>
              <w:top w:val="single" w:sz="12" w:space="0" w:color="auto"/>
            </w:tcBorders>
            <w:shd w:val="clear" w:color="auto" w:fill="auto"/>
          </w:tcPr>
          <w:p w:rsidR="0099511A" w:rsidRPr="00361416" w:rsidRDefault="0099511A" w:rsidP="00EE44A1">
            <w:pPr>
              <w:pStyle w:val="TableHeading0"/>
            </w:pPr>
            <w:r w:rsidRPr="00361416">
              <w:t>N</w:t>
            </w:r>
          </w:p>
        </w:tc>
        <w:tc>
          <w:tcPr>
            <w:tcW w:w="1419" w:type="dxa"/>
            <w:gridSpan w:val="2"/>
            <w:tcBorders>
              <w:top w:val="single" w:sz="12" w:space="0" w:color="auto"/>
            </w:tcBorders>
            <w:shd w:val="clear" w:color="auto" w:fill="auto"/>
          </w:tcPr>
          <w:p w:rsidR="0099511A" w:rsidRPr="00361416" w:rsidRDefault="0099511A" w:rsidP="00EE44A1">
            <w:pPr>
              <w:pStyle w:val="TableHeading0"/>
            </w:pPr>
            <w:r w:rsidRPr="00361416">
              <w:t>Male/female</w:t>
            </w:r>
          </w:p>
        </w:tc>
        <w:tc>
          <w:tcPr>
            <w:tcW w:w="1501" w:type="dxa"/>
            <w:tcBorders>
              <w:top w:val="single" w:sz="12" w:space="0" w:color="auto"/>
            </w:tcBorders>
            <w:shd w:val="clear" w:color="auto" w:fill="auto"/>
          </w:tcPr>
          <w:p w:rsidR="0099511A" w:rsidRPr="00361416" w:rsidRDefault="0099511A" w:rsidP="00EE44A1">
            <w:pPr>
              <w:pStyle w:val="TableHeading0"/>
            </w:pPr>
            <w:r w:rsidRPr="00361416">
              <w:t>Age (mean)</w:t>
            </w:r>
          </w:p>
        </w:tc>
        <w:tc>
          <w:tcPr>
            <w:tcW w:w="2853" w:type="dxa"/>
            <w:tcBorders>
              <w:top w:val="single" w:sz="12" w:space="0" w:color="auto"/>
            </w:tcBorders>
            <w:shd w:val="clear" w:color="auto" w:fill="auto"/>
          </w:tcPr>
          <w:p w:rsidR="0099511A" w:rsidRPr="00361416" w:rsidRDefault="0099511A" w:rsidP="00EE44A1">
            <w:pPr>
              <w:pStyle w:val="TableHeading0"/>
            </w:pPr>
            <w:r w:rsidRPr="00361416">
              <w:t>Population (%)</w:t>
            </w:r>
          </w:p>
        </w:tc>
        <w:tc>
          <w:tcPr>
            <w:tcW w:w="2719" w:type="dxa"/>
            <w:gridSpan w:val="2"/>
            <w:tcBorders>
              <w:top w:val="single" w:sz="12" w:space="0" w:color="auto"/>
            </w:tcBorders>
            <w:shd w:val="clear" w:color="auto" w:fill="auto"/>
          </w:tcPr>
          <w:p w:rsidR="0099511A" w:rsidRPr="00361416" w:rsidRDefault="0099511A" w:rsidP="00EE44A1">
            <w:pPr>
              <w:pStyle w:val="TableHeading0"/>
            </w:pPr>
            <w:r w:rsidRPr="00361416">
              <w:t>Intervention (manufacturer)</w:t>
            </w:r>
          </w:p>
        </w:tc>
        <w:tc>
          <w:tcPr>
            <w:tcW w:w="3251" w:type="dxa"/>
            <w:tcBorders>
              <w:top w:val="single" w:sz="12" w:space="0" w:color="auto"/>
            </w:tcBorders>
            <w:shd w:val="clear" w:color="auto" w:fill="auto"/>
          </w:tcPr>
          <w:p w:rsidR="0099511A" w:rsidRPr="00361416" w:rsidRDefault="0099511A" w:rsidP="00EE44A1">
            <w:pPr>
              <w:pStyle w:val="TableHeading0"/>
            </w:pPr>
            <w:r w:rsidRPr="00361416">
              <w:t>Inclusion/exclusion criteria</w:t>
            </w:r>
          </w:p>
        </w:tc>
      </w:tr>
      <w:tr w:rsidR="0099511A" w:rsidRPr="00BB3C05"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Alcantara et al (2007)</w:t>
            </w:r>
            <w:r>
              <w:rPr>
                <w:lang w:val="en-AU"/>
              </w:rPr>
              <w:t>, Spain</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95</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42/53  </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68 years (48-94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20 (21%); Recto-sigmoid junction: 28 (29%); Sigmoid colon: 24 (25%); Descending colon: 16 (17%); Splenic flexure: 5 (6%); Left transverse colon: 2 (2%)</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3</w:t>
            </w:r>
            <w:r>
              <w:rPr>
                <w:lang w:val="en-AU"/>
              </w:rPr>
              <w:t xml:space="preserve"> (3.2%)</w:t>
            </w:r>
            <w:r w:rsidRPr="000F3C8B">
              <w:rPr>
                <w:lang w:val="en-AU"/>
              </w:rPr>
              <w:t>; Malignant: 92</w:t>
            </w:r>
            <w:r>
              <w:rPr>
                <w:lang w:val="en-AU"/>
              </w:rPr>
              <w:t xml:space="preserve"> (96.8%)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Wallstents (Boston Scientific-Microinvasive); Esophacoil (Medtronic); Hanaro colorectal (MI Tech).  Later, these were replaced by a modified form of Enteral Wallflex (Boston Scientific-Microinvasive)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Anaesthesia use: </w:t>
            </w:r>
            <w:r>
              <w:rPr>
                <w:lang w:val="en-AU"/>
              </w:rPr>
              <w:t>‘</w:t>
            </w:r>
            <w:r w:rsidRPr="000F3C8B">
              <w:rPr>
                <w:lang w:val="en-AU"/>
              </w:rPr>
              <w:t>In the early treatment sessions, IV sedation was used in a few patients. Later, IV sedation was given only if patients preferred</w:t>
            </w:r>
            <w:r w:rsidR="00C4343A">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with clinical and radiological suspicion of perforation or necrosis, haemodynamic instability (hypotension and tachycardi</w:t>
            </w:r>
            <w:r>
              <w:rPr>
                <w:lang w:val="en-AU"/>
              </w:rPr>
              <w:t>a), sepsis or acute peritonitis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Patients excluded: </w:t>
            </w:r>
            <w:r>
              <w:rPr>
                <w:lang w:val="en-AU"/>
              </w:rPr>
              <w:t>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5D1E42">
            <w:pPr>
              <w:pStyle w:val="TableText0"/>
              <w:rPr>
                <w:lang w:val="en-AU"/>
              </w:rPr>
            </w:pPr>
            <w:r w:rsidRPr="000F3C8B">
              <w:rPr>
                <w:lang w:val="en-AU"/>
              </w:rPr>
              <w:t xml:space="preserve">Athreya et al (2006), </w:t>
            </w:r>
            <w:r>
              <w:rPr>
                <w:lang w:val="en-AU"/>
              </w:rPr>
              <w:t>United Kingdom</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102</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53/49</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Median 75 years (46-102)          </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0; Complete: 102</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recto-sigmoid and sigmoid colon: 75 (79.8%); Descending colon: 15 (16%); Splenic flexure: 3 (3.2%); Transverse colon:1 (1.1%); Proximal to the mid-transverse colon: 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3</w:t>
            </w:r>
            <w:r>
              <w:rPr>
                <w:lang w:val="en-AU"/>
              </w:rPr>
              <w:t xml:space="preserve"> (2.9%)</w:t>
            </w:r>
            <w:r w:rsidRPr="000F3C8B">
              <w:rPr>
                <w:lang w:val="en-AU"/>
              </w:rPr>
              <w:t>; Malignant: 99</w:t>
            </w:r>
            <w:r>
              <w:rPr>
                <w:lang w:val="en-AU"/>
              </w:rPr>
              <w:t xml:space="preserve"> (97.1%)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Memotherms (Bard UK), Wallsstents (Boston scientific), Ultraflex (Boston scientific)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lastRenderedPageBreak/>
              <w:t>Length: 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Fluoroscopy alone, or fluoroscopy and endoscopy</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Conscious sedation (IV midozolam and diamorphine), antispasmodics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Not routinely ballooned. 1 patient required</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Patients excluded: 16 patient records were </w:t>
            </w:r>
            <w:r w:rsidR="00ED6295">
              <w:rPr>
                <w:lang w:val="en-AU"/>
              </w:rPr>
              <w:t>N</w:t>
            </w:r>
            <w:r w:rsidRPr="000F3C8B">
              <w:rPr>
                <w:lang w:val="en-AU"/>
              </w:rPr>
              <w:t>ot available</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5D1E42">
            <w:pPr>
              <w:pStyle w:val="TableText0"/>
              <w:rPr>
                <w:lang w:val="en-AU"/>
              </w:rPr>
            </w:pPr>
            <w:r w:rsidRPr="000F3C8B">
              <w:rPr>
                <w:lang w:val="en-AU"/>
              </w:rPr>
              <w:lastRenderedPageBreak/>
              <w:t xml:space="preserve">Baraza et al (2008), </w:t>
            </w:r>
            <w:r>
              <w:rPr>
                <w:lang w:val="en-AU"/>
              </w:rPr>
              <w:t>United Kingdom</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63 patients (71 procedures)</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39/32</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78 years (range 38-93)</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47 (66.2%); Complete: 24/71 (33.8%)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5 (7%); Rectosigmoid: 20 (28%); Sigmoid colon: 30 (42%); Descending colon: 8 (11.3%); Transverse colon/splenic flexure: 5 (7%); Ascending colon/hepatic flexure: 1 (1.4%); Multiple strictures-proximal sigmoid/rectosigmoid: 2 (2.8%)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NR; Malignant: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Niti-S stents (Taewoong Medical), Bard Memotherm (Angiomed)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 Covered and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 xml:space="preserve">Length: NR; Diameter: NR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Direct endoscopic visualisation and radio-opaque mar</w:t>
            </w:r>
            <w:r w:rsidR="00C4343A">
              <w:rPr>
                <w:lang w:val="en-AU"/>
              </w:rPr>
              <w:t>kers on either end of the stent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Conscious sedation (IV midazolam)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None used</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Branger et al (2010)</w:t>
            </w:r>
            <w:r>
              <w:rPr>
                <w:lang w:val="en-AU"/>
              </w:rPr>
              <w:t>, France</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93</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57/36   </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Median 76 years (range 34-97)</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Location of obstruction: Rectum: 14 (15.1%); Recto-sigmoid junction: 25 (26.9%); Sigmoid: 31 (33.3%); Descending: 16 (17.2%); Splenic </w:t>
            </w:r>
            <w:r w:rsidRPr="000F3C8B">
              <w:rPr>
                <w:lang w:val="en-AU"/>
              </w:rPr>
              <w:lastRenderedPageBreak/>
              <w:t>flexure: 6 (6.5%)</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5.5 cm (2-15)</w:t>
            </w:r>
            <w:r>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93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Hanarostent (MI Tech) and Wallstent (Boston Scientific)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lastRenderedPageBreak/>
              <w:t xml:space="preserve">Length: NR; Diameter: NR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Conscious sedation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Patients who underwent the insertion of a SEMS for an obstructing neoplastic lesion in the left sided colon or rectum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with features of peritonitis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Cho et al (2011)</w:t>
            </w:r>
            <w:r>
              <w:rPr>
                <w:lang w:val="en-AU"/>
              </w:rPr>
              <w:t>, 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136</w:t>
            </w:r>
          </w:p>
          <w:p w:rsidR="0099511A" w:rsidRPr="000F3C8B" w:rsidRDefault="0099511A" w:rsidP="00EE44A1">
            <w:pPr>
              <w:pStyle w:val="TableText0"/>
              <w:rPr>
                <w:lang w:val="en-AU"/>
              </w:rPr>
            </w:pPr>
          </w:p>
          <w:p w:rsidR="0099511A" w:rsidRPr="000F3C8B" w:rsidRDefault="0099511A" w:rsidP="00EE44A1">
            <w:pPr>
              <w:pStyle w:val="TableText0"/>
              <w:rPr>
                <w:lang w:val="en-AU"/>
              </w:rPr>
            </w:pP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69/67</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NR</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38</w:t>
            </w:r>
            <w:r w:rsidR="00CC6F7A" w:rsidRPr="00CC6F7A">
              <w:rPr>
                <w:vertAlign w:val="superscript"/>
                <w:lang w:val="en-AU"/>
              </w:rPr>
              <w:t>a</w:t>
            </w:r>
            <w:r>
              <w:rPr>
                <w:lang w:val="en-AU"/>
              </w:rPr>
              <w:t xml:space="preserve"> (27.9%)</w:t>
            </w:r>
            <w:r w:rsidRPr="000F3C8B">
              <w:rPr>
                <w:lang w:val="en-AU"/>
              </w:rPr>
              <w:t>; Complete: 98</w:t>
            </w:r>
            <w:r w:rsidR="00CC6F7A" w:rsidRPr="00CC6F7A">
              <w:rPr>
                <w:vertAlign w:val="superscript"/>
                <w:lang w:val="en-AU"/>
              </w:rPr>
              <w:t>b</w:t>
            </w:r>
            <w:r>
              <w:rPr>
                <w:lang w:val="en-AU"/>
              </w:rPr>
              <w:t xml:space="preserve"> (72.1%)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39</w:t>
            </w:r>
            <w:r>
              <w:rPr>
                <w:lang w:val="en-AU"/>
              </w:rPr>
              <w:t xml:space="preserve"> (28.7%)</w:t>
            </w:r>
            <w:r w:rsidRPr="000F3C8B">
              <w:rPr>
                <w:lang w:val="en-AU"/>
              </w:rPr>
              <w:t>, Sigmoid: 49</w:t>
            </w:r>
            <w:r>
              <w:rPr>
                <w:lang w:val="en-AU"/>
              </w:rPr>
              <w:t xml:space="preserve"> (36%)</w:t>
            </w:r>
            <w:r w:rsidRPr="000F3C8B">
              <w:rPr>
                <w:lang w:val="en-AU"/>
              </w:rPr>
              <w:t>, Descending: 9</w:t>
            </w:r>
            <w:r>
              <w:rPr>
                <w:lang w:val="en-AU"/>
              </w:rPr>
              <w:t xml:space="preserve"> (6.6%)</w:t>
            </w:r>
            <w:r w:rsidRPr="000F3C8B">
              <w:rPr>
                <w:lang w:val="en-AU"/>
              </w:rPr>
              <w:t>; Splenic flexure: 2</w:t>
            </w:r>
            <w:r>
              <w:rPr>
                <w:lang w:val="en-AU"/>
              </w:rPr>
              <w:t xml:space="preserve"> (1.5%)</w:t>
            </w:r>
            <w:r w:rsidRPr="000F3C8B">
              <w:rPr>
                <w:lang w:val="en-AU"/>
              </w:rPr>
              <w:t>; Transverse: 14</w:t>
            </w:r>
            <w:r>
              <w:rPr>
                <w:lang w:val="en-AU"/>
              </w:rPr>
              <w:t xml:space="preserve"> (10.3%)</w:t>
            </w:r>
            <w:r w:rsidRPr="000F3C8B">
              <w:rPr>
                <w:lang w:val="en-AU"/>
              </w:rPr>
              <w:t>; Hepatic flexure: 11</w:t>
            </w:r>
            <w:r>
              <w:rPr>
                <w:lang w:val="en-AU"/>
              </w:rPr>
              <w:t xml:space="preserve"> (8.1%)</w:t>
            </w:r>
            <w:r w:rsidRPr="000F3C8B">
              <w:rPr>
                <w:lang w:val="en-AU"/>
              </w:rPr>
              <w:t>; Ascending: 12</w:t>
            </w:r>
            <w:r>
              <w:rPr>
                <w:lang w:val="en-AU"/>
              </w:rPr>
              <w:t xml:space="preserve"> (8.8%)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136</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Hanaro® stents (n=84) (M.I. Tech Co.)</w:t>
            </w:r>
          </w:p>
          <w:p w:rsidR="0099511A" w:rsidRPr="000F3C8B" w:rsidRDefault="0099511A" w:rsidP="00EE44A1">
            <w:pPr>
              <w:pStyle w:val="TableText0"/>
              <w:rPr>
                <w:lang w:val="en-AU"/>
              </w:rPr>
            </w:pPr>
            <w:r w:rsidRPr="000F3C8B">
              <w:rPr>
                <w:lang w:val="en-AU"/>
              </w:rPr>
              <w:t>Bona® stents (n=52) (Standard Sci-Tech Inc.)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124</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6-16 cm; Diameter: 22-24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in ≥ 1 patient</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Colon obstruction not caused by colorectal malignancies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De Gregorio et al (2011)</w:t>
            </w:r>
            <w:r>
              <w:rPr>
                <w:lang w:val="en-AU"/>
              </w:rPr>
              <w:t>, Spain</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467</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289/178</w:t>
            </w:r>
            <w:r w:rsidRPr="000F3C8B">
              <w:rPr>
                <w:b/>
                <w:lang w:val="en-AU"/>
              </w:rPr>
              <w:t xml:space="preserve">   </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Median 68.9 ± 9.5 years (range, 38-96)</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155</w:t>
            </w:r>
            <w:r>
              <w:rPr>
                <w:lang w:val="en-AU"/>
              </w:rPr>
              <w:t xml:space="preserve"> (33.2%)</w:t>
            </w:r>
            <w:r w:rsidRPr="000F3C8B">
              <w:rPr>
                <w:lang w:val="en-AU"/>
              </w:rPr>
              <w:t>; Complete: 312</w:t>
            </w:r>
            <w:r>
              <w:rPr>
                <w:lang w:val="en-AU"/>
              </w:rPr>
              <w:t xml:space="preserve"> (66.8%)</w:t>
            </w:r>
          </w:p>
          <w:p w:rsidR="0099511A" w:rsidRPr="000F3C8B" w:rsidRDefault="0099511A" w:rsidP="00EE44A1">
            <w:pPr>
              <w:pStyle w:val="TableText0"/>
              <w:rPr>
                <w:lang w:val="en-AU"/>
              </w:rPr>
            </w:pPr>
          </w:p>
          <w:p w:rsidR="0099511A" w:rsidRPr="000F3C8B" w:rsidRDefault="0099511A" w:rsidP="0007443E">
            <w:pPr>
              <w:pStyle w:val="TableText0"/>
              <w:spacing w:before="0" w:after="0"/>
              <w:rPr>
                <w:lang w:val="en-AU"/>
              </w:rPr>
            </w:pPr>
            <w:r w:rsidRPr="000F3C8B">
              <w:rPr>
                <w:lang w:val="en-AU"/>
              </w:rPr>
              <w:t>Location of obstruction: rectum: 15</w:t>
            </w:r>
            <w:r>
              <w:rPr>
                <w:lang w:val="en-AU"/>
              </w:rPr>
              <w:t xml:space="preserve"> (3.2%)</w:t>
            </w:r>
            <w:r w:rsidRPr="000F3C8B">
              <w:rPr>
                <w:lang w:val="en-AU"/>
              </w:rPr>
              <w:t>; Recto-sigmoid junction:</w:t>
            </w:r>
            <w:r>
              <w:rPr>
                <w:lang w:val="en-AU"/>
              </w:rPr>
              <w:t xml:space="preserve"> </w:t>
            </w:r>
            <w:r w:rsidRPr="000F3C8B">
              <w:rPr>
                <w:lang w:val="en-AU"/>
              </w:rPr>
              <w:t>134</w:t>
            </w:r>
            <w:r>
              <w:rPr>
                <w:lang w:val="en-AU"/>
              </w:rPr>
              <w:t xml:space="preserve"> (28.7%)</w:t>
            </w:r>
            <w:r w:rsidRPr="000F3C8B">
              <w:rPr>
                <w:lang w:val="en-AU"/>
              </w:rPr>
              <w:t>; Sigmoid: 95</w:t>
            </w:r>
            <w:r>
              <w:rPr>
                <w:lang w:val="en-AU"/>
              </w:rPr>
              <w:t xml:space="preserve"> (20.3%)</w:t>
            </w:r>
            <w:r w:rsidRPr="000F3C8B">
              <w:rPr>
                <w:lang w:val="en-AU"/>
              </w:rPr>
              <w:t>; Distal location: 244</w:t>
            </w:r>
            <w:r>
              <w:rPr>
                <w:lang w:val="en-AU"/>
              </w:rPr>
              <w:t xml:space="preserve"> (52.2%)</w:t>
            </w:r>
            <w:r w:rsidRPr="000F3C8B">
              <w:rPr>
                <w:lang w:val="en-AU"/>
              </w:rPr>
              <w:t>; Left colon: 178</w:t>
            </w:r>
            <w:r>
              <w:rPr>
                <w:lang w:val="en-AU"/>
              </w:rPr>
              <w:t xml:space="preserve"> (38.1%)</w:t>
            </w:r>
            <w:r w:rsidRPr="000F3C8B">
              <w:rPr>
                <w:lang w:val="en-AU"/>
              </w:rPr>
              <w:t>; Transverse colon: 29</w:t>
            </w:r>
            <w:r>
              <w:rPr>
                <w:lang w:val="en-AU"/>
              </w:rPr>
              <w:t xml:space="preserve"> (6.2%)</w:t>
            </w:r>
            <w:r w:rsidRPr="000F3C8B">
              <w:rPr>
                <w:lang w:val="en-AU"/>
              </w:rPr>
              <w:t>; Hepatic flexure: 16</w:t>
            </w:r>
            <w:r>
              <w:rPr>
                <w:lang w:val="en-AU"/>
              </w:rPr>
              <w:t xml:space="preserve"> (3.4%)</w:t>
            </w:r>
            <w:proofErr w:type="gramStart"/>
            <w:r w:rsidRPr="000F3C8B">
              <w:rPr>
                <w:lang w:val="en-AU"/>
              </w:rPr>
              <w:t>;</w:t>
            </w:r>
            <w:proofErr w:type="gramEnd"/>
            <w:r>
              <w:rPr>
                <w:lang w:val="en-AU"/>
              </w:rPr>
              <w:br/>
            </w:r>
            <w:r w:rsidRPr="000F3C8B">
              <w:rPr>
                <w:lang w:val="en-AU"/>
              </w:rPr>
              <w:t>Proximal location</w:t>
            </w:r>
            <w:r w:rsidRPr="000F3C8B">
              <w:rPr>
                <w:lang w:val="en-AU"/>
              </w:rPr>
              <w:tab/>
              <w:t>: 223</w:t>
            </w:r>
            <w:r>
              <w:rPr>
                <w:lang w:val="en-AU"/>
              </w:rPr>
              <w:t xml:space="preserve"> (47.8%)</w:t>
            </w:r>
            <w:r w:rsidRPr="000F3C8B">
              <w:rPr>
                <w:lang w:val="en-AU"/>
              </w:rPr>
              <w:t xml:space="preserve">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467</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Wallstent (Boston Scientific)</w:t>
            </w:r>
          </w:p>
          <w:p w:rsidR="0099511A" w:rsidRPr="000F3C8B" w:rsidRDefault="0099511A" w:rsidP="00EE44A1">
            <w:pPr>
              <w:pStyle w:val="TableText0"/>
              <w:rPr>
                <w:lang w:val="en-AU"/>
              </w:rPr>
            </w:pPr>
            <w:r w:rsidRPr="000F3C8B">
              <w:rPr>
                <w:lang w:val="en-AU"/>
              </w:rPr>
              <w:t>SX-ELLA colorectal stent (Ella)</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5-9 cm (Wallstent), 8.2-11.2 cm (SX-ELLA); Diameter: 16-25</w:t>
            </w:r>
            <w:r>
              <w:rPr>
                <w:lang w:val="en-AU"/>
              </w:rPr>
              <w:t xml:space="preserve"> mm </w:t>
            </w:r>
            <w:r w:rsidRPr="000F3C8B">
              <w:rPr>
                <w:lang w:val="en-AU"/>
              </w:rPr>
              <w:t>(Wallstent), 22-30</w:t>
            </w:r>
            <w:r>
              <w:rPr>
                <w:lang w:val="en-AU"/>
              </w:rPr>
              <w:t xml:space="preserve"> mm </w:t>
            </w:r>
            <w:r w:rsidRPr="000F3C8B">
              <w:rPr>
                <w:lang w:val="en-AU"/>
              </w:rPr>
              <w:t>(SX-ELLA)</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 alone or combined  with endoscopic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Not routinely used; conscious sedation and analgesia was administered if the patient was uncooperative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Eligibility was predicted on the presence of total or partial large-bowel obst</w:t>
            </w:r>
            <w:r>
              <w:rPr>
                <w:lang w:val="en-AU"/>
              </w:rPr>
              <w:t>ruction secondary to malignancy</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with a terminal condit</w:t>
            </w:r>
            <w:r>
              <w:rPr>
                <w:lang w:val="en-AU"/>
              </w:rPr>
              <w:t>ion (life-expectancy &lt; 1 month),</w:t>
            </w:r>
            <w:r w:rsidRPr="000F3C8B">
              <w:rPr>
                <w:lang w:val="en-AU"/>
              </w:rPr>
              <w:t xml:space="preserve"> American Society of Anaesthesiologists classification greater than 4, suspected perforated colon, and sev</w:t>
            </w:r>
            <w:r>
              <w:rPr>
                <w:lang w:val="en-AU"/>
              </w:rPr>
              <w:t>ere colonic neoplastic bleeding</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Demarquy et al (2008)</w:t>
            </w:r>
            <w:r>
              <w:rPr>
                <w:lang w:val="en-AU"/>
              </w:rPr>
              <w:t>, France</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204</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86/118</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73.2 years (range 49-97)</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Benign:19; Malignant:185</w:t>
            </w:r>
          </w:p>
          <w:p w:rsidR="0099511A" w:rsidRPr="000F3C8B" w:rsidRDefault="0099511A" w:rsidP="00EE44A1">
            <w:pPr>
              <w:pStyle w:val="TableText0"/>
              <w:rPr>
                <w:lang w:val="en-AU"/>
              </w:rPr>
            </w:pPr>
          </w:p>
          <w:p w:rsidR="0099511A" w:rsidRPr="000F3C8B" w:rsidRDefault="0099511A" w:rsidP="00EB375B">
            <w:pPr>
              <w:pStyle w:val="TableText0"/>
              <w:rPr>
                <w:lang w:val="en-AU"/>
              </w:rPr>
            </w:pPr>
            <w:r w:rsidRPr="000F3C8B">
              <w:rPr>
                <w:lang w:val="en-AU"/>
              </w:rPr>
              <w:t>Site of metastases (n=185): Colorectal adenocarcinoma: 175</w:t>
            </w:r>
            <w:r>
              <w:rPr>
                <w:lang w:val="en-AU"/>
              </w:rPr>
              <w:t xml:space="preserve"> (94.6%)</w:t>
            </w:r>
            <w:r w:rsidRPr="000F3C8B">
              <w:rPr>
                <w:lang w:val="en-AU"/>
              </w:rPr>
              <w:t>; Pancreatic cancer: 3</w:t>
            </w:r>
            <w:r>
              <w:rPr>
                <w:lang w:val="en-AU"/>
              </w:rPr>
              <w:t xml:space="preserve"> (1.6%)</w:t>
            </w:r>
            <w:r w:rsidRPr="000F3C8B">
              <w:rPr>
                <w:lang w:val="en-AU"/>
              </w:rPr>
              <w:t>; Gastric cancer: 1</w:t>
            </w:r>
            <w:r>
              <w:rPr>
                <w:lang w:val="en-AU"/>
              </w:rPr>
              <w:t xml:space="preserve"> (0.5%)</w:t>
            </w:r>
            <w:r w:rsidRPr="000F3C8B">
              <w:rPr>
                <w:lang w:val="en-AU"/>
              </w:rPr>
              <w:t>; Uterine cancer: 3</w:t>
            </w:r>
            <w:r>
              <w:rPr>
                <w:lang w:val="en-AU"/>
              </w:rPr>
              <w:t xml:space="preserve"> (1.6%)</w:t>
            </w:r>
            <w:r w:rsidRPr="000F3C8B">
              <w:rPr>
                <w:lang w:val="en-AU"/>
              </w:rPr>
              <w:t>; Ovarian cancer: 1</w:t>
            </w:r>
            <w:r>
              <w:rPr>
                <w:lang w:val="en-AU"/>
              </w:rPr>
              <w:t xml:space="preserve"> (0.5%)</w:t>
            </w:r>
            <w:r w:rsidRPr="000F3C8B">
              <w:rPr>
                <w:lang w:val="en-AU"/>
              </w:rPr>
              <w:t>; Gallbladder cancer: 2</w:t>
            </w:r>
            <w:r>
              <w:rPr>
                <w:lang w:val="en-AU"/>
              </w:rPr>
              <w:t xml:space="preserve"> (1.1%)</w:t>
            </w:r>
            <w:r w:rsidRPr="000F3C8B">
              <w:rPr>
                <w:lang w:val="en-AU"/>
              </w:rPr>
              <w:t xml:space="preserve"> </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Wallstent and Wallflex (Boston Scientific), Colonic Z-stent (Wilson-Cook), Ultraflex  (Microinvasive Co.),  Choo stent (M.I Tech)</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 7, 9, 10, 11, 12</w:t>
            </w:r>
            <w:r>
              <w:rPr>
                <w:lang w:val="en-AU"/>
              </w:rPr>
              <w:t xml:space="preserve"> cm</w:t>
            </w:r>
            <w:r w:rsidRPr="000F3C8B">
              <w:rPr>
                <w:lang w:val="en-AU"/>
              </w:rPr>
              <w:t>; Diameter: 20, 22, 23, 35</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Guidance: </w:t>
            </w:r>
            <w:r w:rsidRPr="00123032">
              <w:rPr>
                <w:lang w:val="en-AU"/>
              </w:rPr>
              <w:t>E</w:t>
            </w:r>
            <w:r w:rsidRPr="000F3C8B">
              <w:rPr>
                <w:lang w:val="en-AU"/>
              </w:rPr>
              <w:t>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Propofol-induced anaesthesia</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with a low rectal tumour (below 5</w:t>
            </w:r>
            <w:r>
              <w:rPr>
                <w:lang w:val="en-AU"/>
              </w:rPr>
              <w:t xml:space="preserve"> cm</w:t>
            </w:r>
            <w:r w:rsidRPr="000F3C8B">
              <w:rPr>
                <w:lang w:val="en-AU"/>
              </w:rPr>
              <w:t>) in whom it was felt that a stent woul</w:t>
            </w:r>
            <w:r>
              <w:rPr>
                <w:lang w:val="en-AU"/>
              </w:rPr>
              <w:t>d impinge on the anal sphincter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EC4C17">
            <w:pPr>
              <w:pStyle w:val="TableText0"/>
              <w:rPr>
                <w:lang w:val="en-AU"/>
              </w:rPr>
            </w:pPr>
            <w:r w:rsidRPr="000F3C8B">
              <w:rPr>
                <w:lang w:val="en-AU"/>
              </w:rPr>
              <w:t>Garcia-Cano et al (2006), S</w:t>
            </w:r>
            <w:r>
              <w:rPr>
                <w:lang w:val="en-AU"/>
              </w:rPr>
              <w:t>pain</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175</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112/63</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73.8 (33-97, 12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94</w:t>
            </w:r>
            <w:r>
              <w:rPr>
                <w:lang w:val="en-AU"/>
              </w:rPr>
              <w:t xml:space="preserve"> (53.7%)</w:t>
            </w:r>
            <w:r w:rsidRPr="000F3C8B">
              <w:rPr>
                <w:lang w:val="en-AU"/>
              </w:rPr>
              <w:t>; Complete: 73</w:t>
            </w:r>
            <w:r>
              <w:rPr>
                <w:lang w:val="en-AU"/>
              </w:rPr>
              <w:t xml:space="preserve"> (41.7%)</w:t>
            </w:r>
            <w:r w:rsidRPr="000F3C8B">
              <w:rPr>
                <w:lang w:val="en-AU"/>
              </w:rPr>
              <w:t>; Prophylactically: 8</w:t>
            </w:r>
            <w:r>
              <w:rPr>
                <w:lang w:val="en-AU"/>
              </w:rPr>
              <w:t xml:space="preserve"> (4.6%)</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Location of obstruction: Rectosigmoid: 129 (73.7%); Descending colon: 27 (15.4%); Splenic flexure: 4 (2.3%); </w:t>
            </w:r>
            <w:r w:rsidRPr="000F3C8B">
              <w:rPr>
                <w:lang w:val="en-AU"/>
              </w:rPr>
              <w:lastRenderedPageBreak/>
              <w:t>Transverse colon: 8 (4.6%); Hepatic flexure: 5 (2.9%); Ascending colon: 2 (1.1%)</w:t>
            </w:r>
          </w:p>
          <w:p w:rsidR="0099511A" w:rsidRPr="000F3C8B" w:rsidRDefault="0099511A" w:rsidP="00EE44A1">
            <w:pPr>
              <w:pStyle w:val="TableText0"/>
              <w:rPr>
                <w:lang w:val="en-AU"/>
              </w:rPr>
            </w:pP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w:t>
            </w:r>
            <w:r>
              <w:rPr>
                <w:lang w:val="en-AU"/>
              </w:rPr>
              <w:t xml:space="preserve"> </w:t>
            </w:r>
            <w:r w:rsidRPr="000F3C8B">
              <w:rPr>
                <w:lang w:val="en-AU"/>
              </w:rPr>
              <w:t>0; Malignant:</w:t>
            </w:r>
            <w:r>
              <w:rPr>
                <w:lang w:val="en-AU"/>
              </w:rPr>
              <w:t xml:space="preserve"> </w:t>
            </w:r>
            <w:r w:rsidRPr="000F3C8B">
              <w:rPr>
                <w:lang w:val="en-AU"/>
              </w:rPr>
              <w:t>175</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Wallstent (Boston Scientific Corp), Hanarostent (M.I. Tech), Ultraflex Precision (Microvasive)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Size of SEMS</w:t>
            </w:r>
          </w:p>
          <w:p w:rsidR="0099511A" w:rsidRPr="000F3C8B" w:rsidRDefault="0099511A" w:rsidP="00EE44A1">
            <w:pPr>
              <w:pStyle w:val="TableText0"/>
              <w:rPr>
                <w:lang w:val="en-AU"/>
              </w:rPr>
            </w:pPr>
            <w:r w:rsidRPr="000F3C8B">
              <w:rPr>
                <w:lang w:val="en-AU"/>
              </w:rPr>
              <w:t>Length: 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All endoscopic with or without Fluoroscopic monitoring</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without sedation (26.3%), general anaesthesia (7.4%), deep sedation (14.3%), conscious sedation (52%) therefore any type of sedation was used in 129 of 175 patients (73.7%)</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No dilation</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 xml:space="preserve">Inclusion criteria: Patients were included if they were suffering from malignant </w:t>
            </w:r>
            <w:r>
              <w:rPr>
                <w:lang w:val="en-AU"/>
              </w:rPr>
              <w:t>colorectal obstruction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Jost et al (2007)</w:t>
            </w:r>
            <w:r>
              <w:rPr>
                <w:lang w:val="en-AU"/>
              </w:rPr>
              <w:t>, Switzerland</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67</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35/32</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67.3 years (range 25-93)</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Rectum/recto-sigmoid junction: 20 (30%); Sigmoid: 27 (40%); Descending colon, left colonic flexure: 14 (21%)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mean 4.65</w:t>
            </w:r>
            <w:r>
              <w:rPr>
                <w:lang w:val="en-AU"/>
              </w:rPr>
              <w:t xml:space="preserve"> cm</w:t>
            </w:r>
            <w:r w:rsidRPr="000F3C8B">
              <w:rPr>
                <w:lang w:val="en-AU"/>
              </w:rPr>
              <w:t xml:space="preserve"> (2-12</w:t>
            </w:r>
            <w:r>
              <w:rPr>
                <w:lang w:val="en-AU"/>
              </w:rPr>
              <w:t xml:space="preserve"> cm</w:t>
            </w:r>
            <w:r w:rsidRPr="000F3C8B">
              <w:rPr>
                <w:lang w:val="en-AU"/>
              </w:rPr>
              <w:t>, SD 2.21)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8</w:t>
            </w:r>
            <w:r>
              <w:rPr>
                <w:lang w:val="en-AU"/>
              </w:rPr>
              <w:t xml:space="preserve"> (11.9%)</w:t>
            </w:r>
            <w:r w:rsidRPr="000F3C8B">
              <w:rPr>
                <w:lang w:val="en-AU"/>
              </w:rPr>
              <w:t>; Malignant: 59</w:t>
            </w:r>
            <w:r>
              <w:rPr>
                <w:lang w:val="en-AU"/>
              </w:rPr>
              <w:t xml:space="preserve"> (88.1%)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Wallstents (Boston Scientific)</w:t>
            </w:r>
          </w:p>
          <w:p w:rsidR="0099511A" w:rsidRPr="000F3C8B" w:rsidRDefault="0099511A" w:rsidP="00EE44A1">
            <w:pPr>
              <w:pStyle w:val="TableText0"/>
              <w:rPr>
                <w:lang w:val="en-AU"/>
              </w:rPr>
            </w:pPr>
            <w:r w:rsidRPr="000F3C8B">
              <w:rPr>
                <w:lang w:val="en-AU"/>
              </w:rPr>
              <w:t xml:space="preserve"> </w:t>
            </w:r>
          </w:p>
          <w:p w:rsidR="0099511A" w:rsidRPr="000F3C8B" w:rsidRDefault="0099511A" w:rsidP="00EE44A1">
            <w:pPr>
              <w:pStyle w:val="TableText0"/>
              <w:rPr>
                <w:lang w:val="en-AU"/>
              </w:rPr>
            </w:pPr>
            <w:r w:rsidRPr="000F3C8B">
              <w:rPr>
                <w:lang w:val="en-AU"/>
              </w:rPr>
              <w:t>Type of SEMS: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48-91</w:t>
            </w:r>
            <w:r>
              <w:rPr>
                <w:lang w:val="en-AU"/>
              </w:rPr>
              <w:t xml:space="preserve"> mm</w:t>
            </w:r>
            <w:r w:rsidRPr="000F3C8B">
              <w:rPr>
                <w:lang w:val="en-AU"/>
              </w:rPr>
              <w:t>; Diameter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Conscious sedation (midazolam,Dormicum; Roche, Switzerland) and analgesia (pethidine)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Generally not used, but in 10 cases additional balloon dilatation was necessary immediately after stent placement</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Clinical or radiological evidence of bowel perforation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Karanen et al (2011)</w:t>
            </w:r>
            <w:r>
              <w:rPr>
                <w:lang w:val="en-AU"/>
              </w:rPr>
              <w:t>, Finland</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101</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58/43</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66 years (range,  36-98)</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42</w:t>
            </w:r>
            <w:r>
              <w:rPr>
                <w:lang w:val="en-AU"/>
              </w:rPr>
              <w:t xml:space="preserve"> (41.6%)</w:t>
            </w:r>
            <w:r w:rsidRPr="000F3C8B">
              <w:rPr>
                <w:lang w:val="en-AU"/>
              </w:rPr>
              <w:t>; Complete: 55</w:t>
            </w:r>
            <w:r>
              <w:rPr>
                <w:lang w:val="en-AU"/>
              </w:rPr>
              <w:t xml:space="preserve"> (54.4%); Data not provided: 4 (4%)</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42 (41.6%); Sigmoid colon: 45 (44.6%); Descending colon: 6 (5.9%); Transverse colon: 7 (6.9%); Hepatic flexure: 1 (1%)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w:t>
            </w:r>
            <w:r>
              <w:rPr>
                <w:lang w:val="en-AU"/>
              </w:rPr>
              <w:t xml:space="preserve">: </w:t>
            </w:r>
            <w:r w:rsidRPr="000F3C8B">
              <w:rPr>
                <w:lang w:val="en-AU"/>
              </w:rPr>
              <w:t>101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Ultraflex,  Ultraflex Precision,</w:t>
            </w:r>
          </w:p>
          <w:p w:rsidR="0099511A" w:rsidRPr="000F3C8B" w:rsidRDefault="0099511A" w:rsidP="00EE44A1">
            <w:pPr>
              <w:pStyle w:val="TableText0"/>
              <w:rPr>
                <w:lang w:val="en-AU"/>
              </w:rPr>
            </w:pPr>
            <w:proofErr w:type="gramStart"/>
            <w:r w:rsidRPr="000F3C8B">
              <w:rPr>
                <w:lang w:val="en-AU"/>
              </w:rPr>
              <w:t>Wallflex,</w:t>
            </w:r>
            <w:proofErr w:type="gramEnd"/>
            <w:r w:rsidRPr="000F3C8B">
              <w:rPr>
                <w:lang w:val="en-AU"/>
              </w:rPr>
              <w:t xml:space="preserve"> and Wallstent (Boston Scientific). Memotherm (Bard), Choo </w:t>
            </w:r>
            <w:r w:rsidRPr="000F3C8B">
              <w:rPr>
                <w:lang w:val="en-AU"/>
              </w:rPr>
              <w:lastRenderedPageBreak/>
              <w:t>(M.I.Technical), Instent and Bard (Olympus Corporation). Ultraflex Precision and Wallflex were used in the majority of procedures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 xml:space="preserve">Length: NR; Diameter: NR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IV sedation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in one patient</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Patients who had undergone SEMS placement for malignant colorectal obstruction at Helsi</w:t>
            </w:r>
            <w:r>
              <w:rPr>
                <w:lang w:val="en-AU"/>
              </w:rPr>
              <w:t xml:space="preserve">nki University Central </w:t>
            </w:r>
            <w:r>
              <w:rPr>
                <w:lang w:val="en-AU"/>
              </w:rPr>
              <w:lastRenderedPageBreak/>
              <w:t>Hospital</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Kim et al (2009)</w:t>
            </w:r>
            <w:r>
              <w:rPr>
                <w:lang w:val="en-AU"/>
              </w:rPr>
              <w:t>, 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122</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75/47</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58.84 ± 18.81 years (range 17-88)</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74</w:t>
            </w:r>
            <w:r>
              <w:rPr>
                <w:lang w:val="en-AU"/>
              </w:rPr>
              <w:t xml:space="preserve"> (60.7%)</w:t>
            </w:r>
            <w:r w:rsidRPr="000F3C8B">
              <w:rPr>
                <w:lang w:val="en-AU"/>
              </w:rPr>
              <w:t>; Complete: 48</w:t>
            </w:r>
            <w:r>
              <w:rPr>
                <w:lang w:val="en-AU"/>
              </w:rPr>
              <w:t xml:space="preserve"> (39.3%)</w:t>
            </w:r>
          </w:p>
          <w:p w:rsidR="0099511A" w:rsidRPr="000F3C8B" w:rsidRDefault="0099511A" w:rsidP="00EE44A1">
            <w:pPr>
              <w:pStyle w:val="TableText0"/>
              <w:rPr>
                <w:lang w:val="en-AU"/>
              </w:rPr>
            </w:pPr>
          </w:p>
          <w:p w:rsidR="0099511A" w:rsidRPr="000F3C8B" w:rsidRDefault="0099511A" w:rsidP="0007443E">
            <w:pPr>
              <w:pStyle w:val="TableText0"/>
              <w:spacing w:before="0" w:after="0"/>
              <w:rPr>
                <w:lang w:val="en-AU"/>
              </w:rPr>
            </w:pPr>
            <w:r w:rsidRPr="000F3C8B">
              <w:rPr>
                <w:lang w:val="en-AU"/>
              </w:rPr>
              <w:t>Location of obstruction: Rectum: 35 (28.7%); Recto-sigmoid: 16 (13.1%); Sigmoid: 40 (32.8%); Descending colon: 9 (7.4%); Transverse colon: 21 (17.2%)</w:t>
            </w:r>
            <w:proofErr w:type="gramStart"/>
            <w:r w:rsidRPr="000F3C8B">
              <w:rPr>
                <w:lang w:val="en-AU"/>
              </w:rPr>
              <w:t>;</w:t>
            </w:r>
            <w:proofErr w:type="gramEnd"/>
            <w:r>
              <w:rPr>
                <w:lang w:val="en-AU"/>
              </w:rPr>
              <w:br/>
            </w:r>
            <w:r w:rsidRPr="000F3C8B">
              <w:rPr>
                <w:lang w:val="en-AU"/>
              </w:rPr>
              <w:t>Ascending colon</w:t>
            </w:r>
            <w:r w:rsidRPr="000F3C8B">
              <w:rPr>
                <w:lang w:val="en-AU"/>
              </w:rPr>
              <w:tab/>
              <w:t>1 (0.8%)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(mean): 63.19  ± 29.74</w:t>
            </w:r>
            <w:r>
              <w:rPr>
                <w:lang w:val="en-AU"/>
              </w:rPr>
              <w:t xml:space="preserve"> mm</w:t>
            </w:r>
            <w:r w:rsidRPr="000F3C8B">
              <w:rPr>
                <w:lang w:val="en-AU"/>
              </w:rPr>
              <w:t xml:space="preserve"> (range 20-200</w:t>
            </w:r>
            <w:r>
              <w:rPr>
                <w:lang w:val="en-AU"/>
              </w:rPr>
              <w:t xml:space="preserve"> mm</w:t>
            </w:r>
            <w:r w:rsidRPr="000F3C8B">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w:t>
            </w:r>
            <w:r>
              <w:rPr>
                <w:lang w:val="en-AU"/>
              </w:rPr>
              <w:t xml:space="preserve"> </w:t>
            </w:r>
            <w:r w:rsidRPr="000F3C8B">
              <w:rPr>
                <w:lang w:val="en-AU"/>
              </w:rPr>
              <w:t>122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ED6295" w:rsidP="00EE44A1">
            <w:pPr>
              <w:pStyle w:val="TableText0"/>
              <w:rPr>
                <w:lang w:val="en-AU"/>
              </w:rPr>
            </w:pPr>
            <w:r>
              <w:rPr>
                <w:lang w:val="en-AU"/>
              </w:rPr>
              <w:t>D</w:t>
            </w:r>
            <w:r w:rsidR="0099511A" w:rsidRPr="000F3C8B">
              <w:rPr>
                <w:lang w:val="en-AU"/>
              </w:rPr>
              <w:t>ual-design SEMS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NR; Diameter: 24</w:t>
            </w:r>
            <w:r>
              <w:rPr>
                <w:lang w:val="en-AU"/>
              </w:rPr>
              <w:t xml:space="preserve"> mm</w:t>
            </w:r>
            <w:r w:rsidRPr="000F3C8B">
              <w:rPr>
                <w:lang w:val="en-AU"/>
              </w:rPr>
              <w:tab/>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n=55. Dilation was carried out using a 15-mm (n=32) or 20-mm (n=23) balloon catheter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Inclusion criteria: </w:t>
            </w:r>
            <w:r>
              <w:rPr>
                <w:lang w:val="en-AU"/>
              </w:rPr>
              <w:t>D</w:t>
            </w:r>
            <w:r w:rsidRPr="000F3C8B">
              <w:rPr>
                <w:lang w:val="en-AU"/>
              </w:rPr>
              <w:t xml:space="preserve">ocumented malignant disease and colorectal obstruction and </w:t>
            </w:r>
            <w:r>
              <w:rPr>
                <w:lang w:val="en-AU"/>
              </w:rPr>
              <w:t>had undergone placement of SEMS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If the patient had no symptoms</w:t>
            </w:r>
            <w:r>
              <w:rPr>
                <w:lang w:val="en-AU"/>
              </w:rPr>
              <w:t>, c</w:t>
            </w:r>
            <w:r w:rsidRPr="000F3C8B">
              <w:rPr>
                <w:lang w:val="en-AU"/>
              </w:rPr>
              <w:t>linical evidence of perforation or peritonitis combined with multiple small-bowel obstructions, or had extension of rectal cancer to the anal sphincter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3 lost to follow-up</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Kim et al (2010)</w:t>
            </w:r>
            <w:r>
              <w:rPr>
                <w:lang w:val="en-AU"/>
              </w:rPr>
              <w:t>, 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116 attempts </w:t>
            </w:r>
            <w:r w:rsidRPr="000F3C8B">
              <w:rPr>
                <w:lang w:val="en-AU"/>
              </w:rPr>
              <w:lastRenderedPageBreak/>
              <w:t>(99 patients)</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59/40</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65 years (range 28-99)</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lastRenderedPageBreak/>
              <w:t xml:space="preserve">Partial: NR; Complete: NR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w:t>
            </w:r>
            <w:r>
              <w:rPr>
                <w:lang w:val="en-AU"/>
              </w:rPr>
              <w:t xml:space="preserve"> (technical success, n=110)</w:t>
            </w:r>
            <w:r w:rsidRPr="000F3C8B">
              <w:rPr>
                <w:lang w:val="en-AU"/>
              </w:rPr>
              <w:t>: Rectum: 24</w:t>
            </w:r>
            <w:r>
              <w:rPr>
                <w:lang w:val="en-AU"/>
              </w:rPr>
              <w:t xml:space="preserve"> (21.8%)</w:t>
            </w:r>
            <w:r w:rsidRPr="000F3C8B">
              <w:rPr>
                <w:lang w:val="en-AU"/>
              </w:rPr>
              <w:t>; Sigmoid colon: 55</w:t>
            </w:r>
            <w:r>
              <w:rPr>
                <w:lang w:val="en-AU"/>
              </w:rPr>
              <w:t xml:space="preserve"> (50%)</w:t>
            </w:r>
            <w:r w:rsidRPr="000F3C8B">
              <w:rPr>
                <w:lang w:val="en-AU"/>
              </w:rPr>
              <w:t>; Descending colon: 20</w:t>
            </w:r>
            <w:r>
              <w:rPr>
                <w:lang w:val="en-AU"/>
              </w:rPr>
              <w:t xml:space="preserve"> (18.2%)</w:t>
            </w:r>
            <w:r w:rsidRPr="000F3C8B">
              <w:rPr>
                <w:lang w:val="en-AU"/>
              </w:rPr>
              <w:t>; Transverse colon: 10</w:t>
            </w:r>
            <w:r>
              <w:rPr>
                <w:lang w:val="en-AU"/>
              </w:rPr>
              <w:t xml:space="preserve"> (9.1%)</w:t>
            </w:r>
            <w:r w:rsidRPr="000F3C8B">
              <w:rPr>
                <w:lang w:val="en-AU"/>
              </w:rPr>
              <w:t>; Ascending colon: 1</w:t>
            </w:r>
            <w:r>
              <w:rPr>
                <w:lang w:val="en-AU"/>
              </w:rPr>
              <w:t xml:space="preserve"> (0.9%)</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w:t>
            </w:r>
            <w:r>
              <w:rPr>
                <w:lang w:val="en-AU"/>
              </w:rPr>
              <w:t xml:space="preserve"> </w:t>
            </w:r>
            <w:r w:rsidRPr="000F3C8B">
              <w:rPr>
                <w:lang w:val="en-AU"/>
              </w:rPr>
              <w:t>99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Hanaro (Solco Intermed) and EGIS (S &amp; G Biotech)</w:t>
            </w:r>
          </w:p>
          <w:p w:rsidR="0099511A" w:rsidRPr="000F3C8B" w:rsidRDefault="0099511A" w:rsidP="00EE44A1">
            <w:pPr>
              <w:pStyle w:val="TableText0"/>
              <w:rPr>
                <w:lang w:val="en-AU"/>
              </w:rPr>
            </w:pPr>
            <w:r w:rsidRPr="000F3C8B">
              <w:rPr>
                <w:lang w:val="en-AU"/>
              </w:rPr>
              <w:lastRenderedPageBreak/>
              <w:t xml:space="preserve"> </w:t>
            </w:r>
          </w:p>
          <w:p w:rsidR="0099511A" w:rsidRPr="000F3C8B" w:rsidRDefault="0099511A" w:rsidP="00EE44A1">
            <w:pPr>
              <w:pStyle w:val="TableText0"/>
              <w:rPr>
                <w:lang w:val="en-AU"/>
              </w:rPr>
            </w:pPr>
            <w:r w:rsidRPr="000F3C8B">
              <w:rPr>
                <w:lang w:val="en-AU"/>
              </w:rPr>
              <w:t>Type of SEMS: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 8, 10, 12, 14 or 16</w:t>
            </w:r>
            <w:r>
              <w:rPr>
                <w:lang w:val="en-AU"/>
              </w:rPr>
              <w:t xml:space="preserve"> cm</w:t>
            </w:r>
            <w:r w:rsidRPr="000F3C8B">
              <w:rPr>
                <w:lang w:val="en-AU"/>
              </w:rPr>
              <w:t>; Diameter: 22</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None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Not used</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Documented malignancy, symptoms and signs of colorectal obstructio</w:t>
            </w:r>
            <w:r>
              <w:rPr>
                <w:lang w:val="en-AU"/>
              </w:rPr>
              <w:t xml:space="preserve">n </w:t>
            </w:r>
            <w:r>
              <w:rPr>
                <w:lang w:val="en-AU"/>
              </w:rPr>
              <w:lastRenderedPageBreak/>
              <w:t>and uncovered stent placement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who had bowel necrosis, perforation, cancer extending to &lt; 5 cm from the anal verge, or cancer located near the ileocecal valve wer</w:t>
            </w:r>
            <w:r>
              <w:rPr>
                <w:lang w:val="en-AU"/>
              </w:rPr>
              <w:t>e excluded from stent placement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 xml:space="preserve">Lee et al (2007), </w:t>
            </w:r>
            <w:r>
              <w:rPr>
                <w:lang w:val="en-AU"/>
              </w:rPr>
              <w:t>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 80</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45/35   </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63.3 years (range 34-87)</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38 (47.5%); Sigmoid colon:</w:t>
            </w:r>
            <w:r>
              <w:rPr>
                <w:lang w:val="en-AU"/>
              </w:rPr>
              <w:t xml:space="preserve"> </w:t>
            </w:r>
            <w:r w:rsidRPr="000F3C8B">
              <w:rPr>
                <w:lang w:val="en-AU"/>
              </w:rPr>
              <w:t>28 (35%); Descending: 10 (12.5%); Transverse: 3 (3.8%); Ascending: 1 (1.2%)</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80</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Niti-S (Taewong Inc.)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 Covered and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6,8 and 10</w:t>
            </w:r>
            <w:r>
              <w:rPr>
                <w:lang w:val="en-AU"/>
              </w:rPr>
              <w:t xml:space="preserve"> cm</w:t>
            </w:r>
            <w:r w:rsidRPr="000F3C8B">
              <w:rPr>
                <w:lang w:val="en-AU"/>
              </w:rPr>
              <w:t>; Diameter: 18</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r>
              <w:rPr>
                <w:lang w:val="en-AU"/>
              </w:rPr>
              <w:t>.</w:t>
            </w:r>
          </w:p>
          <w:p w:rsidR="0099511A" w:rsidRPr="000F3C8B" w:rsidRDefault="0099511A" w:rsidP="00EE44A1">
            <w:pPr>
              <w:pStyle w:val="TableText0"/>
              <w:rPr>
                <w:lang w:val="en-AU"/>
              </w:rPr>
            </w:pPr>
            <w:r w:rsidRPr="000F3C8B">
              <w:rPr>
                <w:lang w:val="en-AU"/>
              </w:rPr>
              <w:t xml:space="preserve"> </w:t>
            </w:r>
          </w:p>
          <w:p w:rsidR="0099511A" w:rsidRPr="000F3C8B" w:rsidRDefault="0099511A" w:rsidP="00EE44A1">
            <w:pPr>
              <w:pStyle w:val="TableText0"/>
              <w:rPr>
                <w:lang w:val="en-AU"/>
              </w:rPr>
            </w:pPr>
            <w:r w:rsidRPr="000F3C8B">
              <w:rPr>
                <w:lang w:val="en-AU"/>
              </w:rPr>
              <w:t>Anaesthesia use: Conscious sedation, meperidine and midazolam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Patients with malignant colorectal obstruction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were excluded from the study if they showed evidence of bowel perforation or peritonitis, free intra-peritoneal air on an abdominal radiograph, significant coagulopathy, or either hemodynamic or pulmonary instability</w:t>
            </w:r>
            <w:r>
              <w:rPr>
                <w:lang w:val="en-AU"/>
              </w:rPr>
              <w:t>;</w:t>
            </w:r>
            <w:r w:rsidRPr="000F3C8B">
              <w:rPr>
                <w:lang w:val="en-AU"/>
              </w:rPr>
              <w:t xml:space="preserve"> </w:t>
            </w:r>
            <w:r>
              <w:rPr>
                <w:lang w:val="en-AU"/>
              </w:rPr>
              <w:t>p</w:t>
            </w:r>
            <w:r w:rsidRPr="000F3C8B">
              <w:rPr>
                <w:lang w:val="en-AU"/>
              </w:rPr>
              <w:t>atients who had chemotherapy or radiotherapy afte</w:t>
            </w:r>
            <w:r>
              <w:rPr>
                <w:lang w:val="en-AU"/>
              </w:rPr>
              <w:t>r stent insertion were excluded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Lee et al (2011), </w:t>
            </w:r>
            <w:r>
              <w:rPr>
                <w:lang w:val="en-AU"/>
              </w:rPr>
              <w:t>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71</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47/24  </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64.14 ± 14.38 years (26-87)          </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13 (18.3%); Sigmoid: 35 (49.3%); Descending: 7 (9.9%); Transverse: 9 (12.7%); Ascending colon: 6 (8.5%); Caecum: 1 (1.4%)</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71 (100%)</w:t>
            </w:r>
          </w:p>
          <w:p w:rsidR="0099511A" w:rsidRPr="000F3C8B" w:rsidRDefault="0099511A" w:rsidP="00EE44A1">
            <w:pPr>
              <w:pStyle w:val="TableText0"/>
              <w:rPr>
                <w:lang w:val="en-AU"/>
              </w:rPr>
            </w:pPr>
          </w:p>
          <w:p w:rsidR="0099511A" w:rsidRPr="000F3C8B" w:rsidRDefault="0099511A" w:rsidP="00C67307">
            <w:pPr>
              <w:pStyle w:val="TableText0"/>
              <w:rPr>
                <w:lang w:val="en-AU"/>
              </w:rPr>
            </w:pPr>
            <w:r w:rsidRPr="000F3C8B">
              <w:rPr>
                <w:lang w:val="en-AU"/>
              </w:rPr>
              <w:t>Site of metastases:  Liver</w:t>
            </w:r>
            <w:r w:rsidRPr="000F3C8B">
              <w:rPr>
                <w:lang w:val="en-AU"/>
              </w:rPr>
              <w:tab/>
              <w:t xml:space="preserve">: 44 (62%); Lung: 4 (5.6%); Liver &amp; Lung: 8 (11.3%); Carcinomatosis: </w:t>
            </w:r>
            <w:r>
              <w:rPr>
                <w:lang w:val="en-AU"/>
              </w:rPr>
              <w:t>1</w:t>
            </w:r>
            <w:r w:rsidRPr="000F3C8B">
              <w:rPr>
                <w:lang w:val="en-AU"/>
              </w:rPr>
              <w:t>5 (21.1%)</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 xml:space="preserve">Wallflex (Boston Scientific), Comvi (Boston Scientific), Niti-S D-type (Taewoonf Medical Co.)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Comvi; Uncovered: Wallflex and Niti-S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Size of SEMS</w:t>
            </w:r>
          </w:p>
          <w:p w:rsidR="0099511A" w:rsidRPr="000F3C8B" w:rsidRDefault="0099511A" w:rsidP="00EE44A1">
            <w:pPr>
              <w:pStyle w:val="TableText0"/>
              <w:rPr>
                <w:lang w:val="en-AU"/>
              </w:rPr>
            </w:pPr>
            <w:r w:rsidRPr="000F3C8B">
              <w:rPr>
                <w:lang w:val="en-AU"/>
              </w:rPr>
              <w:t>Length: Diameter: 25</w:t>
            </w:r>
            <w:r>
              <w:rPr>
                <w:lang w:val="en-AU"/>
              </w:rPr>
              <w:t xml:space="preserve"> mm</w:t>
            </w:r>
            <w:r w:rsidRPr="000F3C8B">
              <w:rPr>
                <w:lang w:val="en-AU"/>
              </w:rPr>
              <w:t xml:space="preserve"> (Wallflex), 20</w:t>
            </w:r>
            <w:r>
              <w:rPr>
                <w:lang w:val="en-AU"/>
              </w:rPr>
              <w:t xml:space="preserve"> mm</w:t>
            </w:r>
            <w:r w:rsidRPr="000F3C8B">
              <w:rPr>
                <w:lang w:val="en-AU"/>
              </w:rPr>
              <w:t xml:space="preserve"> (Comvi)</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w:t>
            </w:r>
            <w:r w:rsidR="00C4343A">
              <w:rPr>
                <w:lang w:val="en-AU"/>
              </w:rPr>
              <w:t xml:space="preserve"> of balloon dilation: Not used</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Incurable obstructive colorectal cancer</w:t>
            </w:r>
            <w:r>
              <w:rPr>
                <w:lang w:val="en-AU"/>
              </w:rPr>
              <w:t>;</w:t>
            </w:r>
            <w:r w:rsidRPr="000F3C8B">
              <w:rPr>
                <w:lang w:val="en-AU"/>
              </w:rPr>
              <w:t xml:space="preserve"> </w:t>
            </w:r>
            <w:r>
              <w:rPr>
                <w:lang w:val="en-AU"/>
              </w:rPr>
              <w:t>informed consent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evidence of bowel perforation, p</w:t>
            </w:r>
            <w:r>
              <w:rPr>
                <w:lang w:val="en-AU"/>
              </w:rPr>
              <w:t>eritonitis and recurrent tumour;</w:t>
            </w:r>
            <w:r w:rsidRPr="000F3C8B">
              <w:rPr>
                <w:lang w:val="en-AU"/>
              </w:rPr>
              <w:t xml:space="preserve"> </w:t>
            </w:r>
            <w:r>
              <w:rPr>
                <w:lang w:val="en-AU"/>
              </w:rPr>
              <w:t>p</w:t>
            </w:r>
            <w:r w:rsidRPr="000F3C8B">
              <w:rPr>
                <w:lang w:val="en-AU"/>
              </w:rPr>
              <w:t xml:space="preserve">atients who underwent surgery </w:t>
            </w:r>
            <w:r>
              <w:rPr>
                <w:lang w:val="en-AU"/>
              </w:rPr>
              <w:t>after successful stenting</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 xml:space="preserve">Patients excluded: 25, </w:t>
            </w:r>
            <w:r>
              <w:rPr>
                <w:lang w:val="en-AU"/>
              </w:rPr>
              <w:t>due to tumour recurrence (13), u</w:t>
            </w:r>
            <w:r w:rsidRPr="000F3C8B">
              <w:rPr>
                <w:lang w:val="en-AU"/>
              </w:rPr>
              <w:t>ndergoing palliative surgery after successful stenting (12)</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Lepsenyi et al (2011)</w:t>
            </w:r>
            <w:r>
              <w:rPr>
                <w:lang w:val="en-AU"/>
              </w:rPr>
              <w:t>, Sweden</w:t>
            </w:r>
            <w:r w:rsidRPr="000F3C8B">
              <w:rPr>
                <w:lang w:val="en-AU"/>
              </w:rPr>
              <w:t xml:space="preserve"> </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75 attempts</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47/24</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74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5 (7%); Recto-sigmoid: 15 (21.1%); Sigmoid: 31 (43.7%); Splenic flexure: 9 (12.7%); Proximal to splenic flexure: 11</w:t>
            </w:r>
            <w:r>
              <w:rPr>
                <w:lang w:val="en-AU"/>
              </w:rPr>
              <w:t xml:space="preserve"> </w:t>
            </w:r>
            <w:r w:rsidRPr="000F3C8B">
              <w:rPr>
                <w:lang w:val="en-AU"/>
              </w:rPr>
              <w:t>(15.5%)</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Median 4</w:t>
            </w:r>
            <w:r>
              <w:rPr>
                <w:lang w:val="en-AU"/>
              </w:rPr>
              <w:t xml:space="preserve"> cm</w:t>
            </w:r>
            <w:r w:rsidRPr="000F3C8B">
              <w:rPr>
                <w:lang w:val="en-AU"/>
              </w:rPr>
              <w:t xml:space="preserve"> (range 2-10</w:t>
            </w:r>
            <w:r>
              <w:rPr>
                <w:lang w:val="en-AU"/>
              </w:rPr>
              <w:t xml:space="preserve"> cm</w:t>
            </w:r>
            <w:r w:rsidRPr="000F3C8B">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NR; Malignant: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Wallstent and Wallflex stents (Boston Scientific)</w:t>
            </w: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w:t>
            </w:r>
            <w:r>
              <w:rPr>
                <w:lang w:val="en-AU"/>
              </w:rPr>
              <w:t xml:space="preserve"> cm</w:t>
            </w:r>
            <w:r w:rsidRPr="000F3C8B">
              <w:rPr>
                <w:lang w:val="en-AU"/>
              </w:rPr>
              <w:t>, 9</w:t>
            </w:r>
            <w:r>
              <w:rPr>
                <w:lang w:val="en-AU"/>
              </w:rPr>
              <w:t xml:space="preserve"> cm</w:t>
            </w:r>
            <w:r w:rsidRPr="000F3C8B">
              <w:rPr>
                <w:lang w:val="en-AU"/>
              </w:rPr>
              <w:t>, 12</w:t>
            </w:r>
            <w:r>
              <w:rPr>
                <w:lang w:val="en-AU"/>
              </w:rPr>
              <w:t xml:space="preserve"> cm</w:t>
            </w:r>
            <w:r w:rsidRPr="000F3C8B">
              <w:rPr>
                <w:lang w:val="en-AU"/>
              </w:rPr>
              <w:t>;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radiological</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Conscious sedation by midazolam hydrochloride and ketobemidon chloride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Li et al (2010)</w:t>
            </w:r>
            <w:r>
              <w:rPr>
                <w:lang w:val="en-AU"/>
              </w:rPr>
              <w:t>, China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52</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28/24</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67.52 ± 9.32 years (range 35-91)</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34</w:t>
            </w:r>
            <w:r>
              <w:rPr>
                <w:lang w:val="en-AU"/>
              </w:rPr>
              <w:t xml:space="preserve"> (65.4%)</w:t>
            </w:r>
            <w:r w:rsidRPr="000F3C8B">
              <w:rPr>
                <w:lang w:val="en-AU"/>
              </w:rPr>
              <w:t>; Complete: 18</w:t>
            </w:r>
            <w:r w:rsidR="00CC6F7A" w:rsidRPr="00CC6F7A">
              <w:rPr>
                <w:vertAlign w:val="superscript"/>
                <w:lang w:val="en-AU"/>
              </w:rPr>
              <w:t>c</w:t>
            </w:r>
            <w:r>
              <w:rPr>
                <w:lang w:val="en-AU"/>
              </w:rPr>
              <w:t xml:space="preserve"> (34.6%)</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18</w:t>
            </w:r>
            <w:r>
              <w:rPr>
                <w:lang w:val="en-AU"/>
              </w:rPr>
              <w:t xml:space="preserve"> (34.6%)</w:t>
            </w:r>
            <w:r w:rsidRPr="000F3C8B">
              <w:rPr>
                <w:lang w:val="en-AU"/>
              </w:rPr>
              <w:t>; Sigmoid colon: 24</w:t>
            </w:r>
            <w:r>
              <w:rPr>
                <w:lang w:val="en-AU"/>
              </w:rPr>
              <w:t xml:space="preserve"> (46.2%)</w:t>
            </w:r>
            <w:r w:rsidRPr="000F3C8B">
              <w:rPr>
                <w:lang w:val="en-AU"/>
              </w:rPr>
              <w:t>; Left colon: 7</w:t>
            </w:r>
            <w:r>
              <w:rPr>
                <w:lang w:val="en-AU"/>
              </w:rPr>
              <w:t xml:space="preserve"> (13.5%)</w:t>
            </w:r>
            <w:r w:rsidRPr="000F3C8B">
              <w:rPr>
                <w:lang w:val="en-AU"/>
              </w:rPr>
              <w:t>; Splenic flexure: 3</w:t>
            </w:r>
            <w:r>
              <w:rPr>
                <w:lang w:val="en-AU"/>
              </w:rPr>
              <w:t xml:space="preserve"> (5.8%)</w:t>
            </w:r>
            <w:r w:rsidRPr="000F3C8B">
              <w:rPr>
                <w:lang w:val="en-AU"/>
              </w:rPr>
              <w:t xml:space="preserve"> (Distance of the lesion from the anus, mean 20.2</w:t>
            </w:r>
            <w:r>
              <w:rPr>
                <w:lang w:val="en-AU"/>
              </w:rPr>
              <w:t xml:space="preserve"> cm</w:t>
            </w:r>
            <w:r w:rsidRPr="000F3C8B">
              <w:rPr>
                <w:lang w:val="en-AU"/>
              </w:rPr>
              <w:t xml:space="preserve"> (range, 4–75 cm))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46.2 mm (range 34-65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52</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SEMS</w:t>
            </w:r>
            <w:r w:rsidR="00C4343A">
              <w:rPr>
                <w:lang w:val="en-AU"/>
              </w:rPr>
              <w:t xml:space="preserve"> </w:t>
            </w:r>
            <w:r w:rsidRPr="000F3C8B">
              <w:rPr>
                <w:lang w:val="en-AU"/>
              </w:rPr>
              <w:t>(Micro-Tech)</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7-10</w:t>
            </w:r>
            <w:r>
              <w:rPr>
                <w:lang w:val="en-AU"/>
              </w:rPr>
              <w:t xml:space="preserve"> mm</w:t>
            </w:r>
            <w:r w:rsidRPr="000F3C8B">
              <w:rPr>
                <w:lang w:val="en-AU"/>
              </w:rPr>
              <w:t>; Diameter: 25-30</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None used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Not performed</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Clinical signs and symptoms of acute colorectal obstruction,</w:t>
            </w:r>
            <w:r>
              <w:rPr>
                <w:lang w:val="en-AU"/>
              </w:rPr>
              <w:t xml:space="preserve"> </w:t>
            </w:r>
            <w:r w:rsidRPr="000F3C8B">
              <w:rPr>
                <w:lang w:val="en-AU"/>
              </w:rPr>
              <w:t>need for bridge to surgery, SEMS placement, documented malignancy and life expectancy &gt;</w:t>
            </w:r>
            <w:r>
              <w:rPr>
                <w:lang w:val="en-AU"/>
              </w:rPr>
              <w:t xml:space="preserve"> 6 months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Exclusion criteria: Low risk associated with emergency surgery, known or suspected colonic ischemia or perforation or multiple </w:t>
            </w:r>
            <w:r w:rsidRPr="000F3C8B">
              <w:rPr>
                <w:lang w:val="en-AU"/>
              </w:rPr>
              <w:lastRenderedPageBreak/>
              <w:t>sites of obstruction, right sided location of obstruction and extension of rect</w:t>
            </w:r>
            <w:r>
              <w:rPr>
                <w:lang w:val="en-AU"/>
              </w:rPr>
              <w:t>al cancer to the anal sphincter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5D1E42">
            <w:pPr>
              <w:pStyle w:val="TableText0"/>
              <w:rPr>
                <w:lang w:val="en-AU"/>
              </w:rPr>
            </w:pPr>
            <w:r w:rsidRPr="000F3C8B">
              <w:rPr>
                <w:lang w:val="en-AU"/>
              </w:rPr>
              <w:lastRenderedPageBreak/>
              <w:t xml:space="preserve">Mackay et al (2011), </w:t>
            </w:r>
            <w:r>
              <w:rPr>
                <w:lang w:val="en-AU"/>
              </w:rPr>
              <w:t>United Kingdom</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82</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44/38</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75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60</w:t>
            </w:r>
            <w:r>
              <w:rPr>
                <w:lang w:val="en-AU"/>
              </w:rPr>
              <w:t xml:space="preserve"> (73.2%)</w:t>
            </w:r>
            <w:r w:rsidRPr="000F3C8B">
              <w:rPr>
                <w:lang w:val="en-AU"/>
              </w:rPr>
              <w:t>; Complete: 22</w:t>
            </w:r>
            <w:r>
              <w:rPr>
                <w:lang w:val="en-AU"/>
              </w:rPr>
              <w:t xml:space="preserve"> (26.8%)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Location of obstruction </w:t>
            </w:r>
          </w:p>
          <w:p w:rsidR="0099511A" w:rsidRPr="000F3C8B" w:rsidRDefault="0099511A" w:rsidP="00EE44A1">
            <w:pPr>
              <w:pStyle w:val="TableText0"/>
              <w:rPr>
                <w:lang w:val="en-AU"/>
              </w:rPr>
            </w:pPr>
            <w:r w:rsidRPr="000F3C8B">
              <w:rPr>
                <w:lang w:val="en-AU"/>
              </w:rPr>
              <w:t>Malignant obstruction (n=67)</w:t>
            </w:r>
          </w:p>
          <w:p w:rsidR="0099511A" w:rsidRPr="000F3C8B" w:rsidRDefault="0099511A" w:rsidP="00EE44A1">
            <w:pPr>
              <w:pStyle w:val="TableText0"/>
              <w:rPr>
                <w:lang w:val="en-AU"/>
              </w:rPr>
            </w:pPr>
            <w:r w:rsidRPr="000F3C8B">
              <w:rPr>
                <w:lang w:val="en-AU"/>
              </w:rPr>
              <w:t>Rectum: 16 (19.5%); Sigmoid colon: 43 (52.4%); Descending colon: 7 (8.5%); Proximal colon: 1 (1.2%)</w:t>
            </w:r>
          </w:p>
          <w:p w:rsidR="0099511A" w:rsidRPr="000F3C8B" w:rsidRDefault="0099511A" w:rsidP="00EE44A1">
            <w:pPr>
              <w:pStyle w:val="TableText0"/>
              <w:rPr>
                <w:lang w:val="en-AU"/>
              </w:rPr>
            </w:pPr>
            <w:r w:rsidRPr="000F3C8B">
              <w:rPr>
                <w:lang w:val="en-AU"/>
              </w:rPr>
              <w:t>Benign obstruction (n=15)</w:t>
            </w:r>
          </w:p>
          <w:p w:rsidR="0099511A" w:rsidRPr="000F3C8B" w:rsidRDefault="0099511A" w:rsidP="00EE44A1">
            <w:pPr>
              <w:pStyle w:val="TableText0"/>
              <w:rPr>
                <w:lang w:val="en-AU"/>
              </w:rPr>
            </w:pPr>
            <w:r w:rsidRPr="000F3C8B">
              <w:rPr>
                <w:lang w:val="en-AU"/>
              </w:rPr>
              <w:t>Rectum: 1 (1.2%); Descending colon: 1 (1.2%); Sigmoid colon: 13 (15.9%)</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15</w:t>
            </w:r>
            <w:r>
              <w:rPr>
                <w:lang w:val="en-AU"/>
              </w:rPr>
              <w:t xml:space="preserve"> (18.3%)</w:t>
            </w:r>
            <w:r w:rsidRPr="000F3C8B">
              <w:rPr>
                <w:lang w:val="en-AU"/>
              </w:rPr>
              <w:t>; Malignant: 67</w:t>
            </w:r>
            <w:r>
              <w:rPr>
                <w:lang w:val="en-AU"/>
              </w:rPr>
              <w:t xml:space="preserve"> (81.7%)</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Memotherm (C.R. Bard); enteral Wallstent and Ultraflex stents (Boston Scientific); Niti-S (Taewoong Medical)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radiological</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Mainar et al (1999)</w:t>
            </w:r>
            <w:r>
              <w:rPr>
                <w:lang w:val="en-AU"/>
              </w:rPr>
              <w:t>, Spain</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71</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47/24</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63 years (42-87)</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Rectosigmoid: 48</w:t>
            </w:r>
            <w:r>
              <w:rPr>
                <w:lang w:val="en-AU"/>
              </w:rPr>
              <w:t xml:space="preserve"> (67.6%)</w:t>
            </w:r>
            <w:r w:rsidRPr="000F3C8B">
              <w:rPr>
                <w:lang w:val="en-AU"/>
              </w:rPr>
              <w:t>; Descending colon: 22</w:t>
            </w:r>
            <w:r>
              <w:rPr>
                <w:lang w:val="en-AU"/>
              </w:rPr>
              <w:t xml:space="preserve"> (31%)</w:t>
            </w:r>
            <w:r w:rsidRPr="000F3C8B">
              <w:rPr>
                <w:lang w:val="en-AU"/>
              </w:rPr>
              <w:t>; Transverse colon: 1</w:t>
            </w:r>
            <w:r>
              <w:rPr>
                <w:lang w:val="en-AU"/>
              </w:rPr>
              <w:t xml:space="preserve"> (1.4%)</w:t>
            </w:r>
            <w:r w:rsidRPr="000F3C8B">
              <w:rPr>
                <w:lang w:val="en-AU"/>
              </w:rPr>
              <w:t xml:space="preserve"> (Distance of the lesion from the anus, </w:t>
            </w:r>
            <w:r w:rsidRPr="000F3C8B">
              <w:rPr>
                <w:lang w:val="en-AU"/>
              </w:rPr>
              <w:lastRenderedPageBreak/>
              <w:t>mean: 20.l7 cm (range, 4–75</w:t>
            </w:r>
            <w:r>
              <w:rPr>
                <w:lang w:val="en-AU"/>
              </w:rPr>
              <w:t xml:space="preserve"> cm</w:t>
            </w:r>
            <w:r w:rsidRPr="000F3C8B">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(mean): 46.2</w:t>
            </w:r>
            <w:r>
              <w:rPr>
                <w:lang w:val="en-AU"/>
              </w:rPr>
              <w:t xml:space="preserve"> mm</w:t>
            </w:r>
            <w:r w:rsidRPr="000F3C8B">
              <w:rPr>
                <w:lang w:val="en-AU"/>
              </w:rPr>
              <w:t xml:space="preserve"> (range, 34–65</w:t>
            </w:r>
            <w:r>
              <w:rPr>
                <w:lang w:val="en-AU"/>
              </w:rPr>
              <w:t xml:space="preserve"> mm</w:t>
            </w:r>
            <w:r w:rsidRPr="000F3C8B">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71</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 xml:space="preserve">Wallstents , Memotherm stent (Angiomed)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lastRenderedPageBreak/>
              <w:t>Length: 4-10</w:t>
            </w:r>
            <w:r>
              <w:rPr>
                <w:lang w:val="en-AU"/>
              </w:rPr>
              <w:t xml:space="preserve"> cm</w:t>
            </w:r>
            <w:r w:rsidRPr="000F3C8B">
              <w:rPr>
                <w:lang w:val="en-AU"/>
              </w:rPr>
              <w:t>; Diameter: 20-25</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None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Not performed</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Patients with large bowel carcinoma and clinical signs and symptoms of intestinal obstruction</w:t>
            </w:r>
            <w:r>
              <w:rPr>
                <w:lang w:val="en-AU"/>
              </w:rPr>
              <w:t>;</w:t>
            </w:r>
            <w:r w:rsidRPr="000F3C8B">
              <w:rPr>
                <w:lang w:val="en-AU"/>
              </w:rPr>
              <w:t xml:space="preserve"> </w:t>
            </w:r>
            <w:r>
              <w:rPr>
                <w:lang w:val="en-AU"/>
              </w:rPr>
              <w:t>informed consent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Clinical evidence of intestinal perforation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Masci et al (2008)</w:t>
            </w:r>
            <w:r>
              <w:rPr>
                <w:lang w:val="en-AU"/>
              </w:rPr>
              <w:t>, Italy</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72</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NR</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NR</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and/or recto-sigmoid junction: 49</w:t>
            </w:r>
            <w:r>
              <w:rPr>
                <w:lang w:val="en-AU"/>
              </w:rPr>
              <w:t xml:space="preserve"> (68.1%)</w:t>
            </w:r>
            <w:r w:rsidRPr="000F3C8B">
              <w:rPr>
                <w:lang w:val="en-AU"/>
              </w:rPr>
              <w:t>; Colon or colonical anastomosis: 23 (</w:t>
            </w:r>
            <w:r>
              <w:rPr>
                <w:lang w:val="en-AU"/>
              </w:rPr>
              <w:t>3</w:t>
            </w:r>
            <w:r w:rsidRPr="000F3C8B">
              <w:rPr>
                <w:lang w:val="en-AU"/>
              </w:rPr>
              <w:t>1</w:t>
            </w:r>
            <w:r>
              <w:rPr>
                <w:lang w:val="en-AU"/>
              </w:rPr>
              <w:t>.9</w:t>
            </w:r>
            <w:r w:rsidRPr="000F3C8B">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72</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Wallstent (Microvasive Endoscopy, Boston Scientific Co.), Wallstent Precision (Microinvasive Endoscopy, Boston Scientific Co.), colonic Z stent (Wilson-Cook Medical Inc.) a</w:t>
            </w:r>
            <w:r w:rsidR="00C4343A">
              <w:rPr>
                <w:lang w:val="en-AU"/>
              </w:rPr>
              <w:t>nd Hanarostent (M.I. Tech Co.)</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Documented malignant obstruction; obstruction-related clinical symptoms (abdominal tension, stool retention) and enteral stent plac</w:t>
            </w:r>
            <w:r>
              <w:rPr>
                <w:lang w:val="en-AU"/>
              </w:rPr>
              <w:t>ement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with a documented benignant stenosis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Meisner et al (2011)</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463 (6 hours post</w:t>
            </w:r>
            <w:r>
              <w:rPr>
                <w:lang w:val="en-AU"/>
              </w:rPr>
              <w:t>-</w:t>
            </w:r>
            <w:r w:rsidRPr="000F3C8B">
              <w:rPr>
                <w:lang w:val="en-AU"/>
              </w:rPr>
              <w:t xml:space="preserve"> procedural safety data available on 447 patients, and 30</w:t>
            </w:r>
            <w:r>
              <w:rPr>
                <w:lang w:val="en-AU"/>
              </w:rPr>
              <w:t>-</w:t>
            </w:r>
            <w:r w:rsidRPr="000F3C8B">
              <w:rPr>
                <w:lang w:val="en-AU"/>
              </w:rPr>
              <w:lastRenderedPageBreak/>
              <w:t>day cumulative safety data available on 382 patients only)</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277/186</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72.1 ± 12.4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 xml:space="preserve">Partial: NR; Complete: NR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(n=447): Rectum 15.8%</w:t>
            </w:r>
            <w:r>
              <w:rPr>
                <w:lang w:val="en-AU"/>
              </w:rPr>
              <w:t xml:space="preserve">; </w:t>
            </w:r>
            <w:r w:rsidRPr="000F3C8B">
              <w:rPr>
                <w:lang w:val="en-AU"/>
              </w:rPr>
              <w:t>Left-sided colon (rectosigmoid junction, sigmoid and descending colon, splenic flexure) 77.8%; Proximal colon (transverse colon, hepatic flexure, and ascending colon) 7.8%</w:t>
            </w:r>
            <w:r>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w:t>
            </w:r>
            <w:r>
              <w:rPr>
                <w:lang w:val="en-AU"/>
              </w:rPr>
              <w:t xml:space="preserve"> </w:t>
            </w:r>
            <w:r w:rsidRPr="000F3C8B">
              <w:rPr>
                <w:lang w:val="en-AU"/>
              </w:rPr>
              <w:t>0; Malignant: 447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Liver metastasis: 57.2%; Lung metastasis: 21.7%; Peritoneal carcinosis: 28.1%; Multiple metastasis: 38</w:t>
            </w:r>
            <w:r>
              <w:rPr>
                <w:lang w:val="en-AU"/>
              </w:rPr>
              <w:t>%</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WallFlex (Boston Scientific Co.)</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Type of SEMS:  Uncovered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9</w:t>
            </w:r>
            <w:r>
              <w:rPr>
                <w:lang w:val="en-AU"/>
              </w:rPr>
              <w:t xml:space="preserve"> cm</w:t>
            </w:r>
            <w:r w:rsidRPr="000F3C8B">
              <w:rPr>
                <w:lang w:val="en-AU"/>
              </w:rPr>
              <w:t>, 12</w:t>
            </w:r>
            <w:r>
              <w:rPr>
                <w:lang w:val="en-AU"/>
              </w:rPr>
              <w:t xml:space="preserve"> cm</w:t>
            </w:r>
            <w:r w:rsidRPr="000F3C8B">
              <w:rPr>
                <w:lang w:val="en-AU"/>
              </w:rPr>
              <w:t>; Diameter (body/flare): 25/30</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Guidance: Endoscopic and radiological</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sedation was used during the majority of procedures (333 (75.7%), general anaesthesia in 16 patients and no sedation used in 91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14 strictures were dilated using either a balloon or bougie dilator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Placement of a previous colonic stent, enteral ischemia, suspected or impending perforation, intra-abdominal abscess/perforation, contraindication to endoscopic treatment, and any use of the stent other than those specifically ou</w:t>
            </w:r>
            <w:r>
              <w:rPr>
                <w:lang w:val="en-AU"/>
              </w:rPr>
              <w:t>tlined under indications of use</w:t>
            </w:r>
          </w:p>
          <w:p w:rsidR="0099511A" w:rsidRPr="000F3C8B" w:rsidRDefault="0099511A" w:rsidP="00EE44A1">
            <w:pPr>
              <w:pStyle w:val="TableText0"/>
              <w:rPr>
                <w:lang w:val="en-AU"/>
              </w:rPr>
            </w:pPr>
            <w:r w:rsidRPr="000F3C8B">
              <w:rPr>
                <w:lang w:val="en-AU"/>
              </w:rPr>
              <w:lastRenderedPageBreak/>
              <w:t>Patients excluded: 16 patients were excluded from safety analysis data due to inability to place stent</w:t>
            </w:r>
            <w:r>
              <w:rPr>
                <w:lang w:val="en-AU"/>
              </w:rPr>
              <w:t xml:space="preserve">; </w:t>
            </w:r>
            <w:r w:rsidRPr="000F3C8B">
              <w:rPr>
                <w:lang w:val="en-AU"/>
              </w:rPr>
              <w:t>101 patients were excluded fro</w:t>
            </w:r>
            <w:r>
              <w:rPr>
                <w:lang w:val="en-AU"/>
              </w:rPr>
              <w:t>m the clinical success analysis</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Moon et al (2010)</w:t>
            </w:r>
            <w:r>
              <w:rPr>
                <w:lang w:val="en-AU"/>
              </w:rPr>
              <w:t>, 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68</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39/29</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65.8 ± 14.8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14 (20.6%); Sigmoid colon: 27 (40%); Descending colon: 11 (16.2%); Splenic flexure: 5 (7.4%); Transverse colon: 9 (13.2%); Ascending colon: 2 (3%)</w:t>
            </w:r>
            <w:r w:rsidRPr="000F3C8B">
              <w:rPr>
                <w:lang w:val="en-AU"/>
              </w:rPr>
              <w:tab/>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68</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D-Weave (uncovered) and D-Weave double-layered combination (covered)</w:t>
            </w:r>
          </w:p>
          <w:p w:rsidR="0099511A" w:rsidRPr="000F3C8B" w:rsidRDefault="0099511A" w:rsidP="00EE44A1">
            <w:pPr>
              <w:pStyle w:val="TableText0"/>
              <w:rPr>
                <w:lang w:val="en-AU"/>
              </w:rPr>
            </w:pPr>
            <w:r w:rsidRPr="000F3C8B">
              <w:rPr>
                <w:lang w:val="en-AU"/>
              </w:rPr>
              <w:t xml:space="preserve"> </w:t>
            </w:r>
          </w:p>
          <w:p w:rsidR="0099511A" w:rsidRPr="000F3C8B" w:rsidRDefault="0099511A" w:rsidP="00EE44A1">
            <w:pPr>
              <w:pStyle w:val="TableText0"/>
              <w:rPr>
                <w:lang w:val="en-AU"/>
              </w:rPr>
            </w:pPr>
            <w:r w:rsidRPr="000F3C8B">
              <w:rPr>
                <w:lang w:val="en-AU"/>
              </w:rPr>
              <w:t>Type of SEMS: Covered and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 or 8</w:t>
            </w:r>
            <w:r>
              <w:rPr>
                <w:lang w:val="en-AU"/>
              </w:rPr>
              <w:t xml:space="preserve"> cm</w:t>
            </w:r>
            <w:r w:rsidRPr="000F3C8B">
              <w:rPr>
                <w:lang w:val="en-AU"/>
              </w:rPr>
              <w:t>; Diameter: 20</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Pethidine (25mg)</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large-bowel obstruction due to documented primary colorectal cancer from the upper rectum to the ascending colon, confirmed by pla</w:t>
            </w:r>
            <w:r>
              <w:rPr>
                <w:lang w:val="en-AU"/>
              </w:rPr>
              <w:t>in abdominal radiography and CT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Any contraindications for colonoscopy (bowel perforation, hemodynamic, or respiratory instability), benign stricture, non-colorectal extrinsic compressive tumour, colorectal obstruction combine</w:t>
            </w:r>
            <w:r>
              <w:rPr>
                <w:lang w:val="en-AU"/>
              </w:rPr>
              <w:t>d with small-bowel obstructions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Mucci-Hennekinne et al (2007)</w:t>
            </w:r>
            <w:r>
              <w:rPr>
                <w:lang w:val="en-AU"/>
              </w:rPr>
              <w:t>, France</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67</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42/25</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73.5 years (range, 47–97) </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Rectosigmoid junction: 28 (41.8%); sigmoid colon: 24 (35.8%); Descending colon: 12 (18%); splenic flexure: 2 (3%); At the anastomotic site, following surgery for recurrent sigmoid colon cancer: 1 (1.5%)</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6</w:t>
            </w:r>
            <w:r>
              <w:rPr>
                <w:lang w:val="en-AU"/>
              </w:rPr>
              <w:t xml:space="preserve"> cm</w:t>
            </w:r>
            <w:r w:rsidRPr="000F3C8B">
              <w:rPr>
                <w:lang w:val="en-AU"/>
              </w:rPr>
              <w:t xml:space="preserve"> (range 2-11)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67</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Hanarostent (MI Tech)</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w:t>
            </w:r>
            <w:r>
              <w:rPr>
                <w:lang w:val="en-AU"/>
              </w:rPr>
              <w:t xml:space="preserve"> </w:t>
            </w:r>
            <w:r w:rsidRPr="000F3C8B">
              <w:rPr>
                <w:lang w:val="en-AU"/>
              </w:rPr>
              <w:t>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Anaesthesia use: Conscious sedation in all patients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Patients with resectable and non-resectable malignant colorectal obstructions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Park et al (2010), 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151</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86/65</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61.4 ±13.0 years </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27 (17.9%); Sigmoid colon: 78 (51.7%); Descending colon: 14 (9.3%); Splenic flexure: 13 (8.6%); Transverse Colon: 7 (4.6%); Hepatic flexure: 3 (2%); Ascending colon: 9 (6%)</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r>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151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WallFlex (Boston Scientific Co.), Comvi (Taewoong Medical Co)</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(Comvi) and Uncovered (Wallflex)</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6,8, 9, 10 and 12</w:t>
            </w:r>
            <w:r>
              <w:rPr>
                <w:lang w:val="en-AU"/>
              </w:rPr>
              <w:t xml:space="preserve"> cm</w:t>
            </w:r>
            <w:r w:rsidRPr="000F3C8B">
              <w:rPr>
                <w:lang w:val="en-AU"/>
              </w:rPr>
              <w:t>; Diameter: 11, 20, 22 or 25</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1</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Acute colorectal malignant obstruction (upper rectum to ascending colon) confirmed with clinical obstructive symptoms</w:t>
            </w:r>
            <w:r>
              <w:rPr>
                <w:lang w:val="en-AU"/>
              </w:rPr>
              <w:t xml:space="preserve"> and a radiological examination;</w:t>
            </w:r>
            <w:r w:rsidRPr="000F3C8B">
              <w:rPr>
                <w:lang w:val="en-AU"/>
              </w:rPr>
              <w:t xml:space="preserve"> </w:t>
            </w:r>
            <w:r>
              <w:rPr>
                <w:lang w:val="en-AU"/>
              </w:rPr>
              <w:t>written informed consent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Exclusion criteria: Patients with suspected bowel perforation, concomitant multiple sites of small-bowel or colonic obstruction because of peritoneal carcinomatosis, other synchronous colonic obstruction, far distal rectal cancer, or causes of obstruction other than malignancy, such as bowel adhesion or </w:t>
            </w:r>
            <w:r>
              <w:rPr>
                <w:lang w:val="en-AU"/>
              </w:rPr>
              <w:t>benign stricture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Park et al (2011)</w:t>
            </w:r>
            <w:r>
              <w:rPr>
                <w:lang w:val="en-AU"/>
              </w:rPr>
              <w:t>, 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103</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54/49</w:t>
            </w:r>
          </w:p>
        </w:tc>
        <w:tc>
          <w:tcPr>
            <w:tcW w:w="1501" w:type="dxa"/>
            <w:tcBorders>
              <w:top w:val="nil"/>
              <w:bottom w:val="nil"/>
            </w:tcBorders>
            <w:shd w:val="clear" w:color="auto" w:fill="auto"/>
          </w:tcPr>
          <w:p w:rsidR="0099511A" w:rsidRPr="000F3C8B" w:rsidRDefault="00C4343A" w:rsidP="00EE44A1">
            <w:pPr>
              <w:pStyle w:val="TableText0"/>
              <w:rPr>
                <w:lang w:val="en-AU"/>
              </w:rPr>
            </w:pPr>
            <w:r>
              <w:rPr>
                <w:lang w:val="en-AU"/>
              </w:rPr>
              <w:t>67.3 ± 13.6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25 (24.3%); Sigmoid colon: 39 (37.9%); Descending colon: 22 (21.4%); Transverse colon: 9 (8.7%); Ascending colon: 8 (7.8%)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103</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Site of metastases:  Metastatic cancer from gastric cancer: 3 (2.9%); Metastatic cancer from pancreatic cancer: 1 (1%); Colon invasion of cervical cancer: 1 (1%)</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Wallstent (Boston Scientific), Niti-S (Taewoon Inc.)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 Covered and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 or 9</w:t>
            </w:r>
            <w:r>
              <w:rPr>
                <w:lang w:val="en-AU"/>
              </w:rPr>
              <w:t xml:space="preserve"> cm</w:t>
            </w:r>
            <w:r w:rsidRPr="000F3C8B">
              <w:rPr>
                <w:lang w:val="en-AU"/>
              </w:rPr>
              <w:t xml:space="preserve"> (Wallstent), 10</w:t>
            </w:r>
            <w:r>
              <w:rPr>
                <w:lang w:val="en-AU"/>
              </w:rPr>
              <w:t xml:space="preserve"> cm</w:t>
            </w:r>
            <w:r w:rsidRPr="000F3C8B">
              <w:rPr>
                <w:lang w:val="en-AU"/>
              </w:rPr>
              <w:t xml:space="preserve"> (Niti-S); Diameter: 18, 20 or 22</w:t>
            </w:r>
            <w:r>
              <w:rPr>
                <w:lang w:val="en-AU"/>
              </w:rPr>
              <w:t xml:space="preserve"> mm</w:t>
            </w:r>
            <w:r w:rsidRPr="000F3C8B">
              <w:rPr>
                <w:lang w:val="en-AU"/>
              </w:rPr>
              <w:t xml:space="preserve"> (Wallstent)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Anaesthesia use: Conscious sedation with IV midazolam with/without propofol</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Patients with malignant colorectal obstruction that unde</w:t>
            </w:r>
            <w:r>
              <w:rPr>
                <w:lang w:val="en-AU"/>
              </w:rPr>
              <w:t>rwent palliative SEMS placement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SEMS as a bridge to surgery</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20/123</w:t>
            </w:r>
            <w:r>
              <w:rPr>
                <w:lang w:val="en-AU"/>
              </w:rPr>
              <w:t>; n</w:t>
            </w:r>
            <w:r w:rsidRPr="000F3C8B">
              <w:rPr>
                <w:lang w:val="en-AU"/>
              </w:rPr>
              <w:t>o</w:t>
            </w:r>
            <w:r>
              <w:rPr>
                <w:lang w:val="en-AU"/>
              </w:rPr>
              <w:t xml:space="preserve"> reasons provided for exclusion</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5D1E42">
            <w:pPr>
              <w:pStyle w:val="TableText0"/>
              <w:rPr>
                <w:lang w:val="en-AU"/>
              </w:rPr>
            </w:pPr>
            <w:r w:rsidRPr="000F3C8B">
              <w:rPr>
                <w:lang w:val="en-AU"/>
              </w:rPr>
              <w:lastRenderedPageBreak/>
              <w:t xml:space="preserve">Selinger et al (2011), </w:t>
            </w:r>
            <w:r>
              <w:rPr>
                <w:lang w:val="en-AU"/>
              </w:rPr>
              <w:t>United Kingdom</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96</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45/51</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72.3 years (range, 36–97)</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w:t>
            </w:r>
            <w:r>
              <w:rPr>
                <w:lang w:val="en-AU"/>
              </w:rPr>
              <w:t xml:space="preserve"> (n=96)</w:t>
            </w:r>
            <w:r w:rsidRPr="000F3C8B">
              <w:rPr>
                <w:lang w:val="en-AU"/>
              </w:rPr>
              <w:t xml:space="preserve">: Rectum: </w:t>
            </w:r>
            <w:r>
              <w:rPr>
                <w:lang w:val="en-AU"/>
              </w:rPr>
              <w:t>17 (</w:t>
            </w:r>
            <w:r w:rsidRPr="000F3C8B">
              <w:rPr>
                <w:lang w:val="en-AU"/>
              </w:rPr>
              <w:t>17.7%</w:t>
            </w:r>
            <w:r>
              <w:rPr>
                <w:lang w:val="en-AU"/>
              </w:rPr>
              <w:t>)</w:t>
            </w:r>
            <w:r w:rsidRPr="000F3C8B">
              <w:rPr>
                <w:lang w:val="en-AU"/>
              </w:rPr>
              <w:t xml:space="preserve">; Sigmoid colon: </w:t>
            </w:r>
            <w:r>
              <w:rPr>
                <w:lang w:val="en-AU"/>
              </w:rPr>
              <w:t>60 (</w:t>
            </w:r>
            <w:r w:rsidRPr="000F3C8B">
              <w:rPr>
                <w:lang w:val="en-AU"/>
              </w:rPr>
              <w:t>62.5%</w:t>
            </w:r>
            <w:r>
              <w:rPr>
                <w:lang w:val="en-AU"/>
              </w:rPr>
              <w:t>)</w:t>
            </w:r>
            <w:r w:rsidRPr="000F3C8B">
              <w:rPr>
                <w:lang w:val="en-AU"/>
              </w:rPr>
              <w:t xml:space="preserve">; Proximal to the sigmoid colon: </w:t>
            </w:r>
            <w:r>
              <w:rPr>
                <w:lang w:val="en-AU"/>
              </w:rPr>
              <w:t>19 (</w:t>
            </w:r>
            <w:r w:rsidRPr="000F3C8B">
              <w:rPr>
                <w:lang w:val="en-AU"/>
              </w:rPr>
              <w:t>19.8%</w:t>
            </w:r>
            <w:r>
              <w:rPr>
                <w:lang w:val="en-AU"/>
              </w:rPr>
              <w:t>)</w:t>
            </w: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 xml:space="preserve">Benign: </w:t>
            </w:r>
            <w:r>
              <w:rPr>
                <w:lang w:val="en-AU"/>
              </w:rPr>
              <w:t>5 (</w:t>
            </w:r>
            <w:r w:rsidRPr="000F3C8B">
              <w:rPr>
                <w:lang w:val="en-AU"/>
              </w:rPr>
              <w:t>5.2%</w:t>
            </w:r>
            <w:r>
              <w:rPr>
                <w:lang w:val="en-AU"/>
              </w:rPr>
              <w:t>)</w:t>
            </w:r>
            <w:r w:rsidRPr="000F3C8B">
              <w:rPr>
                <w:lang w:val="en-AU"/>
              </w:rPr>
              <w:t xml:space="preserve">; Malignant: </w:t>
            </w:r>
            <w:r>
              <w:rPr>
                <w:lang w:val="en-AU"/>
              </w:rPr>
              <w:t>91 (</w:t>
            </w:r>
            <w:r w:rsidRPr="000F3C8B">
              <w:rPr>
                <w:lang w:val="en-AU"/>
              </w:rPr>
              <w:t>94.8%</w:t>
            </w:r>
            <w:r w:rsidR="00C4343A">
              <w:rPr>
                <w:lang w:val="en-AU"/>
              </w:rPr>
              <w: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Hanaro stent, Wallstent, CHOO, Niti-S  and others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 xml:space="preserve">Length: NR; Diameter: NR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5D1E42">
            <w:pPr>
              <w:pStyle w:val="TableText0"/>
              <w:rPr>
                <w:lang w:val="en-AU"/>
              </w:rPr>
            </w:pPr>
            <w:r w:rsidRPr="000F3C8B">
              <w:rPr>
                <w:lang w:val="en-AU"/>
              </w:rPr>
              <w:t xml:space="preserve">Shrivastava et al (2008), </w:t>
            </w:r>
            <w:r>
              <w:rPr>
                <w:lang w:val="en-AU"/>
              </w:rPr>
              <w:t>United Kingdom</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91</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41/50   </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73.7 ± 11 years (median 1 73) </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25 (27.5%); Recto-sigmoid: 26 (28.6%); Sigmoid: 35 (38.5%); Descending: 3(3.3%); Transverse; 2 (2.2%)</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30-50</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91</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Memotherm (Bard</w:t>
            </w:r>
            <w:r w:rsidR="00C4343A">
              <w:rPr>
                <w:lang w:val="en-AU"/>
              </w:rPr>
              <w:t>), WallFlex (Boston Scientific)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 or 8</w:t>
            </w:r>
            <w:r>
              <w:rPr>
                <w:lang w:val="en-AU"/>
              </w:rPr>
              <w:t xml:space="preserve"> cm</w:t>
            </w:r>
            <w:r w:rsidRPr="000F3C8B">
              <w:rPr>
                <w:lang w:val="en-AU"/>
              </w:rPr>
              <w:t>; Diameter: 22, 30</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Not used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Use of balloon dilation: </w:t>
            </w:r>
            <w:r>
              <w:rPr>
                <w:lang w:val="en-AU"/>
              </w:rPr>
              <w:t>2</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 xml:space="preserve">Inclusion criteria: </w:t>
            </w:r>
            <w:r>
              <w:rPr>
                <w:lang w:val="en-AU"/>
              </w:rPr>
              <w:t>P</w:t>
            </w:r>
            <w:r w:rsidRPr="000F3C8B">
              <w:rPr>
                <w:lang w:val="en-AU"/>
              </w:rPr>
              <w:t xml:space="preserve">atients with advanced malignant colorectal lesions who required palliation for intestinal obstruction and in whom the risk of </w:t>
            </w:r>
            <w:r>
              <w:rPr>
                <w:lang w:val="en-AU"/>
              </w:rPr>
              <w:t>mortality from surgery was high</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Patients who already had symptoms/signs of bowel perforation</w:t>
            </w:r>
            <w:r>
              <w:rPr>
                <w:lang w:val="en-AU"/>
              </w:rPr>
              <w:t>;</w:t>
            </w:r>
            <w:r w:rsidRPr="000F3C8B">
              <w:rPr>
                <w:lang w:val="en-AU"/>
              </w:rPr>
              <w:t xml:space="preserve"> </w:t>
            </w:r>
            <w:r>
              <w:rPr>
                <w:lang w:val="en-AU"/>
              </w:rPr>
              <w:t>p</w:t>
            </w:r>
            <w:r w:rsidRPr="000F3C8B">
              <w:rPr>
                <w:lang w:val="en-AU"/>
              </w:rPr>
              <w:t>atients who underw</w:t>
            </w:r>
            <w:r>
              <w:rPr>
                <w:lang w:val="en-AU"/>
              </w:rPr>
              <w:t>ent SEMS as a bridge to surgery</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Small and Baron (2008), USA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85</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50/35</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NR (range 17-94)</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64</w:t>
            </w:r>
            <w:r>
              <w:rPr>
                <w:lang w:val="en-AU"/>
              </w:rPr>
              <w:t xml:space="preserve"> (75.3%)</w:t>
            </w:r>
            <w:r w:rsidRPr="000F3C8B">
              <w:rPr>
                <w:lang w:val="en-AU"/>
              </w:rPr>
              <w:t>; Complete: 21</w:t>
            </w:r>
            <w:r>
              <w:rPr>
                <w:lang w:val="en-AU"/>
              </w:rPr>
              <w:t xml:space="preserve"> (24.7%)</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Rectosigmoid: 62 (73%); Descending colon: 13</w:t>
            </w:r>
            <w:r>
              <w:rPr>
                <w:lang w:val="en-AU"/>
              </w:rPr>
              <w:t>.</w:t>
            </w:r>
            <w:r w:rsidRPr="000F3C8B">
              <w:rPr>
                <w:lang w:val="en-AU"/>
              </w:rPr>
              <w:t xml:space="preserve"> (15.3%); Splenic flexure: 3 (3.5%); Distal transverse colon: 7 (8.2%)</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85</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 (Metastatic disease</w:t>
            </w:r>
            <w:r w:rsidRPr="000F3C8B">
              <w:rPr>
                <w:lang w:val="en-AU"/>
              </w:rPr>
              <w:tab/>
              <w:t>19 (22.4%))</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Wallstent, Ultraflex</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5.7, 6, 8.7, 9, 11.7</w:t>
            </w:r>
            <w:r>
              <w:rPr>
                <w:lang w:val="en-AU"/>
              </w:rPr>
              <w:t xml:space="preserve"> cm</w:t>
            </w:r>
            <w:r w:rsidRPr="000F3C8B">
              <w:rPr>
                <w:lang w:val="en-AU"/>
              </w:rPr>
              <w:t>; Diameter: 20, 22, 25</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In seven patients dilation was performed immediately before stent insertion up to 12 mm</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Palliative intent to treat, inoperable malignant tumour of the left colon, obstructive symptoms, evidence of colon stenosis by radiography, and complete medical record data with (1) follow-up longer than 7 days after insertion, (2) until the stent was removed, or</w:t>
            </w:r>
            <w:r>
              <w:rPr>
                <w:lang w:val="en-AU"/>
              </w:rPr>
              <w:t xml:space="preserve"> </w:t>
            </w:r>
            <w:r w:rsidRPr="00123032">
              <w:rPr>
                <w:lang w:val="en-AU"/>
              </w:rPr>
              <w:t xml:space="preserve">(3) </w:t>
            </w:r>
            <w:r w:rsidRPr="000F3C8B">
              <w:rPr>
                <w:lang w:val="en-AU"/>
              </w:rPr>
              <w:t>death</w:t>
            </w:r>
            <w:r>
              <w:rPr>
                <w:lang w:val="en-AU"/>
              </w:rPr>
              <w:t>;</w:t>
            </w:r>
            <w:r w:rsidRPr="000F3C8B">
              <w:rPr>
                <w:lang w:val="en-AU"/>
              </w:rPr>
              <w:t xml:space="preserve"> </w:t>
            </w:r>
            <w:r>
              <w:rPr>
                <w:lang w:val="en-AU"/>
              </w:rPr>
              <w:t>s</w:t>
            </w:r>
            <w:r w:rsidRPr="000F3C8B">
              <w:rPr>
                <w:lang w:val="en-AU"/>
              </w:rPr>
              <w:t>trictures located in the dist</w:t>
            </w:r>
            <w:r>
              <w:rPr>
                <w:lang w:val="en-AU"/>
              </w:rPr>
              <w:t>al half of the transverse colon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Exclusion criteria: NR </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0E5DEE">
            <w:pPr>
              <w:pStyle w:val="TableText0"/>
              <w:rPr>
                <w:lang w:val="en-AU"/>
              </w:rPr>
            </w:pPr>
            <w:r w:rsidRPr="000F3C8B">
              <w:rPr>
                <w:lang w:val="en-AU"/>
              </w:rPr>
              <w:t xml:space="preserve">Small </w:t>
            </w:r>
            <w:r>
              <w:rPr>
                <w:lang w:val="en-AU"/>
              </w:rPr>
              <w:t>et al</w:t>
            </w:r>
            <w:r w:rsidRPr="000F3C8B">
              <w:rPr>
                <w:lang w:val="en-AU"/>
              </w:rPr>
              <w:t xml:space="preserve"> (2010), USA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233</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136/97</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NR (range 17-94 years)</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173</w:t>
            </w:r>
            <w:r>
              <w:rPr>
                <w:lang w:val="en-AU"/>
              </w:rPr>
              <w:t xml:space="preserve"> (74.2%)</w:t>
            </w:r>
            <w:r w:rsidRPr="000F3C8B">
              <w:rPr>
                <w:lang w:val="en-AU"/>
              </w:rPr>
              <w:t>; Complete: 60</w:t>
            </w:r>
            <w:r>
              <w:rPr>
                <w:lang w:val="en-AU"/>
              </w:rPr>
              <w:t xml:space="preserve"> (25.8%)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Rectosigmoid colon: 143</w:t>
            </w:r>
            <w:r>
              <w:rPr>
                <w:lang w:val="en-AU"/>
              </w:rPr>
              <w:t xml:space="preserve"> (61.4%)</w:t>
            </w:r>
            <w:r w:rsidRPr="000F3C8B">
              <w:rPr>
                <w:lang w:val="en-AU"/>
              </w:rPr>
              <w:t>; Descending colon: 23</w:t>
            </w:r>
            <w:r>
              <w:rPr>
                <w:lang w:val="en-AU"/>
              </w:rPr>
              <w:t xml:space="preserve"> (9.9%)</w:t>
            </w:r>
            <w:r w:rsidRPr="000F3C8B">
              <w:rPr>
                <w:lang w:val="en-AU"/>
              </w:rPr>
              <w:t>; Splenic flexure: 9</w:t>
            </w:r>
            <w:r>
              <w:rPr>
                <w:lang w:val="en-AU"/>
              </w:rPr>
              <w:t xml:space="preserve"> (3.9%)</w:t>
            </w:r>
            <w:r w:rsidRPr="000F3C8B">
              <w:rPr>
                <w:lang w:val="en-AU"/>
              </w:rPr>
              <w:t>; Distal transverse colon: 11</w:t>
            </w:r>
            <w:r>
              <w:rPr>
                <w:lang w:val="en-AU"/>
              </w:rPr>
              <w:t xml:space="preserve"> (4.7%)</w:t>
            </w:r>
            <w:r w:rsidRPr="000F3C8B">
              <w:rPr>
                <w:lang w:val="en-AU"/>
              </w:rPr>
              <w:t>; Proximal transverse colon: 11</w:t>
            </w:r>
            <w:r>
              <w:rPr>
                <w:lang w:val="en-AU"/>
              </w:rPr>
              <w:t xml:space="preserve"> (4.7%)</w:t>
            </w:r>
            <w:r w:rsidRPr="000F3C8B">
              <w:rPr>
                <w:lang w:val="en-AU"/>
              </w:rPr>
              <w:t>; Hepatic flexure: 9</w:t>
            </w:r>
            <w:r>
              <w:rPr>
                <w:lang w:val="en-AU"/>
              </w:rPr>
              <w:t xml:space="preserve"> (3.9%)</w:t>
            </w:r>
            <w:r w:rsidRPr="000F3C8B">
              <w:rPr>
                <w:lang w:val="en-AU"/>
              </w:rPr>
              <w:t>; Ascending colon: 13</w:t>
            </w:r>
            <w:r>
              <w:rPr>
                <w:lang w:val="en-AU"/>
              </w:rPr>
              <w:t xml:space="preserve"> (5.6%)</w:t>
            </w:r>
            <w:r w:rsidRPr="000F3C8B">
              <w:rPr>
                <w:lang w:val="en-AU"/>
              </w:rPr>
              <w:t>; Anastomosis: 12</w:t>
            </w:r>
            <w:r>
              <w:rPr>
                <w:lang w:val="en-AU"/>
              </w:rPr>
              <w:t xml:space="preserve"> (5.2%)</w:t>
            </w:r>
            <w:r w:rsidRPr="000F3C8B">
              <w:rPr>
                <w:lang w:val="en-AU"/>
              </w:rPr>
              <w:t>; Ileocecal valve: 2</w:t>
            </w:r>
            <w:r>
              <w:rPr>
                <w:lang w:val="en-AU"/>
              </w:rPr>
              <w:t xml:space="preserve"> (0.9%)</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NR; Malignant: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Wallstents, Ultraflex precision colonic stents, Wallflex (Boston Scientific)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Use of balloon dilation: </w:t>
            </w:r>
            <w:proofErr w:type="gramStart"/>
            <w:r w:rsidRPr="000F3C8B">
              <w:rPr>
                <w:lang w:val="en-AU"/>
              </w:rPr>
              <w:t>was</w:t>
            </w:r>
            <w:r w:rsidR="00CC6F7A">
              <w:rPr>
                <w:lang w:val="en-AU"/>
              </w:rPr>
              <w:t xml:space="preserve"> </w:t>
            </w:r>
            <w:r w:rsidRPr="000F3C8B">
              <w:rPr>
                <w:lang w:val="en-AU"/>
              </w:rPr>
              <w:t>performed using 8 or 10</w:t>
            </w:r>
            <w:r>
              <w:rPr>
                <w:lang w:val="en-AU"/>
              </w:rPr>
              <w:t xml:space="preserve"> mm</w:t>
            </w:r>
            <w:r w:rsidRPr="000F3C8B">
              <w:rPr>
                <w:lang w:val="en-AU"/>
              </w:rPr>
              <w:t xml:space="preserve"> balloons</w:t>
            </w:r>
            <w:proofErr w:type="gramEnd"/>
            <w:r w:rsidR="00CC6F7A">
              <w:rPr>
                <w:lang w:val="en-AU"/>
              </w:rPr>
              <w:t xml:space="preserve">, </w:t>
            </w:r>
            <w:r w:rsidRPr="000F3C8B">
              <w:rPr>
                <w:lang w:val="en-AU"/>
              </w:rPr>
              <w:t>or 9, 12 or 14-</w:t>
            </w:r>
            <w:r>
              <w:rPr>
                <w:lang w:val="en-AU"/>
              </w:rPr>
              <w:t xml:space="preserve"> mm</w:t>
            </w:r>
            <w:r w:rsidRPr="000F3C8B">
              <w:rPr>
                <w:lang w:val="en-AU"/>
              </w:rPr>
              <w:t xml:space="preserve"> bougie dilators before stent placement when the stricture would not allow passage of the stent introducer system.</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Malignancy, obstructive symptoms, radiographic colon stenosis, attempted SEMS, and follow-up until</w:t>
            </w:r>
            <w:r>
              <w:rPr>
                <w:lang w:val="en-AU"/>
              </w:rPr>
              <w:t xml:space="preserve"> stent removal or patient death</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5D1E42">
            <w:pPr>
              <w:pStyle w:val="TableText0"/>
              <w:rPr>
                <w:lang w:val="en-AU"/>
              </w:rPr>
            </w:pPr>
            <w:r w:rsidRPr="000F3C8B">
              <w:rPr>
                <w:lang w:val="en-AU"/>
              </w:rPr>
              <w:lastRenderedPageBreak/>
              <w:t>Stenhouse et al (200</w:t>
            </w:r>
            <w:r>
              <w:rPr>
                <w:lang w:val="en-AU"/>
              </w:rPr>
              <w:t>9</w:t>
            </w:r>
            <w:r w:rsidRPr="000F3C8B">
              <w:rPr>
                <w:lang w:val="en-AU"/>
              </w:rPr>
              <w:t xml:space="preserve">), </w:t>
            </w:r>
            <w:r>
              <w:rPr>
                <w:lang w:val="en-AU"/>
              </w:rPr>
              <w:t>United Kingdom</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72</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49/23</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71 years (range, 49-98)</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36</w:t>
            </w:r>
            <w:r w:rsidR="00CC6F7A">
              <w:rPr>
                <w:vertAlign w:val="superscript"/>
                <w:lang w:val="en-AU"/>
              </w:rPr>
              <w:t>d</w:t>
            </w:r>
            <w:r>
              <w:rPr>
                <w:vertAlign w:val="superscript"/>
                <w:lang w:val="en-AU"/>
              </w:rPr>
              <w:t xml:space="preserve"> </w:t>
            </w:r>
            <w:r w:rsidRPr="00977272">
              <w:rPr>
                <w:lang w:val="en-AU"/>
              </w:rPr>
              <w:t>(50%)</w:t>
            </w:r>
            <w:r w:rsidRPr="00E90894">
              <w:rPr>
                <w:lang w:val="en-AU"/>
              </w:rPr>
              <w:t xml:space="preserve">; </w:t>
            </w:r>
            <w:r w:rsidRPr="000F3C8B">
              <w:rPr>
                <w:lang w:val="en-AU"/>
              </w:rPr>
              <w:t>Complete</w:t>
            </w:r>
            <w:proofErr w:type="gramStart"/>
            <w:r w:rsidRPr="000F3C8B">
              <w:rPr>
                <w:lang w:val="en-AU"/>
              </w:rPr>
              <w:t>:32</w:t>
            </w:r>
            <w:r w:rsidR="00CC6F7A">
              <w:rPr>
                <w:vertAlign w:val="superscript"/>
                <w:lang w:val="en-AU"/>
              </w:rPr>
              <w:t>e</w:t>
            </w:r>
            <w:proofErr w:type="gramEnd"/>
            <w:r>
              <w:rPr>
                <w:vertAlign w:val="superscript"/>
                <w:lang w:val="en-AU"/>
              </w:rPr>
              <w:t xml:space="preserve"> </w:t>
            </w:r>
            <w:r>
              <w:rPr>
                <w:lang w:val="en-AU"/>
              </w:rPr>
              <w:t>(44.4%); NR: 4 (5.6%)</w:t>
            </w:r>
          </w:p>
          <w:p w:rsidR="0099511A" w:rsidRPr="000F3C8B" w:rsidRDefault="0099511A" w:rsidP="00EE44A1">
            <w:pPr>
              <w:pStyle w:val="TableText0"/>
              <w:rPr>
                <w:lang w:val="en-AU"/>
              </w:rPr>
            </w:pPr>
            <w:r w:rsidRPr="000F3C8B">
              <w:rPr>
                <w:lang w:val="en-AU"/>
              </w:rPr>
              <w:t>Location of obstruction: Sigmoid colon in (48%) of patients</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72</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Enteral Wallstent (Boston Scientific), Memotherm (BARD)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 Uncovered Wallstent, Memotherm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NR; Diameter: 22</w:t>
            </w:r>
            <w:r>
              <w:rPr>
                <w:lang w:val="en-AU"/>
              </w:rPr>
              <w:t xml:space="preserve"> mm</w:t>
            </w:r>
            <w:r w:rsidRPr="000F3C8B">
              <w:rPr>
                <w:lang w:val="en-AU"/>
              </w:rPr>
              <w:t xml:space="preserve"> (Wallstent)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Patients were found to have metastatic colorectal cancer and surgery thought to be inappropriate, or they were deemed unfit for surgery at the time of i</w:t>
            </w:r>
            <w:r>
              <w:rPr>
                <w:lang w:val="en-AU"/>
              </w:rPr>
              <w:t>nitial presentation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361416" w:rsidTr="00CC6F7A">
        <w:tc>
          <w:tcPr>
            <w:tcW w:w="1333" w:type="dxa"/>
            <w:tcBorders>
              <w:top w:val="nil"/>
              <w:bottom w:val="nil"/>
            </w:tcBorders>
            <w:shd w:val="clear" w:color="auto" w:fill="auto"/>
          </w:tcPr>
          <w:p w:rsidR="0099511A" w:rsidRPr="000F3C8B" w:rsidRDefault="0099511A" w:rsidP="005372EC">
            <w:pPr>
              <w:pStyle w:val="TableText0"/>
              <w:rPr>
                <w:lang w:val="en-AU"/>
              </w:rPr>
            </w:pPr>
            <w:r w:rsidRPr="000F3C8B">
              <w:rPr>
                <w:lang w:val="en-AU"/>
              </w:rPr>
              <w:t>Suh et al (20</w:t>
            </w:r>
            <w:r>
              <w:rPr>
                <w:lang w:val="en-AU"/>
              </w:rPr>
              <w:t>10</w:t>
            </w:r>
            <w:r w:rsidRPr="000F3C8B">
              <w:rPr>
                <w:lang w:val="en-AU"/>
              </w:rPr>
              <w:t>), South Korea</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55</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23/32</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65.5 years (34 – 90, SD 16)</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Rectum: 23 (41.8%); Sigmoid colon: 15 (27.3%); Descending colon: 4 (7.3%); Transverse colon: 8 (14.5%); Hepatic flexure: 4 (7.3%); Ascending colon:</w:t>
            </w:r>
            <w:r w:rsidRPr="000F3C8B">
              <w:rPr>
                <w:lang w:val="en-AU"/>
              </w:rPr>
              <w:tab/>
              <w:t>1 (1.8%)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w:t>
            </w:r>
            <w:r>
              <w:rPr>
                <w:lang w:val="en-AU"/>
              </w:rPr>
              <w:t xml:space="preserve"> </w:t>
            </w:r>
            <w:r w:rsidRPr="000F3C8B">
              <w:rPr>
                <w:lang w:val="en-AU"/>
              </w:rPr>
              <w:t>55 (</w:t>
            </w:r>
            <w:r>
              <w:rPr>
                <w:lang w:val="en-AU"/>
              </w:rPr>
              <w:t>10</w:t>
            </w:r>
            <w:r w:rsidRPr="000F3C8B">
              <w:rPr>
                <w:lang w:val="en-AU"/>
              </w:rPr>
              <w:t>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p w:rsidR="0099511A" w:rsidRPr="000F3C8B" w:rsidRDefault="0099511A" w:rsidP="00EE44A1">
            <w:pPr>
              <w:pStyle w:val="TableText0"/>
              <w:rPr>
                <w:lang w:val="en-AU"/>
              </w:rPr>
            </w:pP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Hanarostent® (M.I. Tech Co)</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6-16 cm; Diameter: 22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conscious sedation with midazolam and pethidine</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Use of balloon dilation: not performed </w:t>
            </w: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Extensive metastatic or locally advanced colorectal cancers that were surgically unresectable, or non-colorectal extrinsic tumours with col</w:t>
            </w:r>
            <w:r>
              <w:rPr>
                <w:lang w:val="en-AU"/>
              </w:rPr>
              <w:t>orectal invasion or compression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Exclusion criteria: </w:t>
            </w:r>
            <w:r>
              <w:rPr>
                <w:lang w:val="en-AU"/>
              </w:rPr>
              <w:t>P</w:t>
            </w:r>
            <w:r w:rsidRPr="000F3C8B">
              <w:rPr>
                <w:lang w:val="en-AU"/>
              </w:rPr>
              <w:t>atients with clinical and radiological suspicion of perforation or acute peritonitis and haemody</w:t>
            </w:r>
            <w:r>
              <w:rPr>
                <w:lang w:val="en-AU"/>
              </w:rPr>
              <w:t>namic instability were excluded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r w:rsidR="0099511A" w:rsidRPr="00BB3C05" w:rsidTr="00CC6F7A">
        <w:tc>
          <w:tcPr>
            <w:tcW w:w="133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Vitale et al (2006)</w:t>
            </w:r>
            <w:r>
              <w:rPr>
                <w:lang w:val="en-AU"/>
              </w:rPr>
              <w:t>, Italy</w:t>
            </w:r>
          </w:p>
        </w:tc>
        <w:tc>
          <w:tcPr>
            <w:tcW w:w="924"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57</w:t>
            </w:r>
          </w:p>
        </w:tc>
        <w:tc>
          <w:tcPr>
            <w:tcW w:w="14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33/24</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 xml:space="preserve">69 ± 18 years      </w:t>
            </w:r>
          </w:p>
        </w:tc>
        <w:tc>
          <w:tcPr>
            <w:tcW w:w="285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Location of obstruction: Rectosigmoid junction: 26 (45.6%); Sigmoid colon: 11 (19.3%); Sigmoid-descending colon junction: 5 (8.8%); Descending colon: 5 (8.8%); Splenic flexure: 4 (7%); Transverse colon: 5 (8.8%); Hepatic flexure: 1</w:t>
            </w:r>
            <w:r>
              <w:rPr>
                <w:lang w:val="en-AU"/>
              </w:rPr>
              <w:t xml:space="preserve"> </w:t>
            </w:r>
            <w:r w:rsidRPr="000F3C8B">
              <w:rPr>
                <w:lang w:val="en-AU"/>
              </w:rPr>
              <w:t>(1.8%)</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Malignant: 57</w:t>
            </w:r>
            <w:r>
              <w:rPr>
                <w:lang w:val="en-AU"/>
              </w:rPr>
              <w:t xml:space="preserve"> (100%)</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Wallstent, Ultraflex Precision Colonic Stent</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 to 12</w:t>
            </w:r>
            <w:r>
              <w:rPr>
                <w:lang w:val="en-AU"/>
              </w:rPr>
              <w:t xml:space="preserve"> cm</w:t>
            </w:r>
            <w:r w:rsidRPr="000F3C8B">
              <w:rPr>
                <w:lang w:val="en-AU"/>
              </w:rPr>
              <w:t>; Diameter: 22 to 30</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Conscious sedation (IV midazolam)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NR</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Inclusion criteria: Patients with acute neoplastic bowel obstruction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Exclusion criteria: Suspicion of bowel perforation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19 patients were excluded from the study after SEMS placement due to advanced cancer precluding further surgery</w:t>
            </w:r>
            <w:r>
              <w:rPr>
                <w:lang w:val="en-AU"/>
              </w:rPr>
              <w:t>;</w:t>
            </w:r>
            <w:r w:rsidRPr="000F3C8B">
              <w:rPr>
                <w:lang w:val="en-AU"/>
              </w:rPr>
              <w:t xml:space="preserve"> </w:t>
            </w:r>
            <w:r>
              <w:rPr>
                <w:lang w:val="en-AU"/>
              </w:rPr>
              <w:t>t</w:t>
            </w:r>
            <w:r w:rsidRPr="000F3C8B">
              <w:rPr>
                <w:lang w:val="en-AU"/>
              </w:rPr>
              <w:t>hey did not</w:t>
            </w:r>
            <w:r>
              <w:rPr>
                <w:lang w:val="en-AU"/>
              </w:rPr>
              <w:t xml:space="preserve"> undergo a complete colonoscopy</w:t>
            </w:r>
          </w:p>
          <w:p w:rsidR="0099511A" w:rsidRPr="000F3C8B" w:rsidRDefault="0099511A" w:rsidP="00EE44A1">
            <w:pPr>
              <w:pStyle w:val="TableText0"/>
              <w:rPr>
                <w:lang w:val="en-AU"/>
              </w:rPr>
            </w:pPr>
          </w:p>
        </w:tc>
      </w:tr>
      <w:tr w:rsidR="0099511A" w:rsidRPr="00361416" w:rsidTr="00CC6F7A">
        <w:tc>
          <w:tcPr>
            <w:tcW w:w="1340"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lastRenderedPageBreak/>
              <w:t>Yoon et al (2011)</w:t>
            </w:r>
            <w:r>
              <w:rPr>
                <w:lang w:val="en-AU"/>
              </w:rPr>
              <w:t>, South Korea</w:t>
            </w:r>
          </w:p>
        </w:tc>
        <w:tc>
          <w:tcPr>
            <w:tcW w:w="923"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412</w:t>
            </w:r>
          </w:p>
        </w:tc>
        <w:tc>
          <w:tcPr>
            <w:tcW w:w="1413"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250/162</w:t>
            </w:r>
          </w:p>
        </w:tc>
        <w:tc>
          <w:tcPr>
            <w:tcW w:w="150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60.8 ± 0.7 years (range 22-92)</w:t>
            </w:r>
          </w:p>
        </w:tc>
        <w:tc>
          <w:tcPr>
            <w:tcW w:w="2868" w:type="dxa"/>
            <w:gridSpan w:val="2"/>
            <w:tcBorders>
              <w:top w:val="nil"/>
              <w:bottom w:val="nil"/>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111</w:t>
            </w:r>
            <w:r w:rsidR="00CC6F7A" w:rsidRPr="00CC6F7A">
              <w:rPr>
                <w:vertAlign w:val="superscript"/>
                <w:lang w:val="en-AU"/>
              </w:rPr>
              <w:t>b</w:t>
            </w:r>
            <w:r>
              <w:rPr>
                <w:lang w:val="en-AU"/>
              </w:rPr>
              <w:t xml:space="preserve"> (27%)</w:t>
            </w:r>
            <w:r w:rsidRPr="000F3C8B">
              <w:rPr>
                <w:lang w:val="en-AU"/>
              </w:rPr>
              <w:t>; Complete: 301</w:t>
            </w:r>
            <w:r w:rsidR="00CC6F7A" w:rsidRPr="00CC6F7A">
              <w:rPr>
                <w:vertAlign w:val="superscript"/>
                <w:lang w:val="en-AU"/>
              </w:rPr>
              <w:t>a</w:t>
            </w:r>
            <w:r w:rsidR="00CC6F7A">
              <w:rPr>
                <w:lang w:val="en-AU"/>
              </w:rPr>
              <w:t xml:space="preserve"> </w:t>
            </w:r>
            <w:r>
              <w:rPr>
                <w:lang w:val="en-AU"/>
              </w:rPr>
              <w:t>(73%)</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Location of obstruction: Left colon: 327 (79.4%); Right colon: 85 (20.6%)</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0 (0%); Malignant: 412 (100%) Metastatic colorectal cancer: 114</w:t>
            </w:r>
            <w:r w:rsidR="00D83E3F">
              <w:rPr>
                <w:lang w:val="en-AU"/>
              </w:rPr>
              <w:t xml:space="preserve"> </w:t>
            </w:r>
            <w:r w:rsidRPr="000F3C8B">
              <w:rPr>
                <w:lang w:val="en-AU"/>
              </w:rPr>
              <w:t>(27.7%)</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(n=114): Gastric 82 (19.9%); Gynaecologic: 13 (3.2%); Pancreatobillary:</w:t>
            </w:r>
            <w:r w:rsidR="00C4343A">
              <w:rPr>
                <w:lang w:val="en-AU"/>
              </w:rPr>
              <w:t xml:space="preserve"> </w:t>
            </w:r>
            <w:r w:rsidRPr="000F3C8B">
              <w:rPr>
                <w:lang w:val="en-AU"/>
              </w:rPr>
              <w:t>12 (2.9%); Urogenital: 6 (1.5%); Head and neck: 1 (0.2%)</w:t>
            </w:r>
          </w:p>
        </w:tc>
        <w:tc>
          <w:tcPr>
            <w:tcW w:w="2704"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Wallflex colonic (Boston Scientific), Niti-s colonic, Comvi stent, Niti-s colonic D type (Taewoong Medical)</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Type of SEMS: Covered and uncovered</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6, 8, 9, 10, and 12</w:t>
            </w:r>
            <w:r>
              <w:rPr>
                <w:lang w:val="en-AU"/>
              </w:rPr>
              <w:t xml:space="preserve"> cm</w:t>
            </w:r>
            <w:r w:rsidRPr="000F3C8B">
              <w:rPr>
                <w:lang w:val="en-AU"/>
              </w:rPr>
              <w:t>; Diameter: 18, 20, 22 or 25</w:t>
            </w:r>
            <w:r>
              <w:rPr>
                <w:lang w:val="en-AU"/>
              </w:rPr>
              <w:t xml:space="preserve"> mm</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Performed using 8 or 10</w:t>
            </w:r>
            <w:r>
              <w:rPr>
                <w:lang w:val="en-AU"/>
              </w:rPr>
              <w:t xml:space="preserve"> mm</w:t>
            </w:r>
            <w:r w:rsidRPr="000F3C8B">
              <w:rPr>
                <w:lang w:val="en-AU"/>
              </w:rPr>
              <w:t xml:space="preserve"> balloons w</w:t>
            </w:r>
            <w:r>
              <w:rPr>
                <w:lang w:val="en-AU"/>
              </w:rPr>
              <w:t>h</w:t>
            </w:r>
            <w:r w:rsidRPr="000F3C8B">
              <w:rPr>
                <w:lang w:val="en-AU"/>
              </w:rPr>
              <w:t>ere a stent did not expand (n=16)</w:t>
            </w:r>
          </w:p>
          <w:p w:rsidR="0099511A" w:rsidRPr="000F3C8B" w:rsidRDefault="0099511A" w:rsidP="00EE44A1">
            <w:pPr>
              <w:pStyle w:val="TableText0"/>
              <w:rPr>
                <w:lang w:val="en-AU"/>
              </w:rPr>
            </w:pPr>
          </w:p>
        </w:tc>
        <w:tc>
          <w:tcPr>
            <w:tcW w:w="3251" w:type="dxa"/>
            <w:tcBorders>
              <w:top w:val="nil"/>
              <w:bottom w:val="nil"/>
            </w:tcBorders>
            <w:shd w:val="clear" w:color="auto" w:fill="auto"/>
          </w:tcPr>
          <w:p w:rsidR="0099511A" w:rsidRPr="000F3C8B" w:rsidRDefault="0099511A" w:rsidP="00EE44A1">
            <w:pPr>
              <w:pStyle w:val="TableText0"/>
              <w:rPr>
                <w:lang w:val="en-AU"/>
              </w:rPr>
            </w:pPr>
            <w:r w:rsidRPr="000F3C8B">
              <w:rPr>
                <w:lang w:val="en-AU"/>
              </w:rPr>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Exclusion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Because they did not undergo a SEMS procedure due to open lumina or multifocal strictures (n=109), as they had benign lesions (n=54) and due to previous SEMS placement at a separate hospital (n=5)</w:t>
            </w:r>
          </w:p>
          <w:p w:rsidR="0099511A" w:rsidRPr="000F3C8B" w:rsidRDefault="0099511A" w:rsidP="00EE44A1">
            <w:pPr>
              <w:pStyle w:val="TableText0"/>
              <w:rPr>
                <w:lang w:val="en-AU"/>
              </w:rPr>
            </w:pPr>
          </w:p>
        </w:tc>
      </w:tr>
      <w:tr w:rsidR="0099511A" w:rsidRPr="00361416" w:rsidTr="00CC6F7A">
        <w:tc>
          <w:tcPr>
            <w:tcW w:w="1333" w:type="dxa"/>
            <w:tcBorders>
              <w:top w:val="nil"/>
              <w:bottom w:val="single" w:sz="4" w:space="0" w:color="auto"/>
            </w:tcBorders>
            <w:shd w:val="clear" w:color="auto" w:fill="auto"/>
          </w:tcPr>
          <w:p w:rsidR="0099511A" w:rsidRPr="000F3C8B" w:rsidRDefault="0099511A" w:rsidP="00EE44A1">
            <w:pPr>
              <w:pStyle w:val="TableText0"/>
              <w:rPr>
                <w:lang w:val="en-AU"/>
              </w:rPr>
            </w:pPr>
            <w:r w:rsidRPr="000F3C8B">
              <w:rPr>
                <w:lang w:val="en-AU"/>
              </w:rPr>
              <w:t>Young et al (2011)</w:t>
            </w:r>
            <w:r>
              <w:rPr>
                <w:lang w:val="en-AU"/>
              </w:rPr>
              <w:t>, Australia</w:t>
            </w:r>
          </w:p>
        </w:tc>
        <w:tc>
          <w:tcPr>
            <w:tcW w:w="924" w:type="dxa"/>
            <w:gridSpan w:val="2"/>
            <w:tcBorders>
              <w:top w:val="nil"/>
              <w:bottom w:val="single" w:sz="4" w:space="0" w:color="auto"/>
            </w:tcBorders>
            <w:shd w:val="clear" w:color="auto" w:fill="auto"/>
          </w:tcPr>
          <w:p w:rsidR="0099511A" w:rsidRPr="000F3C8B" w:rsidRDefault="0099511A" w:rsidP="00EE44A1">
            <w:pPr>
              <w:pStyle w:val="TableText0"/>
              <w:rPr>
                <w:lang w:val="en-AU"/>
              </w:rPr>
            </w:pPr>
            <w:r w:rsidRPr="000F3C8B">
              <w:rPr>
                <w:lang w:val="en-AU"/>
              </w:rPr>
              <w:t>100</w:t>
            </w:r>
          </w:p>
        </w:tc>
        <w:tc>
          <w:tcPr>
            <w:tcW w:w="1419" w:type="dxa"/>
            <w:gridSpan w:val="2"/>
            <w:tcBorders>
              <w:top w:val="nil"/>
              <w:bottom w:val="single" w:sz="4" w:space="0" w:color="auto"/>
            </w:tcBorders>
            <w:shd w:val="clear" w:color="auto" w:fill="auto"/>
          </w:tcPr>
          <w:p w:rsidR="0099511A" w:rsidRPr="000F3C8B" w:rsidRDefault="0099511A" w:rsidP="00EE44A1">
            <w:pPr>
              <w:pStyle w:val="TableText0"/>
              <w:rPr>
                <w:lang w:val="en-AU"/>
              </w:rPr>
            </w:pPr>
            <w:r w:rsidRPr="000F3C8B">
              <w:rPr>
                <w:lang w:val="en-AU"/>
              </w:rPr>
              <w:t>52/48</w:t>
            </w:r>
          </w:p>
        </w:tc>
        <w:tc>
          <w:tcPr>
            <w:tcW w:w="1501" w:type="dxa"/>
            <w:tcBorders>
              <w:top w:val="nil"/>
              <w:bottom w:val="single" w:sz="4" w:space="0" w:color="auto"/>
            </w:tcBorders>
            <w:shd w:val="clear" w:color="auto" w:fill="auto"/>
          </w:tcPr>
          <w:p w:rsidR="0099511A" w:rsidRPr="000F3C8B" w:rsidRDefault="0099511A" w:rsidP="00EE44A1">
            <w:pPr>
              <w:pStyle w:val="TableText0"/>
              <w:rPr>
                <w:lang w:val="en-AU"/>
              </w:rPr>
            </w:pPr>
            <w:r w:rsidRPr="000F3C8B">
              <w:rPr>
                <w:lang w:val="en-AU"/>
              </w:rPr>
              <w:t>63.9 years (range 16–95)</w:t>
            </w:r>
          </w:p>
        </w:tc>
        <w:tc>
          <w:tcPr>
            <w:tcW w:w="2853" w:type="dxa"/>
            <w:tcBorders>
              <w:top w:val="nil"/>
              <w:bottom w:val="single" w:sz="4" w:space="0" w:color="auto"/>
            </w:tcBorders>
            <w:shd w:val="clear" w:color="auto" w:fill="auto"/>
          </w:tcPr>
          <w:p w:rsidR="0099511A" w:rsidRPr="000F3C8B" w:rsidRDefault="0099511A" w:rsidP="00EE44A1">
            <w:pPr>
              <w:pStyle w:val="TableText0"/>
              <w:rPr>
                <w:lang w:val="en-AU"/>
              </w:rPr>
            </w:pPr>
            <w:r w:rsidRPr="000F3C8B">
              <w:rPr>
                <w:lang w:val="en-AU"/>
              </w:rPr>
              <w:t>Type of obstruction</w:t>
            </w:r>
          </w:p>
          <w:p w:rsidR="0099511A" w:rsidRPr="000F3C8B" w:rsidRDefault="0099511A" w:rsidP="00EE44A1">
            <w:pPr>
              <w:pStyle w:val="TableText0"/>
              <w:rPr>
                <w:lang w:val="en-AU"/>
              </w:rPr>
            </w:pPr>
            <w:r w:rsidRPr="000F3C8B">
              <w:rPr>
                <w:lang w:val="en-AU"/>
              </w:rPr>
              <w:t>Partial: NR; Complete: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Location of obstruction: Rectum: 32</w:t>
            </w:r>
            <w:r>
              <w:rPr>
                <w:lang w:val="en-AU"/>
              </w:rPr>
              <w:t xml:space="preserve"> (32%)</w:t>
            </w:r>
            <w:r w:rsidRPr="000F3C8B">
              <w:rPr>
                <w:lang w:val="en-AU"/>
              </w:rPr>
              <w:t>; Rectosigmoid: 16</w:t>
            </w:r>
            <w:r>
              <w:rPr>
                <w:lang w:val="en-AU"/>
              </w:rPr>
              <w:t xml:space="preserve"> (16%)</w:t>
            </w:r>
            <w:r w:rsidRPr="000F3C8B">
              <w:rPr>
                <w:lang w:val="en-AU"/>
              </w:rPr>
              <w:t>; Sigmoid colon: 26</w:t>
            </w:r>
            <w:r>
              <w:rPr>
                <w:lang w:val="en-AU"/>
              </w:rPr>
              <w:t xml:space="preserve"> (26%)</w:t>
            </w:r>
            <w:r w:rsidRPr="000F3C8B">
              <w:rPr>
                <w:lang w:val="en-AU"/>
              </w:rPr>
              <w:t>; Descending colon: 13</w:t>
            </w:r>
            <w:r>
              <w:rPr>
                <w:lang w:val="en-AU"/>
              </w:rPr>
              <w:t xml:space="preserve"> (13%)</w:t>
            </w:r>
            <w:r w:rsidRPr="000F3C8B">
              <w:rPr>
                <w:lang w:val="en-AU"/>
              </w:rPr>
              <w:t>; Splenic flexure: 2</w:t>
            </w:r>
            <w:r>
              <w:rPr>
                <w:lang w:val="en-AU"/>
              </w:rPr>
              <w:t xml:space="preserve"> (2%)</w:t>
            </w:r>
            <w:r w:rsidRPr="000F3C8B">
              <w:rPr>
                <w:lang w:val="en-AU"/>
              </w:rPr>
              <w:t>; Transverse colon: 8</w:t>
            </w:r>
            <w:r>
              <w:rPr>
                <w:lang w:val="en-AU"/>
              </w:rPr>
              <w:t xml:space="preserve"> (8%)</w:t>
            </w:r>
            <w:r w:rsidRPr="000F3C8B">
              <w:rPr>
                <w:lang w:val="en-AU"/>
              </w:rPr>
              <w:t>; Hepatic flexure:  2</w:t>
            </w:r>
            <w:r>
              <w:rPr>
                <w:lang w:val="en-AU"/>
              </w:rPr>
              <w:t xml:space="preserve"> (2%)</w:t>
            </w:r>
            <w:r w:rsidRPr="000F3C8B">
              <w:rPr>
                <w:lang w:val="en-AU"/>
              </w:rPr>
              <w:t>; Ascending colon: 1</w:t>
            </w:r>
            <w:r>
              <w:rPr>
                <w:lang w:val="en-AU"/>
              </w:rPr>
              <w:t xml:space="preserve"> (1%)</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Length of stenosis: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Diagnosis </w:t>
            </w:r>
          </w:p>
          <w:p w:rsidR="0099511A" w:rsidRPr="000F3C8B" w:rsidRDefault="0099511A" w:rsidP="00EE44A1">
            <w:pPr>
              <w:pStyle w:val="TableText0"/>
              <w:rPr>
                <w:lang w:val="en-AU"/>
              </w:rPr>
            </w:pPr>
            <w:r w:rsidRPr="000F3C8B">
              <w:rPr>
                <w:lang w:val="en-AU"/>
              </w:rPr>
              <w:t>Benign: 7</w:t>
            </w:r>
            <w:r>
              <w:rPr>
                <w:lang w:val="en-AU"/>
              </w:rPr>
              <w:t xml:space="preserve"> (7%)</w:t>
            </w:r>
            <w:r w:rsidRPr="000F3C8B">
              <w:rPr>
                <w:lang w:val="en-AU"/>
              </w:rPr>
              <w:t>; Malignant: 93</w:t>
            </w:r>
            <w:r>
              <w:rPr>
                <w:lang w:val="en-AU"/>
              </w:rPr>
              <w:t xml:space="preserve"> (93%)</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Site of metastases: NR</w:t>
            </w:r>
          </w:p>
        </w:tc>
        <w:tc>
          <w:tcPr>
            <w:tcW w:w="2719" w:type="dxa"/>
            <w:gridSpan w:val="2"/>
            <w:tcBorders>
              <w:top w:val="nil"/>
              <w:bottom w:val="single" w:sz="4" w:space="0" w:color="auto"/>
            </w:tcBorders>
            <w:shd w:val="clear" w:color="auto" w:fill="auto"/>
          </w:tcPr>
          <w:p w:rsidR="0099511A" w:rsidRPr="000F3C8B" w:rsidRDefault="0099511A" w:rsidP="00EE44A1">
            <w:pPr>
              <w:pStyle w:val="TableText0"/>
              <w:rPr>
                <w:lang w:val="en-AU"/>
              </w:rPr>
            </w:pPr>
            <w:r w:rsidRPr="000F3C8B">
              <w:rPr>
                <w:lang w:val="en-AU"/>
              </w:rPr>
              <w:lastRenderedPageBreak/>
              <w:t>Wallstent (Boston Scientific), Ultraflex (Boston Scientific) and Wallflex (Boston Scientific)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lastRenderedPageBreak/>
              <w:t>Type of SEMS</w:t>
            </w:r>
          </w:p>
          <w:p w:rsidR="0099511A" w:rsidRPr="000F3C8B" w:rsidRDefault="0099511A" w:rsidP="00EE44A1">
            <w:pPr>
              <w:pStyle w:val="TableText0"/>
              <w:rPr>
                <w:lang w:val="en-AU"/>
              </w:rPr>
            </w:pPr>
            <w:r w:rsidRPr="000F3C8B">
              <w:rPr>
                <w:lang w:val="en-AU"/>
              </w:rPr>
              <w:t>Covered: NR; Uncovered: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Size of SEMS</w:t>
            </w:r>
          </w:p>
          <w:p w:rsidR="0099511A" w:rsidRPr="000F3C8B" w:rsidRDefault="0099511A" w:rsidP="00EE44A1">
            <w:pPr>
              <w:pStyle w:val="TableText0"/>
              <w:rPr>
                <w:lang w:val="en-AU"/>
              </w:rPr>
            </w:pPr>
            <w:r w:rsidRPr="000F3C8B">
              <w:rPr>
                <w:lang w:val="en-AU"/>
              </w:rPr>
              <w:t>Length: NR; Diameter: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Guidance: Endoscopic and fluoroscopic</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Anaesthesia use: General anaesthesia</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Use of balloon dilation: used early in the study</w:t>
            </w:r>
          </w:p>
          <w:p w:rsidR="0099511A" w:rsidRPr="000F3C8B" w:rsidRDefault="0099511A" w:rsidP="00EE44A1">
            <w:pPr>
              <w:pStyle w:val="TableText0"/>
              <w:rPr>
                <w:lang w:val="en-AU"/>
              </w:rPr>
            </w:pPr>
          </w:p>
        </w:tc>
        <w:tc>
          <w:tcPr>
            <w:tcW w:w="3251" w:type="dxa"/>
            <w:tcBorders>
              <w:top w:val="nil"/>
              <w:bottom w:val="single" w:sz="4" w:space="0" w:color="auto"/>
            </w:tcBorders>
            <w:shd w:val="clear" w:color="auto" w:fill="auto"/>
          </w:tcPr>
          <w:p w:rsidR="0099511A" w:rsidRPr="000F3C8B" w:rsidRDefault="0099511A" w:rsidP="00EE44A1">
            <w:pPr>
              <w:pStyle w:val="TableText0"/>
              <w:rPr>
                <w:lang w:val="en-AU"/>
              </w:rPr>
            </w:pPr>
            <w:r w:rsidRPr="000F3C8B">
              <w:rPr>
                <w:lang w:val="en-AU"/>
              </w:rPr>
              <w:lastRenderedPageBreak/>
              <w:t>Inclusion criteria: NR</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 xml:space="preserve">Exclusion criteria: Patients with curable malignant large bowel obstruction and </w:t>
            </w:r>
            <w:r>
              <w:rPr>
                <w:lang w:val="en-AU"/>
              </w:rPr>
              <w:t xml:space="preserve">who </w:t>
            </w:r>
            <w:r w:rsidRPr="000F3C8B">
              <w:rPr>
                <w:lang w:val="en-AU"/>
              </w:rPr>
              <w:lastRenderedPageBreak/>
              <w:t>were healthy enough</w:t>
            </w:r>
            <w:r>
              <w:rPr>
                <w:lang w:val="en-AU"/>
              </w:rPr>
              <w:t xml:space="preserve"> to have an immediate operation</w:t>
            </w:r>
          </w:p>
          <w:p w:rsidR="0099511A" w:rsidRPr="000F3C8B" w:rsidRDefault="0099511A" w:rsidP="00EE44A1">
            <w:pPr>
              <w:pStyle w:val="TableText0"/>
              <w:rPr>
                <w:lang w:val="en-AU"/>
              </w:rPr>
            </w:pPr>
          </w:p>
          <w:p w:rsidR="0099511A" w:rsidRPr="000F3C8B" w:rsidRDefault="0099511A" w:rsidP="00EE44A1">
            <w:pPr>
              <w:pStyle w:val="TableText0"/>
              <w:rPr>
                <w:lang w:val="en-AU"/>
              </w:rPr>
            </w:pPr>
            <w:r w:rsidRPr="000F3C8B">
              <w:rPr>
                <w:lang w:val="en-AU"/>
              </w:rPr>
              <w:t>Patients excluded: NR</w:t>
            </w:r>
          </w:p>
          <w:p w:rsidR="0099511A" w:rsidRPr="000F3C8B" w:rsidRDefault="0099511A" w:rsidP="00EE44A1">
            <w:pPr>
              <w:pStyle w:val="TableText0"/>
              <w:rPr>
                <w:lang w:val="en-AU"/>
              </w:rPr>
            </w:pPr>
          </w:p>
        </w:tc>
      </w:tr>
    </w:tbl>
    <w:p w:rsidR="00CC6F7A" w:rsidRDefault="00CC6F7A" w:rsidP="00CC6F7A">
      <w:pPr>
        <w:ind w:left="0"/>
        <w:contextualSpacing/>
        <w:rPr>
          <w:rFonts w:ascii="Arial Narrow" w:hAnsi="Arial Narrow"/>
          <w:sz w:val="16"/>
          <w:szCs w:val="16"/>
        </w:rPr>
      </w:pPr>
      <w:proofErr w:type="gramStart"/>
      <w:r>
        <w:rPr>
          <w:rFonts w:ascii="Arial Narrow" w:hAnsi="Arial Narrow"/>
          <w:sz w:val="16"/>
          <w:szCs w:val="16"/>
        </w:rPr>
        <w:lastRenderedPageBreak/>
        <w:t xml:space="preserve">a  </w:t>
      </w:r>
      <w:r w:rsidRPr="00CC6F7A">
        <w:rPr>
          <w:rFonts w:ascii="Arial Narrow" w:hAnsi="Arial Narrow"/>
          <w:sz w:val="16"/>
          <w:szCs w:val="16"/>
        </w:rPr>
        <w:t>Symptoms</w:t>
      </w:r>
      <w:proofErr w:type="gramEnd"/>
      <w:r w:rsidRPr="00CC6F7A">
        <w:rPr>
          <w:rFonts w:ascii="Arial Narrow" w:hAnsi="Arial Narrow"/>
          <w:sz w:val="16"/>
          <w:szCs w:val="16"/>
        </w:rPr>
        <w:t xml:space="preserve"> such as nausea, vomiting, abdominal distension, decreased or absent bowel sounds, or the inability to pass any stool or gas per anus presented</w:t>
      </w:r>
    </w:p>
    <w:p w:rsidR="00CC6F7A" w:rsidRDefault="00CC6F7A" w:rsidP="00CC6F7A">
      <w:pPr>
        <w:ind w:left="0"/>
        <w:contextualSpacing/>
        <w:rPr>
          <w:rFonts w:ascii="Arial Narrow" w:hAnsi="Arial Narrow"/>
          <w:sz w:val="16"/>
          <w:szCs w:val="16"/>
        </w:rPr>
      </w:pPr>
      <w:proofErr w:type="gramStart"/>
      <w:r>
        <w:rPr>
          <w:rFonts w:ascii="Arial Narrow" w:hAnsi="Arial Narrow"/>
          <w:sz w:val="16"/>
          <w:szCs w:val="16"/>
        </w:rPr>
        <w:t xml:space="preserve">b  </w:t>
      </w:r>
      <w:r w:rsidRPr="00CC6F7A">
        <w:rPr>
          <w:rFonts w:ascii="Arial Narrow" w:hAnsi="Arial Narrow"/>
          <w:sz w:val="16"/>
          <w:szCs w:val="16"/>
        </w:rPr>
        <w:t>Symptoms</w:t>
      </w:r>
      <w:proofErr w:type="gramEnd"/>
      <w:r w:rsidRPr="00CC6F7A">
        <w:rPr>
          <w:rFonts w:ascii="Arial Narrow" w:hAnsi="Arial Narrow"/>
          <w:sz w:val="16"/>
          <w:szCs w:val="16"/>
        </w:rPr>
        <w:t xml:space="preserve"> such as bowel distension, difficulty in passing solid stool or presence of narrowed stool caliber, or the ability to only pass small amounts o</w:t>
      </w:r>
      <w:r>
        <w:rPr>
          <w:rFonts w:ascii="Arial Narrow" w:hAnsi="Arial Narrow"/>
          <w:sz w:val="16"/>
          <w:szCs w:val="16"/>
        </w:rPr>
        <w:t>f liquid stool or gas presented</w:t>
      </w:r>
    </w:p>
    <w:p w:rsidR="00CC6F7A" w:rsidRDefault="00CC6F7A" w:rsidP="00CC6F7A">
      <w:pPr>
        <w:ind w:left="0"/>
        <w:contextualSpacing/>
        <w:rPr>
          <w:rFonts w:ascii="Arial Narrow" w:hAnsi="Arial Narrow"/>
          <w:sz w:val="16"/>
          <w:szCs w:val="16"/>
        </w:rPr>
      </w:pPr>
      <w:proofErr w:type="gramStart"/>
      <w:r>
        <w:rPr>
          <w:rFonts w:ascii="Arial Narrow" w:hAnsi="Arial Narrow"/>
          <w:sz w:val="16"/>
          <w:szCs w:val="16"/>
        </w:rPr>
        <w:t>c</w:t>
      </w:r>
      <w:r w:rsidRPr="00CC6F7A">
        <w:rPr>
          <w:rFonts w:ascii="Arial Narrow" w:hAnsi="Arial Narrow"/>
          <w:sz w:val="16"/>
          <w:szCs w:val="16"/>
        </w:rPr>
        <w:t xml:space="preserve"> </w:t>
      </w:r>
      <w:r>
        <w:rPr>
          <w:rFonts w:ascii="Arial Narrow" w:hAnsi="Arial Narrow"/>
          <w:sz w:val="16"/>
          <w:szCs w:val="16"/>
        </w:rPr>
        <w:t xml:space="preserve"> </w:t>
      </w:r>
      <w:r w:rsidRPr="00CC6F7A">
        <w:rPr>
          <w:rFonts w:ascii="Arial Narrow" w:hAnsi="Arial Narrow"/>
          <w:sz w:val="16"/>
          <w:szCs w:val="16"/>
        </w:rPr>
        <w:t>No</w:t>
      </w:r>
      <w:proofErr w:type="gramEnd"/>
      <w:r w:rsidRPr="00CC6F7A">
        <w:rPr>
          <w:rFonts w:ascii="Arial Narrow" w:hAnsi="Arial Narrow"/>
          <w:sz w:val="16"/>
          <w:szCs w:val="16"/>
        </w:rPr>
        <w:t xml:space="preserve"> passage of contrast medium during contrast medium studies before or during stent placement</w:t>
      </w:r>
    </w:p>
    <w:p w:rsidR="00CC6F7A" w:rsidRDefault="00CC6F7A" w:rsidP="00CC6F7A">
      <w:pPr>
        <w:ind w:left="0"/>
        <w:contextualSpacing/>
        <w:rPr>
          <w:rFonts w:ascii="Arial Narrow" w:hAnsi="Arial Narrow"/>
          <w:sz w:val="16"/>
          <w:szCs w:val="16"/>
        </w:rPr>
      </w:pPr>
      <w:proofErr w:type="gramStart"/>
      <w:r>
        <w:rPr>
          <w:rFonts w:ascii="Arial Narrow" w:hAnsi="Arial Narrow"/>
          <w:sz w:val="16"/>
          <w:szCs w:val="16"/>
        </w:rPr>
        <w:t>d</w:t>
      </w:r>
      <w:r w:rsidRPr="00CC6F7A">
        <w:rPr>
          <w:rFonts w:ascii="Arial Narrow" w:hAnsi="Arial Narrow"/>
          <w:sz w:val="16"/>
          <w:szCs w:val="16"/>
        </w:rPr>
        <w:t xml:space="preserve"> </w:t>
      </w:r>
      <w:r>
        <w:rPr>
          <w:rFonts w:ascii="Arial Narrow" w:hAnsi="Arial Narrow"/>
          <w:sz w:val="16"/>
          <w:szCs w:val="16"/>
        </w:rPr>
        <w:t xml:space="preserve"> </w:t>
      </w:r>
      <w:r w:rsidRPr="00CC6F7A">
        <w:rPr>
          <w:rFonts w:ascii="Arial Narrow" w:hAnsi="Arial Narrow"/>
          <w:sz w:val="16"/>
          <w:szCs w:val="16"/>
        </w:rPr>
        <w:t>Partially</w:t>
      </w:r>
      <w:proofErr w:type="gramEnd"/>
      <w:r w:rsidRPr="00CC6F7A">
        <w:rPr>
          <w:rFonts w:ascii="Arial Narrow" w:hAnsi="Arial Narrow"/>
          <w:sz w:val="16"/>
          <w:szCs w:val="16"/>
        </w:rPr>
        <w:t xml:space="preserve"> obstructing lesion with retrograde flow of gastrograffin</w:t>
      </w:r>
    </w:p>
    <w:p w:rsidR="00CC6F7A" w:rsidRDefault="00CC6F7A" w:rsidP="00CC6F7A">
      <w:pPr>
        <w:ind w:left="0"/>
        <w:contextualSpacing/>
        <w:rPr>
          <w:rFonts w:ascii="Arial Narrow" w:hAnsi="Arial Narrow"/>
          <w:sz w:val="16"/>
          <w:szCs w:val="16"/>
        </w:rPr>
      </w:pPr>
      <w:proofErr w:type="gramStart"/>
      <w:r>
        <w:rPr>
          <w:rFonts w:ascii="Arial Narrow" w:hAnsi="Arial Narrow"/>
          <w:sz w:val="16"/>
          <w:szCs w:val="16"/>
        </w:rPr>
        <w:t>e</w:t>
      </w:r>
      <w:r w:rsidRPr="00CC6F7A">
        <w:rPr>
          <w:rFonts w:ascii="Arial Narrow" w:hAnsi="Arial Narrow"/>
          <w:sz w:val="16"/>
          <w:szCs w:val="16"/>
        </w:rPr>
        <w:t xml:space="preserve"> </w:t>
      </w:r>
      <w:r>
        <w:rPr>
          <w:rFonts w:ascii="Arial Narrow" w:hAnsi="Arial Narrow"/>
          <w:sz w:val="16"/>
          <w:szCs w:val="16"/>
        </w:rPr>
        <w:t xml:space="preserve"> </w:t>
      </w:r>
      <w:r w:rsidRPr="00CC6F7A">
        <w:rPr>
          <w:rFonts w:ascii="Arial Narrow" w:hAnsi="Arial Narrow"/>
          <w:sz w:val="16"/>
          <w:szCs w:val="16"/>
        </w:rPr>
        <w:t>No</w:t>
      </w:r>
      <w:proofErr w:type="gramEnd"/>
      <w:r w:rsidRPr="00CC6F7A">
        <w:rPr>
          <w:rFonts w:ascii="Arial Narrow" w:hAnsi="Arial Narrow"/>
          <w:sz w:val="16"/>
          <w:szCs w:val="16"/>
        </w:rPr>
        <w:t xml:space="preserve"> retrograde flow of gastrograffin or bowel dilatation proximal to a transition zone followed by distal bowel collapse on CT</w:t>
      </w:r>
    </w:p>
    <w:p w:rsidR="00CC6F7A" w:rsidRDefault="00CC6F7A" w:rsidP="00CC6F7A">
      <w:pPr>
        <w:ind w:left="0"/>
        <w:contextualSpacing/>
        <w:rPr>
          <w:rFonts w:ascii="Arial Narrow" w:hAnsi="Arial Narrow"/>
          <w:sz w:val="16"/>
          <w:szCs w:val="16"/>
        </w:rPr>
      </w:pPr>
      <w:r w:rsidRPr="00CC6F7A">
        <w:rPr>
          <w:rFonts w:ascii="Arial Narrow" w:hAnsi="Arial Narrow"/>
          <w:sz w:val="16"/>
          <w:szCs w:val="16"/>
        </w:rPr>
        <w:t>N: Based on all patients for whom safety data are reported, regardless of the number of patients enrolled in a study, or their technical/clinical success. In some cases, the number of stenting attempts or procedures performed has been considered as the denominator instead of the number of patients; NR: Not reported; SD: Standard deviation;</w:t>
      </w:r>
      <w:r>
        <w:rPr>
          <w:rFonts w:ascii="Arial Narrow" w:hAnsi="Arial Narrow"/>
          <w:sz w:val="16"/>
          <w:szCs w:val="16"/>
        </w:rPr>
        <w:t xml:space="preserve"> </w:t>
      </w:r>
      <w:r w:rsidRPr="00CC6F7A">
        <w:rPr>
          <w:rFonts w:ascii="Arial Narrow" w:hAnsi="Arial Narrow"/>
          <w:sz w:val="16"/>
          <w:szCs w:val="16"/>
        </w:rPr>
        <w:t>SEMS:</w:t>
      </w:r>
      <w:r>
        <w:rPr>
          <w:rFonts w:ascii="Arial Narrow" w:hAnsi="Arial Narrow"/>
          <w:sz w:val="16"/>
          <w:szCs w:val="16"/>
        </w:rPr>
        <w:t xml:space="preserve"> Self-expanding metallic stent.</w:t>
      </w:r>
    </w:p>
    <w:p w:rsidR="00CC6F7A" w:rsidRPr="00CC6F7A" w:rsidRDefault="00CC6F7A" w:rsidP="00CC6F7A"/>
    <w:p w:rsidR="00347EC2" w:rsidRPr="0007443E" w:rsidRDefault="00347EC2" w:rsidP="0007443E">
      <w:pPr>
        <w:pStyle w:val="Heading1"/>
        <w:ind w:left="0" w:firstLine="0"/>
        <w:rPr>
          <w:lang w:val="en-AU"/>
        </w:rPr>
        <w:sectPr w:rsidR="00347EC2" w:rsidRPr="0007443E" w:rsidSect="00A90770">
          <w:footerReference w:type="even" r:id="rId51"/>
          <w:footerReference w:type="default" r:id="rId52"/>
          <w:pgSz w:w="16838" w:h="11906" w:orient="landscape"/>
          <w:pgMar w:top="1440" w:right="1440" w:bottom="1440" w:left="1440" w:header="720" w:footer="720" w:gutter="0"/>
          <w:paperSrc w:first="7" w:other="7"/>
          <w:cols w:space="720"/>
          <w:docGrid w:linePitch="326"/>
        </w:sectPr>
      </w:pPr>
      <w:bookmarkStart w:id="367" w:name="_Ref192056948"/>
      <w:bookmarkStart w:id="368" w:name="_Ref169423889"/>
      <w:bookmarkEnd w:id="352"/>
      <w:bookmarkEnd w:id="366"/>
    </w:p>
    <w:p w:rsidR="00A40011" w:rsidRPr="00BB3C05" w:rsidRDefault="00DA4FC8" w:rsidP="006B590A">
      <w:pPr>
        <w:pStyle w:val="Heading1"/>
      </w:pPr>
      <w:bookmarkStart w:id="369" w:name="_Appendix_J_Excluded"/>
      <w:bookmarkStart w:id="370" w:name="_Toc214339203"/>
      <w:bookmarkStart w:id="371" w:name="_Ref325977603"/>
      <w:bookmarkStart w:id="372" w:name="_Toc352924457"/>
      <w:bookmarkEnd w:id="369"/>
      <w:r w:rsidRPr="00BB3C05">
        <w:rPr>
          <w:bCs/>
        </w:rPr>
        <w:lastRenderedPageBreak/>
        <w:t xml:space="preserve">Appendix </w:t>
      </w:r>
      <w:r w:rsidR="00F76B65">
        <w:rPr>
          <w:bCs/>
          <w:lang w:val="en-AU"/>
        </w:rPr>
        <w:t>I</w:t>
      </w:r>
      <w:r w:rsidR="00A40011" w:rsidRPr="00BB3C05">
        <w:tab/>
        <w:t>Excluded studies</w:t>
      </w:r>
      <w:bookmarkEnd w:id="367"/>
      <w:bookmarkEnd w:id="370"/>
      <w:bookmarkEnd w:id="371"/>
      <w:bookmarkEnd w:id="372"/>
    </w:p>
    <w:p w:rsidR="00BF39A2" w:rsidRPr="00BB3C05" w:rsidRDefault="007444DA" w:rsidP="00530E94">
      <w:pPr>
        <w:pStyle w:val="Heading2a"/>
      </w:pPr>
      <w:r w:rsidRPr="00BB3C05">
        <w:t xml:space="preserve">Health Technology Assessments and </w:t>
      </w:r>
      <w:r w:rsidR="00BF39A2" w:rsidRPr="00BB3C05">
        <w:t>Systematic review</w:t>
      </w:r>
      <w:r w:rsidRPr="00BB3C05">
        <w:t>s</w:t>
      </w:r>
    </w:p>
    <w:p w:rsidR="00CC35B5" w:rsidRPr="00BB3C05" w:rsidRDefault="00CC35B5" w:rsidP="00A75144">
      <w:pPr>
        <w:pStyle w:val="Heading2"/>
      </w:pPr>
      <w:r w:rsidRPr="00BB3C05">
        <w:t xml:space="preserve">Inappropriate population and/or </w:t>
      </w:r>
      <w:r w:rsidR="00DE589A" w:rsidRPr="00BB3C05">
        <w:t>comparator</w:t>
      </w:r>
    </w:p>
    <w:p w:rsidR="00CC35B5" w:rsidRPr="00BB3C05" w:rsidRDefault="00CC35B5" w:rsidP="00F5168F">
      <w:proofErr w:type="gramStart"/>
      <w:r w:rsidRPr="00BB3C05">
        <w:t>Breitenstein, S., Rickenbacher, A.</w:t>
      </w:r>
      <w:r w:rsidR="005B46CA" w:rsidRPr="00BB3C05">
        <w:t xml:space="preserve"> </w:t>
      </w:r>
      <w:r w:rsidR="005B46CA">
        <w:t>et al</w:t>
      </w:r>
      <w:r w:rsidRPr="00BB3C05">
        <w:t xml:space="preserve"> </w:t>
      </w:r>
      <w:r w:rsidR="00993CAF">
        <w:t>2007.</w:t>
      </w:r>
      <w:proofErr w:type="gramEnd"/>
      <w:r w:rsidRPr="00BB3C05">
        <w:t xml:space="preserve"> </w:t>
      </w:r>
      <w:proofErr w:type="gramStart"/>
      <w:r w:rsidR="00993CAF">
        <w:t>‘</w:t>
      </w:r>
      <w:r w:rsidRPr="00BB3C05">
        <w:t>Systematic evaluation of surgical strategies for acute malignant left-sided colonic obstruction</w:t>
      </w:r>
      <w:r w:rsidR="00993CAF">
        <w:t>’</w:t>
      </w:r>
      <w:r w:rsidRPr="00BB3C05">
        <w:t xml:space="preserve">, </w:t>
      </w:r>
      <w:r w:rsidR="00E56A97" w:rsidRPr="0007443E">
        <w:rPr>
          <w:i/>
        </w:rPr>
        <w:t xml:space="preserve">The </w:t>
      </w:r>
      <w:r w:rsidRPr="00BB3C05">
        <w:rPr>
          <w:i/>
        </w:rPr>
        <w:t>Br</w:t>
      </w:r>
      <w:r w:rsidR="00E56A97">
        <w:rPr>
          <w:i/>
        </w:rPr>
        <w:t>itish</w:t>
      </w:r>
      <w:r w:rsidRPr="00BB3C05">
        <w:rPr>
          <w:i/>
        </w:rPr>
        <w:t xml:space="preserve"> J</w:t>
      </w:r>
      <w:r w:rsidR="00E56A97">
        <w:rPr>
          <w:i/>
        </w:rPr>
        <w:t>ournal of</w:t>
      </w:r>
      <w:r w:rsidRPr="00BB3C05">
        <w:rPr>
          <w:i/>
        </w:rPr>
        <w:t xml:space="preserve"> Surg</w:t>
      </w:r>
      <w:r w:rsidR="00E56A97">
        <w:rPr>
          <w:i/>
        </w:rPr>
        <w:t>ery</w:t>
      </w:r>
      <w:r w:rsidRPr="00BB3C05">
        <w:t>, 94</w:t>
      </w:r>
      <w:r w:rsidR="005267B7">
        <w:t xml:space="preserve"> (</w:t>
      </w:r>
      <w:r w:rsidRPr="00BB3C05">
        <w:t>12</w:t>
      </w:r>
      <w:r w:rsidR="005267B7">
        <w:t>)</w:t>
      </w:r>
      <w:r w:rsidR="008A406B">
        <w:t>,</w:t>
      </w:r>
      <w:r w:rsidRPr="00BB3C05">
        <w:t xml:space="preserve"> 1451-1460.</w:t>
      </w:r>
      <w:proofErr w:type="gramEnd"/>
    </w:p>
    <w:p w:rsidR="00A75144" w:rsidRDefault="00CC35B5" w:rsidP="00F5168F">
      <w:r w:rsidRPr="00BB3C05">
        <w:t>Tilney, H. S., Lovegrove, R. E.</w:t>
      </w:r>
      <w:r w:rsidR="005B46CA" w:rsidRPr="00BB3C05">
        <w:t xml:space="preserve"> </w:t>
      </w:r>
      <w:r w:rsidR="005B46CA">
        <w:t>et al</w:t>
      </w:r>
      <w:r w:rsidRPr="00BB3C05">
        <w:t xml:space="preserve"> </w:t>
      </w:r>
      <w:r w:rsidR="00993CAF">
        <w:t>2007.</w:t>
      </w:r>
      <w:r w:rsidRPr="00BB3C05">
        <w:t xml:space="preserve"> </w:t>
      </w:r>
      <w:proofErr w:type="gramStart"/>
      <w:r w:rsidR="00993CAF">
        <w:t>‘</w:t>
      </w:r>
      <w:r w:rsidRPr="00BB3C05">
        <w:t>Comparison of colonic stenting and open surgery for malignant large bowel obstruction</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21</w:t>
      </w:r>
      <w:r w:rsidR="005267B7">
        <w:t xml:space="preserve"> (</w:t>
      </w:r>
      <w:r w:rsidRPr="00BB3C05">
        <w:t>2</w:t>
      </w:r>
      <w:r w:rsidR="005267B7">
        <w:t>)</w:t>
      </w:r>
      <w:r w:rsidR="008A406B">
        <w:t>,</w:t>
      </w:r>
      <w:r w:rsidRPr="00BB3C05">
        <w:t xml:space="preserve"> 225-233.</w:t>
      </w:r>
      <w:proofErr w:type="gramEnd"/>
    </w:p>
    <w:p w:rsidR="00CC35B5" w:rsidRPr="00BB3C05" w:rsidRDefault="00CC35B5" w:rsidP="00F5168F">
      <w:r w:rsidRPr="00BB3C05">
        <w:t>Watt, A. M., Faragher, I. G.</w:t>
      </w:r>
      <w:r w:rsidR="005B46CA" w:rsidRPr="00BB3C05">
        <w:t xml:space="preserve"> </w:t>
      </w:r>
      <w:r w:rsidR="005B46CA">
        <w:t>et al</w:t>
      </w:r>
      <w:r w:rsidRPr="00BB3C05">
        <w:t xml:space="preserve"> </w:t>
      </w:r>
      <w:r w:rsidR="00993CAF">
        <w:t>2007.</w:t>
      </w:r>
      <w:r w:rsidRPr="00BB3C05">
        <w:t xml:space="preserve"> </w:t>
      </w:r>
      <w:proofErr w:type="gramStart"/>
      <w:r w:rsidR="00993CAF">
        <w:t>‘</w:t>
      </w:r>
      <w:r w:rsidRPr="00BB3C05">
        <w:t>Self-expanding metallic stents for relieving malignant colorectal obstruction: a systematic review</w:t>
      </w:r>
      <w:r w:rsidR="00993CAF">
        <w:t>’</w:t>
      </w:r>
      <w:r w:rsidRPr="00BB3C05">
        <w:t xml:space="preserve">, </w:t>
      </w:r>
      <w:r w:rsidRPr="00BB3C05">
        <w:rPr>
          <w:i/>
        </w:rPr>
        <w:t>Ann</w:t>
      </w:r>
      <w:r w:rsidR="00E56A97">
        <w:rPr>
          <w:i/>
        </w:rPr>
        <w:t>als of</w:t>
      </w:r>
      <w:r w:rsidRPr="00BB3C05">
        <w:rPr>
          <w:i/>
        </w:rPr>
        <w:t xml:space="preserve"> Surg</w:t>
      </w:r>
      <w:r w:rsidR="00E56A97">
        <w:rPr>
          <w:i/>
        </w:rPr>
        <w:t>ery</w:t>
      </w:r>
      <w:r w:rsidRPr="00BB3C05">
        <w:t>, 246</w:t>
      </w:r>
      <w:r w:rsidR="005267B7">
        <w:t xml:space="preserve"> (</w:t>
      </w:r>
      <w:r w:rsidRPr="00BB3C05">
        <w:t>1</w:t>
      </w:r>
      <w:r w:rsidR="005267B7">
        <w:t>)</w:t>
      </w:r>
      <w:r w:rsidR="008A406B">
        <w:t>,</w:t>
      </w:r>
      <w:r w:rsidRPr="00BB3C05">
        <w:t xml:space="preserve"> 24-30.</w:t>
      </w:r>
      <w:proofErr w:type="gramEnd"/>
      <w:r w:rsidRPr="00BB3C05">
        <w:t xml:space="preserve"> </w:t>
      </w:r>
    </w:p>
    <w:p w:rsidR="00CC35B5" w:rsidRPr="00BB3C05" w:rsidRDefault="00CC35B5" w:rsidP="00F5168F">
      <w:r w:rsidRPr="00BB3C05">
        <w:t>Zhang, Y., Shi, J.</w:t>
      </w:r>
      <w:r w:rsidR="005B46CA" w:rsidRPr="00BB3C05">
        <w:t xml:space="preserve"> </w:t>
      </w:r>
      <w:r w:rsidR="005B46CA">
        <w:t>et al</w:t>
      </w:r>
      <w:r w:rsidRPr="00BB3C05">
        <w:t xml:space="preserve"> </w:t>
      </w:r>
      <w:r w:rsidR="00993CAF">
        <w:t>2011.</w:t>
      </w:r>
      <w:r w:rsidRPr="00BB3C05">
        <w:t xml:space="preserve"> </w:t>
      </w:r>
      <w:proofErr w:type="gramStart"/>
      <w:r w:rsidR="00993CAF">
        <w:t>‘</w:t>
      </w:r>
      <w:r w:rsidRPr="00BB3C05">
        <w:t>Self-expanding metallic stent as a bridge to surgery versus emergency surgery for obstructive colorectal cancer: a meta-analysis</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008A406B">
        <w:t>, 26 (1), 110-119.</w:t>
      </w:r>
      <w:proofErr w:type="gramEnd"/>
    </w:p>
    <w:p w:rsidR="009C594D" w:rsidRPr="00BB3C05" w:rsidRDefault="004717DA" w:rsidP="00530E94">
      <w:pPr>
        <w:pStyle w:val="Heading3"/>
      </w:pPr>
      <w:r w:rsidRPr="00BB3C05">
        <w:t>Did not meet criteria for s</w:t>
      </w:r>
      <w:r w:rsidR="009C594D" w:rsidRPr="00BB3C05">
        <w:t>ystematic reviews</w:t>
      </w:r>
    </w:p>
    <w:p w:rsidR="009C594D" w:rsidRPr="00BB3C05" w:rsidRDefault="009C594D" w:rsidP="009C594D">
      <w:r w:rsidRPr="00BB3C05">
        <w:t>Ansaloni, L., Andersson, R. E.</w:t>
      </w:r>
      <w:r w:rsidR="005B46CA" w:rsidRPr="00BB3C05">
        <w:t xml:space="preserve"> </w:t>
      </w:r>
      <w:r w:rsidR="005B46CA">
        <w:t>et al</w:t>
      </w:r>
      <w:r w:rsidRPr="00BB3C05">
        <w:t xml:space="preserve"> </w:t>
      </w:r>
      <w:r w:rsidR="00993CAF">
        <w:t>2010.</w:t>
      </w:r>
      <w:r w:rsidRPr="00BB3C05">
        <w:t xml:space="preserve"> </w:t>
      </w:r>
      <w:proofErr w:type="gramStart"/>
      <w:r w:rsidR="00993CAF">
        <w:t>‘</w:t>
      </w:r>
      <w:r w:rsidRPr="00BB3C05">
        <w:t>Guidelenines in the management of obstructing cancer of the left colon: consensus conference of the world society of emergency surgery (WSES) and peritoneum and surgery (PnS) society</w:t>
      </w:r>
      <w:r w:rsidR="00993CAF">
        <w:t>’</w:t>
      </w:r>
      <w:r w:rsidRPr="00BB3C05">
        <w:t xml:space="preserve">, </w:t>
      </w:r>
      <w:r w:rsidRPr="00BB3C05">
        <w:rPr>
          <w:i/>
          <w:iCs/>
        </w:rPr>
        <w:t>World J</w:t>
      </w:r>
      <w:r w:rsidR="00976DB7">
        <w:rPr>
          <w:i/>
          <w:iCs/>
        </w:rPr>
        <w:t>ournal of</w:t>
      </w:r>
      <w:r w:rsidRPr="00BB3C05">
        <w:rPr>
          <w:i/>
          <w:iCs/>
        </w:rPr>
        <w:t xml:space="preserve"> Emerg</w:t>
      </w:r>
      <w:r w:rsidR="00976DB7">
        <w:rPr>
          <w:i/>
          <w:iCs/>
        </w:rPr>
        <w:t>ency</w:t>
      </w:r>
      <w:r w:rsidRPr="00BB3C05">
        <w:rPr>
          <w:i/>
          <w:iCs/>
        </w:rPr>
        <w:t xml:space="preserve"> Surg</w:t>
      </w:r>
      <w:r w:rsidR="00976DB7">
        <w:rPr>
          <w:i/>
          <w:iCs/>
        </w:rPr>
        <w:t>ery</w:t>
      </w:r>
      <w:r w:rsidRPr="00BB3C05">
        <w:t>, 5, 29.</w:t>
      </w:r>
      <w:proofErr w:type="gramEnd"/>
    </w:p>
    <w:p w:rsidR="009C594D" w:rsidRPr="00BB3C05" w:rsidRDefault="009C594D" w:rsidP="009C594D">
      <w:proofErr w:type="gramStart"/>
      <w:r w:rsidRPr="00BB3C05">
        <w:t xml:space="preserve">Baron, T. H. </w:t>
      </w:r>
      <w:r w:rsidR="00993CAF">
        <w:t>2001.</w:t>
      </w:r>
      <w:proofErr w:type="gramEnd"/>
      <w:r w:rsidRPr="00BB3C05">
        <w:t xml:space="preserve"> </w:t>
      </w:r>
      <w:proofErr w:type="gramStart"/>
      <w:r w:rsidR="00993CAF">
        <w:t>‘</w:t>
      </w:r>
      <w:r w:rsidRPr="00BB3C05">
        <w:t>Expandable metal stents for the treatment of cancerous obstruction of the gastrointestinal tract</w:t>
      </w:r>
      <w:r w:rsidR="00993CAF">
        <w:t>’</w:t>
      </w:r>
      <w:r w:rsidRPr="00BB3C05">
        <w:t xml:space="preserve">, </w:t>
      </w:r>
      <w:r w:rsidR="00976DB7" w:rsidRPr="0007443E">
        <w:rPr>
          <w:i/>
        </w:rPr>
        <w:t xml:space="preserve">The </w:t>
      </w:r>
      <w:r w:rsidRPr="00BB3C05">
        <w:rPr>
          <w:i/>
          <w:iCs/>
        </w:rPr>
        <w:t>N</w:t>
      </w:r>
      <w:r w:rsidR="00976DB7">
        <w:rPr>
          <w:i/>
          <w:iCs/>
        </w:rPr>
        <w:t>ew</w:t>
      </w:r>
      <w:r w:rsidRPr="00BB3C05">
        <w:rPr>
          <w:i/>
          <w:iCs/>
        </w:rPr>
        <w:t xml:space="preserve"> Engl</w:t>
      </w:r>
      <w:r w:rsidR="00976DB7">
        <w:rPr>
          <w:i/>
          <w:iCs/>
        </w:rPr>
        <w:t>and</w:t>
      </w:r>
      <w:r w:rsidRPr="00BB3C05">
        <w:rPr>
          <w:i/>
          <w:iCs/>
        </w:rPr>
        <w:t xml:space="preserve"> J</w:t>
      </w:r>
      <w:r w:rsidR="00976DB7">
        <w:rPr>
          <w:i/>
          <w:iCs/>
        </w:rPr>
        <w:t>ournal of</w:t>
      </w:r>
      <w:r w:rsidRPr="00BB3C05">
        <w:rPr>
          <w:i/>
          <w:iCs/>
        </w:rPr>
        <w:t xml:space="preserve"> Med</w:t>
      </w:r>
      <w:r w:rsidR="00976DB7">
        <w:rPr>
          <w:i/>
          <w:iCs/>
        </w:rPr>
        <w:t>icine</w:t>
      </w:r>
      <w:r w:rsidRPr="00BB3C05">
        <w:t>, 344</w:t>
      </w:r>
      <w:r w:rsidR="005267B7">
        <w:t xml:space="preserve"> (</w:t>
      </w:r>
      <w:r w:rsidRPr="00BB3C05">
        <w:t>22</w:t>
      </w:r>
      <w:r w:rsidR="005267B7">
        <w:t>)</w:t>
      </w:r>
      <w:r w:rsidR="008A406B">
        <w:t>,</w:t>
      </w:r>
      <w:r w:rsidRPr="00BB3C05">
        <w:t xml:space="preserve"> 1681-1687.</w:t>
      </w:r>
      <w:proofErr w:type="gramEnd"/>
    </w:p>
    <w:p w:rsidR="009C594D" w:rsidRPr="00BB3C05" w:rsidRDefault="009C594D" w:rsidP="009C594D">
      <w:proofErr w:type="gramStart"/>
      <w:r w:rsidRPr="00BB3C05">
        <w:t xml:space="preserve">Baron, T. H. </w:t>
      </w:r>
      <w:r w:rsidR="005B46CA">
        <w:t>and</w:t>
      </w:r>
      <w:r w:rsidR="005B46CA" w:rsidRPr="00BB3C05">
        <w:t xml:space="preserve"> </w:t>
      </w:r>
      <w:r w:rsidRPr="00BB3C05">
        <w:t xml:space="preserve">Harewood, G. C. </w:t>
      </w:r>
      <w:r w:rsidR="00993CAF">
        <w:t>2003.</w:t>
      </w:r>
      <w:proofErr w:type="gramEnd"/>
      <w:r w:rsidRPr="00BB3C05">
        <w:t xml:space="preserve"> </w:t>
      </w:r>
      <w:proofErr w:type="gramStart"/>
      <w:r w:rsidR="00993CAF">
        <w:t>‘</w:t>
      </w:r>
      <w:r w:rsidRPr="00BB3C05">
        <w:t>Enteral self-expandable stents</w:t>
      </w:r>
      <w:r w:rsidR="00993CAF">
        <w:t>’</w:t>
      </w:r>
      <w:r w:rsidRPr="00BB3C05">
        <w:t xml:space="preserve">, </w:t>
      </w:r>
      <w:r w:rsidRPr="00BB3C05">
        <w:rPr>
          <w:i/>
          <w:iCs/>
        </w:rPr>
        <w:t>Gastrointest</w:t>
      </w:r>
      <w:r w:rsidR="00976DB7">
        <w:rPr>
          <w:i/>
          <w:iCs/>
        </w:rPr>
        <w:t>inal</w:t>
      </w:r>
      <w:r w:rsidRPr="00BB3C05">
        <w:rPr>
          <w:i/>
          <w:iCs/>
        </w:rPr>
        <w:t xml:space="preserve"> Endosc</w:t>
      </w:r>
      <w:r w:rsidR="00976DB7">
        <w:rPr>
          <w:i/>
          <w:iCs/>
        </w:rPr>
        <w:t>opy</w:t>
      </w:r>
      <w:r w:rsidRPr="00BB3C05">
        <w:t>, 58</w:t>
      </w:r>
      <w:r w:rsidR="005267B7">
        <w:t xml:space="preserve"> (</w:t>
      </w:r>
      <w:r w:rsidRPr="00BB3C05">
        <w:t>3</w:t>
      </w:r>
      <w:r w:rsidR="005267B7">
        <w:t>)</w:t>
      </w:r>
      <w:r w:rsidR="008A406B">
        <w:t>,</w:t>
      </w:r>
      <w:r w:rsidRPr="00BB3C05">
        <w:t xml:space="preserve"> 421-433.</w:t>
      </w:r>
      <w:proofErr w:type="gramEnd"/>
    </w:p>
    <w:p w:rsidR="009C594D" w:rsidRPr="00BB3C05" w:rsidRDefault="009C594D" w:rsidP="009C594D">
      <w:r w:rsidRPr="00BB3C05">
        <w:t xml:space="preserve">Datye, A. </w:t>
      </w:r>
      <w:r w:rsidR="005B46CA">
        <w:t>and</w:t>
      </w:r>
      <w:r w:rsidR="005B46CA" w:rsidRPr="00BB3C05">
        <w:t xml:space="preserve"> </w:t>
      </w:r>
      <w:r w:rsidRPr="00BB3C05">
        <w:t xml:space="preserve">Hersh, J. </w:t>
      </w:r>
      <w:r w:rsidR="00993CAF">
        <w:t>2011.</w:t>
      </w:r>
      <w:r w:rsidRPr="00BB3C05">
        <w:t xml:space="preserve"> </w:t>
      </w:r>
      <w:r w:rsidR="00993CAF">
        <w:t>‘</w:t>
      </w:r>
      <w:r w:rsidRPr="00BB3C05">
        <w:t>Colonic perforation after stent placement for malignant colorectal obstruction--causes and contributing factors</w:t>
      </w:r>
      <w:r w:rsidR="00993CAF">
        <w:t>’</w:t>
      </w:r>
      <w:r w:rsidRPr="00BB3C05">
        <w:t xml:space="preserve">, </w:t>
      </w:r>
      <w:r w:rsidRPr="00BB3C05">
        <w:rPr>
          <w:i/>
          <w:iCs/>
        </w:rPr>
        <w:t>Minim</w:t>
      </w:r>
      <w:r w:rsidR="00976DB7">
        <w:rPr>
          <w:i/>
          <w:iCs/>
        </w:rPr>
        <w:t>ally</w:t>
      </w:r>
      <w:r w:rsidRPr="00BB3C05">
        <w:rPr>
          <w:i/>
          <w:iCs/>
        </w:rPr>
        <w:t xml:space="preserve"> Invasive Ther</w:t>
      </w:r>
      <w:r w:rsidR="00976DB7">
        <w:rPr>
          <w:i/>
          <w:iCs/>
        </w:rPr>
        <w:t>apy and</w:t>
      </w:r>
      <w:r w:rsidRPr="00BB3C05">
        <w:rPr>
          <w:i/>
          <w:iCs/>
        </w:rPr>
        <w:t xml:space="preserve"> Allied Technol</w:t>
      </w:r>
      <w:r w:rsidR="00976DB7">
        <w:rPr>
          <w:i/>
          <w:iCs/>
        </w:rPr>
        <w:t>ogies</w:t>
      </w:r>
      <w:r w:rsidRPr="00BB3C05">
        <w:t>, 20</w:t>
      </w:r>
      <w:r w:rsidR="005267B7">
        <w:t xml:space="preserve"> (</w:t>
      </w:r>
      <w:r w:rsidRPr="00BB3C05">
        <w:t>3</w:t>
      </w:r>
      <w:r w:rsidR="005267B7">
        <w:t>)</w:t>
      </w:r>
      <w:r w:rsidR="008A406B">
        <w:t>,</w:t>
      </w:r>
      <w:r w:rsidRPr="00BB3C05">
        <w:t xml:space="preserve"> 133-140</w:t>
      </w:r>
    </w:p>
    <w:p w:rsidR="009C594D" w:rsidRPr="00BB3C05" w:rsidRDefault="009C594D" w:rsidP="009C594D">
      <w:r w:rsidRPr="00BB3C05">
        <w:t xml:space="preserve">De Salvo, G. L. </w:t>
      </w:r>
      <w:r w:rsidR="005B46CA">
        <w:t>and</w:t>
      </w:r>
      <w:r w:rsidR="005B46CA" w:rsidRPr="00BB3C05">
        <w:t xml:space="preserve"> </w:t>
      </w:r>
      <w:r w:rsidRPr="00BB3C05">
        <w:t xml:space="preserve">Pucciarelli, S. </w:t>
      </w:r>
      <w:r w:rsidR="00993CAF">
        <w:t>2005.</w:t>
      </w:r>
      <w:r w:rsidRPr="00BB3C05">
        <w:t xml:space="preserve"> </w:t>
      </w:r>
      <w:proofErr w:type="gramStart"/>
      <w:r w:rsidR="00993CAF">
        <w:t>‘</w:t>
      </w:r>
      <w:r w:rsidRPr="00BB3C05">
        <w:t>Insufficient evidence to compare clinical effectiveness and safety of self-expanding metal stents with other treatments for malignant colorectal obstruction</w:t>
      </w:r>
      <w:r w:rsidR="00993CAF">
        <w:t>’</w:t>
      </w:r>
      <w:r w:rsidRPr="00BB3C05">
        <w:t xml:space="preserve">, </w:t>
      </w:r>
      <w:r w:rsidRPr="00BB3C05">
        <w:rPr>
          <w:i/>
          <w:iCs/>
        </w:rPr>
        <w:t>Cancer Treat</w:t>
      </w:r>
      <w:r w:rsidR="00976DB7">
        <w:rPr>
          <w:i/>
          <w:iCs/>
        </w:rPr>
        <w:t>ment</w:t>
      </w:r>
      <w:r w:rsidRPr="00BB3C05">
        <w:rPr>
          <w:i/>
          <w:iCs/>
        </w:rPr>
        <w:t xml:space="preserve"> Rev</w:t>
      </w:r>
      <w:r w:rsidR="00976DB7">
        <w:rPr>
          <w:i/>
          <w:iCs/>
        </w:rPr>
        <w:t>iews</w:t>
      </w:r>
      <w:r w:rsidRPr="00BB3C05">
        <w:t>, 31</w:t>
      </w:r>
      <w:r w:rsidR="005267B7">
        <w:t xml:space="preserve"> (</w:t>
      </w:r>
      <w:r w:rsidRPr="00BB3C05">
        <w:t>3</w:t>
      </w:r>
      <w:r w:rsidR="005267B7">
        <w:t>)</w:t>
      </w:r>
      <w:r w:rsidR="008A406B">
        <w:t>,</w:t>
      </w:r>
      <w:r w:rsidRPr="00BB3C05">
        <w:t xml:space="preserve"> 226-229.</w:t>
      </w:r>
      <w:proofErr w:type="gramEnd"/>
    </w:p>
    <w:p w:rsidR="009C594D" w:rsidRPr="00BB3C05" w:rsidRDefault="009C594D" w:rsidP="009C594D">
      <w:r w:rsidRPr="00BB3C05">
        <w:t>Dionigi, G., Villa, F.</w:t>
      </w:r>
      <w:r w:rsidR="005B46CA" w:rsidRPr="00BB3C05">
        <w:t xml:space="preserve"> </w:t>
      </w:r>
      <w:r w:rsidR="005B46CA">
        <w:t>et al</w:t>
      </w:r>
      <w:r w:rsidRPr="00BB3C05">
        <w:t xml:space="preserve"> </w:t>
      </w:r>
      <w:r w:rsidR="00993CAF">
        <w:t>2007.</w:t>
      </w:r>
      <w:r w:rsidRPr="00BB3C05">
        <w:t xml:space="preserve"> </w:t>
      </w:r>
      <w:proofErr w:type="gramStart"/>
      <w:r w:rsidR="00993CAF">
        <w:t>‘</w:t>
      </w:r>
      <w:r w:rsidRPr="00BB3C05">
        <w:t>Colonic stenting for malignant disease: review of literature</w:t>
      </w:r>
      <w:r w:rsidR="00993CAF">
        <w:t>’</w:t>
      </w:r>
      <w:r w:rsidRPr="00BB3C05">
        <w:t xml:space="preserve">, </w:t>
      </w:r>
      <w:r w:rsidRPr="00BB3C05">
        <w:rPr>
          <w:i/>
          <w:iCs/>
        </w:rPr>
        <w:t>Surg</w:t>
      </w:r>
      <w:r w:rsidR="00976DB7">
        <w:rPr>
          <w:i/>
          <w:iCs/>
        </w:rPr>
        <w:t>ical</w:t>
      </w:r>
      <w:r w:rsidRPr="00BB3C05">
        <w:rPr>
          <w:i/>
          <w:iCs/>
        </w:rPr>
        <w:t xml:space="preserve"> Oncol</w:t>
      </w:r>
      <w:r w:rsidR="00976DB7">
        <w:rPr>
          <w:i/>
          <w:iCs/>
        </w:rPr>
        <w:t>ogy</w:t>
      </w:r>
      <w:r w:rsidRPr="00BB3C05">
        <w:t xml:space="preserve">, 16 </w:t>
      </w:r>
      <w:r w:rsidR="000C594B">
        <w:t>(</w:t>
      </w:r>
      <w:r w:rsidRPr="00BB3C05">
        <w:t>Suppl</w:t>
      </w:r>
      <w:r w:rsidR="000C594B">
        <w:t>.</w:t>
      </w:r>
      <w:r w:rsidRPr="00BB3C05">
        <w:t xml:space="preserve"> 1</w:t>
      </w:r>
      <w:r w:rsidR="000C594B">
        <w:t>)</w:t>
      </w:r>
      <w:r w:rsidRPr="00BB3C05">
        <w:t>, S153-S155.</w:t>
      </w:r>
      <w:proofErr w:type="gramEnd"/>
    </w:p>
    <w:p w:rsidR="008547BF" w:rsidRPr="00BB3C05" w:rsidRDefault="008547BF" w:rsidP="008547BF">
      <w:r w:rsidRPr="00BB3C05">
        <w:t>Finan, P. J., Campbell, S.</w:t>
      </w:r>
      <w:r w:rsidR="005B46CA" w:rsidRPr="00BB3C05">
        <w:t xml:space="preserve"> </w:t>
      </w:r>
      <w:r w:rsidR="005B46CA">
        <w:t>et al</w:t>
      </w:r>
      <w:r w:rsidRPr="00BB3C05">
        <w:t xml:space="preserve"> </w:t>
      </w:r>
      <w:r w:rsidR="00993CAF">
        <w:t>2007.</w:t>
      </w:r>
      <w:r w:rsidRPr="00BB3C05">
        <w:t xml:space="preserve"> </w:t>
      </w:r>
      <w:proofErr w:type="gramStart"/>
      <w:r w:rsidR="00993CAF">
        <w:t>‘</w:t>
      </w:r>
      <w:r w:rsidRPr="00BB3C05">
        <w:t>The management of malignant large bowel obstruction: ACPGBI position statement</w:t>
      </w:r>
      <w:r w:rsidR="00993CAF">
        <w:t>’</w:t>
      </w:r>
      <w:r w:rsidRPr="00BB3C05">
        <w:t xml:space="preserve">, </w:t>
      </w:r>
      <w:r w:rsidRPr="00BB3C05">
        <w:rPr>
          <w:i/>
          <w:iCs/>
        </w:rPr>
        <w:t>Colorectal Dis</w:t>
      </w:r>
      <w:r w:rsidR="00976DB7">
        <w:rPr>
          <w:i/>
          <w:iCs/>
        </w:rPr>
        <w:t>ease</w:t>
      </w:r>
      <w:r w:rsidRPr="00BB3C05">
        <w:t xml:space="preserve">, 9 </w:t>
      </w:r>
      <w:r w:rsidR="008A406B">
        <w:t>(</w:t>
      </w:r>
      <w:r w:rsidRPr="00BB3C05">
        <w:t>Suppl</w:t>
      </w:r>
      <w:r w:rsidR="000C594B">
        <w:t>.</w:t>
      </w:r>
      <w:r w:rsidRPr="00BB3C05">
        <w:t xml:space="preserve"> 4</w:t>
      </w:r>
      <w:r w:rsidR="008A406B">
        <w:t>)</w:t>
      </w:r>
      <w:r w:rsidR="009C3E87">
        <w:t>,</w:t>
      </w:r>
      <w:r w:rsidRPr="00BB3C05">
        <w:t xml:space="preserve"> 1-17.</w:t>
      </w:r>
      <w:proofErr w:type="gramEnd"/>
    </w:p>
    <w:p w:rsidR="009C594D" w:rsidRPr="00BB3C05" w:rsidRDefault="009C594D" w:rsidP="009C594D">
      <w:r w:rsidRPr="00BB3C05">
        <w:t>Harris, G. J., Senagore, A. J.</w:t>
      </w:r>
      <w:r w:rsidR="005B46CA" w:rsidRPr="00BB3C05">
        <w:t xml:space="preserve"> </w:t>
      </w:r>
      <w:r w:rsidR="005B46CA">
        <w:t>et al</w:t>
      </w:r>
      <w:r w:rsidRPr="00BB3C05">
        <w:t xml:space="preserve"> </w:t>
      </w:r>
      <w:r w:rsidR="00993CAF">
        <w:t>2001.</w:t>
      </w:r>
      <w:r w:rsidRPr="00BB3C05">
        <w:t xml:space="preserve"> </w:t>
      </w:r>
      <w:proofErr w:type="gramStart"/>
      <w:r w:rsidR="00993CAF">
        <w:t>‘</w:t>
      </w:r>
      <w:r w:rsidRPr="00BB3C05">
        <w:t>The management of neoplastic colorectal obstruction with colonic endolumenal stenting devices</w:t>
      </w:r>
      <w:r w:rsidR="00993CAF">
        <w:t>’</w:t>
      </w:r>
      <w:r w:rsidRPr="00BB3C05">
        <w:t xml:space="preserve">, </w:t>
      </w:r>
      <w:r w:rsidR="00976DB7" w:rsidRPr="0007443E">
        <w:rPr>
          <w:i/>
        </w:rPr>
        <w:t>The</w:t>
      </w:r>
      <w:r w:rsidR="00976DB7">
        <w:t xml:space="preserve"> </w:t>
      </w:r>
      <w:r w:rsidRPr="00BB3C05">
        <w:rPr>
          <w:i/>
          <w:iCs/>
        </w:rPr>
        <w:t>Am</w:t>
      </w:r>
      <w:r w:rsidR="00976DB7">
        <w:rPr>
          <w:i/>
          <w:iCs/>
        </w:rPr>
        <w:t>erican</w:t>
      </w:r>
      <w:r w:rsidRPr="00BB3C05">
        <w:rPr>
          <w:i/>
          <w:iCs/>
        </w:rPr>
        <w:t xml:space="preserve"> J</w:t>
      </w:r>
      <w:r w:rsidR="00976DB7">
        <w:rPr>
          <w:i/>
          <w:iCs/>
        </w:rPr>
        <w:t>ournal of</w:t>
      </w:r>
      <w:r w:rsidRPr="00BB3C05">
        <w:rPr>
          <w:i/>
          <w:iCs/>
        </w:rPr>
        <w:t xml:space="preserve"> Surg</w:t>
      </w:r>
      <w:r w:rsidR="00976DB7">
        <w:rPr>
          <w:i/>
          <w:iCs/>
        </w:rPr>
        <w:t>ery</w:t>
      </w:r>
      <w:r w:rsidRPr="00BB3C05">
        <w:t>, 181</w:t>
      </w:r>
      <w:r w:rsidR="005267B7">
        <w:t xml:space="preserve"> (</w:t>
      </w:r>
      <w:r w:rsidRPr="00BB3C05">
        <w:t>6</w:t>
      </w:r>
      <w:r w:rsidR="005267B7">
        <w:t>)</w:t>
      </w:r>
      <w:r w:rsidR="008A406B">
        <w:t>,</w:t>
      </w:r>
      <w:r w:rsidRPr="00BB3C05">
        <w:t xml:space="preserve"> 499-506.</w:t>
      </w:r>
      <w:proofErr w:type="gramEnd"/>
    </w:p>
    <w:p w:rsidR="009C594D" w:rsidRPr="00BB3C05" w:rsidRDefault="009C594D" w:rsidP="009C594D">
      <w:proofErr w:type="gramStart"/>
      <w:r w:rsidRPr="00BB3C05">
        <w:lastRenderedPageBreak/>
        <w:t>Khot, U. P., Lang, A. W.</w:t>
      </w:r>
      <w:r w:rsidR="005B46CA" w:rsidRPr="00BB3C05">
        <w:t xml:space="preserve"> </w:t>
      </w:r>
      <w:r w:rsidR="005B46CA">
        <w:t>et al</w:t>
      </w:r>
      <w:r w:rsidRPr="00BB3C05">
        <w:t xml:space="preserve"> </w:t>
      </w:r>
      <w:r w:rsidR="00993CAF">
        <w:t>2002.</w:t>
      </w:r>
      <w:proofErr w:type="gramEnd"/>
      <w:r w:rsidRPr="00BB3C05">
        <w:t xml:space="preserve"> </w:t>
      </w:r>
      <w:proofErr w:type="gramStart"/>
      <w:r w:rsidR="00993CAF">
        <w:t>‘</w:t>
      </w:r>
      <w:r w:rsidRPr="00BB3C05">
        <w:t>Systematic review of the efficacy and safety of colorectal stents</w:t>
      </w:r>
      <w:r w:rsidR="00993CAF">
        <w:t>’</w:t>
      </w:r>
      <w:r w:rsidRPr="00BB3C05">
        <w:t xml:space="preserve">, </w:t>
      </w:r>
      <w:r w:rsidR="00976DB7" w:rsidRPr="0007443E">
        <w:rPr>
          <w:i/>
        </w:rPr>
        <w:t xml:space="preserve">The </w:t>
      </w:r>
      <w:r w:rsidRPr="00976DB7">
        <w:rPr>
          <w:i/>
          <w:iCs/>
        </w:rPr>
        <w:t>B</w:t>
      </w:r>
      <w:r w:rsidRPr="00BB3C05">
        <w:rPr>
          <w:i/>
          <w:iCs/>
        </w:rPr>
        <w:t>r</w:t>
      </w:r>
      <w:r w:rsidR="00976DB7">
        <w:rPr>
          <w:i/>
          <w:iCs/>
        </w:rPr>
        <w:t>itish</w:t>
      </w:r>
      <w:r w:rsidRPr="00BB3C05">
        <w:rPr>
          <w:i/>
          <w:iCs/>
        </w:rPr>
        <w:t xml:space="preserve"> J</w:t>
      </w:r>
      <w:r w:rsidR="00976DB7">
        <w:rPr>
          <w:i/>
          <w:iCs/>
        </w:rPr>
        <w:t>ournal of</w:t>
      </w:r>
      <w:r w:rsidRPr="00BB3C05">
        <w:rPr>
          <w:i/>
          <w:iCs/>
        </w:rPr>
        <w:t xml:space="preserve"> Surg</w:t>
      </w:r>
      <w:r w:rsidR="00976DB7">
        <w:rPr>
          <w:i/>
          <w:iCs/>
        </w:rPr>
        <w:t>ery</w:t>
      </w:r>
      <w:r w:rsidRPr="00BB3C05">
        <w:t>, 89</w:t>
      </w:r>
      <w:r w:rsidR="005267B7">
        <w:t xml:space="preserve"> (</w:t>
      </w:r>
      <w:r w:rsidRPr="00BB3C05">
        <w:t>9</w:t>
      </w:r>
      <w:r w:rsidR="005267B7">
        <w:t>)</w:t>
      </w:r>
      <w:r w:rsidR="008A406B">
        <w:t>,</w:t>
      </w:r>
      <w:r w:rsidRPr="00BB3C05">
        <w:t xml:space="preserve"> 1096-1102.</w:t>
      </w:r>
      <w:proofErr w:type="gramEnd"/>
    </w:p>
    <w:p w:rsidR="009C594D" w:rsidRPr="00BB3C05" w:rsidRDefault="009C594D" w:rsidP="009C594D">
      <w:r w:rsidRPr="00BB3C05">
        <w:t xml:space="preserve">McGregor, M. </w:t>
      </w:r>
      <w:r w:rsidR="00993CAF">
        <w:t>2003.</w:t>
      </w:r>
      <w:r w:rsidRPr="00BB3C05">
        <w:t xml:space="preserve"> </w:t>
      </w:r>
      <w:r w:rsidR="00993CAF">
        <w:t>‘</w:t>
      </w:r>
      <w:r w:rsidRPr="00BB3C05">
        <w:t>Should the MUHC approve the use of colorectal stents?</w:t>
      </w:r>
      <w:proofErr w:type="gramStart"/>
      <w:r w:rsidR="00993CAF">
        <w:t>’</w:t>
      </w:r>
      <w:r w:rsidRPr="00BB3C05">
        <w:t>,</w:t>
      </w:r>
      <w:proofErr w:type="gramEnd"/>
      <w:r w:rsidRPr="00BB3C05">
        <w:t xml:space="preserve"> Technology Assessment Unit of the McGill University Health Centre (MUHC), Montreal, Canada.</w:t>
      </w:r>
    </w:p>
    <w:p w:rsidR="009C594D" w:rsidRPr="00BB3C05" w:rsidRDefault="009C594D" w:rsidP="009C594D">
      <w:proofErr w:type="gramStart"/>
      <w:r w:rsidRPr="00BB3C05">
        <w:t xml:space="preserve">Readding, L. A. </w:t>
      </w:r>
      <w:r w:rsidR="00993CAF">
        <w:t>2004.</w:t>
      </w:r>
      <w:proofErr w:type="gramEnd"/>
      <w:r w:rsidRPr="00BB3C05">
        <w:t xml:space="preserve"> </w:t>
      </w:r>
      <w:proofErr w:type="gramStart"/>
      <w:r w:rsidR="00993CAF">
        <w:t>‘</w:t>
      </w:r>
      <w:r w:rsidRPr="00BB3C05">
        <w:t>Management of colorectal patients with self-expandable metal stent: information for nurses and patients</w:t>
      </w:r>
      <w:r w:rsidR="00993CAF">
        <w:t>’</w:t>
      </w:r>
      <w:r w:rsidRPr="00BB3C05">
        <w:t xml:space="preserve">, </w:t>
      </w:r>
      <w:r w:rsidRPr="00BB3C05">
        <w:rPr>
          <w:i/>
          <w:iCs/>
        </w:rPr>
        <w:t>World Council of Enterostomal Therapists Journal</w:t>
      </w:r>
      <w:r w:rsidRPr="00BB3C05">
        <w:t>, 24</w:t>
      </w:r>
      <w:r w:rsidR="005267B7">
        <w:t xml:space="preserve"> (</w:t>
      </w:r>
      <w:r w:rsidRPr="00BB3C05">
        <w:t>4</w:t>
      </w:r>
      <w:r w:rsidR="009C3E87">
        <w:t>)</w:t>
      </w:r>
      <w:r w:rsidR="008A406B">
        <w:t>,</w:t>
      </w:r>
      <w:r w:rsidRPr="00BB3C05">
        <w:t xml:space="preserve"> 12.</w:t>
      </w:r>
      <w:proofErr w:type="gramEnd"/>
    </w:p>
    <w:p w:rsidR="009C594D" w:rsidRPr="00BB3C05" w:rsidRDefault="009C594D" w:rsidP="009C594D">
      <w:r w:rsidRPr="00BB3C05">
        <w:t>Saida, Y., Nagao, J.</w:t>
      </w:r>
      <w:r w:rsidR="005B46CA" w:rsidRPr="00BB3C05">
        <w:t xml:space="preserve"> </w:t>
      </w:r>
      <w:r w:rsidR="005B46CA">
        <w:t>et al</w:t>
      </w:r>
      <w:r w:rsidRPr="00BB3C05">
        <w:t xml:space="preserve"> </w:t>
      </w:r>
      <w:r w:rsidR="00993CAF">
        <w:t>2007.</w:t>
      </w:r>
      <w:r w:rsidRPr="00BB3C05">
        <w:t xml:space="preserve"> </w:t>
      </w:r>
      <w:proofErr w:type="gramStart"/>
      <w:r w:rsidR="00993CAF">
        <w:t>‘</w:t>
      </w:r>
      <w:r w:rsidRPr="00BB3C05">
        <w:t>Self-expandable metallic stent for patients with non-resectable malignant colorectal stricture: Review of 102 cases in the Japanese literature</w:t>
      </w:r>
      <w:r w:rsidR="00993CAF">
        <w:t>’</w:t>
      </w:r>
      <w:r w:rsidRPr="00BB3C05">
        <w:t xml:space="preserve">, </w:t>
      </w:r>
      <w:r w:rsidRPr="00BB3C05">
        <w:rPr>
          <w:i/>
          <w:iCs/>
        </w:rPr>
        <w:t>Digestive Endoscopy</w:t>
      </w:r>
      <w:r w:rsidR="009C3E87">
        <w:rPr>
          <w:iCs/>
        </w:rPr>
        <w:t>,</w:t>
      </w:r>
      <w:r w:rsidRPr="00BB3C05">
        <w:t xml:space="preserve"> </w:t>
      </w:r>
      <w:r w:rsidR="008A406B">
        <w:t>19 (</w:t>
      </w:r>
      <w:r w:rsidRPr="00BB3C05">
        <w:t>2</w:t>
      </w:r>
      <w:r w:rsidR="008A406B">
        <w:t>)</w:t>
      </w:r>
      <w:r w:rsidRPr="00BB3C05">
        <w:t>,</w:t>
      </w:r>
      <w:r w:rsidR="008A406B">
        <w:t xml:space="preserve"> 59-64.</w:t>
      </w:r>
      <w:proofErr w:type="gramEnd"/>
    </w:p>
    <w:p w:rsidR="009C594D" w:rsidRPr="00BB3C05" w:rsidRDefault="009C594D" w:rsidP="009C594D">
      <w:proofErr w:type="gramStart"/>
      <w:r w:rsidRPr="00BB3C05">
        <w:t>Sebastian, S., Johnston, S.</w:t>
      </w:r>
      <w:r w:rsidR="005B46CA" w:rsidRPr="00BB3C05">
        <w:t xml:space="preserve"> </w:t>
      </w:r>
      <w:r w:rsidR="005B46CA">
        <w:t>et al</w:t>
      </w:r>
      <w:r w:rsidRPr="00BB3C05">
        <w:t xml:space="preserve"> </w:t>
      </w:r>
      <w:r w:rsidR="00993CAF">
        <w:t>2004.</w:t>
      </w:r>
      <w:proofErr w:type="gramEnd"/>
      <w:r w:rsidRPr="00BB3C05">
        <w:t xml:space="preserve"> </w:t>
      </w:r>
      <w:proofErr w:type="gramStart"/>
      <w:r w:rsidR="00993CAF">
        <w:t>‘</w:t>
      </w:r>
      <w:r w:rsidRPr="00BB3C05">
        <w:t>Pooled analysis of the efficacy and safety of self-expanding metal stenting in malignant colorectal obstruction</w:t>
      </w:r>
      <w:r w:rsidR="00993CAF">
        <w:t>’</w:t>
      </w:r>
      <w:r w:rsidRPr="00BB3C05">
        <w:t xml:space="preserve">, </w:t>
      </w:r>
      <w:r w:rsidR="00976DB7" w:rsidRPr="0007443E">
        <w:rPr>
          <w:i/>
        </w:rPr>
        <w:t xml:space="preserve">The </w:t>
      </w:r>
      <w:r w:rsidRPr="00BB3C05">
        <w:rPr>
          <w:i/>
          <w:iCs/>
        </w:rPr>
        <w:t>Am</w:t>
      </w:r>
      <w:r w:rsidR="00976DB7">
        <w:rPr>
          <w:i/>
          <w:iCs/>
        </w:rPr>
        <w:t>erican</w:t>
      </w:r>
      <w:r w:rsidRPr="00BB3C05">
        <w:rPr>
          <w:i/>
          <w:iCs/>
        </w:rPr>
        <w:t xml:space="preserve"> J</w:t>
      </w:r>
      <w:r w:rsidR="00976DB7">
        <w:rPr>
          <w:i/>
          <w:iCs/>
        </w:rPr>
        <w:t>ournal of</w:t>
      </w:r>
      <w:r w:rsidRPr="00BB3C05">
        <w:rPr>
          <w:i/>
          <w:iCs/>
        </w:rPr>
        <w:t xml:space="preserve"> Gastroenterol</w:t>
      </w:r>
      <w:r w:rsidR="00976DB7">
        <w:rPr>
          <w:i/>
          <w:iCs/>
        </w:rPr>
        <w:t>ogy</w:t>
      </w:r>
      <w:r w:rsidRPr="00BB3C05">
        <w:t>, 99</w:t>
      </w:r>
      <w:r w:rsidR="005267B7">
        <w:t xml:space="preserve"> (</w:t>
      </w:r>
      <w:r w:rsidRPr="00BB3C05">
        <w:t>10</w:t>
      </w:r>
      <w:r w:rsidR="005267B7">
        <w:t>)</w:t>
      </w:r>
      <w:r w:rsidR="008A406B">
        <w:t>,</w:t>
      </w:r>
      <w:r w:rsidRPr="00BB3C05">
        <w:t xml:space="preserve"> 2051-2057.</w:t>
      </w:r>
      <w:proofErr w:type="gramEnd"/>
    </w:p>
    <w:p w:rsidR="009C594D" w:rsidRPr="00BB3C05" w:rsidRDefault="009C594D" w:rsidP="009C594D">
      <w:proofErr w:type="gramStart"/>
      <w:r w:rsidRPr="00BB3C05">
        <w:t>Tierney, W., Chuttani, R.</w:t>
      </w:r>
      <w:r w:rsidR="005B46CA" w:rsidRPr="00BB3C05">
        <w:t xml:space="preserve"> </w:t>
      </w:r>
      <w:r w:rsidR="005B46CA">
        <w:t>et al</w:t>
      </w:r>
      <w:r w:rsidRPr="00BB3C05">
        <w:t xml:space="preserve"> </w:t>
      </w:r>
      <w:r w:rsidR="00993CAF">
        <w:t>2006.</w:t>
      </w:r>
      <w:proofErr w:type="gramEnd"/>
      <w:r w:rsidRPr="00BB3C05">
        <w:t xml:space="preserve"> </w:t>
      </w:r>
      <w:proofErr w:type="gramStart"/>
      <w:r w:rsidR="00993CAF">
        <w:t>‘</w:t>
      </w:r>
      <w:r w:rsidRPr="00BB3C05">
        <w:t>Enteral stents</w:t>
      </w:r>
      <w:r w:rsidR="00993CAF">
        <w:t>’</w:t>
      </w:r>
      <w:r w:rsidRPr="00BB3C05">
        <w:t xml:space="preserve">, </w:t>
      </w:r>
      <w:r w:rsidRPr="00BB3C05">
        <w:rPr>
          <w:i/>
          <w:iCs/>
        </w:rPr>
        <w:t>Gastrointestinal Endoscopy</w:t>
      </w:r>
      <w:r w:rsidR="009C3E87">
        <w:rPr>
          <w:iCs/>
        </w:rPr>
        <w:t>,</w:t>
      </w:r>
      <w:r w:rsidRPr="00BB3C05">
        <w:t xml:space="preserve"> </w:t>
      </w:r>
      <w:r w:rsidR="00B3467F">
        <w:t>63 (</w:t>
      </w:r>
      <w:r w:rsidRPr="00BB3C05">
        <w:t>7</w:t>
      </w:r>
      <w:r w:rsidR="00B3467F">
        <w:t>)</w:t>
      </w:r>
      <w:r w:rsidRPr="00BB3C05">
        <w:t>,</w:t>
      </w:r>
      <w:r w:rsidR="00B3467F">
        <w:t xml:space="preserve"> 920-926.</w:t>
      </w:r>
      <w:proofErr w:type="gramEnd"/>
    </w:p>
    <w:p w:rsidR="009C594D" w:rsidRPr="00BB3C05" w:rsidRDefault="009C594D" w:rsidP="009C594D">
      <w:proofErr w:type="gramStart"/>
      <w:r w:rsidRPr="00BB3C05">
        <w:t xml:space="preserve">Trompetas, V. </w:t>
      </w:r>
      <w:r w:rsidR="00993CAF">
        <w:t>2008.</w:t>
      </w:r>
      <w:proofErr w:type="gramEnd"/>
      <w:r w:rsidRPr="00BB3C05">
        <w:t xml:space="preserve"> </w:t>
      </w:r>
      <w:proofErr w:type="gramStart"/>
      <w:r w:rsidR="00993CAF">
        <w:t>‘</w:t>
      </w:r>
      <w:r w:rsidRPr="00BB3C05">
        <w:t>Emergency management of malignant acute left-sided colonic obstruction</w:t>
      </w:r>
      <w:r w:rsidR="00993CAF">
        <w:t>’</w:t>
      </w:r>
      <w:r w:rsidRPr="00BB3C05">
        <w:t xml:space="preserve">, </w:t>
      </w:r>
      <w:r w:rsidRPr="00BB3C05">
        <w:rPr>
          <w:i/>
          <w:iCs/>
        </w:rPr>
        <w:t>Ann</w:t>
      </w:r>
      <w:r w:rsidR="00976DB7">
        <w:rPr>
          <w:i/>
          <w:iCs/>
        </w:rPr>
        <w:t>als of the</w:t>
      </w:r>
      <w:r w:rsidRPr="00BB3C05">
        <w:rPr>
          <w:i/>
          <w:iCs/>
        </w:rPr>
        <w:t xml:space="preserve"> R</w:t>
      </w:r>
      <w:r w:rsidR="00976DB7">
        <w:rPr>
          <w:i/>
          <w:iCs/>
        </w:rPr>
        <w:t>oyal</w:t>
      </w:r>
      <w:r w:rsidRPr="00BB3C05">
        <w:rPr>
          <w:i/>
          <w:iCs/>
        </w:rPr>
        <w:t xml:space="preserve"> Coll</w:t>
      </w:r>
      <w:r w:rsidR="00976DB7">
        <w:rPr>
          <w:i/>
          <w:iCs/>
        </w:rPr>
        <w:t>ege of</w:t>
      </w:r>
      <w:r w:rsidRPr="00BB3C05">
        <w:rPr>
          <w:i/>
          <w:iCs/>
        </w:rPr>
        <w:t xml:space="preserve"> Surg</w:t>
      </w:r>
      <w:r w:rsidR="00976DB7">
        <w:rPr>
          <w:i/>
          <w:iCs/>
        </w:rPr>
        <w:t>eons of</w:t>
      </w:r>
      <w:r w:rsidRPr="00BB3C05">
        <w:rPr>
          <w:i/>
          <w:iCs/>
        </w:rPr>
        <w:t xml:space="preserve"> Engl</w:t>
      </w:r>
      <w:r w:rsidR="00976DB7">
        <w:rPr>
          <w:i/>
          <w:iCs/>
        </w:rPr>
        <w:t>and</w:t>
      </w:r>
      <w:r w:rsidRPr="00BB3C05">
        <w:t>, 90</w:t>
      </w:r>
      <w:r w:rsidR="005267B7">
        <w:t xml:space="preserve"> (</w:t>
      </w:r>
      <w:r w:rsidRPr="00BB3C05">
        <w:t>3</w:t>
      </w:r>
      <w:r w:rsidR="005267B7">
        <w:t>)</w:t>
      </w:r>
      <w:r w:rsidR="00B3467F">
        <w:t>,</w:t>
      </w:r>
      <w:r w:rsidRPr="00BB3C05">
        <w:t xml:space="preserve"> 181-186.</w:t>
      </w:r>
      <w:proofErr w:type="gramEnd"/>
    </w:p>
    <w:p w:rsidR="009C594D" w:rsidRPr="00BB3C05" w:rsidRDefault="009C594D" w:rsidP="009C594D">
      <w:proofErr w:type="gramStart"/>
      <w:r w:rsidRPr="00BB3C05">
        <w:t>Varadarajulu, S., Banerjee, S.</w:t>
      </w:r>
      <w:r w:rsidR="005B46CA" w:rsidRPr="00BB3C05">
        <w:t xml:space="preserve"> </w:t>
      </w:r>
      <w:r w:rsidR="005B46CA">
        <w:t>et al</w:t>
      </w:r>
      <w:r w:rsidRPr="00BB3C05">
        <w:t xml:space="preserve"> </w:t>
      </w:r>
      <w:r w:rsidR="00993CAF">
        <w:t>2011.</w:t>
      </w:r>
      <w:proofErr w:type="gramEnd"/>
      <w:r w:rsidRPr="00BB3C05">
        <w:t xml:space="preserve"> </w:t>
      </w:r>
      <w:proofErr w:type="gramStart"/>
      <w:r w:rsidR="00993CAF">
        <w:t>‘</w:t>
      </w:r>
      <w:r w:rsidRPr="00BB3C05">
        <w:t>Enteral stents</w:t>
      </w:r>
      <w:r w:rsidR="00993CAF">
        <w:t>’</w:t>
      </w:r>
      <w:r w:rsidRPr="00BB3C05">
        <w:t xml:space="preserve">, </w:t>
      </w:r>
      <w:r w:rsidRPr="00BB3C05">
        <w:rPr>
          <w:i/>
          <w:iCs/>
        </w:rPr>
        <w:t>Gastrointestinal Endoscopy</w:t>
      </w:r>
      <w:r w:rsidR="009C3E87">
        <w:rPr>
          <w:iCs/>
        </w:rPr>
        <w:t>,</w:t>
      </w:r>
      <w:r w:rsidRPr="00BB3C05">
        <w:t xml:space="preserve"> </w:t>
      </w:r>
      <w:r w:rsidR="00B3467F">
        <w:t>74 (</w:t>
      </w:r>
      <w:r w:rsidRPr="00BB3C05">
        <w:t>3</w:t>
      </w:r>
      <w:r w:rsidR="00B3467F">
        <w:t>)</w:t>
      </w:r>
      <w:r w:rsidRPr="00BB3C05">
        <w:t>,</w:t>
      </w:r>
      <w:r w:rsidR="00B3467F">
        <w:t xml:space="preserve"> 455-464.</w:t>
      </w:r>
      <w:proofErr w:type="gramEnd"/>
    </w:p>
    <w:p w:rsidR="009C594D" w:rsidRPr="00BB3C05" w:rsidRDefault="00BF39A2" w:rsidP="00530E94">
      <w:pPr>
        <w:pStyle w:val="Heading2a"/>
      </w:pPr>
      <w:r w:rsidRPr="00BB3C05">
        <w:t>C</w:t>
      </w:r>
      <w:r w:rsidR="009C594D" w:rsidRPr="00BB3C05">
        <w:t>omparative evidence</w:t>
      </w:r>
    </w:p>
    <w:p w:rsidR="009C594D" w:rsidRPr="00BB3C05" w:rsidRDefault="009C594D" w:rsidP="00530E94">
      <w:pPr>
        <w:pStyle w:val="Heading3"/>
      </w:pPr>
      <w:r w:rsidRPr="00BB3C05">
        <w:t>Duplicate Publication</w:t>
      </w:r>
    </w:p>
    <w:p w:rsidR="009C594D" w:rsidRPr="00BB3C05" w:rsidRDefault="009C594D" w:rsidP="009C594D">
      <w:proofErr w:type="gramStart"/>
      <w:r w:rsidRPr="00BB3C05">
        <w:t>Xinopoulos, D., Dimitroulopoulos, D.</w:t>
      </w:r>
      <w:r w:rsidR="005B46CA" w:rsidRPr="00BB3C05">
        <w:t xml:space="preserve"> </w:t>
      </w:r>
      <w:r w:rsidR="005B46CA">
        <w:t>et al</w:t>
      </w:r>
      <w:r w:rsidRPr="00BB3C05">
        <w:t xml:space="preserve"> </w:t>
      </w:r>
      <w:r w:rsidR="00993CAF">
        <w:t>2004.</w:t>
      </w:r>
      <w:proofErr w:type="gramEnd"/>
      <w:r w:rsidRPr="00BB3C05">
        <w:t xml:space="preserve"> </w:t>
      </w:r>
      <w:proofErr w:type="gramStart"/>
      <w:r w:rsidR="00993CAF">
        <w:t>‘</w:t>
      </w:r>
      <w:r w:rsidRPr="00BB3C05">
        <w:t>Palliation of inoperable malignant colonic obstruction.</w:t>
      </w:r>
      <w:proofErr w:type="gramEnd"/>
      <w:r w:rsidRPr="00BB3C05">
        <w:t xml:space="preserve"> Comparison and cost effectiveness analysis between stent placement and stoma creation</w:t>
      </w:r>
      <w:r w:rsidR="00993CAF">
        <w:t>’</w:t>
      </w:r>
      <w:r w:rsidRPr="00BB3C05">
        <w:t xml:space="preserve">, </w:t>
      </w:r>
      <w:r w:rsidRPr="00BB3C05">
        <w:rPr>
          <w:i/>
          <w:iCs/>
        </w:rPr>
        <w:t>SO: Annals of Gastroenterology</w:t>
      </w:r>
      <w:r w:rsidRPr="00BB3C05">
        <w:t>, 17</w:t>
      </w:r>
      <w:r w:rsidR="005267B7">
        <w:t xml:space="preserve"> (</w:t>
      </w:r>
      <w:r w:rsidRPr="00BB3C05">
        <w:t>3</w:t>
      </w:r>
      <w:r w:rsidR="005267B7">
        <w:t>)</w:t>
      </w:r>
      <w:r w:rsidR="00B3467F">
        <w:t>,</w:t>
      </w:r>
      <w:r w:rsidRPr="00BB3C05">
        <w:t xml:space="preserve"> 294-299.</w:t>
      </w:r>
    </w:p>
    <w:p w:rsidR="009C594D" w:rsidRPr="00BB3C05" w:rsidRDefault="009C594D" w:rsidP="00530E94">
      <w:pPr>
        <w:pStyle w:val="Heading3"/>
      </w:pPr>
      <w:r w:rsidRPr="00BB3C05">
        <w:t>Foreign Language</w:t>
      </w:r>
    </w:p>
    <w:p w:rsidR="009C594D" w:rsidRPr="00BB3C05" w:rsidRDefault="009C594D" w:rsidP="009C594D">
      <w:r w:rsidRPr="00BB3C05">
        <w:t>Kim, H. H., Kim, H. K.</w:t>
      </w:r>
      <w:r w:rsidR="005B46CA" w:rsidRPr="00BB3C05">
        <w:t xml:space="preserve"> </w:t>
      </w:r>
      <w:r w:rsidR="005B46CA">
        <w:t>et al</w:t>
      </w:r>
      <w:r w:rsidRPr="00BB3C05">
        <w:t xml:space="preserve"> </w:t>
      </w:r>
      <w:r w:rsidR="00993CAF">
        <w:t>2009.</w:t>
      </w:r>
      <w:r w:rsidRPr="00BB3C05">
        <w:t xml:space="preserve"> </w:t>
      </w:r>
      <w:proofErr w:type="gramStart"/>
      <w:r w:rsidR="00993CAF">
        <w:t>‘</w:t>
      </w:r>
      <w:r w:rsidRPr="00BB3C05">
        <w:t>Usefulness of self-expandable metallic stents for malignant colon obstruction</w:t>
      </w:r>
      <w:r w:rsidR="00993CAF">
        <w:t>’</w:t>
      </w:r>
      <w:r w:rsidRPr="00BB3C05">
        <w:t xml:space="preserve">, </w:t>
      </w:r>
      <w:r w:rsidRPr="00BB3C05">
        <w:rPr>
          <w:i/>
          <w:iCs/>
        </w:rPr>
        <w:t>Journal of the Korean Society of Coloproctology</w:t>
      </w:r>
      <w:r w:rsidR="009C3E87">
        <w:rPr>
          <w:iCs/>
        </w:rPr>
        <w:t>,</w:t>
      </w:r>
      <w:r w:rsidRPr="00BB3C05">
        <w:t xml:space="preserve"> </w:t>
      </w:r>
      <w:r w:rsidR="00B3467F">
        <w:t>25 (</w:t>
      </w:r>
      <w:r w:rsidRPr="00BB3C05">
        <w:t>2</w:t>
      </w:r>
      <w:r w:rsidR="00B3467F">
        <w:t>)</w:t>
      </w:r>
      <w:r w:rsidRPr="00BB3C05">
        <w:t>,</w:t>
      </w:r>
      <w:r w:rsidR="00B3467F">
        <w:t xml:space="preserve"> 113-116.</w:t>
      </w:r>
      <w:proofErr w:type="gramEnd"/>
    </w:p>
    <w:p w:rsidR="00E907BB" w:rsidRPr="00BB3C05" w:rsidRDefault="00E907BB" w:rsidP="00530E94">
      <w:pPr>
        <w:pStyle w:val="Heading3"/>
      </w:pPr>
      <w:r w:rsidRPr="00BB3C05">
        <w:t>Inappropriate comparator (</w:t>
      </w:r>
      <w:r w:rsidR="00D63819" w:rsidRPr="00BB3C05">
        <w:t xml:space="preserve">included </w:t>
      </w:r>
      <w:r w:rsidRPr="00BB3C05">
        <w:t>single-stage resection)</w:t>
      </w:r>
    </w:p>
    <w:p w:rsidR="001767FB" w:rsidRPr="00BB3C05" w:rsidRDefault="001767FB" w:rsidP="001767FB">
      <w:proofErr w:type="gramStart"/>
      <w:r w:rsidRPr="00BB3C05">
        <w:t>Alcantara, M., Serra-Aracil, X.</w:t>
      </w:r>
      <w:r w:rsidR="005B46CA" w:rsidRPr="00BB3C05">
        <w:t xml:space="preserve"> </w:t>
      </w:r>
      <w:r w:rsidR="005B46CA">
        <w:t>et al</w:t>
      </w:r>
      <w:r w:rsidRPr="00BB3C05">
        <w:t xml:space="preserve"> </w:t>
      </w:r>
      <w:r w:rsidR="00993CAF">
        <w:t>2011.</w:t>
      </w:r>
      <w:proofErr w:type="gramEnd"/>
      <w:r w:rsidRPr="00BB3C05">
        <w:t xml:space="preserve"> </w:t>
      </w:r>
      <w:r w:rsidR="00993CAF">
        <w:t>‘</w:t>
      </w:r>
      <w:r w:rsidRPr="00BB3C05">
        <w:t>Prospective, controlled, randomized study of intraoperative colonic lavage versus stent placement in obstructive left-sided colonic cancer</w:t>
      </w:r>
      <w:r w:rsidR="00993CAF">
        <w:t>’</w:t>
      </w:r>
      <w:r w:rsidRPr="00BB3C05">
        <w:t xml:space="preserve">, </w:t>
      </w:r>
      <w:r w:rsidRPr="00BB3C05">
        <w:rPr>
          <w:i/>
          <w:iCs/>
        </w:rPr>
        <w:t>World J</w:t>
      </w:r>
      <w:r w:rsidR="00976DB7">
        <w:rPr>
          <w:i/>
          <w:iCs/>
        </w:rPr>
        <w:t>ournal of</w:t>
      </w:r>
      <w:r w:rsidRPr="00BB3C05">
        <w:rPr>
          <w:i/>
          <w:iCs/>
        </w:rPr>
        <w:t xml:space="preserve"> Surg</w:t>
      </w:r>
      <w:r w:rsidR="00976DB7">
        <w:rPr>
          <w:i/>
          <w:iCs/>
        </w:rPr>
        <w:t>ery</w:t>
      </w:r>
      <w:r w:rsidRPr="00BB3C05">
        <w:t>, 35</w:t>
      </w:r>
      <w:r w:rsidR="005267B7">
        <w:t xml:space="preserve"> (</w:t>
      </w:r>
      <w:r w:rsidRPr="00BB3C05">
        <w:t>8</w:t>
      </w:r>
      <w:r w:rsidR="005267B7">
        <w:t>)</w:t>
      </w:r>
      <w:r w:rsidR="00B3467F">
        <w:t>,</w:t>
      </w:r>
      <w:r w:rsidRPr="00BB3C05">
        <w:t xml:space="preserve"> 1904-1910. </w:t>
      </w:r>
    </w:p>
    <w:p w:rsidR="001767FB" w:rsidRPr="00BB3C05" w:rsidRDefault="001767FB" w:rsidP="001767FB">
      <w:r w:rsidRPr="00BB3C05">
        <w:t>Carne, P. W., Frye, J. N.</w:t>
      </w:r>
      <w:r w:rsidR="005B46CA" w:rsidRPr="00BB3C05">
        <w:t xml:space="preserve"> </w:t>
      </w:r>
      <w:r w:rsidR="005B46CA">
        <w:t>et al</w:t>
      </w:r>
      <w:r w:rsidRPr="00BB3C05">
        <w:t xml:space="preserve"> </w:t>
      </w:r>
      <w:r w:rsidR="00993CAF">
        <w:t>2004.</w:t>
      </w:r>
      <w:r w:rsidRPr="00BB3C05">
        <w:t xml:space="preserve"> </w:t>
      </w:r>
      <w:proofErr w:type="gramStart"/>
      <w:r w:rsidR="00993CAF">
        <w:t>‘</w:t>
      </w:r>
      <w:r w:rsidRPr="00BB3C05">
        <w:t>Stents or open operation for palliation of colorectal cancer: a retrospective, cohort study of perioperative outcome and long-term survival</w:t>
      </w:r>
      <w:r w:rsidR="00993CAF">
        <w:t>’</w:t>
      </w:r>
      <w:r w:rsidRPr="00BB3C05">
        <w:t xml:space="preserve">, </w:t>
      </w:r>
      <w:r w:rsidRPr="00BB3C05">
        <w:rPr>
          <w:i/>
          <w:iCs/>
        </w:rPr>
        <w:t>Dis</w:t>
      </w:r>
      <w:r w:rsidR="00976DB7">
        <w:rPr>
          <w:i/>
          <w:iCs/>
        </w:rPr>
        <w:t>eases of the</w:t>
      </w:r>
      <w:r w:rsidRPr="00BB3C05">
        <w:rPr>
          <w:i/>
          <w:iCs/>
        </w:rPr>
        <w:t xml:space="preserve"> Colon</w:t>
      </w:r>
      <w:r w:rsidR="00976DB7">
        <w:rPr>
          <w:i/>
          <w:iCs/>
        </w:rPr>
        <w:t xml:space="preserve"> and</w:t>
      </w:r>
      <w:r w:rsidRPr="00BB3C05">
        <w:rPr>
          <w:i/>
          <w:iCs/>
        </w:rPr>
        <w:t xml:space="preserve"> Rectum</w:t>
      </w:r>
      <w:r w:rsidRPr="00BB3C05">
        <w:t>, 47</w:t>
      </w:r>
      <w:r w:rsidR="005267B7">
        <w:t xml:space="preserve"> (</w:t>
      </w:r>
      <w:r w:rsidRPr="00BB3C05">
        <w:t>9</w:t>
      </w:r>
      <w:r w:rsidR="005267B7">
        <w:t>)</w:t>
      </w:r>
      <w:r w:rsidR="00B3467F">
        <w:t>,</w:t>
      </w:r>
      <w:r w:rsidRPr="00BB3C05">
        <w:t xml:space="preserve"> 1455-1461.</w:t>
      </w:r>
      <w:proofErr w:type="gramEnd"/>
    </w:p>
    <w:p w:rsidR="001767FB" w:rsidRPr="00BB3C05" w:rsidRDefault="001767FB" w:rsidP="001767FB">
      <w:r w:rsidRPr="00BB3C05">
        <w:lastRenderedPageBreak/>
        <w:t>Cheung, H. Y., Chung, C. C.</w:t>
      </w:r>
      <w:r w:rsidR="005B46CA" w:rsidRPr="00BB3C05">
        <w:t xml:space="preserve"> </w:t>
      </w:r>
      <w:r w:rsidR="005B46CA">
        <w:t>et al</w:t>
      </w:r>
      <w:r w:rsidRPr="00BB3C05">
        <w:t xml:space="preserve"> </w:t>
      </w:r>
      <w:r w:rsidR="00993CAF">
        <w:t>2009.</w:t>
      </w:r>
      <w:r w:rsidRPr="00BB3C05">
        <w:t xml:space="preserve"> </w:t>
      </w:r>
      <w:proofErr w:type="gramStart"/>
      <w:r w:rsidR="00993CAF">
        <w:t>‘</w:t>
      </w:r>
      <w:r w:rsidRPr="00BB3C05">
        <w:t>Endolaparoscopic approach vs conventional open surgery in the treatment of obstructing left-sided colon cancer: a randomized controlled trial</w:t>
      </w:r>
      <w:r w:rsidR="00993CAF">
        <w:t>’</w:t>
      </w:r>
      <w:r w:rsidRPr="00BB3C05">
        <w:t xml:space="preserve">, </w:t>
      </w:r>
      <w:r w:rsidRPr="00BB3C05">
        <w:rPr>
          <w:i/>
          <w:iCs/>
        </w:rPr>
        <w:t>Arch</w:t>
      </w:r>
      <w:r w:rsidR="00976DB7">
        <w:rPr>
          <w:i/>
          <w:iCs/>
        </w:rPr>
        <w:t>ives of</w:t>
      </w:r>
      <w:r w:rsidRPr="00BB3C05">
        <w:rPr>
          <w:i/>
          <w:iCs/>
        </w:rPr>
        <w:t xml:space="preserve"> Surg</w:t>
      </w:r>
      <w:r w:rsidR="00976DB7">
        <w:rPr>
          <w:i/>
          <w:iCs/>
        </w:rPr>
        <w:t>ery</w:t>
      </w:r>
      <w:r w:rsidRPr="00BB3C05">
        <w:t>, 144</w:t>
      </w:r>
      <w:r w:rsidR="005267B7">
        <w:t xml:space="preserve"> (</w:t>
      </w:r>
      <w:r w:rsidRPr="00BB3C05">
        <w:t>12</w:t>
      </w:r>
      <w:r w:rsidR="005267B7">
        <w:t>)</w:t>
      </w:r>
      <w:r w:rsidR="00B3467F">
        <w:t>,</w:t>
      </w:r>
      <w:r w:rsidRPr="00BB3C05">
        <w:t xml:space="preserve"> 1127-1132.</w:t>
      </w:r>
      <w:proofErr w:type="gramEnd"/>
    </w:p>
    <w:p w:rsidR="001767FB" w:rsidRPr="00BB3C05" w:rsidRDefault="001767FB" w:rsidP="001767FB">
      <w:r w:rsidRPr="00BB3C05">
        <w:t>Dalal, K. M., Gollub, M. J.</w:t>
      </w:r>
      <w:r w:rsidR="005B46CA" w:rsidRPr="00BB3C05">
        <w:t xml:space="preserve"> </w:t>
      </w:r>
      <w:r w:rsidR="005B46CA">
        <w:t>et al</w:t>
      </w:r>
      <w:r w:rsidRPr="00BB3C05">
        <w:t xml:space="preserve"> </w:t>
      </w:r>
      <w:r w:rsidR="00993CAF">
        <w:t>2011.</w:t>
      </w:r>
      <w:r w:rsidRPr="00BB3C05">
        <w:t xml:space="preserve"> </w:t>
      </w:r>
      <w:proofErr w:type="gramStart"/>
      <w:r w:rsidR="00993CAF">
        <w:t>‘</w:t>
      </w:r>
      <w:r w:rsidRPr="00BB3C05">
        <w:t>Management of patients with malignant bowel obstruction and stage IV colorectal cancer</w:t>
      </w:r>
      <w:r w:rsidR="00993CAF">
        <w:t>’</w:t>
      </w:r>
      <w:r w:rsidRPr="00BB3C05">
        <w:t xml:space="preserve">, </w:t>
      </w:r>
      <w:r w:rsidRPr="00BB3C05">
        <w:rPr>
          <w:i/>
          <w:iCs/>
        </w:rPr>
        <w:t>J</w:t>
      </w:r>
      <w:r w:rsidR="00976DB7">
        <w:rPr>
          <w:i/>
          <w:iCs/>
        </w:rPr>
        <w:t>ournal of</w:t>
      </w:r>
      <w:r w:rsidRPr="00BB3C05">
        <w:rPr>
          <w:i/>
          <w:iCs/>
        </w:rPr>
        <w:t xml:space="preserve"> Palliat</w:t>
      </w:r>
      <w:r w:rsidR="00976DB7">
        <w:rPr>
          <w:i/>
          <w:iCs/>
        </w:rPr>
        <w:t xml:space="preserve">ive </w:t>
      </w:r>
      <w:r w:rsidRPr="00BB3C05">
        <w:rPr>
          <w:i/>
          <w:iCs/>
        </w:rPr>
        <w:t>Med</w:t>
      </w:r>
      <w:r w:rsidR="00976DB7">
        <w:rPr>
          <w:i/>
          <w:iCs/>
        </w:rPr>
        <w:t>icine</w:t>
      </w:r>
      <w:r w:rsidRPr="00BB3C05">
        <w:t>, 14</w:t>
      </w:r>
      <w:r w:rsidR="005267B7">
        <w:t xml:space="preserve"> (</w:t>
      </w:r>
      <w:r w:rsidRPr="00BB3C05">
        <w:t>7</w:t>
      </w:r>
      <w:r w:rsidR="005267B7">
        <w:t>)</w:t>
      </w:r>
      <w:r w:rsidR="00B3467F">
        <w:t>,</w:t>
      </w:r>
      <w:r w:rsidRPr="00BB3C05">
        <w:t xml:space="preserve"> 822-828.</w:t>
      </w:r>
      <w:proofErr w:type="gramEnd"/>
    </w:p>
    <w:p w:rsidR="001767FB" w:rsidRPr="00BB3C05" w:rsidRDefault="001767FB" w:rsidP="001767FB">
      <w:r w:rsidRPr="00BB3C05">
        <w:t>Dastur, J. K., Forshaw, M. J.</w:t>
      </w:r>
      <w:r w:rsidR="005B46CA" w:rsidRPr="00BB3C05">
        <w:t xml:space="preserve"> </w:t>
      </w:r>
      <w:r w:rsidR="005B46CA">
        <w:t>et al</w:t>
      </w:r>
      <w:r w:rsidRPr="00BB3C05">
        <w:t xml:space="preserve"> </w:t>
      </w:r>
      <w:r w:rsidR="00993CAF">
        <w:t>2008.</w:t>
      </w:r>
      <w:r w:rsidRPr="00BB3C05">
        <w:t xml:space="preserve"> </w:t>
      </w:r>
      <w:proofErr w:type="gramStart"/>
      <w:r w:rsidR="00993CAF">
        <w:t>‘</w:t>
      </w:r>
      <w:r w:rsidRPr="00BB3C05">
        <w:t>Comparison of short-and long-term outcomes following either insertion of self-expanding metallic stents or emergency surgery in malignant large bowel obstruction</w:t>
      </w:r>
      <w:r w:rsidR="00993CAF">
        <w:t>’</w:t>
      </w:r>
      <w:r w:rsidRPr="00BB3C05">
        <w:t xml:space="preserve">, </w:t>
      </w:r>
      <w:r w:rsidRPr="00BB3C05">
        <w:rPr>
          <w:i/>
          <w:iCs/>
        </w:rPr>
        <w:t>Tech</w:t>
      </w:r>
      <w:r w:rsidR="00976DB7">
        <w:rPr>
          <w:i/>
          <w:iCs/>
        </w:rPr>
        <w:t>niques in</w:t>
      </w:r>
      <w:r w:rsidRPr="00BB3C05">
        <w:rPr>
          <w:i/>
          <w:iCs/>
        </w:rPr>
        <w:t xml:space="preserve"> Coloproctol</w:t>
      </w:r>
      <w:r w:rsidR="00976DB7">
        <w:rPr>
          <w:i/>
          <w:iCs/>
        </w:rPr>
        <w:t>ogy</w:t>
      </w:r>
      <w:r w:rsidRPr="00BB3C05">
        <w:t>, 12</w:t>
      </w:r>
      <w:r w:rsidR="005267B7">
        <w:t xml:space="preserve"> (</w:t>
      </w:r>
      <w:r w:rsidRPr="00BB3C05">
        <w:t>1</w:t>
      </w:r>
      <w:r w:rsidR="005267B7">
        <w:t>)</w:t>
      </w:r>
      <w:r w:rsidR="00B3467F">
        <w:t>,</w:t>
      </w:r>
      <w:r w:rsidRPr="00BB3C05">
        <w:t xml:space="preserve"> 51-55.</w:t>
      </w:r>
      <w:proofErr w:type="gramEnd"/>
    </w:p>
    <w:p w:rsidR="001767FB" w:rsidRPr="00BB3C05" w:rsidRDefault="001767FB" w:rsidP="001767FB">
      <w:proofErr w:type="gramStart"/>
      <w:r w:rsidRPr="00BB3C05">
        <w:t>Faragher, I. G., Chaitowitz, I. M.</w:t>
      </w:r>
      <w:r w:rsidR="005B46CA">
        <w:t xml:space="preserve"> and </w:t>
      </w:r>
      <w:r w:rsidRPr="00BB3C05">
        <w:t xml:space="preserve">Stupart, D. A. </w:t>
      </w:r>
      <w:r w:rsidR="00993CAF">
        <w:t>2008.</w:t>
      </w:r>
      <w:proofErr w:type="gramEnd"/>
      <w:r w:rsidRPr="00BB3C05">
        <w:t xml:space="preserve"> </w:t>
      </w:r>
      <w:proofErr w:type="gramStart"/>
      <w:r w:rsidR="00993CAF">
        <w:t>‘</w:t>
      </w:r>
      <w:r w:rsidRPr="00BB3C05">
        <w:t>Long-term results of palliative stenting or surgery for incurable obstructing colon cancer</w:t>
      </w:r>
      <w:r w:rsidR="00993CAF">
        <w:t>’</w:t>
      </w:r>
      <w:r w:rsidRPr="00BB3C05">
        <w:t xml:space="preserve">, </w:t>
      </w:r>
      <w:r w:rsidRPr="00BB3C05">
        <w:rPr>
          <w:i/>
          <w:iCs/>
        </w:rPr>
        <w:t>Colorectal Dis</w:t>
      </w:r>
      <w:r w:rsidR="00976DB7">
        <w:rPr>
          <w:i/>
          <w:iCs/>
        </w:rPr>
        <w:t>ease</w:t>
      </w:r>
      <w:r w:rsidRPr="00BB3C05">
        <w:t>, 10</w:t>
      </w:r>
      <w:r w:rsidR="005267B7">
        <w:t xml:space="preserve"> (</w:t>
      </w:r>
      <w:r w:rsidRPr="00BB3C05">
        <w:t>7</w:t>
      </w:r>
      <w:r w:rsidR="005267B7">
        <w:t>)</w:t>
      </w:r>
      <w:r w:rsidR="00B3467F">
        <w:t>,</w:t>
      </w:r>
      <w:r w:rsidRPr="00BB3C05">
        <w:t xml:space="preserve"> 668-672.</w:t>
      </w:r>
      <w:proofErr w:type="gramEnd"/>
    </w:p>
    <w:p w:rsidR="001767FB" w:rsidRPr="00BB3C05" w:rsidRDefault="001767FB" w:rsidP="001767FB">
      <w:r w:rsidRPr="00BB3C05">
        <w:t>Frago, R., Kreisler, E.</w:t>
      </w:r>
      <w:r w:rsidR="005B46CA" w:rsidRPr="00BB3C05">
        <w:t xml:space="preserve"> </w:t>
      </w:r>
      <w:r w:rsidR="005B46CA">
        <w:t>et al</w:t>
      </w:r>
      <w:r w:rsidRPr="00BB3C05">
        <w:t xml:space="preserve"> </w:t>
      </w:r>
      <w:r w:rsidR="00993CAF">
        <w:t>2010.</w:t>
      </w:r>
      <w:r w:rsidRPr="00BB3C05">
        <w:t xml:space="preserve"> </w:t>
      </w:r>
      <w:proofErr w:type="gramStart"/>
      <w:r w:rsidR="00993CAF">
        <w:t>‘</w:t>
      </w:r>
      <w:r w:rsidRPr="00BB3C05">
        <w:t>Outcomes in the management of obstructive unresectable stage IV colorectal cancer</w:t>
      </w:r>
      <w:r w:rsidR="00993CAF">
        <w:t>’</w:t>
      </w:r>
      <w:r w:rsidRPr="00BB3C05">
        <w:t xml:space="preserve">, </w:t>
      </w:r>
      <w:r w:rsidRPr="00BB3C05">
        <w:rPr>
          <w:i/>
          <w:iCs/>
        </w:rPr>
        <w:t>Eur</w:t>
      </w:r>
      <w:r w:rsidR="00976DB7">
        <w:rPr>
          <w:i/>
          <w:iCs/>
        </w:rPr>
        <w:t>opean</w:t>
      </w:r>
      <w:r w:rsidRPr="00BB3C05">
        <w:rPr>
          <w:i/>
          <w:iCs/>
        </w:rPr>
        <w:t xml:space="preserve"> J</w:t>
      </w:r>
      <w:r w:rsidR="00976DB7">
        <w:rPr>
          <w:i/>
          <w:iCs/>
        </w:rPr>
        <w:t>ournal of</w:t>
      </w:r>
      <w:r w:rsidRPr="00BB3C05">
        <w:rPr>
          <w:i/>
          <w:iCs/>
        </w:rPr>
        <w:t xml:space="preserve"> Surg</w:t>
      </w:r>
      <w:r w:rsidR="00976DB7">
        <w:rPr>
          <w:i/>
          <w:iCs/>
        </w:rPr>
        <w:t>ical</w:t>
      </w:r>
      <w:r w:rsidRPr="00BB3C05">
        <w:rPr>
          <w:i/>
          <w:iCs/>
        </w:rPr>
        <w:t xml:space="preserve"> Oncol</w:t>
      </w:r>
      <w:r w:rsidR="00976DB7">
        <w:rPr>
          <w:i/>
          <w:iCs/>
        </w:rPr>
        <w:t>ogy</w:t>
      </w:r>
      <w:r w:rsidRPr="00BB3C05">
        <w:t>, 36</w:t>
      </w:r>
      <w:r w:rsidR="005267B7">
        <w:t xml:space="preserve"> (</w:t>
      </w:r>
      <w:r w:rsidRPr="00BB3C05">
        <w:t>12</w:t>
      </w:r>
      <w:r w:rsidR="005267B7">
        <w:t>)</w:t>
      </w:r>
      <w:r w:rsidR="00B3467F">
        <w:t>,</w:t>
      </w:r>
      <w:r w:rsidRPr="00BB3C05">
        <w:t xml:space="preserve"> 1187-1194.</w:t>
      </w:r>
      <w:proofErr w:type="gramEnd"/>
    </w:p>
    <w:p w:rsidR="00E907BB" w:rsidRPr="00BB3C05" w:rsidRDefault="00E907BB" w:rsidP="00E907BB">
      <w:r w:rsidRPr="00BB3C05">
        <w:t>Guo, M. G., Feng, Y.</w:t>
      </w:r>
      <w:r w:rsidR="005B46CA" w:rsidRPr="00BB3C05">
        <w:t xml:space="preserve"> </w:t>
      </w:r>
      <w:r w:rsidR="005B46CA">
        <w:t>et al</w:t>
      </w:r>
      <w:r w:rsidRPr="00BB3C05">
        <w:t xml:space="preserve"> </w:t>
      </w:r>
      <w:r w:rsidR="00993CAF">
        <w:t>2011.</w:t>
      </w:r>
      <w:r w:rsidRPr="00BB3C05">
        <w:t xml:space="preserve"> </w:t>
      </w:r>
      <w:proofErr w:type="gramStart"/>
      <w:r w:rsidR="00993CAF">
        <w:t>‘</w:t>
      </w:r>
      <w:r w:rsidRPr="00BB3C05">
        <w:t>Comparison of self-expanding metal stents and urgent surgery for left-sided malignant colonic obstruction in elderly patients</w:t>
      </w:r>
      <w:r w:rsidR="00993CAF">
        <w:t>’</w:t>
      </w:r>
      <w:r w:rsidRPr="00BB3C05">
        <w:t xml:space="preserve">, </w:t>
      </w:r>
      <w:r w:rsidRPr="00BB3C05">
        <w:rPr>
          <w:i/>
          <w:iCs/>
        </w:rPr>
        <w:t>Dig</w:t>
      </w:r>
      <w:r w:rsidR="00976DB7">
        <w:rPr>
          <w:i/>
          <w:iCs/>
        </w:rPr>
        <w:t>estive</w:t>
      </w:r>
      <w:r w:rsidRPr="00BB3C05">
        <w:rPr>
          <w:i/>
          <w:iCs/>
        </w:rPr>
        <w:t xml:space="preserve"> Dis</w:t>
      </w:r>
      <w:r w:rsidR="00976DB7">
        <w:rPr>
          <w:i/>
          <w:iCs/>
        </w:rPr>
        <w:t>eases and</w:t>
      </w:r>
      <w:r w:rsidRPr="00BB3C05">
        <w:rPr>
          <w:i/>
          <w:iCs/>
        </w:rPr>
        <w:t xml:space="preserve"> Sci</w:t>
      </w:r>
      <w:r w:rsidR="00976DB7">
        <w:rPr>
          <w:i/>
          <w:iCs/>
        </w:rPr>
        <w:t>ences</w:t>
      </w:r>
      <w:r w:rsidRPr="00BB3C05">
        <w:t>, 56</w:t>
      </w:r>
      <w:r w:rsidR="005267B7">
        <w:t xml:space="preserve"> (</w:t>
      </w:r>
      <w:r w:rsidRPr="00BB3C05">
        <w:t>9</w:t>
      </w:r>
      <w:r w:rsidR="005267B7">
        <w:t>)</w:t>
      </w:r>
      <w:r w:rsidR="00B3467F">
        <w:t>,</w:t>
      </w:r>
      <w:r w:rsidRPr="00BB3C05">
        <w:t xml:space="preserve"> 2706-2710.</w:t>
      </w:r>
      <w:proofErr w:type="gramEnd"/>
    </w:p>
    <w:p w:rsidR="001767FB" w:rsidRPr="00BB3C05" w:rsidRDefault="001767FB" w:rsidP="001767FB">
      <w:r w:rsidRPr="00BB3C05">
        <w:t>Kang, S. G., Jung, G. S.</w:t>
      </w:r>
      <w:r w:rsidR="005B46CA" w:rsidRPr="00BB3C05">
        <w:t xml:space="preserve"> </w:t>
      </w:r>
      <w:r w:rsidR="005B46CA">
        <w:t>et al</w:t>
      </w:r>
      <w:r w:rsidRPr="00BB3C05">
        <w:t xml:space="preserve"> </w:t>
      </w:r>
      <w:r w:rsidR="00993CAF">
        <w:t>2002.</w:t>
      </w:r>
      <w:r w:rsidRPr="00BB3C05">
        <w:t xml:space="preserve"> </w:t>
      </w:r>
      <w:proofErr w:type="gramStart"/>
      <w:r w:rsidR="00993CAF">
        <w:t>‘</w:t>
      </w:r>
      <w:r w:rsidRPr="00BB3C05">
        <w:t>The efficacy of metallic stent placement in the treatment of colorectal obstruction</w:t>
      </w:r>
      <w:r w:rsidR="00993CAF">
        <w:t>’</w:t>
      </w:r>
      <w:r w:rsidRPr="00BB3C05">
        <w:t xml:space="preserve">, </w:t>
      </w:r>
      <w:r w:rsidRPr="00BB3C05">
        <w:rPr>
          <w:i/>
          <w:iCs/>
        </w:rPr>
        <w:t>Korean J</w:t>
      </w:r>
      <w:r w:rsidR="00976DB7">
        <w:rPr>
          <w:i/>
          <w:iCs/>
        </w:rPr>
        <w:t>ournal of</w:t>
      </w:r>
      <w:r w:rsidRPr="00BB3C05">
        <w:rPr>
          <w:i/>
          <w:iCs/>
        </w:rPr>
        <w:t xml:space="preserve"> Radiol</w:t>
      </w:r>
      <w:r w:rsidR="00976DB7">
        <w:rPr>
          <w:i/>
          <w:iCs/>
        </w:rPr>
        <w:t>ogy</w:t>
      </w:r>
      <w:r w:rsidRPr="00BB3C05">
        <w:t>, 3</w:t>
      </w:r>
      <w:r w:rsidR="005267B7">
        <w:t xml:space="preserve"> (</w:t>
      </w:r>
      <w:r w:rsidRPr="00BB3C05">
        <w:t>2</w:t>
      </w:r>
      <w:r w:rsidR="005267B7">
        <w:t>)</w:t>
      </w:r>
      <w:r w:rsidR="00B3467F">
        <w:t>,</w:t>
      </w:r>
      <w:r w:rsidRPr="00BB3C05">
        <w:t xml:space="preserve"> 79-86.</w:t>
      </w:r>
      <w:proofErr w:type="gramEnd"/>
    </w:p>
    <w:p w:rsidR="00E907BB" w:rsidRPr="00BB3C05" w:rsidRDefault="00E907BB" w:rsidP="00E907BB">
      <w:proofErr w:type="gramStart"/>
      <w:r w:rsidRPr="00BB3C05">
        <w:t>Karoui, M., Charachon, A.</w:t>
      </w:r>
      <w:r w:rsidR="005B46CA" w:rsidRPr="00BB3C05">
        <w:t xml:space="preserve"> </w:t>
      </w:r>
      <w:r w:rsidR="005B46CA">
        <w:t>et al</w:t>
      </w:r>
      <w:r w:rsidRPr="00BB3C05">
        <w:t xml:space="preserve"> </w:t>
      </w:r>
      <w:r w:rsidR="00993CAF">
        <w:t>2007.</w:t>
      </w:r>
      <w:proofErr w:type="gramEnd"/>
      <w:r w:rsidRPr="00BB3C05">
        <w:t xml:space="preserve"> </w:t>
      </w:r>
      <w:proofErr w:type="gramStart"/>
      <w:r w:rsidR="00993CAF">
        <w:t>‘</w:t>
      </w:r>
      <w:r w:rsidRPr="00BB3C05">
        <w:t>Stents for palliation of obstructive metastatic colon cancer: impact on management and chemotherapy administration</w:t>
      </w:r>
      <w:r w:rsidR="00993CAF">
        <w:t>’</w:t>
      </w:r>
      <w:r w:rsidRPr="00BB3C05">
        <w:t xml:space="preserve">, </w:t>
      </w:r>
      <w:r w:rsidRPr="00BB3C05">
        <w:rPr>
          <w:i/>
          <w:iCs/>
        </w:rPr>
        <w:t>Arch</w:t>
      </w:r>
      <w:r w:rsidR="00976DB7">
        <w:rPr>
          <w:i/>
          <w:iCs/>
        </w:rPr>
        <w:t>ives of</w:t>
      </w:r>
      <w:r w:rsidRPr="00BB3C05">
        <w:rPr>
          <w:i/>
          <w:iCs/>
        </w:rPr>
        <w:t xml:space="preserve"> Surg</w:t>
      </w:r>
      <w:r w:rsidR="00976DB7">
        <w:rPr>
          <w:i/>
          <w:iCs/>
        </w:rPr>
        <w:t>ery</w:t>
      </w:r>
      <w:r w:rsidRPr="00BB3C05">
        <w:t>, 142</w:t>
      </w:r>
      <w:r w:rsidR="005267B7">
        <w:t xml:space="preserve"> (</w:t>
      </w:r>
      <w:r w:rsidRPr="00BB3C05">
        <w:t>7</w:t>
      </w:r>
      <w:r w:rsidR="005267B7">
        <w:t>)</w:t>
      </w:r>
      <w:r w:rsidR="00B3467F">
        <w:t>,</w:t>
      </w:r>
      <w:r w:rsidRPr="00BB3C05">
        <w:t xml:space="preserve"> 619-623.</w:t>
      </w:r>
      <w:proofErr w:type="gramEnd"/>
    </w:p>
    <w:p w:rsidR="001767FB" w:rsidRPr="00BB3C05" w:rsidRDefault="001767FB" w:rsidP="001767FB">
      <w:r w:rsidRPr="00BB3C05">
        <w:t>Kim, J. S., Hur, H.</w:t>
      </w:r>
      <w:r w:rsidR="005B46CA" w:rsidRPr="00BB3C05">
        <w:t xml:space="preserve"> </w:t>
      </w:r>
      <w:r w:rsidR="005B46CA">
        <w:t>et al</w:t>
      </w:r>
      <w:r w:rsidRPr="00BB3C05">
        <w:t xml:space="preserve"> </w:t>
      </w:r>
      <w:r w:rsidR="00993CAF">
        <w:t>2009.</w:t>
      </w:r>
      <w:r w:rsidRPr="00BB3C05">
        <w:t xml:space="preserve"> </w:t>
      </w:r>
      <w:proofErr w:type="gramStart"/>
      <w:r w:rsidR="00993CAF">
        <w:t>‘</w:t>
      </w:r>
      <w:r w:rsidRPr="00BB3C05">
        <w:t>Oncologic outcomes of self-expanding metallic stent insertion as a bridge to surgery in the management of left-sided colon cancer obstruction: comparison with nonobstructing elective surgery</w:t>
      </w:r>
      <w:r w:rsidR="00993CAF">
        <w:t>’</w:t>
      </w:r>
      <w:r w:rsidRPr="00BB3C05">
        <w:t xml:space="preserve">, </w:t>
      </w:r>
      <w:r w:rsidRPr="00BB3C05">
        <w:rPr>
          <w:i/>
          <w:iCs/>
        </w:rPr>
        <w:t>World J</w:t>
      </w:r>
      <w:r w:rsidR="00976DB7">
        <w:rPr>
          <w:i/>
          <w:iCs/>
        </w:rPr>
        <w:t>ournal of</w:t>
      </w:r>
      <w:r w:rsidR="00977272">
        <w:rPr>
          <w:i/>
          <w:iCs/>
        </w:rPr>
        <w:t xml:space="preserve"> </w:t>
      </w:r>
      <w:r w:rsidRPr="00BB3C05">
        <w:rPr>
          <w:i/>
          <w:iCs/>
        </w:rPr>
        <w:t>Surg</w:t>
      </w:r>
      <w:r w:rsidR="00976DB7">
        <w:rPr>
          <w:i/>
          <w:iCs/>
        </w:rPr>
        <w:t>ery</w:t>
      </w:r>
      <w:r w:rsidRPr="00BB3C05">
        <w:t>, 33</w:t>
      </w:r>
      <w:r w:rsidR="005267B7">
        <w:t xml:space="preserve"> (</w:t>
      </w:r>
      <w:r w:rsidRPr="00BB3C05">
        <w:t>6</w:t>
      </w:r>
      <w:r w:rsidR="005267B7">
        <w:t>)</w:t>
      </w:r>
      <w:r w:rsidR="00B3467F">
        <w:t>,</w:t>
      </w:r>
      <w:r w:rsidRPr="00BB3C05">
        <w:t xml:space="preserve"> 1281-1286.</w:t>
      </w:r>
      <w:proofErr w:type="gramEnd"/>
    </w:p>
    <w:p w:rsidR="001767FB" w:rsidRPr="00BB3C05" w:rsidRDefault="001767FB" w:rsidP="001767FB">
      <w:proofErr w:type="gramStart"/>
      <w:r w:rsidRPr="00BB3C05">
        <w:t>Law, W. L., Choi, H. K.</w:t>
      </w:r>
      <w:r w:rsidR="005B46CA">
        <w:t xml:space="preserve"> and </w:t>
      </w:r>
      <w:r w:rsidRPr="00BB3C05">
        <w:t xml:space="preserve">Chu, K. W. </w:t>
      </w:r>
      <w:r w:rsidR="00993CAF">
        <w:t>2003.</w:t>
      </w:r>
      <w:proofErr w:type="gramEnd"/>
      <w:r w:rsidRPr="00BB3C05">
        <w:t xml:space="preserve"> </w:t>
      </w:r>
      <w:proofErr w:type="gramStart"/>
      <w:r w:rsidR="00993CAF">
        <w:t>‘</w:t>
      </w:r>
      <w:r w:rsidRPr="00BB3C05">
        <w:t>Comparison of stenting with emergency surgery as palliative treatment for obstructing primary left-sided colorectal cancer</w:t>
      </w:r>
      <w:r w:rsidR="00993CAF">
        <w:t>’</w:t>
      </w:r>
      <w:r w:rsidRPr="00BB3C05">
        <w:t xml:space="preserve">, </w:t>
      </w:r>
      <w:r w:rsidR="00976DB7" w:rsidRPr="0007443E">
        <w:rPr>
          <w:i/>
        </w:rPr>
        <w:t xml:space="preserve">The </w:t>
      </w:r>
      <w:r w:rsidRPr="00BB3C05">
        <w:rPr>
          <w:i/>
          <w:iCs/>
        </w:rPr>
        <w:t>Br</w:t>
      </w:r>
      <w:r w:rsidR="00976DB7">
        <w:rPr>
          <w:i/>
          <w:iCs/>
        </w:rPr>
        <w:t>itish</w:t>
      </w:r>
      <w:r w:rsidRPr="00BB3C05">
        <w:rPr>
          <w:i/>
          <w:iCs/>
        </w:rPr>
        <w:t xml:space="preserve"> J</w:t>
      </w:r>
      <w:r w:rsidR="00976DB7">
        <w:rPr>
          <w:i/>
          <w:iCs/>
        </w:rPr>
        <w:t>ournal of</w:t>
      </w:r>
      <w:r w:rsidRPr="00BB3C05">
        <w:rPr>
          <w:i/>
          <w:iCs/>
        </w:rPr>
        <w:t xml:space="preserve"> Surg</w:t>
      </w:r>
      <w:r w:rsidR="00976DB7">
        <w:rPr>
          <w:i/>
          <w:iCs/>
        </w:rPr>
        <w:t>ery</w:t>
      </w:r>
      <w:r w:rsidRPr="00BB3C05">
        <w:t>, 90</w:t>
      </w:r>
      <w:r w:rsidR="005267B7">
        <w:t xml:space="preserve"> (</w:t>
      </w:r>
      <w:r w:rsidRPr="00BB3C05">
        <w:t>11</w:t>
      </w:r>
      <w:r w:rsidR="005267B7">
        <w:t>)</w:t>
      </w:r>
      <w:r w:rsidR="00B3467F">
        <w:t>,</w:t>
      </w:r>
      <w:r w:rsidRPr="00BB3C05">
        <w:t xml:space="preserve"> 1429-1433.</w:t>
      </w:r>
      <w:proofErr w:type="gramEnd"/>
    </w:p>
    <w:p w:rsidR="001767FB" w:rsidRPr="00BB3C05" w:rsidRDefault="001767FB" w:rsidP="001767FB">
      <w:proofErr w:type="gramStart"/>
      <w:r w:rsidRPr="00BB3C05">
        <w:t>Martinez-Santos, C., Lobato, R. F.</w:t>
      </w:r>
      <w:r w:rsidR="005B46CA" w:rsidRPr="00BB3C05">
        <w:t xml:space="preserve"> </w:t>
      </w:r>
      <w:r w:rsidR="005B46CA">
        <w:t>et al</w:t>
      </w:r>
      <w:r w:rsidRPr="00BB3C05">
        <w:t xml:space="preserve"> </w:t>
      </w:r>
      <w:r w:rsidR="00993CAF">
        <w:t>2002.</w:t>
      </w:r>
      <w:proofErr w:type="gramEnd"/>
      <w:r w:rsidRPr="00BB3C05">
        <w:t xml:space="preserve"> </w:t>
      </w:r>
      <w:proofErr w:type="gramStart"/>
      <w:r w:rsidR="00993CAF">
        <w:t>‘</w:t>
      </w:r>
      <w:r w:rsidRPr="00BB3C05">
        <w:t>Self-expandable stent before elective surgery vs. emergency surgery for the treatment of malignant colorectal obstructions: comparison of primary anastomosis and morbidity rates</w:t>
      </w:r>
      <w:r w:rsidR="00993CAF">
        <w:t>’</w:t>
      </w:r>
      <w:r w:rsidRPr="00BB3C05">
        <w:t xml:space="preserve">, </w:t>
      </w:r>
      <w:r w:rsidRPr="00BB3C05">
        <w:rPr>
          <w:i/>
          <w:iCs/>
        </w:rPr>
        <w:t>Dis</w:t>
      </w:r>
      <w:r w:rsidR="00976DB7">
        <w:rPr>
          <w:i/>
          <w:iCs/>
        </w:rPr>
        <w:t>eases of the</w:t>
      </w:r>
      <w:r w:rsidRPr="00BB3C05">
        <w:rPr>
          <w:i/>
          <w:iCs/>
        </w:rPr>
        <w:t xml:space="preserve"> Colon </w:t>
      </w:r>
      <w:r w:rsidR="00976DB7">
        <w:rPr>
          <w:i/>
          <w:iCs/>
        </w:rPr>
        <w:t xml:space="preserve">and </w:t>
      </w:r>
      <w:r w:rsidRPr="00BB3C05">
        <w:rPr>
          <w:i/>
          <w:iCs/>
        </w:rPr>
        <w:t>Rectum</w:t>
      </w:r>
      <w:r w:rsidRPr="00BB3C05">
        <w:t>, 45</w:t>
      </w:r>
      <w:r w:rsidR="005267B7">
        <w:t xml:space="preserve"> (</w:t>
      </w:r>
      <w:r w:rsidRPr="00BB3C05">
        <w:t>3</w:t>
      </w:r>
      <w:r w:rsidR="005267B7">
        <w:t>)</w:t>
      </w:r>
      <w:r w:rsidR="00B3467F">
        <w:t>,</w:t>
      </w:r>
      <w:r w:rsidRPr="00BB3C05">
        <w:t xml:space="preserve"> 401-406.</w:t>
      </w:r>
      <w:proofErr w:type="gramEnd"/>
    </w:p>
    <w:p w:rsidR="00E907BB" w:rsidRPr="00BB3C05" w:rsidRDefault="00E907BB" w:rsidP="00E907BB">
      <w:proofErr w:type="gramStart"/>
      <w:r w:rsidRPr="00BB3C05">
        <w:t>Ng, K. C., Law, W. L.</w:t>
      </w:r>
      <w:r w:rsidR="000E2EDC" w:rsidRPr="00BB3C05">
        <w:t xml:space="preserve"> </w:t>
      </w:r>
      <w:r w:rsidR="000E2EDC">
        <w:t>et al</w:t>
      </w:r>
      <w:r w:rsidRPr="00BB3C05">
        <w:t xml:space="preserve"> </w:t>
      </w:r>
      <w:r w:rsidR="00993CAF">
        <w:t>2006.</w:t>
      </w:r>
      <w:proofErr w:type="gramEnd"/>
      <w:r w:rsidRPr="00BB3C05">
        <w:t xml:space="preserve"> </w:t>
      </w:r>
      <w:proofErr w:type="gramStart"/>
      <w:r w:rsidR="00993CAF">
        <w:t>‘</w:t>
      </w:r>
      <w:r w:rsidRPr="00BB3C05">
        <w:t>Self-expanding metallic stent as a bridge to surgery versus emergency resection for obstructing left-sided colorectal cancer: a case-matched study</w:t>
      </w:r>
      <w:r w:rsidR="00993CAF">
        <w:t>’</w:t>
      </w:r>
      <w:r w:rsidRPr="00BB3C05">
        <w:t xml:space="preserve">, </w:t>
      </w:r>
      <w:r w:rsidRPr="00BB3C05">
        <w:rPr>
          <w:i/>
          <w:iCs/>
        </w:rPr>
        <w:t>J</w:t>
      </w:r>
      <w:r w:rsidR="00976DB7">
        <w:rPr>
          <w:i/>
          <w:iCs/>
        </w:rPr>
        <w:t>ournal of</w:t>
      </w:r>
      <w:r w:rsidRPr="00BB3C05">
        <w:rPr>
          <w:i/>
          <w:iCs/>
        </w:rPr>
        <w:t xml:space="preserve"> Gastrointest</w:t>
      </w:r>
      <w:r w:rsidR="00976DB7">
        <w:rPr>
          <w:i/>
          <w:iCs/>
        </w:rPr>
        <w:t>inal</w:t>
      </w:r>
      <w:r w:rsidRPr="00BB3C05">
        <w:rPr>
          <w:i/>
          <w:iCs/>
        </w:rPr>
        <w:t xml:space="preserve"> Surg</w:t>
      </w:r>
      <w:r w:rsidR="00976DB7">
        <w:rPr>
          <w:i/>
          <w:iCs/>
        </w:rPr>
        <w:t>ery</w:t>
      </w:r>
      <w:r w:rsidRPr="00BB3C05">
        <w:t>, 10</w:t>
      </w:r>
      <w:r w:rsidR="005267B7">
        <w:t xml:space="preserve"> (</w:t>
      </w:r>
      <w:r w:rsidRPr="00BB3C05">
        <w:t>6</w:t>
      </w:r>
      <w:r w:rsidR="005267B7">
        <w:t>)</w:t>
      </w:r>
      <w:r w:rsidR="00B3467F">
        <w:t>,</w:t>
      </w:r>
      <w:r w:rsidRPr="00BB3C05">
        <w:t xml:space="preserve"> 798-803.</w:t>
      </w:r>
      <w:proofErr w:type="gramEnd"/>
    </w:p>
    <w:p w:rsidR="001767FB" w:rsidRPr="00BB3C05" w:rsidRDefault="001767FB" w:rsidP="001767FB">
      <w:proofErr w:type="gramStart"/>
      <w:r w:rsidRPr="00BB3C05">
        <w:t>Park, I. J., Choi, G. S.</w:t>
      </w:r>
      <w:r w:rsidR="000E2EDC" w:rsidRPr="00BB3C05">
        <w:t xml:space="preserve"> </w:t>
      </w:r>
      <w:r w:rsidR="000E2EDC">
        <w:t>et al</w:t>
      </w:r>
      <w:r w:rsidRPr="00BB3C05">
        <w:t xml:space="preserve"> </w:t>
      </w:r>
      <w:r w:rsidR="00993CAF">
        <w:t>2009.</w:t>
      </w:r>
      <w:proofErr w:type="gramEnd"/>
      <w:r w:rsidRPr="00BB3C05">
        <w:t xml:space="preserve"> </w:t>
      </w:r>
      <w:proofErr w:type="gramStart"/>
      <w:r w:rsidR="00993CAF">
        <w:t>‘</w:t>
      </w:r>
      <w:r w:rsidRPr="00BB3C05">
        <w:t>Comparison of one-stage managements of obstructing left-sided colon and rectal cancer: stent-laparoscopic approach vs. intraoperative colonic lavage</w:t>
      </w:r>
      <w:r w:rsidR="00993CAF">
        <w:t>’</w:t>
      </w:r>
      <w:r w:rsidRPr="00BB3C05">
        <w:t xml:space="preserve">, </w:t>
      </w:r>
      <w:r w:rsidR="00976DB7" w:rsidRPr="00BB3C05">
        <w:rPr>
          <w:i/>
          <w:iCs/>
        </w:rPr>
        <w:t>J</w:t>
      </w:r>
      <w:r w:rsidR="00976DB7">
        <w:rPr>
          <w:i/>
          <w:iCs/>
        </w:rPr>
        <w:t>ournal of</w:t>
      </w:r>
      <w:r w:rsidR="00976DB7" w:rsidRPr="00BB3C05">
        <w:rPr>
          <w:i/>
          <w:iCs/>
        </w:rPr>
        <w:t xml:space="preserve"> Gastrointest</w:t>
      </w:r>
      <w:r w:rsidR="00976DB7">
        <w:rPr>
          <w:i/>
          <w:iCs/>
        </w:rPr>
        <w:t>inal</w:t>
      </w:r>
      <w:r w:rsidR="00976DB7" w:rsidRPr="00BB3C05">
        <w:rPr>
          <w:i/>
          <w:iCs/>
        </w:rPr>
        <w:t xml:space="preserve"> Surg</w:t>
      </w:r>
      <w:r w:rsidR="00976DB7">
        <w:rPr>
          <w:i/>
          <w:iCs/>
        </w:rPr>
        <w:t>ery</w:t>
      </w:r>
      <w:r w:rsidRPr="00BB3C05">
        <w:t>, 13</w:t>
      </w:r>
      <w:r w:rsidR="005267B7">
        <w:t xml:space="preserve"> (</w:t>
      </w:r>
      <w:r w:rsidRPr="00BB3C05">
        <w:t>5</w:t>
      </w:r>
      <w:r w:rsidR="005267B7">
        <w:t>)</w:t>
      </w:r>
      <w:r w:rsidR="00B3467F">
        <w:t>,</w:t>
      </w:r>
      <w:r w:rsidRPr="00BB3C05">
        <w:t xml:space="preserve"> 960-965.</w:t>
      </w:r>
      <w:proofErr w:type="gramEnd"/>
    </w:p>
    <w:p w:rsidR="001767FB" w:rsidRPr="00BB3C05" w:rsidRDefault="001767FB" w:rsidP="001767FB">
      <w:r w:rsidRPr="00BB3C05">
        <w:lastRenderedPageBreak/>
        <w:t>Phillips, N. J., Arnold, S. J.</w:t>
      </w:r>
      <w:r w:rsidR="000E2EDC" w:rsidRPr="00BB3C05">
        <w:t xml:space="preserve"> </w:t>
      </w:r>
      <w:r w:rsidR="000E2EDC">
        <w:t>et al</w:t>
      </w:r>
      <w:r w:rsidRPr="00BB3C05">
        <w:t xml:space="preserve"> </w:t>
      </w:r>
      <w:r w:rsidR="00993CAF">
        <w:t>2011.</w:t>
      </w:r>
      <w:r w:rsidRPr="00BB3C05">
        <w:t xml:space="preserve"> </w:t>
      </w:r>
      <w:proofErr w:type="gramStart"/>
      <w:r w:rsidR="00993CAF">
        <w:t>‘</w:t>
      </w:r>
      <w:r w:rsidRPr="00BB3C05">
        <w:t>The impact of stenting obstructing colorectal tumours in a district general hospital</w:t>
      </w:r>
      <w:r w:rsidR="00993CAF">
        <w:t>’</w:t>
      </w:r>
      <w:r w:rsidRPr="00BB3C05">
        <w:t xml:space="preserve">, </w:t>
      </w:r>
      <w:r w:rsidRPr="00BB3C05">
        <w:rPr>
          <w:i/>
          <w:iCs/>
        </w:rPr>
        <w:t>Int</w:t>
      </w:r>
      <w:r w:rsidR="00976DB7">
        <w:rPr>
          <w:i/>
          <w:iCs/>
        </w:rPr>
        <w:t>ernational</w:t>
      </w:r>
      <w:r w:rsidRPr="00BB3C05">
        <w:rPr>
          <w:i/>
          <w:iCs/>
        </w:rPr>
        <w:t xml:space="preserve"> J</w:t>
      </w:r>
      <w:r w:rsidR="00976DB7">
        <w:rPr>
          <w:i/>
          <w:iCs/>
        </w:rPr>
        <w:t>ournal of</w:t>
      </w:r>
      <w:r w:rsidRPr="00BB3C05">
        <w:rPr>
          <w:i/>
          <w:iCs/>
        </w:rPr>
        <w:t xml:space="preserve"> Surg</w:t>
      </w:r>
      <w:r w:rsidR="00976DB7">
        <w:rPr>
          <w:i/>
          <w:iCs/>
        </w:rPr>
        <w:t>ery</w:t>
      </w:r>
      <w:r w:rsidRPr="00BB3C05">
        <w:t>, 9</w:t>
      </w:r>
      <w:r w:rsidR="005267B7">
        <w:t xml:space="preserve"> (</w:t>
      </w:r>
      <w:r w:rsidRPr="00BB3C05">
        <w:t>2</w:t>
      </w:r>
      <w:r w:rsidR="005267B7">
        <w:t>)</w:t>
      </w:r>
      <w:r w:rsidR="00B3467F">
        <w:t>,</w:t>
      </w:r>
      <w:r w:rsidRPr="00BB3C05">
        <w:t xml:space="preserve"> 165-168.</w:t>
      </w:r>
      <w:proofErr w:type="gramEnd"/>
    </w:p>
    <w:p w:rsidR="00E907BB" w:rsidRPr="00BB3C05" w:rsidRDefault="00E907BB" w:rsidP="00E907BB">
      <w:proofErr w:type="gramStart"/>
      <w:r w:rsidRPr="00BB3C05">
        <w:t>Pirlet, I. A., Slim, K.</w:t>
      </w:r>
      <w:r w:rsidR="000E2EDC" w:rsidRPr="00BB3C05">
        <w:t xml:space="preserve"> </w:t>
      </w:r>
      <w:r w:rsidR="000E2EDC">
        <w:t>et al</w:t>
      </w:r>
      <w:r w:rsidRPr="00BB3C05">
        <w:t xml:space="preserve"> </w:t>
      </w:r>
      <w:r w:rsidR="00993CAF">
        <w:t>2011.</w:t>
      </w:r>
      <w:proofErr w:type="gramEnd"/>
      <w:r w:rsidRPr="00BB3C05">
        <w:t xml:space="preserve"> </w:t>
      </w:r>
      <w:r w:rsidR="00993CAF">
        <w:t>‘</w:t>
      </w:r>
      <w:r w:rsidRPr="00BB3C05">
        <w:t>Emergency preoperative stenting versus surgery for acute left-sided malignant colonic obstruction: a multicenter randomized controlled trial</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25</w:t>
      </w:r>
      <w:r w:rsidR="005267B7">
        <w:t xml:space="preserve"> (</w:t>
      </w:r>
      <w:r w:rsidRPr="00BB3C05">
        <w:t>6</w:t>
      </w:r>
      <w:r w:rsidR="005267B7">
        <w:t>)</w:t>
      </w:r>
      <w:r w:rsidR="00B3467F">
        <w:t>,</w:t>
      </w:r>
      <w:r w:rsidRPr="00BB3C05">
        <w:t xml:space="preserve"> 1814-1821.</w:t>
      </w:r>
    </w:p>
    <w:p w:rsidR="00E907BB" w:rsidRPr="00BB3C05" w:rsidRDefault="00E907BB" w:rsidP="00E907BB">
      <w:r w:rsidRPr="00BB3C05">
        <w:t>Ptok, H., Marusch, F.</w:t>
      </w:r>
      <w:r w:rsidR="000E2EDC" w:rsidRPr="00BB3C05">
        <w:t xml:space="preserve"> </w:t>
      </w:r>
      <w:r w:rsidR="000E2EDC">
        <w:t>et al</w:t>
      </w:r>
      <w:r w:rsidRPr="00BB3C05">
        <w:t xml:space="preserve"> </w:t>
      </w:r>
      <w:r w:rsidR="00993CAF">
        <w:t>2006.</w:t>
      </w:r>
      <w:r w:rsidRPr="00BB3C05">
        <w:t xml:space="preserve"> </w:t>
      </w:r>
      <w:r w:rsidR="00993CAF">
        <w:t>‘</w:t>
      </w:r>
      <w:r w:rsidRPr="00BB3C05">
        <w:t>Incurable stenosing colorectal carcinoma: endoscopic stent implantation or palliative surgery?</w:t>
      </w:r>
      <w:proofErr w:type="gramStart"/>
      <w:r w:rsidR="00993CAF">
        <w:t>’</w:t>
      </w:r>
      <w:r w:rsidRPr="00BB3C05">
        <w:t>,</w:t>
      </w:r>
      <w:proofErr w:type="gramEnd"/>
      <w:r w:rsidRPr="00BB3C05">
        <w:t xml:space="preserve"> </w:t>
      </w:r>
      <w:r w:rsidRPr="00BB3C05">
        <w:rPr>
          <w:i/>
          <w:iCs/>
        </w:rPr>
        <w:t>World J</w:t>
      </w:r>
      <w:r w:rsidR="00976DB7">
        <w:rPr>
          <w:i/>
          <w:iCs/>
        </w:rPr>
        <w:t>ournal of</w:t>
      </w:r>
      <w:r w:rsidRPr="00BB3C05">
        <w:rPr>
          <w:i/>
          <w:iCs/>
        </w:rPr>
        <w:t xml:space="preserve"> Surg</w:t>
      </w:r>
      <w:r w:rsidR="00976DB7">
        <w:rPr>
          <w:i/>
          <w:iCs/>
        </w:rPr>
        <w:t>ery</w:t>
      </w:r>
      <w:r w:rsidRPr="00BB3C05">
        <w:t>, 30</w:t>
      </w:r>
      <w:r w:rsidR="005267B7">
        <w:t xml:space="preserve"> (</w:t>
      </w:r>
      <w:r w:rsidRPr="00BB3C05">
        <w:t>8</w:t>
      </w:r>
      <w:r w:rsidR="005267B7">
        <w:t>)</w:t>
      </w:r>
      <w:r w:rsidR="00B3467F">
        <w:t>,</w:t>
      </w:r>
      <w:r w:rsidRPr="00BB3C05">
        <w:t xml:space="preserve"> 1481-1487.</w:t>
      </w:r>
    </w:p>
    <w:p w:rsidR="001767FB" w:rsidRPr="00BB3C05" w:rsidRDefault="001767FB" w:rsidP="001767FB">
      <w:r w:rsidRPr="00BB3C05">
        <w:t>Saida, Y., Sumiyama, Y.</w:t>
      </w:r>
      <w:r w:rsidR="000E2EDC" w:rsidRPr="00BB3C05">
        <w:t xml:space="preserve"> </w:t>
      </w:r>
      <w:r w:rsidR="000E2EDC">
        <w:t>et al</w:t>
      </w:r>
      <w:r w:rsidRPr="00BB3C05">
        <w:t xml:space="preserve"> </w:t>
      </w:r>
      <w:r w:rsidR="00993CAF">
        <w:t>2003.</w:t>
      </w:r>
      <w:r w:rsidRPr="00BB3C05">
        <w:t xml:space="preserve"> </w:t>
      </w:r>
      <w:proofErr w:type="gramStart"/>
      <w:r w:rsidR="00993CAF">
        <w:t>‘</w:t>
      </w:r>
      <w:r w:rsidRPr="00BB3C05">
        <w:t xml:space="preserve">Long-term prognosis of preoperative </w:t>
      </w:r>
      <w:r w:rsidR="00993CAF">
        <w:t>‘</w:t>
      </w:r>
      <w:r w:rsidRPr="00BB3C05">
        <w:t>bridge to surgery</w:t>
      </w:r>
      <w:r w:rsidR="00993CAF">
        <w:t>’</w:t>
      </w:r>
      <w:r w:rsidRPr="00BB3C05">
        <w:t xml:space="preserve"> expandable metallic stent insertion for obstructive colorectal cancer: comparison with emergency operation</w:t>
      </w:r>
      <w:r w:rsidR="00993CAF">
        <w:t>’</w:t>
      </w:r>
      <w:r w:rsidRPr="00BB3C05">
        <w:t xml:space="preserve">, </w:t>
      </w:r>
      <w:r w:rsidRPr="00BB3C05">
        <w:rPr>
          <w:i/>
          <w:iCs/>
        </w:rPr>
        <w:t>Dis</w:t>
      </w:r>
      <w:r w:rsidR="00976DB7">
        <w:rPr>
          <w:i/>
          <w:iCs/>
        </w:rPr>
        <w:t>eases of the</w:t>
      </w:r>
      <w:r w:rsidRPr="00BB3C05">
        <w:rPr>
          <w:i/>
          <w:iCs/>
        </w:rPr>
        <w:t xml:space="preserve"> Colon </w:t>
      </w:r>
      <w:r w:rsidR="00976DB7">
        <w:rPr>
          <w:i/>
          <w:iCs/>
        </w:rPr>
        <w:t xml:space="preserve">and </w:t>
      </w:r>
      <w:r w:rsidRPr="00BB3C05">
        <w:rPr>
          <w:i/>
          <w:iCs/>
        </w:rPr>
        <w:t>Rectum</w:t>
      </w:r>
      <w:r w:rsidRPr="00BB3C05">
        <w:t>, 46</w:t>
      </w:r>
      <w:r w:rsidR="000C594B">
        <w:t xml:space="preserve"> (</w:t>
      </w:r>
      <w:r w:rsidRPr="00BB3C05">
        <w:t>Suppl</w:t>
      </w:r>
      <w:r w:rsidR="000C594B">
        <w:t>. 10)</w:t>
      </w:r>
      <w:r w:rsidRPr="00BB3C05">
        <w:t>, S44-S49.</w:t>
      </w:r>
      <w:proofErr w:type="gramEnd"/>
    </w:p>
    <w:p w:rsidR="001767FB" w:rsidRPr="00BB3C05" w:rsidRDefault="001767FB" w:rsidP="001767FB">
      <w:r w:rsidRPr="00BB3C05">
        <w:t>S</w:t>
      </w:r>
      <w:r w:rsidR="00804777" w:rsidRPr="00BB3C05">
        <w:t>u</w:t>
      </w:r>
      <w:r w:rsidR="00FC7B80" w:rsidRPr="00BB3C05">
        <w:t>arez</w:t>
      </w:r>
      <w:r w:rsidRPr="00BB3C05">
        <w:t>, J., Jiménez, J.</w:t>
      </w:r>
      <w:r w:rsidR="000E2EDC" w:rsidRPr="00BB3C05">
        <w:t xml:space="preserve"> </w:t>
      </w:r>
      <w:r w:rsidR="000E2EDC">
        <w:t>et al</w:t>
      </w:r>
      <w:r w:rsidRPr="00BB3C05">
        <w:t xml:space="preserve"> </w:t>
      </w:r>
      <w:r w:rsidR="00993CAF">
        <w:t>2010.</w:t>
      </w:r>
      <w:r w:rsidRPr="00BB3C05">
        <w:t xml:space="preserve"> </w:t>
      </w:r>
      <w:r w:rsidR="00993CAF">
        <w:t>‘</w:t>
      </w:r>
      <w:r w:rsidRPr="00BB3C05">
        <w:t>Stent or surgery for incurable obstructive colorectal cancer: an individualized decision</w:t>
      </w:r>
      <w:r w:rsidR="00993CAF">
        <w:t>’</w:t>
      </w:r>
      <w:r w:rsidRPr="00BB3C05">
        <w:t xml:space="preserve">, </w:t>
      </w:r>
      <w:r w:rsidRPr="0007443E">
        <w:rPr>
          <w:i/>
        </w:rPr>
        <w:t>Int</w:t>
      </w:r>
      <w:r w:rsidR="00976DB7">
        <w:rPr>
          <w:i/>
        </w:rPr>
        <w:t>ernational</w:t>
      </w:r>
      <w:r w:rsidRPr="0007443E">
        <w:rPr>
          <w:i/>
        </w:rPr>
        <w:t xml:space="preserve"> J</w:t>
      </w:r>
      <w:r w:rsidR="00976DB7">
        <w:rPr>
          <w:i/>
        </w:rPr>
        <w:t>ournal of</w:t>
      </w:r>
      <w:r w:rsidRPr="0007443E">
        <w:rPr>
          <w:i/>
        </w:rPr>
        <w:t xml:space="preserve"> Colorectal Dis</w:t>
      </w:r>
      <w:r w:rsidR="00976DB7">
        <w:rPr>
          <w:i/>
        </w:rPr>
        <w:t>ease</w:t>
      </w:r>
      <w:r w:rsidRPr="00BB3C05">
        <w:t>, 25</w:t>
      </w:r>
      <w:r w:rsidR="00B3467F">
        <w:t xml:space="preserve"> (1)</w:t>
      </w:r>
      <w:r w:rsidR="009C3E87">
        <w:t>,</w:t>
      </w:r>
      <w:r w:rsidRPr="00BB3C05">
        <w:t xml:space="preserve"> 91–96.</w:t>
      </w:r>
    </w:p>
    <w:p w:rsidR="001767FB" w:rsidRPr="00BB3C05" w:rsidRDefault="001767FB" w:rsidP="001767FB">
      <w:proofErr w:type="gramStart"/>
      <w:r w:rsidRPr="00BB3C05">
        <w:t>van</w:t>
      </w:r>
      <w:proofErr w:type="gramEnd"/>
      <w:r w:rsidRPr="00BB3C05">
        <w:t xml:space="preserve"> Hooft, J. E., Fockens, P.</w:t>
      </w:r>
      <w:r w:rsidR="000E2EDC" w:rsidRPr="00BB3C05">
        <w:t xml:space="preserve"> </w:t>
      </w:r>
      <w:r w:rsidR="000E2EDC">
        <w:t>et al</w:t>
      </w:r>
      <w:r w:rsidRPr="00BB3C05">
        <w:t xml:space="preserve"> </w:t>
      </w:r>
      <w:r w:rsidR="00993CAF">
        <w:t>2008.</w:t>
      </w:r>
      <w:r w:rsidRPr="00BB3C05">
        <w:t xml:space="preserve"> </w:t>
      </w:r>
      <w:proofErr w:type="gramStart"/>
      <w:r w:rsidR="00993CAF">
        <w:t>‘</w:t>
      </w:r>
      <w:r w:rsidRPr="00BB3C05">
        <w:t>Early closure of a multicenter randomized clinical trial of endoscopic stenting versus surgery for stage IV left-sided colorectal cancer</w:t>
      </w:r>
      <w:r w:rsidR="00993CAF">
        <w:t>’</w:t>
      </w:r>
      <w:r w:rsidRPr="00BB3C05">
        <w:t xml:space="preserve">, </w:t>
      </w:r>
      <w:r w:rsidRPr="0007443E">
        <w:rPr>
          <w:i/>
        </w:rPr>
        <w:t>Endoscopy</w:t>
      </w:r>
      <w:r w:rsidRPr="00BB3C05">
        <w:t>, 40</w:t>
      </w:r>
      <w:r w:rsidR="005267B7">
        <w:t xml:space="preserve"> (</w:t>
      </w:r>
      <w:r w:rsidRPr="00BB3C05">
        <w:t>3</w:t>
      </w:r>
      <w:r w:rsidR="005267B7">
        <w:t>)</w:t>
      </w:r>
      <w:r w:rsidR="00B3467F">
        <w:t>,</w:t>
      </w:r>
      <w:r w:rsidRPr="00BB3C05">
        <w:t xml:space="preserve"> 184-191.</w:t>
      </w:r>
      <w:proofErr w:type="gramEnd"/>
    </w:p>
    <w:p w:rsidR="001767FB" w:rsidRPr="00BB3C05" w:rsidRDefault="001767FB" w:rsidP="001767FB">
      <w:proofErr w:type="gramStart"/>
      <w:r w:rsidRPr="00BB3C05">
        <w:t>van</w:t>
      </w:r>
      <w:proofErr w:type="gramEnd"/>
      <w:r w:rsidRPr="00BB3C05">
        <w:t xml:space="preserve"> Hooft, J.E.,  Bemelman, W.A.</w:t>
      </w:r>
      <w:r w:rsidR="000E2EDC" w:rsidRPr="00BB3C05">
        <w:t xml:space="preserve"> </w:t>
      </w:r>
      <w:r w:rsidR="000E2EDC">
        <w:t>et al</w:t>
      </w:r>
      <w:r w:rsidRPr="00BB3C05">
        <w:t xml:space="preserve"> </w:t>
      </w:r>
      <w:r w:rsidR="00993CAF">
        <w:t>2011.</w:t>
      </w:r>
      <w:r w:rsidRPr="00BB3C05">
        <w:t xml:space="preserve"> </w:t>
      </w:r>
      <w:r w:rsidR="00993CAF">
        <w:t>‘</w:t>
      </w:r>
      <w:r w:rsidRPr="00BB3C05">
        <w:t>Colonic stenting versus emergency surgery for acute left-sided malignant colonic obstruction: a multicentre randomised trial</w:t>
      </w:r>
      <w:r w:rsidR="00993CAF">
        <w:t>’</w:t>
      </w:r>
      <w:r w:rsidRPr="00BB3C05">
        <w:t xml:space="preserve">, </w:t>
      </w:r>
      <w:r w:rsidR="00976DB7" w:rsidRPr="0007443E">
        <w:rPr>
          <w:i/>
        </w:rPr>
        <w:t xml:space="preserve">The </w:t>
      </w:r>
      <w:r w:rsidRPr="0007443E">
        <w:rPr>
          <w:i/>
        </w:rPr>
        <w:t>Lancet Oncol</w:t>
      </w:r>
      <w:r w:rsidR="00976DB7" w:rsidRPr="0007443E">
        <w:rPr>
          <w:i/>
        </w:rPr>
        <w:t>ogy</w:t>
      </w:r>
      <w:r w:rsidRPr="00BB3C05">
        <w:t>, 12</w:t>
      </w:r>
      <w:r w:rsidR="00B3467F">
        <w:t xml:space="preserve"> (4)</w:t>
      </w:r>
      <w:r w:rsidR="009C3E87">
        <w:t xml:space="preserve">, </w:t>
      </w:r>
      <w:r w:rsidRPr="00BB3C05">
        <w:t xml:space="preserve">344–52. </w:t>
      </w:r>
    </w:p>
    <w:p w:rsidR="00E907BB" w:rsidRPr="00BB3C05" w:rsidRDefault="00E907BB" w:rsidP="00E907BB">
      <w:r w:rsidRPr="00BB3C05">
        <w:t>White, S. I., Abdool, S. I.</w:t>
      </w:r>
      <w:r w:rsidR="000E2EDC" w:rsidRPr="00BB3C05">
        <w:t xml:space="preserve"> </w:t>
      </w:r>
      <w:r w:rsidR="000E2EDC">
        <w:t>et al</w:t>
      </w:r>
      <w:r w:rsidRPr="00BB3C05">
        <w:t xml:space="preserve"> </w:t>
      </w:r>
      <w:r w:rsidR="00993CAF">
        <w:t>2011.</w:t>
      </w:r>
      <w:r w:rsidRPr="00BB3C05">
        <w:t xml:space="preserve"> </w:t>
      </w:r>
      <w:proofErr w:type="gramStart"/>
      <w:r w:rsidR="00993CAF">
        <w:t>‘</w:t>
      </w:r>
      <w:r w:rsidRPr="00BB3C05">
        <w:t>Management of malignant left-sided large bowel obstruction: a comparison between colonic stents and surgery</w:t>
      </w:r>
      <w:r w:rsidR="00993CAF">
        <w:t>’</w:t>
      </w:r>
      <w:r w:rsidRPr="00BB3C05">
        <w:t xml:space="preserve">, </w:t>
      </w:r>
      <w:r w:rsidRPr="00BB3C05">
        <w:rPr>
          <w:i/>
          <w:iCs/>
        </w:rPr>
        <w:t>ANZ J</w:t>
      </w:r>
      <w:r w:rsidR="00976DB7">
        <w:rPr>
          <w:i/>
          <w:iCs/>
        </w:rPr>
        <w:t>ournal of</w:t>
      </w:r>
      <w:r w:rsidRPr="00BB3C05">
        <w:rPr>
          <w:i/>
          <w:iCs/>
        </w:rPr>
        <w:t xml:space="preserve"> Surg</w:t>
      </w:r>
      <w:r w:rsidR="00976DB7">
        <w:rPr>
          <w:i/>
          <w:iCs/>
        </w:rPr>
        <w:t>ery</w:t>
      </w:r>
      <w:r w:rsidRPr="00BB3C05">
        <w:t>, 81</w:t>
      </w:r>
      <w:r w:rsidR="005267B7">
        <w:t xml:space="preserve"> (</w:t>
      </w:r>
      <w:r w:rsidRPr="00BB3C05">
        <w:t>4</w:t>
      </w:r>
      <w:r w:rsidR="005267B7">
        <w:t>)</w:t>
      </w:r>
      <w:r w:rsidR="00B3467F">
        <w:t>,</w:t>
      </w:r>
      <w:r w:rsidRPr="00BB3C05">
        <w:t xml:space="preserve"> 257-260.</w:t>
      </w:r>
      <w:proofErr w:type="gramEnd"/>
    </w:p>
    <w:p w:rsidR="009C594D" w:rsidRPr="00BB3C05" w:rsidRDefault="009C594D" w:rsidP="00530E94">
      <w:pPr>
        <w:pStyle w:val="Heading3"/>
      </w:pPr>
      <w:r w:rsidRPr="00BB3C05">
        <w:t>Inappropriate or no clinical data</w:t>
      </w:r>
    </w:p>
    <w:p w:rsidR="009C594D" w:rsidRPr="00BB3C05" w:rsidRDefault="009C594D" w:rsidP="009C594D">
      <w:r w:rsidRPr="00BB3C05">
        <w:t>Siddiqui, A., Khandelwal, N.</w:t>
      </w:r>
      <w:r w:rsidR="000E2EDC" w:rsidRPr="00BB3C05">
        <w:t xml:space="preserve"> </w:t>
      </w:r>
      <w:r w:rsidR="000E2EDC">
        <w:t>et al</w:t>
      </w:r>
      <w:r w:rsidRPr="00BB3C05">
        <w:t xml:space="preserve"> </w:t>
      </w:r>
      <w:r w:rsidR="00993CAF">
        <w:t>2007.</w:t>
      </w:r>
      <w:r w:rsidRPr="00BB3C05">
        <w:t xml:space="preserve"> </w:t>
      </w:r>
      <w:proofErr w:type="gramStart"/>
      <w:r w:rsidR="00993CAF">
        <w:t>‘</w:t>
      </w:r>
      <w:r w:rsidRPr="00BB3C05">
        <w:t>Colonic stent versus surgery for the management of acute malignant colonic obstruction: a decision analysis</w:t>
      </w:r>
      <w:r w:rsidR="00993CAF">
        <w:t>’</w:t>
      </w:r>
      <w:r w:rsidRPr="00BB3C05">
        <w:t xml:space="preserve">, </w:t>
      </w:r>
      <w:r w:rsidRPr="00BB3C05">
        <w:rPr>
          <w:i/>
          <w:iCs/>
        </w:rPr>
        <w:t>Aliment</w:t>
      </w:r>
      <w:r w:rsidR="00976DB7">
        <w:rPr>
          <w:i/>
          <w:iCs/>
        </w:rPr>
        <w:t>ary</w:t>
      </w:r>
      <w:r w:rsidRPr="00BB3C05">
        <w:rPr>
          <w:i/>
          <w:iCs/>
        </w:rPr>
        <w:t xml:space="preserve"> Pharmacol</w:t>
      </w:r>
      <w:r w:rsidR="00976DB7">
        <w:rPr>
          <w:i/>
          <w:iCs/>
        </w:rPr>
        <w:t>ogy and</w:t>
      </w:r>
      <w:r w:rsidRPr="00BB3C05">
        <w:rPr>
          <w:i/>
          <w:iCs/>
        </w:rPr>
        <w:t xml:space="preserve"> Ther</w:t>
      </w:r>
      <w:r w:rsidR="00976DB7">
        <w:rPr>
          <w:i/>
          <w:iCs/>
        </w:rPr>
        <w:t>apeutics</w:t>
      </w:r>
      <w:r w:rsidRPr="00BB3C05">
        <w:t>, 26</w:t>
      </w:r>
      <w:r w:rsidR="005267B7">
        <w:t xml:space="preserve"> (</w:t>
      </w:r>
      <w:r w:rsidRPr="00BB3C05">
        <w:t>10</w:t>
      </w:r>
      <w:r w:rsidR="005267B7">
        <w:t>)</w:t>
      </w:r>
      <w:r w:rsidR="00B3467F">
        <w:t>,</w:t>
      </w:r>
      <w:r w:rsidRPr="00BB3C05">
        <w:t xml:space="preserve"> 1379-1386.</w:t>
      </w:r>
      <w:proofErr w:type="gramEnd"/>
    </w:p>
    <w:p w:rsidR="009C594D" w:rsidRPr="00BB3C05" w:rsidRDefault="009C594D" w:rsidP="009C594D">
      <w:r w:rsidRPr="00BB3C05">
        <w:t>Singh, H., Latosinsky, S.</w:t>
      </w:r>
      <w:r w:rsidR="000E2EDC" w:rsidRPr="00BB3C05">
        <w:t xml:space="preserve"> </w:t>
      </w:r>
      <w:r w:rsidR="000E2EDC">
        <w:t>et al</w:t>
      </w:r>
      <w:r w:rsidRPr="00BB3C05">
        <w:t xml:space="preserve"> </w:t>
      </w:r>
      <w:r w:rsidR="00993CAF">
        <w:t>2006.</w:t>
      </w:r>
      <w:r w:rsidRPr="00BB3C05">
        <w:t xml:space="preserve"> </w:t>
      </w:r>
      <w:proofErr w:type="gramStart"/>
      <w:r w:rsidR="00993CAF">
        <w:t>‘</w:t>
      </w:r>
      <w:r w:rsidRPr="00BB3C05">
        <w:t>The cost-effectiveness of colonic stenting as a bridge to curative surgery in patients with acute left-sided malignant colonic obstruction: a Canadian perspective</w:t>
      </w:r>
      <w:r w:rsidR="00993CAF">
        <w:t>’</w:t>
      </w:r>
      <w:r w:rsidRPr="00BB3C05">
        <w:t xml:space="preserve">, </w:t>
      </w:r>
      <w:r w:rsidRPr="00BB3C05">
        <w:rPr>
          <w:i/>
          <w:iCs/>
        </w:rPr>
        <w:t>Can</w:t>
      </w:r>
      <w:r w:rsidR="00976DB7">
        <w:rPr>
          <w:i/>
          <w:iCs/>
        </w:rPr>
        <w:t>adian</w:t>
      </w:r>
      <w:r w:rsidRPr="00BB3C05">
        <w:rPr>
          <w:i/>
          <w:iCs/>
        </w:rPr>
        <w:t xml:space="preserve"> J</w:t>
      </w:r>
      <w:r w:rsidR="00976DB7">
        <w:rPr>
          <w:i/>
          <w:iCs/>
        </w:rPr>
        <w:t>ournal of</w:t>
      </w:r>
      <w:r w:rsidRPr="00BB3C05">
        <w:rPr>
          <w:i/>
          <w:iCs/>
        </w:rPr>
        <w:t xml:space="preserve"> Gastroenterol</w:t>
      </w:r>
      <w:r w:rsidR="00976DB7">
        <w:rPr>
          <w:i/>
          <w:iCs/>
        </w:rPr>
        <w:t>ogy</w:t>
      </w:r>
      <w:r w:rsidRPr="00BB3C05">
        <w:t>, 20</w:t>
      </w:r>
      <w:r w:rsidR="005267B7">
        <w:t xml:space="preserve"> (</w:t>
      </w:r>
      <w:r w:rsidRPr="00BB3C05">
        <w:t>12</w:t>
      </w:r>
      <w:r w:rsidR="005267B7">
        <w:t>)</w:t>
      </w:r>
      <w:r w:rsidR="00B3467F">
        <w:t>,</w:t>
      </w:r>
      <w:r w:rsidRPr="00BB3C05">
        <w:t xml:space="preserve"> 779-785.</w:t>
      </w:r>
      <w:proofErr w:type="gramEnd"/>
    </w:p>
    <w:p w:rsidR="009C594D" w:rsidRPr="00BB3C05" w:rsidRDefault="009C594D" w:rsidP="009C594D">
      <w:r w:rsidRPr="00BB3C05">
        <w:t>Targownik, L. E., Spiegel, B. M.</w:t>
      </w:r>
      <w:r w:rsidR="000E2EDC" w:rsidRPr="00BB3C05">
        <w:t xml:space="preserve"> </w:t>
      </w:r>
      <w:r w:rsidR="000E2EDC">
        <w:t>et al</w:t>
      </w:r>
      <w:r w:rsidRPr="00BB3C05">
        <w:t xml:space="preserve"> </w:t>
      </w:r>
      <w:r w:rsidR="00993CAF">
        <w:t>2004.</w:t>
      </w:r>
      <w:r w:rsidRPr="00BB3C05">
        <w:t xml:space="preserve"> </w:t>
      </w:r>
      <w:proofErr w:type="gramStart"/>
      <w:r w:rsidR="00993CAF">
        <w:t>‘</w:t>
      </w:r>
      <w:r w:rsidRPr="00BB3C05">
        <w:t>Colonic stent vs. emergency surgery for management of acute left-sided malignant colonic obstruction: a decision analysis</w:t>
      </w:r>
      <w:r w:rsidR="00993CAF">
        <w:t>’</w:t>
      </w:r>
      <w:r w:rsidRPr="00BB3C05">
        <w:t xml:space="preserve">, </w:t>
      </w:r>
      <w:r w:rsidRPr="00BB3C05">
        <w:rPr>
          <w:i/>
          <w:iCs/>
        </w:rPr>
        <w:t>Gastrointest</w:t>
      </w:r>
      <w:r w:rsidR="00976DB7">
        <w:rPr>
          <w:i/>
          <w:iCs/>
        </w:rPr>
        <w:t>inal</w:t>
      </w:r>
      <w:r w:rsidRPr="00BB3C05">
        <w:rPr>
          <w:i/>
          <w:iCs/>
        </w:rPr>
        <w:t xml:space="preserve"> Endosc</w:t>
      </w:r>
      <w:r w:rsidR="00976DB7">
        <w:rPr>
          <w:i/>
          <w:iCs/>
        </w:rPr>
        <w:t>opy</w:t>
      </w:r>
      <w:r w:rsidRPr="00BB3C05">
        <w:t>, 60</w:t>
      </w:r>
      <w:r w:rsidR="005267B7">
        <w:t xml:space="preserve"> (</w:t>
      </w:r>
      <w:r w:rsidRPr="00BB3C05">
        <w:t>6</w:t>
      </w:r>
      <w:r w:rsidR="005267B7">
        <w:t>)</w:t>
      </w:r>
      <w:r w:rsidR="00B3467F">
        <w:t>,</w:t>
      </w:r>
      <w:r w:rsidRPr="00BB3C05">
        <w:t xml:space="preserve"> 865-874.</w:t>
      </w:r>
      <w:proofErr w:type="gramEnd"/>
    </w:p>
    <w:p w:rsidR="009C594D" w:rsidRPr="00BB3C05" w:rsidRDefault="009C594D" w:rsidP="009C594D">
      <w:proofErr w:type="gramStart"/>
      <w:r w:rsidRPr="00BB3C05">
        <w:t>van</w:t>
      </w:r>
      <w:proofErr w:type="gramEnd"/>
      <w:r w:rsidRPr="00BB3C05">
        <w:t xml:space="preserve"> Hooft, J. E., Bemelman, W. A.</w:t>
      </w:r>
      <w:r w:rsidR="000E2EDC" w:rsidRPr="00BB3C05">
        <w:t xml:space="preserve"> </w:t>
      </w:r>
      <w:r w:rsidR="000E2EDC">
        <w:t>et al</w:t>
      </w:r>
      <w:r w:rsidRPr="00BB3C05">
        <w:t xml:space="preserve"> </w:t>
      </w:r>
      <w:r w:rsidR="00993CAF">
        <w:t>2007.</w:t>
      </w:r>
      <w:r w:rsidRPr="00BB3C05">
        <w:t xml:space="preserve"> </w:t>
      </w:r>
      <w:r w:rsidR="00993CAF">
        <w:t>‘</w:t>
      </w:r>
      <w:r w:rsidRPr="00BB3C05">
        <w:t>Colonic stenting as bridge to surgery versus emergency surgery for management of acute left-sided malignant colonic obstruction: a multicenter randomized trial (Stent-in 2 study)</w:t>
      </w:r>
      <w:r w:rsidR="00993CAF">
        <w:t>’</w:t>
      </w:r>
      <w:r w:rsidRPr="00BB3C05">
        <w:t xml:space="preserve">, </w:t>
      </w:r>
      <w:r w:rsidRPr="00BB3C05">
        <w:rPr>
          <w:i/>
          <w:iCs/>
        </w:rPr>
        <w:t>BMC Surg</w:t>
      </w:r>
      <w:r w:rsidR="00976DB7">
        <w:rPr>
          <w:i/>
          <w:iCs/>
        </w:rPr>
        <w:t>ery</w:t>
      </w:r>
      <w:r w:rsidRPr="00BB3C05">
        <w:t>, 7</w:t>
      </w:r>
      <w:r w:rsidR="00B3467F">
        <w:t xml:space="preserve"> (</w:t>
      </w:r>
      <w:r w:rsidRPr="00BB3C05">
        <w:t>12</w:t>
      </w:r>
      <w:r w:rsidR="00B3467F">
        <w:t>), 1-7.</w:t>
      </w:r>
    </w:p>
    <w:p w:rsidR="009C594D" w:rsidRPr="00BB3C05" w:rsidRDefault="00A82FC6" w:rsidP="00530E94">
      <w:pPr>
        <w:pStyle w:val="Heading3"/>
      </w:pPr>
      <w:r w:rsidRPr="00BB3C05">
        <w:t xml:space="preserve">Inappropriate intervention </w:t>
      </w:r>
    </w:p>
    <w:p w:rsidR="002460A9" w:rsidRPr="00BB3C05" w:rsidRDefault="002460A9" w:rsidP="002460A9">
      <w:proofErr w:type="gramStart"/>
      <w:r w:rsidRPr="00BB3C05">
        <w:t>Foo, C. C., Poon, J. T.</w:t>
      </w:r>
      <w:r w:rsidR="000E2EDC">
        <w:t xml:space="preserve"> and </w:t>
      </w:r>
      <w:r w:rsidRPr="00BB3C05">
        <w:t xml:space="preserve">Law, W. L. </w:t>
      </w:r>
      <w:r w:rsidR="00993CAF">
        <w:t>2011.</w:t>
      </w:r>
      <w:proofErr w:type="gramEnd"/>
      <w:r w:rsidRPr="00BB3C05">
        <w:t xml:space="preserve"> </w:t>
      </w:r>
      <w:proofErr w:type="gramStart"/>
      <w:r w:rsidR="00993CAF">
        <w:t>‘</w:t>
      </w:r>
      <w:r w:rsidRPr="00BB3C05">
        <w:t>Self-expanding metallic stents for acute left-sided large-bowel obstruction: a review of 130 patients</w:t>
      </w:r>
      <w:r w:rsidR="00993CAF">
        <w:t>’</w:t>
      </w:r>
      <w:r w:rsidRPr="00BB3C05">
        <w:t xml:space="preserve">, </w:t>
      </w:r>
      <w:r w:rsidRPr="00BB3C05">
        <w:rPr>
          <w:i/>
          <w:iCs/>
        </w:rPr>
        <w:t>Colorectal Dis</w:t>
      </w:r>
      <w:r w:rsidR="00976DB7">
        <w:rPr>
          <w:i/>
          <w:iCs/>
        </w:rPr>
        <w:t>ease</w:t>
      </w:r>
      <w:r w:rsidRPr="00BB3C05">
        <w:t>, 13</w:t>
      </w:r>
      <w:r w:rsidR="005267B7">
        <w:t xml:space="preserve"> (</w:t>
      </w:r>
      <w:r w:rsidRPr="00BB3C05">
        <w:t>5</w:t>
      </w:r>
      <w:r w:rsidR="005267B7">
        <w:t>)</w:t>
      </w:r>
      <w:r w:rsidR="00B3467F">
        <w:t>,</w:t>
      </w:r>
      <w:r w:rsidRPr="00BB3C05">
        <w:t xml:space="preserve"> 549-554.</w:t>
      </w:r>
      <w:proofErr w:type="gramEnd"/>
    </w:p>
    <w:p w:rsidR="009C594D" w:rsidRPr="00BB3C05" w:rsidRDefault="009C594D" w:rsidP="009C594D">
      <w:r w:rsidRPr="00BB3C05">
        <w:lastRenderedPageBreak/>
        <w:t>Tomiki, Y., Watanabe, T.</w:t>
      </w:r>
      <w:r w:rsidR="000E2EDC" w:rsidRPr="00BB3C05">
        <w:t xml:space="preserve"> </w:t>
      </w:r>
      <w:r w:rsidR="000E2EDC">
        <w:t>et al</w:t>
      </w:r>
      <w:r w:rsidRPr="00BB3C05">
        <w:t xml:space="preserve"> </w:t>
      </w:r>
      <w:r w:rsidR="00993CAF">
        <w:t>2004.</w:t>
      </w:r>
      <w:r w:rsidRPr="00BB3C05">
        <w:t xml:space="preserve"> </w:t>
      </w:r>
      <w:proofErr w:type="gramStart"/>
      <w:r w:rsidR="00993CAF">
        <w:t>‘</w:t>
      </w:r>
      <w:r w:rsidRPr="00BB3C05">
        <w:t>Comparison of stent placement and colostomy as palliative treatment for inoperable malignant colorectal obstruction</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18</w:t>
      </w:r>
      <w:r w:rsidR="005267B7">
        <w:t xml:space="preserve"> (</w:t>
      </w:r>
      <w:r w:rsidRPr="00BB3C05">
        <w:t>11</w:t>
      </w:r>
      <w:r w:rsidR="005267B7">
        <w:t>)</w:t>
      </w:r>
      <w:r w:rsidR="00B3467F">
        <w:t>,</w:t>
      </w:r>
      <w:r w:rsidRPr="00BB3C05">
        <w:t xml:space="preserve"> 1572-1577.</w:t>
      </w:r>
      <w:proofErr w:type="gramEnd"/>
    </w:p>
    <w:p w:rsidR="009C594D" w:rsidRPr="00BB3C05" w:rsidRDefault="004717DA" w:rsidP="00530E94">
      <w:pPr>
        <w:pStyle w:val="Heading3"/>
      </w:pPr>
      <w:r w:rsidRPr="00BB3C05">
        <w:t>Non-consecutive</w:t>
      </w:r>
      <w:r w:rsidR="009C594D" w:rsidRPr="00BB3C05">
        <w:t xml:space="preserve"> patient enrolment</w:t>
      </w:r>
    </w:p>
    <w:p w:rsidR="009C594D" w:rsidRPr="00BB3C05" w:rsidRDefault="009C594D" w:rsidP="009C594D">
      <w:r w:rsidRPr="00BB3C05">
        <w:t>Vemulapalli, R., Lara, L. F.</w:t>
      </w:r>
      <w:r w:rsidR="000E2EDC" w:rsidRPr="00BB3C05">
        <w:t xml:space="preserve"> </w:t>
      </w:r>
      <w:r w:rsidR="000E2EDC">
        <w:t>et al</w:t>
      </w:r>
      <w:r w:rsidRPr="00BB3C05">
        <w:t xml:space="preserve"> </w:t>
      </w:r>
      <w:r w:rsidR="00993CAF">
        <w:t>2010.</w:t>
      </w:r>
      <w:r w:rsidRPr="00BB3C05">
        <w:t xml:space="preserve"> </w:t>
      </w:r>
      <w:proofErr w:type="gramStart"/>
      <w:r w:rsidR="00993CAF">
        <w:t>‘</w:t>
      </w:r>
      <w:r w:rsidRPr="00BB3C05">
        <w:t>A comparison of palliative stenting or emergent surgery for obstructing incurable colon cancer</w:t>
      </w:r>
      <w:r w:rsidR="00993CAF">
        <w:t>’</w:t>
      </w:r>
      <w:r w:rsidRPr="00BB3C05">
        <w:t xml:space="preserve">, </w:t>
      </w:r>
      <w:r w:rsidRPr="00BB3C05">
        <w:rPr>
          <w:i/>
          <w:iCs/>
        </w:rPr>
        <w:t>Dig</w:t>
      </w:r>
      <w:r w:rsidR="00976DB7">
        <w:rPr>
          <w:i/>
          <w:iCs/>
        </w:rPr>
        <w:t>estive</w:t>
      </w:r>
      <w:r w:rsidRPr="00BB3C05">
        <w:rPr>
          <w:i/>
          <w:iCs/>
        </w:rPr>
        <w:t xml:space="preserve"> Dis</w:t>
      </w:r>
      <w:r w:rsidR="00976DB7">
        <w:rPr>
          <w:i/>
          <w:iCs/>
        </w:rPr>
        <w:t>eases and</w:t>
      </w:r>
      <w:r w:rsidRPr="00BB3C05">
        <w:rPr>
          <w:i/>
          <w:iCs/>
        </w:rPr>
        <w:t xml:space="preserve"> Sci</w:t>
      </w:r>
      <w:r w:rsidR="00976DB7">
        <w:rPr>
          <w:i/>
          <w:iCs/>
        </w:rPr>
        <w:t>ences</w:t>
      </w:r>
      <w:r w:rsidRPr="00BB3C05">
        <w:t>, 55</w:t>
      </w:r>
      <w:r w:rsidR="005267B7">
        <w:t xml:space="preserve"> (</w:t>
      </w:r>
      <w:r w:rsidRPr="00BB3C05">
        <w:t>6</w:t>
      </w:r>
      <w:r w:rsidR="005267B7">
        <w:t>)</w:t>
      </w:r>
      <w:r w:rsidR="00B3467F">
        <w:t>,</w:t>
      </w:r>
      <w:r w:rsidRPr="00BB3C05">
        <w:t xml:space="preserve"> 1732-1737.</w:t>
      </w:r>
      <w:proofErr w:type="gramEnd"/>
    </w:p>
    <w:p w:rsidR="009C594D" w:rsidRPr="00BB3C05" w:rsidRDefault="00BF39A2" w:rsidP="00530E94">
      <w:pPr>
        <w:pStyle w:val="Heading2a"/>
      </w:pPr>
      <w:r w:rsidRPr="00BB3C05">
        <w:t>N</w:t>
      </w:r>
      <w:r w:rsidR="009C594D" w:rsidRPr="00BB3C05">
        <w:t>on-comparative evidence (case series</w:t>
      </w:r>
      <w:r w:rsidR="00E70E70" w:rsidRPr="00BB3C05">
        <w:t xml:space="preserve"> or level IV studies</w:t>
      </w:r>
      <w:r w:rsidR="009C594D" w:rsidRPr="00BB3C05">
        <w:t>)</w:t>
      </w:r>
    </w:p>
    <w:p w:rsidR="009C594D" w:rsidRPr="00BB3C05" w:rsidRDefault="00A82FC6" w:rsidP="00530E94">
      <w:pPr>
        <w:pStyle w:val="Heading3"/>
      </w:pPr>
      <w:r w:rsidRPr="00BB3C05">
        <w:t>Inappropriate population (</w:t>
      </w:r>
      <w:r w:rsidR="009C594D" w:rsidRPr="00BB3C05">
        <w:t>Benign obstruction only</w:t>
      </w:r>
      <w:r w:rsidRPr="00BB3C05">
        <w:t>)</w:t>
      </w:r>
    </w:p>
    <w:p w:rsidR="009C594D" w:rsidRPr="00BB3C05" w:rsidRDefault="009C594D" w:rsidP="009C594D">
      <w:proofErr w:type="gramStart"/>
      <w:r w:rsidRPr="00BB3C05">
        <w:t>Small, A. J., Young-Fadok, T. M.</w:t>
      </w:r>
      <w:r w:rsidR="000E2EDC">
        <w:t xml:space="preserve"> and</w:t>
      </w:r>
      <w:r w:rsidRPr="00BB3C05">
        <w:t xml:space="preserve"> Baron, T. H. </w:t>
      </w:r>
      <w:r w:rsidR="00993CAF">
        <w:t>2008.</w:t>
      </w:r>
      <w:proofErr w:type="gramEnd"/>
      <w:r w:rsidRPr="00BB3C05">
        <w:t xml:space="preserve"> </w:t>
      </w:r>
      <w:proofErr w:type="gramStart"/>
      <w:r w:rsidR="00993CAF">
        <w:t>‘</w:t>
      </w:r>
      <w:r w:rsidRPr="00BB3C05">
        <w:t>Expandable metal stent placement for benign colorectal obstruction: outcomes for 23 cases</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22</w:t>
      </w:r>
      <w:r w:rsidR="005267B7">
        <w:t xml:space="preserve"> (</w:t>
      </w:r>
      <w:r w:rsidRPr="00BB3C05">
        <w:t>2</w:t>
      </w:r>
      <w:r w:rsidR="005267B7">
        <w:t>)</w:t>
      </w:r>
      <w:r w:rsidR="00B3467F">
        <w:t>,</w:t>
      </w:r>
      <w:r w:rsidRPr="00BB3C05">
        <w:t xml:space="preserve"> 454-462.</w:t>
      </w:r>
      <w:proofErr w:type="gramEnd"/>
    </w:p>
    <w:p w:rsidR="009C594D" w:rsidRPr="00530E94" w:rsidRDefault="004717DA" w:rsidP="00530E94">
      <w:pPr>
        <w:pStyle w:val="Heading3"/>
      </w:pPr>
      <w:r w:rsidRPr="00530E94">
        <w:t>F</w:t>
      </w:r>
      <w:r w:rsidR="00BF39A2" w:rsidRPr="00530E94">
        <w:t>ewer than 50 patients</w:t>
      </w:r>
    </w:p>
    <w:p w:rsidR="009C594D" w:rsidRPr="00BB3C05" w:rsidRDefault="009C594D" w:rsidP="009C594D">
      <w:proofErr w:type="gramStart"/>
      <w:r w:rsidRPr="00BB3C05">
        <w:t>Adamsen, S., Holm, J.</w:t>
      </w:r>
      <w:r w:rsidR="000E2EDC" w:rsidRPr="00BB3C05">
        <w:t xml:space="preserve"> </w:t>
      </w:r>
      <w:r w:rsidR="000E2EDC">
        <w:t>et al</w:t>
      </w:r>
      <w:r w:rsidRPr="00BB3C05">
        <w:t xml:space="preserve"> </w:t>
      </w:r>
      <w:r w:rsidR="00993CAF">
        <w:t>2000.</w:t>
      </w:r>
      <w:proofErr w:type="gramEnd"/>
      <w:r w:rsidRPr="00BB3C05">
        <w:t xml:space="preserve"> </w:t>
      </w:r>
      <w:proofErr w:type="gramStart"/>
      <w:r w:rsidR="00993CAF">
        <w:t>‘</w:t>
      </w:r>
      <w:r w:rsidRPr="00BB3C05">
        <w:t>Endoscopic placement of self-expanding metal stents for treatment of colorectal obstruction with long-term follow-up</w:t>
      </w:r>
      <w:r w:rsidR="00993CAF">
        <w:t>’</w:t>
      </w:r>
      <w:r w:rsidRPr="00BB3C05">
        <w:t xml:space="preserve">, </w:t>
      </w:r>
      <w:r w:rsidRPr="00BB3C05">
        <w:rPr>
          <w:i/>
          <w:iCs/>
        </w:rPr>
        <w:t>Dan</w:t>
      </w:r>
      <w:r w:rsidR="00976DB7">
        <w:rPr>
          <w:i/>
          <w:iCs/>
        </w:rPr>
        <w:t>ish</w:t>
      </w:r>
      <w:r w:rsidRPr="00BB3C05">
        <w:rPr>
          <w:i/>
          <w:iCs/>
        </w:rPr>
        <w:t xml:space="preserve"> Med</w:t>
      </w:r>
      <w:r w:rsidR="00976DB7">
        <w:rPr>
          <w:i/>
          <w:iCs/>
        </w:rPr>
        <w:t>ical</w:t>
      </w:r>
      <w:r w:rsidRPr="00BB3C05">
        <w:rPr>
          <w:i/>
          <w:iCs/>
        </w:rPr>
        <w:t xml:space="preserve"> Bull</w:t>
      </w:r>
      <w:r w:rsidR="00976DB7">
        <w:rPr>
          <w:i/>
          <w:iCs/>
        </w:rPr>
        <w:t>etin</w:t>
      </w:r>
      <w:r w:rsidRPr="00BB3C05">
        <w:t>, 47</w:t>
      </w:r>
      <w:r w:rsidR="005267B7">
        <w:t xml:space="preserve"> (</w:t>
      </w:r>
      <w:r w:rsidRPr="00BB3C05">
        <w:t>3</w:t>
      </w:r>
      <w:r w:rsidR="005267B7">
        <w:t>)</w:t>
      </w:r>
      <w:r w:rsidR="00B3467F">
        <w:t>,</w:t>
      </w:r>
      <w:r w:rsidRPr="00BB3C05">
        <w:t xml:space="preserve"> 225-227.</w:t>
      </w:r>
      <w:proofErr w:type="gramEnd"/>
    </w:p>
    <w:p w:rsidR="009C594D" w:rsidRPr="00BB3C05" w:rsidRDefault="009C594D" w:rsidP="009C594D">
      <w:r w:rsidRPr="00BB3C05">
        <w:t>Araki, Y., Sato, Y.</w:t>
      </w:r>
      <w:r w:rsidR="000E2EDC" w:rsidRPr="00BB3C05">
        <w:t xml:space="preserve"> </w:t>
      </w:r>
      <w:r w:rsidR="000E2EDC">
        <w:t>et al</w:t>
      </w:r>
      <w:r w:rsidRPr="00BB3C05">
        <w:t xml:space="preserve"> </w:t>
      </w:r>
      <w:r w:rsidR="00993CAF">
        <w:t>2002.</w:t>
      </w:r>
      <w:r w:rsidRPr="00BB3C05">
        <w:t xml:space="preserve"> </w:t>
      </w:r>
      <w:proofErr w:type="gramStart"/>
      <w:r w:rsidR="00993CAF">
        <w:t>‘</w:t>
      </w:r>
      <w:r w:rsidRPr="00BB3C05">
        <w:t>Endoluminal ultraflex stent for palliative treatment of malignant rectosigmoidal obstruction</w:t>
      </w:r>
      <w:r w:rsidR="00993CAF">
        <w:t>’</w:t>
      </w:r>
      <w:r w:rsidRPr="00BB3C05">
        <w:t xml:space="preserve">, </w:t>
      </w:r>
      <w:r w:rsidR="00976DB7" w:rsidRPr="0007443E">
        <w:rPr>
          <w:i/>
        </w:rPr>
        <w:t xml:space="preserve">The </w:t>
      </w:r>
      <w:r w:rsidRPr="00BB3C05">
        <w:rPr>
          <w:i/>
          <w:iCs/>
        </w:rPr>
        <w:t>Kurume Med</w:t>
      </w:r>
      <w:r w:rsidR="00976DB7">
        <w:rPr>
          <w:i/>
          <w:iCs/>
        </w:rPr>
        <w:t>ical</w:t>
      </w:r>
      <w:r w:rsidRPr="00BB3C05">
        <w:rPr>
          <w:i/>
          <w:iCs/>
        </w:rPr>
        <w:t xml:space="preserve"> J</w:t>
      </w:r>
      <w:r w:rsidR="00976DB7">
        <w:rPr>
          <w:i/>
          <w:iCs/>
        </w:rPr>
        <w:t>ournal</w:t>
      </w:r>
      <w:r w:rsidRPr="00BB3C05">
        <w:t>, 49</w:t>
      </w:r>
      <w:r w:rsidR="005267B7">
        <w:t xml:space="preserve"> (</w:t>
      </w:r>
      <w:r w:rsidRPr="00BB3C05">
        <w:t>3</w:t>
      </w:r>
      <w:r w:rsidR="005267B7">
        <w:t>)</w:t>
      </w:r>
      <w:r w:rsidR="00B3467F">
        <w:t>,</w:t>
      </w:r>
      <w:r w:rsidRPr="00BB3C05">
        <w:t xml:space="preserve"> 81-85.</w:t>
      </w:r>
      <w:proofErr w:type="gramEnd"/>
    </w:p>
    <w:p w:rsidR="009C594D" w:rsidRPr="00BB3C05" w:rsidRDefault="009C594D" w:rsidP="009C594D">
      <w:proofErr w:type="gramStart"/>
      <w:r w:rsidRPr="00BB3C05">
        <w:t>Arnell, T., Stamos, M. J.</w:t>
      </w:r>
      <w:r w:rsidR="000E2EDC" w:rsidRPr="00BB3C05">
        <w:t xml:space="preserve"> </w:t>
      </w:r>
      <w:r w:rsidR="000E2EDC">
        <w:t>et al</w:t>
      </w:r>
      <w:r w:rsidRPr="00BB3C05">
        <w:t xml:space="preserve"> 1998, </w:t>
      </w:r>
      <w:r w:rsidR="00993CAF">
        <w:t>‘</w:t>
      </w:r>
      <w:r w:rsidRPr="00BB3C05">
        <w:t>Colonic stents in colorectal obstruction</w:t>
      </w:r>
      <w:r w:rsidR="00993CAF">
        <w:t>’</w:t>
      </w:r>
      <w:r w:rsidRPr="00BB3C05">
        <w:t xml:space="preserve">, </w:t>
      </w:r>
      <w:r w:rsidRPr="00BB3C05">
        <w:rPr>
          <w:i/>
          <w:iCs/>
        </w:rPr>
        <w:t>Am</w:t>
      </w:r>
      <w:r w:rsidR="00976DB7">
        <w:rPr>
          <w:i/>
          <w:iCs/>
        </w:rPr>
        <w:t>erican Journal of</w:t>
      </w:r>
      <w:r w:rsidRPr="00BB3C05">
        <w:rPr>
          <w:i/>
          <w:iCs/>
        </w:rPr>
        <w:t xml:space="preserve"> Surg</w:t>
      </w:r>
      <w:r w:rsidR="00976DB7">
        <w:rPr>
          <w:i/>
          <w:iCs/>
        </w:rPr>
        <w:t>ery</w:t>
      </w:r>
      <w:r w:rsidRPr="00BB3C05">
        <w:t>, 64</w:t>
      </w:r>
      <w:r w:rsidR="005267B7">
        <w:t xml:space="preserve"> (</w:t>
      </w:r>
      <w:r w:rsidRPr="00BB3C05">
        <w:t>10</w:t>
      </w:r>
      <w:r w:rsidR="005267B7">
        <w:t>)</w:t>
      </w:r>
      <w:r w:rsidR="00B3467F">
        <w:t>,</w:t>
      </w:r>
      <w:r w:rsidRPr="00BB3C05">
        <w:t xml:space="preserve"> 986-988.</w:t>
      </w:r>
      <w:proofErr w:type="gramEnd"/>
    </w:p>
    <w:p w:rsidR="009C594D" w:rsidRPr="00BB3C05" w:rsidRDefault="009C594D" w:rsidP="009C594D">
      <w:r w:rsidRPr="00BB3C05">
        <w:t>Arya, N., Bair, D.</w:t>
      </w:r>
      <w:r w:rsidR="000E2EDC" w:rsidRPr="00BB3C05">
        <w:t xml:space="preserve"> </w:t>
      </w:r>
      <w:r w:rsidR="000E2EDC">
        <w:t>et al</w:t>
      </w:r>
      <w:r w:rsidRPr="00BB3C05">
        <w:t xml:space="preserve"> </w:t>
      </w:r>
      <w:r w:rsidR="00993CAF">
        <w:t>2011.</w:t>
      </w:r>
      <w:r w:rsidRPr="00BB3C05">
        <w:t xml:space="preserve"> </w:t>
      </w:r>
      <w:proofErr w:type="gramStart"/>
      <w:r w:rsidR="00993CAF">
        <w:t>‘</w:t>
      </w:r>
      <w:r w:rsidRPr="00BB3C05">
        <w:t>Community experience of colonic stenting in patients with acute large bowel obstructions</w:t>
      </w:r>
      <w:r w:rsidR="00993CAF">
        <w:t>’</w:t>
      </w:r>
      <w:r w:rsidRPr="00BB3C05">
        <w:t xml:space="preserve">, </w:t>
      </w:r>
      <w:r w:rsidRPr="00BB3C05">
        <w:rPr>
          <w:i/>
          <w:iCs/>
        </w:rPr>
        <w:t xml:space="preserve">Canadian </w:t>
      </w:r>
      <w:r w:rsidR="00976DB7">
        <w:rPr>
          <w:i/>
          <w:iCs/>
        </w:rPr>
        <w:t>J</w:t>
      </w:r>
      <w:r w:rsidR="00976DB7" w:rsidRPr="00BB3C05">
        <w:rPr>
          <w:i/>
          <w:iCs/>
        </w:rPr>
        <w:t xml:space="preserve">ournal </w:t>
      </w:r>
      <w:r w:rsidRPr="00BB3C05">
        <w:rPr>
          <w:i/>
          <w:iCs/>
        </w:rPr>
        <w:t xml:space="preserve">of </w:t>
      </w:r>
      <w:r w:rsidR="00976DB7">
        <w:rPr>
          <w:i/>
          <w:iCs/>
        </w:rPr>
        <w:t>S</w:t>
      </w:r>
      <w:r w:rsidR="00976DB7" w:rsidRPr="00BB3C05">
        <w:rPr>
          <w:i/>
          <w:iCs/>
        </w:rPr>
        <w:t>urgery</w:t>
      </w:r>
      <w:r w:rsidRPr="00BB3C05">
        <w:t>, 54</w:t>
      </w:r>
      <w:r w:rsidR="005267B7">
        <w:t xml:space="preserve"> (</w:t>
      </w:r>
      <w:r w:rsidRPr="00BB3C05">
        <w:t>4</w:t>
      </w:r>
      <w:r w:rsidR="005267B7">
        <w:t>)</w:t>
      </w:r>
      <w:r w:rsidR="00B3467F">
        <w:t>,</w:t>
      </w:r>
      <w:r w:rsidRPr="00BB3C05">
        <w:t xml:space="preserve"> 282-285.</w:t>
      </w:r>
      <w:proofErr w:type="gramEnd"/>
    </w:p>
    <w:p w:rsidR="009C594D" w:rsidRPr="00BB3C05" w:rsidRDefault="009C594D" w:rsidP="009C594D">
      <w:r w:rsidRPr="00BB3C05">
        <w:t>Aviv, R. I., Shyamalan, G.</w:t>
      </w:r>
      <w:r w:rsidR="000E2EDC" w:rsidRPr="00BB3C05">
        <w:t xml:space="preserve"> </w:t>
      </w:r>
      <w:r w:rsidR="000E2EDC">
        <w:t>et al</w:t>
      </w:r>
      <w:r w:rsidRPr="00BB3C05">
        <w:t xml:space="preserve"> </w:t>
      </w:r>
      <w:r w:rsidR="00993CAF">
        <w:t>2002.</w:t>
      </w:r>
      <w:r w:rsidRPr="00BB3C05">
        <w:t xml:space="preserve"> </w:t>
      </w:r>
      <w:proofErr w:type="gramStart"/>
      <w:r w:rsidR="00993CAF">
        <w:t>‘</w:t>
      </w:r>
      <w:r w:rsidRPr="00BB3C05">
        <w:t>Radiological palliation of malignant colonic obstruction</w:t>
      </w:r>
      <w:r w:rsidR="00993CAF">
        <w:t>’</w:t>
      </w:r>
      <w:r w:rsidRPr="00BB3C05">
        <w:t xml:space="preserve">, </w:t>
      </w:r>
      <w:r w:rsidRPr="00BB3C05">
        <w:rPr>
          <w:i/>
          <w:iCs/>
        </w:rPr>
        <w:t>Clin</w:t>
      </w:r>
      <w:r w:rsidR="00976DB7">
        <w:rPr>
          <w:i/>
          <w:iCs/>
        </w:rPr>
        <w:t>ical</w:t>
      </w:r>
      <w:r w:rsidRPr="00BB3C05">
        <w:rPr>
          <w:i/>
          <w:iCs/>
        </w:rPr>
        <w:t xml:space="preserve"> Radiol</w:t>
      </w:r>
      <w:r w:rsidR="00976DB7">
        <w:rPr>
          <w:i/>
          <w:iCs/>
        </w:rPr>
        <w:t>ogy</w:t>
      </w:r>
      <w:r w:rsidRPr="00BB3C05">
        <w:t>, 57</w:t>
      </w:r>
      <w:r w:rsidR="005267B7">
        <w:t xml:space="preserve"> (</w:t>
      </w:r>
      <w:r w:rsidRPr="00BB3C05">
        <w:t>5</w:t>
      </w:r>
      <w:r w:rsidR="005267B7">
        <w:t>)</w:t>
      </w:r>
      <w:r w:rsidR="00B3467F">
        <w:t>,</w:t>
      </w:r>
      <w:r w:rsidRPr="00BB3C05">
        <w:t xml:space="preserve"> 347-351.</w:t>
      </w:r>
      <w:proofErr w:type="gramEnd"/>
    </w:p>
    <w:p w:rsidR="009C594D" w:rsidRPr="00BB3C05" w:rsidRDefault="009C594D" w:rsidP="009C594D">
      <w:r w:rsidRPr="00BB3C05">
        <w:t>Baerlocher, M. O., Asch, M. R.</w:t>
      </w:r>
      <w:r w:rsidR="000E2EDC" w:rsidRPr="00BB3C05">
        <w:t xml:space="preserve"> </w:t>
      </w:r>
      <w:r w:rsidR="000E2EDC">
        <w:t>et al</w:t>
      </w:r>
      <w:r w:rsidRPr="00BB3C05">
        <w:t xml:space="preserve"> </w:t>
      </w:r>
      <w:r w:rsidR="00993CAF">
        <w:t>2008.</w:t>
      </w:r>
      <w:r w:rsidRPr="00BB3C05">
        <w:t xml:space="preserve"> </w:t>
      </w:r>
      <w:proofErr w:type="gramStart"/>
      <w:r w:rsidR="00993CAF">
        <w:t>‘</w:t>
      </w:r>
      <w:r w:rsidRPr="00BB3C05">
        <w:t>Safety and efficacy of gastrointestinal stents in cancer patients at a community hospital</w:t>
      </w:r>
      <w:r w:rsidR="00993CAF">
        <w:t>’</w:t>
      </w:r>
      <w:r w:rsidRPr="00BB3C05">
        <w:t xml:space="preserve">, </w:t>
      </w:r>
      <w:r w:rsidRPr="00BB3C05">
        <w:rPr>
          <w:i/>
          <w:iCs/>
        </w:rPr>
        <w:t xml:space="preserve">Canadian </w:t>
      </w:r>
      <w:r w:rsidR="00976DB7">
        <w:rPr>
          <w:i/>
          <w:iCs/>
        </w:rPr>
        <w:t>J</w:t>
      </w:r>
      <w:r w:rsidR="00976DB7" w:rsidRPr="00BB3C05">
        <w:rPr>
          <w:i/>
          <w:iCs/>
        </w:rPr>
        <w:t xml:space="preserve">ournal </w:t>
      </w:r>
      <w:r w:rsidRPr="00BB3C05">
        <w:rPr>
          <w:i/>
          <w:iCs/>
        </w:rPr>
        <w:t xml:space="preserve">of </w:t>
      </w:r>
      <w:r w:rsidR="00976DB7">
        <w:rPr>
          <w:i/>
          <w:iCs/>
        </w:rPr>
        <w:t>S</w:t>
      </w:r>
      <w:r w:rsidR="00976DB7" w:rsidRPr="00BB3C05">
        <w:rPr>
          <w:i/>
          <w:iCs/>
        </w:rPr>
        <w:t>urgery</w:t>
      </w:r>
      <w:r w:rsidRPr="00BB3C05">
        <w:t>, 51</w:t>
      </w:r>
      <w:r w:rsidR="005267B7">
        <w:t xml:space="preserve"> (</w:t>
      </w:r>
      <w:r w:rsidRPr="00BB3C05">
        <w:t>2</w:t>
      </w:r>
      <w:r w:rsidR="005267B7">
        <w:t>)</w:t>
      </w:r>
      <w:r w:rsidR="00B3467F">
        <w:t>,</w:t>
      </w:r>
      <w:r w:rsidRPr="00BB3C05">
        <w:t xml:space="preserve"> 130-134.</w:t>
      </w:r>
      <w:proofErr w:type="gramEnd"/>
    </w:p>
    <w:p w:rsidR="009C594D" w:rsidRPr="00BB3C05" w:rsidRDefault="009C594D" w:rsidP="009C594D">
      <w:r w:rsidRPr="00BB3C05">
        <w:t>Balague, C., Targarona, E. M.</w:t>
      </w:r>
      <w:r w:rsidR="000E2EDC" w:rsidRPr="00BB3C05">
        <w:t xml:space="preserve"> </w:t>
      </w:r>
      <w:r w:rsidR="000E2EDC">
        <w:t>et al</w:t>
      </w:r>
      <w:r w:rsidRPr="00BB3C05">
        <w:t xml:space="preserve"> </w:t>
      </w:r>
      <w:r w:rsidR="00993CAF">
        <w:t>2004.</w:t>
      </w:r>
      <w:r w:rsidRPr="00BB3C05">
        <w:t xml:space="preserve"> </w:t>
      </w:r>
      <w:r w:rsidR="00993CAF">
        <w:t>‘</w:t>
      </w:r>
      <w:r w:rsidRPr="00BB3C05">
        <w:t xml:space="preserve">Minimally invasive treatment for obstructive tumors of the left colon: endoluminal self-expanding metal stent and laparoscopic colectomy. </w:t>
      </w:r>
      <w:proofErr w:type="gramStart"/>
      <w:r w:rsidRPr="00BB3C05">
        <w:t>Preliminary results</w:t>
      </w:r>
      <w:r w:rsidR="00993CAF">
        <w:t>’</w:t>
      </w:r>
      <w:r w:rsidRPr="00BB3C05">
        <w:t xml:space="preserve">, </w:t>
      </w:r>
      <w:r w:rsidRPr="00BB3C05">
        <w:rPr>
          <w:i/>
          <w:iCs/>
        </w:rPr>
        <w:t>Dig</w:t>
      </w:r>
      <w:r w:rsidR="00976DB7">
        <w:rPr>
          <w:i/>
          <w:iCs/>
        </w:rPr>
        <w:t>estive</w:t>
      </w:r>
      <w:r w:rsidRPr="00BB3C05">
        <w:rPr>
          <w:i/>
          <w:iCs/>
        </w:rPr>
        <w:t xml:space="preserve"> Surg</w:t>
      </w:r>
      <w:r w:rsidR="00976DB7">
        <w:rPr>
          <w:i/>
          <w:iCs/>
        </w:rPr>
        <w:t>ery</w:t>
      </w:r>
      <w:r w:rsidRPr="00BB3C05">
        <w:t>, 21</w:t>
      </w:r>
      <w:r w:rsidR="005267B7">
        <w:t xml:space="preserve"> (</w:t>
      </w:r>
      <w:r w:rsidRPr="00BB3C05">
        <w:t>4</w:t>
      </w:r>
      <w:r w:rsidR="005267B7">
        <w:t>)</w:t>
      </w:r>
      <w:r w:rsidR="00B3467F">
        <w:t>,</w:t>
      </w:r>
      <w:r w:rsidRPr="00BB3C05">
        <w:t xml:space="preserve"> 282-286.</w:t>
      </w:r>
      <w:proofErr w:type="gramEnd"/>
    </w:p>
    <w:p w:rsidR="009C594D" w:rsidRPr="00BB3C05" w:rsidRDefault="009C594D" w:rsidP="009C594D">
      <w:r w:rsidRPr="00BB3C05">
        <w:t>Bielawska, B., Hookey, L. C.</w:t>
      </w:r>
      <w:r w:rsidR="000E2EDC">
        <w:t xml:space="preserve"> and</w:t>
      </w:r>
      <w:r w:rsidRPr="00BB3C05">
        <w:t xml:space="preserve"> Jalink, D. </w:t>
      </w:r>
      <w:r w:rsidR="00993CAF">
        <w:t>2010.</w:t>
      </w:r>
      <w:r w:rsidRPr="00BB3C05">
        <w:t xml:space="preserve"> </w:t>
      </w:r>
      <w:r w:rsidR="00993CAF">
        <w:t>‘</w:t>
      </w:r>
      <w:r w:rsidRPr="00BB3C05">
        <w:t>Large-diameter self-expanding metal stents appear to be safe and effective for malignant colonic obstruction with and without concurrent use of chemotherapy</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24</w:t>
      </w:r>
      <w:r w:rsidR="005267B7">
        <w:t xml:space="preserve"> (</w:t>
      </w:r>
      <w:r w:rsidRPr="00BB3C05">
        <w:t>11</w:t>
      </w:r>
      <w:r w:rsidR="005267B7">
        <w:t>)</w:t>
      </w:r>
      <w:r w:rsidR="00B3467F">
        <w:t>,</w:t>
      </w:r>
      <w:r w:rsidRPr="00BB3C05">
        <w:t xml:space="preserve"> 2814-2821.</w:t>
      </w:r>
    </w:p>
    <w:p w:rsidR="009C594D" w:rsidRPr="00BB3C05" w:rsidRDefault="009C594D" w:rsidP="009C594D">
      <w:r w:rsidRPr="00BB3C05">
        <w:t>Binkert, C. A., Ledermann, H.</w:t>
      </w:r>
      <w:r w:rsidR="000E2EDC" w:rsidRPr="00BB3C05">
        <w:t xml:space="preserve"> </w:t>
      </w:r>
      <w:r w:rsidR="000E2EDC">
        <w:t>et al</w:t>
      </w:r>
      <w:r w:rsidRPr="00BB3C05">
        <w:t xml:space="preserve"> 1998, </w:t>
      </w:r>
      <w:r w:rsidR="00993CAF">
        <w:t>‘</w:t>
      </w:r>
      <w:r w:rsidRPr="00BB3C05">
        <w:t>Acute colonic obstruction: clinical aspects and cost-effectiveness of preoperative and palliative treatment with self-expanding metallic stents--a preliminary report</w:t>
      </w:r>
      <w:r w:rsidR="00993CAF">
        <w:t>’</w:t>
      </w:r>
      <w:r w:rsidRPr="00BB3C05">
        <w:t xml:space="preserve">, </w:t>
      </w:r>
      <w:r w:rsidRPr="00BB3C05">
        <w:rPr>
          <w:i/>
          <w:iCs/>
        </w:rPr>
        <w:t>Radiology</w:t>
      </w:r>
      <w:r w:rsidRPr="00BB3C05">
        <w:t>, 206</w:t>
      </w:r>
      <w:r w:rsidR="005267B7">
        <w:t xml:space="preserve"> (</w:t>
      </w:r>
      <w:r w:rsidRPr="00BB3C05">
        <w:t>1</w:t>
      </w:r>
      <w:r w:rsidR="005267B7">
        <w:t>)</w:t>
      </w:r>
      <w:r w:rsidR="00B3467F">
        <w:t>,</w:t>
      </w:r>
      <w:r w:rsidRPr="00BB3C05">
        <w:t xml:space="preserve"> 199-204.</w:t>
      </w:r>
    </w:p>
    <w:p w:rsidR="006E1269" w:rsidRPr="00BB3C05" w:rsidRDefault="006E1269" w:rsidP="006E1269">
      <w:proofErr w:type="gramStart"/>
      <w:r w:rsidRPr="00BB3C05">
        <w:t xml:space="preserve">Binkert, C. A., Ledermann, H. P. </w:t>
      </w:r>
      <w:r>
        <w:t>et al</w:t>
      </w:r>
      <w:r w:rsidRPr="00BB3C05">
        <w:t xml:space="preserve"> 1998, </w:t>
      </w:r>
      <w:r>
        <w:t>‘</w:t>
      </w:r>
      <w:r w:rsidRPr="00BB3C05">
        <w:t>Metallic stenting of gastroduodenal and colonic stenoses</w:t>
      </w:r>
      <w:r>
        <w:t>’</w:t>
      </w:r>
      <w:r w:rsidRPr="00BB3C05">
        <w:t xml:space="preserve">, </w:t>
      </w:r>
      <w:r w:rsidRPr="00BB3C05">
        <w:rPr>
          <w:i/>
          <w:iCs/>
        </w:rPr>
        <w:t>Abdom</w:t>
      </w:r>
      <w:r>
        <w:rPr>
          <w:i/>
          <w:iCs/>
        </w:rPr>
        <w:t>inal</w:t>
      </w:r>
      <w:r w:rsidRPr="00BB3C05">
        <w:rPr>
          <w:i/>
          <w:iCs/>
        </w:rPr>
        <w:t xml:space="preserve"> Imaging</w:t>
      </w:r>
      <w:r w:rsidRPr="00BB3C05">
        <w:t>, 23</w:t>
      </w:r>
      <w:r>
        <w:t xml:space="preserve"> (</w:t>
      </w:r>
      <w:r w:rsidRPr="00BB3C05">
        <w:t>6</w:t>
      </w:r>
      <w:r>
        <w:t>)</w:t>
      </w:r>
      <w:r w:rsidR="00B3467F">
        <w:t>,</w:t>
      </w:r>
      <w:r w:rsidRPr="00BB3C05">
        <w:t xml:space="preserve"> 580-586.</w:t>
      </w:r>
      <w:proofErr w:type="gramEnd"/>
    </w:p>
    <w:p w:rsidR="009C594D" w:rsidRPr="00BB3C05" w:rsidRDefault="009C594D" w:rsidP="009C594D">
      <w:r w:rsidRPr="00BB3C05">
        <w:lastRenderedPageBreak/>
        <w:t>Boorman, P., Soonawalla, Z.</w:t>
      </w:r>
      <w:r w:rsidR="000E2EDC" w:rsidRPr="00BB3C05">
        <w:t xml:space="preserve"> </w:t>
      </w:r>
      <w:r w:rsidR="000E2EDC">
        <w:t>et al</w:t>
      </w:r>
      <w:r w:rsidRPr="00BB3C05">
        <w:t xml:space="preserve"> </w:t>
      </w:r>
      <w:r w:rsidR="00993CAF">
        <w:t>1999.</w:t>
      </w:r>
      <w:r w:rsidRPr="00BB3C05">
        <w:t xml:space="preserve"> </w:t>
      </w:r>
      <w:proofErr w:type="gramStart"/>
      <w:r w:rsidR="00993CAF">
        <w:t>‘</w:t>
      </w:r>
      <w:r w:rsidRPr="00BB3C05">
        <w:t>Endoluminal stenting of obstructed colorectal tumours</w:t>
      </w:r>
      <w:r w:rsidR="00993CAF">
        <w:t>’</w:t>
      </w:r>
      <w:r w:rsidRPr="00BB3C05">
        <w:t xml:space="preserve">, </w:t>
      </w:r>
      <w:r w:rsidRPr="00BB3C05">
        <w:rPr>
          <w:i/>
          <w:iCs/>
        </w:rPr>
        <w:t>Ann</w:t>
      </w:r>
      <w:r w:rsidR="00976DB7">
        <w:rPr>
          <w:i/>
          <w:iCs/>
        </w:rPr>
        <w:t>als of the</w:t>
      </w:r>
      <w:r w:rsidRPr="00BB3C05">
        <w:rPr>
          <w:i/>
          <w:iCs/>
        </w:rPr>
        <w:t xml:space="preserve"> R</w:t>
      </w:r>
      <w:r w:rsidR="00976DB7">
        <w:rPr>
          <w:i/>
          <w:iCs/>
        </w:rPr>
        <w:t>oyal</w:t>
      </w:r>
      <w:r w:rsidRPr="00BB3C05">
        <w:rPr>
          <w:i/>
          <w:iCs/>
        </w:rPr>
        <w:t xml:space="preserve"> Coll</w:t>
      </w:r>
      <w:r w:rsidR="00976DB7">
        <w:rPr>
          <w:i/>
          <w:iCs/>
        </w:rPr>
        <w:t>ege of</w:t>
      </w:r>
      <w:r w:rsidRPr="00BB3C05">
        <w:rPr>
          <w:i/>
          <w:iCs/>
        </w:rPr>
        <w:t xml:space="preserve"> Surg</w:t>
      </w:r>
      <w:r w:rsidR="00976DB7">
        <w:rPr>
          <w:i/>
          <w:iCs/>
        </w:rPr>
        <w:t>eons of</w:t>
      </w:r>
      <w:r w:rsidRPr="00BB3C05">
        <w:rPr>
          <w:i/>
          <w:iCs/>
        </w:rPr>
        <w:t xml:space="preserve"> Engl</w:t>
      </w:r>
      <w:r w:rsidR="00976DB7">
        <w:rPr>
          <w:i/>
          <w:iCs/>
        </w:rPr>
        <w:t>and</w:t>
      </w:r>
      <w:r w:rsidRPr="00BB3C05">
        <w:t>, 81</w:t>
      </w:r>
      <w:r w:rsidR="005267B7">
        <w:t xml:space="preserve"> (</w:t>
      </w:r>
      <w:r w:rsidRPr="00BB3C05">
        <w:t>4</w:t>
      </w:r>
      <w:r w:rsidR="005267B7">
        <w:t>)</w:t>
      </w:r>
      <w:r w:rsidR="00B3467F">
        <w:t>,</w:t>
      </w:r>
      <w:r w:rsidRPr="00BB3C05">
        <w:t xml:space="preserve"> 251-254.</w:t>
      </w:r>
      <w:proofErr w:type="gramEnd"/>
    </w:p>
    <w:p w:rsidR="009C594D" w:rsidRPr="00BB3C05" w:rsidRDefault="009C594D" w:rsidP="009C594D">
      <w:proofErr w:type="gramStart"/>
      <w:r w:rsidRPr="00BB3C05">
        <w:t>Brehant, O., Fuks, D.</w:t>
      </w:r>
      <w:r w:rsidR="000E2EDC" w:rsidRPr="00BB3C05">
        <w:t xml:space="preserve"> </w:t>
      </w:r>
      <w:r w:rsidR="000E2EDC">
        <w:t>et al</w:t>
      </w:r>
      <w:r w:rsidRPr="00BB3C05">
        <w:t xml:space="preserve"> </w:t>
      </w:r>
      <w:r w:rsidR="00993CAF">
        <w:t>2009.</w:t>
      </w:r>
      <w:proofErr w:type="gramEnd"/>
      <w:r w:rsidRPr="00BB3C05">
        <w:t xml:space="preserve"> </w:t>
      </w:r>
      <w:proofErr w:type="gramStart"/>
      <w:r w:rsidR="00993CAF">
        <w:t>‘</w:t>
      </w:r>
      <w:r w:rsidRPr="00BB3C05">
        <w:t>Elective (planned) colectomy in patients with colorectal obstruction after placement of a self-expanding metallic stent as a bridge to surgery: the results of a prospective study</w:t>
      </w:r>
      <w:r w:rsidR="00993CAF">
        <w:t>’</w:t>
      </w:r>
      <w:r w:rsidRPr="00BB3C05">
        <w:t xml:space="preserve">, </w:t>
      </w:r>
      <w:r w:rsidRPr="00BB3C05">
        <w:rPr>
          <w:i/>
          <w:iCs/>
        </w:rPr>
        <w:t>Colorectal Dis</w:t>
      </w:r>
      <w:r w:rsidR="00976DB7">
        <w:rPr>
          <w:i/>
          <w:iCs/>
        </w:rPr>
        <w:t>ease</w:t>
      </w:r>
      <w:r w:rsidRPr="00BB3C05">
        <w:t>, 11</w:t>
      </w:r>
      <w:r w:rsidR="005267B7">
        <w:t xml:space="preserve"> (</w:t>
      </w:r>
      <w:r w:rsidRPr="00BB3C05">
        <w:t>2</w:t>
      </w:r>
      <w:r w:rsidR="005267B7">
        <w:t>)</w:t>
      </w:r>
      <w:r w:rsidR="00B3467F">
        <w:t>,</w:t>
      </w:r>
      <w:r w:rsidRPr="00BB3C05">
        <w:t xml:space="preserve"> 178-183.</w:t>
      </w:r>
      <w:proofErr w:type="gramEnd"/>
    </w:p>
    <w:p w:rsidR="009C594D" w:rsidRPr="00BB3C05" w:rsidRDefault="009C594D" w:rsidP="009C594D">
      <w:r w:rsidRPr="00BB3C05">
        <w:t>Caceres, A., Zhou, Q.</w:t>
      </w:r>
      <w:r w:rsidR="000E2EDC" w:rsidRPr="00BB3C05">
        <w:t xml:space="preserve"> </w:t>
      </w:r>
      <w:r w:rsidR="000E2EDC">
        <w:t>et al</w:t>
      </w:r>
      <w:r w:rsidRPr="00BB3C05">
        <w:t xml:space="preserve"> </w:t>
      </w:r>
      <w:r w:rsidR="00993CAF">
        <w:t>2008.</w:t>
      </w:r>
      <w:r w:rsidRPr="00BB3C05">
        <w:t xml:space="preserve"> </w:t>
      </w:r>
      <w:proofErr w:type="gramStart"/>
      <w:r w:rsidR="00993CAF">
        <w:t>‘</w:t>
      </w:r>
      <w:r w:rsidRPr="00BB3C05">
        <w:t>Colorectal stents for palliation of large-bowel obstructions in recurrent gynecologic cancer: an updated series</w:t>
      </w:r>
      <w:r w:rsidR="00993CAF">
        <w:t>’</w:t>
      </w:r>
      <w:r w:rsidRPr="00BB3C05">
        <w:t xml:space="preserve">, </w:t>
      </w:r>
      <w:r w:rsidRPr="00BB3C05">
        <w:rPr>
          <w:i/>
          <w:iCs/>
        </w:rPr>
        <w:t>Gynecol</w:t>
      </w:r>
      <w:r w:rsidR="00976DB7">
        <w:rPr>
          <w:i/>
          <w:iCs/>
        </w:rPr>
        <w:t>ogic</w:t>
      </w:r>
      <w:r w:rsidRPr="00BB3C05">
        <w:rPr>
          <w:i/>
          <w:iCs/>
        </w:rPr>
        <w:t xml:space="preserve"> Oncol</w:t>
      </w:r>
      <w:r w:rsidR="00976DB7">
        <w:rPr>
          <w:i/>
          <w:iCs/>
        </w:rPr>
        <w:t>ogy</w:t>
      </w:r>
      <w:r w:rsidRPr="00BB3C05">
        <w:t>, 108</w:t>
      </w:r>
      <w:r w:rsidR="005267B7">
        <w:t xml:space="preserve"> (</w:t>
      </w:r>
      <w:r w:rsidRPr="00BB3C05">
        <w:t>3</w:t>
      </w:r>
      <w:r w:rsidR="005267B7">
        <w:t>)</w:t>
      </w:r>
      <w:r w:rsidR="00B3467F">
        <w:t>,</w:t>
      </w:r>
      <w:r w:rsidRPr="00BB3C05">
        <w:t xml:space="preserve"> 482-485.</w:t>
      </w:r>
      <w:proofErr w:type="gramEnd"/>
    </w:p>
    <w:p w:rsidR="009C594D" w:rsidRPr="00BB3C05" w:rsidRDefault="009C594D" w:rsidP="009C594D">
      <w:r w:rsidRPr="00BB3C05">
        <w:t>Canon, C. L., Baron, T. H.</w:t>
      </w:r>
      <w:r w:rsidR="000E2EDC" w:rsidRPr="00BB3C05">
        <w:t xml:space="preserve"> </w:t>
      </w:r>
      <w:r w:rsidR="000E2EDC">
        <w:t>et al</w:t>
      </w:r>
      <w:r w:rsidRPr="00BB3C05">
        <w:t xml:space="preserve"> 1997, </w:t>
      </w:r>
      <w:r w:rsidR="00993CAF">
        <w:t>‘</w:t>
      </w:r>
      <w:r w:rsidRPr="00BB3C05">
        <w:t>Treatment of colonic obstruction with expandable metal stents: radiologic features</w:t>
      </w:r>
      <w:r w:rsidR="00993CAF">
        <w:t>’</w:t>
      </w:r>
      <w:r w:rsidRPr="00BB3C05">
        <w:t xml:space="preserve">, </w:t>
      </w:r>
      <w:r w:rsidRPr="00BB3C05">
        <w:rPr>
          <w:i/>
          <w:iCs/>
        </w:rPr>
        <w:t>AJR Am</w:t>
      </w:r>
      <w:r w:rsidR="00976DB7">
        <w:rPr>
          <w:i/>
          <w:iCs/>
        </w:rPr>
        <w:t>erican</w:t>
      </w:r>
      <w:r w:rsidRPr="00BB3C05">
        <w:rPr>
          <w:i/>
          <w:iCs/>
        </w:rPr>
        <w:t xml:space="preserve"> J</w:t>
      </w:r>
      <w:r w:rsidR="00976DB7">
        <w:rPr>
          <w:i/>
          <w:iCs/>
        </w:rPr>
        <w:t>ournal of</w:t>
      </w:r>
      <w:r w:rsidRPr="00BB3C05">
        <w:rPr>
          <w:i/>
          <w:iCs/>
        </w:rPr>
        <w:t xml:space="preserve"> Roentgenol</w:t>
      </w:r>
      <w:r w:rsidR="00976DB7">
        <w:rPr>
          <w:i/>
          <w:iCs/>
        </w:rPr>
        <w:t>ogy</w:t>
      </w:r>
      <w:r w:rsidRPr="00BB3C05">
        <w:t>, 168</w:t>
      </w:r>
      <w:r w:rsidR="005267B7">
        <w:t xml:space="preserve"> (</w:t>
      </w:r>
      <w:r w:rsidRPr="00BB3C05">
        <w:t>1</w:t>
      </w:r>
      <w:r w:rsidR="005267B7">
        <w:t>)</w:t>
      </w:r>
      <w:r w:rsidR="00B3467F">
        <w:t>,</w:t>
      </w:r>
      <w:r w:rsidRPr="00BB3C05">
        <w:t xml:space="preserve"> 199-205.</w:t>
      </w:r>
    </w:p>
    <w:p w:rsidR="009C594D" w:rsidRPr="00BB3C05" w:rsidRDefault="009C594D" w:rsidP="009C594D">
      <w:r w:rsidRPr="00BB3C05">
        <w:t>Choi, J. S., Choo, S. W.</w:t>
      </w:r>
      <w:r w:rsidR="000E2EDC" w:rsidRPr="00BB3C05">
        <w:t xml:space="preserve"> </w:t>
      </w:r>
      <w:r w:rsidR="000E2EDC">
        <w:t>et al</w:t>
      </w:r>
      <w:r w:rsidRPr="00BB3C05">
        <w:t xml:space="preserve"> </w:t>
      </w:r>
      <w:r w:rsidR="00993CAF">
        <w:t>2007.</w:t>
      </w:r>
      <w:r w:rsidRPr="00BB3C05">
        <w:t xml:space="preserve"> </w:t>
      </w:r>
      <w:proofErr w:type="gramStart"/>
      <w:r w:rsidR="00993CAF">
        <w:t>‘</w:t>
      </w:r>
      <w:r w:rsidRPr="00BB3C05">
        <w:t>Interventional management of malignant colorectal obstruction: use of covered and uncovered stents</w:t>
      </w:r>
      <w:r w:rsidR="00993CAF">
        <w:t>’</w:t>
      </w:r>
      <w:r w:rsidRPr="00BB3C05">
        <w:t xml:space="preserve">, </w:t>
      </w:r>
      <w:r w:rsidRPr="00BB3C05">
        <w:rPr>
          <w:i/>
          <w:iCs/>
        </w:rPr>
        <w:t>Korean J</w:t>
      </w:r>
      <w:r w:rsidR="00976DB7">
        <w:rPr>
          <w:i/>
          <w:iCs/>
        </w:rPr>
        <w:t>ournal of</w:t>
      </w:r>
      <w:r w:rsidRPr="00BB3C05">
        <w:rPr>
          <w:i/>
          <w:iCs/>
        </w:rPr>
        <w:t xml:space="preserve"> Radiol</w:t>
      </w:r>
      <w:r w:rsidR="00976DB7">
        <w:rPr>
          <w:i/>
          <w:iCs/>
        </w:rPr>
        <w:t>ogy</w:t>
      </w:r>
      <w:r w:rsidRPr="00BB3C05">
        <w:t>, 8</w:t>
      </w:r>
      <w:r w:rsidR="005267B7">
        <w:t xml:space="preserve"> (</w:t>
      </w:r>
      <w:r w:rsidRPr="00BB3C05">
        <w:t>1</w:t>
      </w:r>
      <w:r w:rsidR="005267B7">
        <w:t>)</w:t>
      </w:r>
      <w:r w:rsidR="00B3467F">
        <w:t>,</w:t>
      </w:r>
      <w:r w:rsidRPr="00BB3C05">
        <w:t xml:space="preserve"> 57-63.</w:t>
      </w:r>
      <w:proofErr w:type="gramEnd"/>
    </w:p>
    <w:p w:rsidR="009C594D" w:rsidRPr="00BB3C05" w:rsidRDefault="009C594D" w:rsidP="009C594D">
      <w:r w:rsidRPr="00BB3C05">
        <w:t>Choo, I. W., Do, Y. S.</w:t>
      </w:r>
      <w:r w:rsidR="000E2EDC" w:rsidRPr="00BB3C05">
        <w:t xml:space="preserve"> </w:t>
      </w:r>
      <w:r w:rsidR="000E2EDC">
        <w:t>et al</w:t>
      </w:r>
      <w:r w:rsidRPr="00BB3C05">
        <w:t xml:space="preserve"> 1998, </w:t>
      </w:r>
      <w:r w:rsidR="00993CAF">
        <w:t>‘</w:t>
      </w:r>
      <w:r w:rsidRPr="00BB3C05">
        <w:t>Malignant colorectal obstruction: treatment with a flexible covered stent</w:t>
      </w:r>
      <w:r w:rsidR="00993CAF">
        <w:t>’</w:t>
      </w:r>
      <w:r w:rsidRPr="00BB3C05">
        <w:t xml:space="preserve">, </w:t>
      </w:r>
      <w:r w:rsidRPr="00BB3C05">
        <w:rPr>
          <w:i/>
          <w:iCs/>
        </w:rPr>
        <w:t>Radiology</w:t>
      </w:r>
      <w:r w:rsidRPr="00BB3C05">
        <w:t>, 206</w:t>
      </w:r>
      <w:r w:rsidR="005267B7">
        <w:t xml:space="preserve"> (</w:t>
      </w:r>
      <w:r w:rsidRPr="00BB3C05">
        <w:t>2</w:t>
      </w:r>
      <w:r w:rsidR="005267B7">
        <w:t>)</w:t>
      </w:r>
      <w:r w:rsidR="00B3467F">
        <w:t>,</w:t>
      </w:r>
      <w:r w:rsidRPr="00BB3C05">
        <w:t xml:space="preserve"> 415-421.</w:t>
      </w:r>
    </w:p>
    <w:p w:rsidR="009C594D" w:rsidRPr="00BB3C05" w:rsidRDefault="009C594D" w:rsidP="009C594D">
      <w:r w:rsidRPr="00BB3C05">
        <w:t>Chung, T. S., Lim, S. B.</w:t>
      </w:r>
      <w:r w:rsidR="000E2EDC" w:rsidRPr="00BB3C05">
        <w:t xml:space="preserve"> </w:t>
      </w:r>
      <w:r w:rsidR="000E2EDC">
        <w:t>et al</w:t>
      </w:r>
      <w:r w:rsidRPr="00BB3C05">
        <w:t xml:space="preserve"> </w:t>
      </w:r>
      <w:r w:rsidR="00993CAF">
        <w:t>2008.</w:t>
      </w:r>
      <w:r w:rsidRPr="00BB3C05">
        <w:t xml:space="preserve"> </w:t>
      </w:r>
      <w:proofErr w:type="gramStart"/>
      <w:r w:rsidR="00993CAF">
        <w:t>‘</w:t>
      </w:r>
      <w:r w:rsidRPr="00BB3C05">
        <w:t>Feasibility of single-stage laparoscopic resection after placement of a self-expandable metallic stent for obstructive left colorectal cancer</w:t>
      </w:r>
      <w:r w:rsidR="00993CAF">
        <w:t>’</w:t>
      </w:r>
      <w:r w:rsidRPr="00BB3C05">
        <w:t xml:space="preserve">, </w:t>
      </w:r>
      <w:r w:rsidRPr="00BB3C05">
        <w:rPr>
          <w:i/>
          <w:iCs/>
        </w:rPr>
        <w:t>World J</w:t>
      </w:r>
      <w:r w:rsidR="00976DB7">
        <w:rPr>
          <w:i/>
          <w:iCs/>
        </w:rPr>
        <w:t>ournal of</w:t>
      </w:r>
      <w:r w:rsidRPr="00BB3C05">
        <w:rPr>
          <w:i/>
          <w:iCs/>
        </w:rPr>
        <w:t xml:space="preserve"> Surg</w:t>
      </w:r>
      <w:r w:rsidR="00976DB7">
        <w:rPr>
          <w:i/>
          <w:iCs/>
        </w:rPr>
        <w:t>ery</w:t>
      </w:r>
      <w:r w:rsidRPr="00BB3C05">
        <w:t>, 32</w:t>
      </w:r>
      <w:r w:rsidR="005267B7">
        <w:t xml:space="preserve"> (</w:t>
      </w:r>
      <w:r w:rsidRPr="00BB3C05">
        <w:t>10</w:t>
      </w:r>
      <w:r w:rsidR="005267B7">
        <w:t>)</w:t>
      </w:r>
      <w:r w:rsidR="00B3467F">
        <w:t>,</w:t>
      </w:r>
      <w:r w:rsidRPr="00BB3C05">
        <w:t xml:space="preserve"> 2275-2280.</w:t>
      </w:r>
      <w:proofErr w:type="gramEnd"/>
    </w:p>
    <w:p w:rsidR="009C594D" w:rsidRPr="00BB3C05" w:rsidRDefault="009C594D" w:rsidP="009C594D">
      <w:r w:rsidRPr="00BB3C05">
        <w:t>Clark, J. S., Buchanan, G. N.</w:t>
      </w:r>
      <w:r w:rsidR="000E2EDC" w:rsidRPr="00BB3C05">
        <w:t xml:space="preserve"> </w:t>
      </w:r>
      <w:r w:rsidR="000E2EDC">
        <w:t>et al</w:t>
      </w:r>
      <w:r w:rsidRPr="00BB3C05">
        <w:t xml:space="preserve"> </w:t>
      </w:r>
      <w:r w:rsidR="00993CAF">
        <w:t>2003.</w:t>
      </w:r>
      <w:r w:rsidRPr="00BB3C05">
        <w:t xml:space="preserve"> </w:t>
      </w:r>
      <w:proofErr w:type="gramStart"/>
      <w:r w:rsidR="00993CAF">
        <w:t>‘</w:t>
      </w:r>
      <w:r w:rsidRPr="00BB3C05">
        <w:t>Use of the Bard Memotherm self-expanding metal stent in the palliation of colonic obstruction</w:t>
      </w:r>
      <w:r w:rsidR="00993CAF">
        <w:t>’</w:t>
      </w:r>
      <w:r w:rsidRPr="00BB3C05">
        <w:t xml:space="preserve">, </w:t>
      </w:r>
      <w:r w:rsidRPr="00BB3C05">
        <w:rPr>
          <w:i/>
          <w:iCs/>
        </w:rPr>
        <w:t>Abdom</w:t>
      </w:r>
      <w:r w:rsidR="00976DB7">
        <w:rPr>
          <w:i/>
          <w:iCs/>
        </w:rPr>
        <w:t>inal</w:t>
      </w:r>
      <w:r w:rsidRPr="00BB3C05">
        <w:rPr>
          <w:i/>
          <w:iCs/>
        </w:rPr>
        <w:t xml:space="preserve"> Imaging</w:t>
      </w:r>
      <w:r w:rsidRPr="00BB3C05">
        <w:t>, 28</w:t>
      </w:r>
      <w:r w:rsidR="005267B7">
        <w:t xml:space="preserve"> (</w:t>
      </w:r>
      <w:r w:rsidRPr="00BB3C05">
        <w:t>4</w:t>
      </w:r>
      <w:r w:rsidR="005267B7">
        <w:t>)</w:t>
      </w:r>
      <w:r w:rsidR="00B3467F">
        <w:t>,</w:t>
      </w:r>
      <w:r w:rsidRPr="00BB3C05">
        <w:t xml:space="preserve"> 518-524.</w:t>
      </w:r>
      <w:proofErr w:type="gramEnd"/>
    </w:p>
    <w:p w:rsidR="009C594D" w:rsidRPr="00BB3C05" w:rsidRDefault="009C594D" w:rsidP="009C594D">
      <w:r w:rsidRPr="00BB3C05">
        <w:t>Clements, D., Dhruva, R. P.</w:t>
      </w:r>
      <w:r w:rsidR="000E2EDC" w:rsidRPr="00BB3C05">
        <w:t xml:space="preserve"> </w:t>
      </w:r>
      <w:r w:rsidR="000E2EDC">
        <w:t>et al</w:t>
      </w:r>
      <w:r w:rsidRPr="00BB3C05">
        <w:t xml:space="preserve"> </w:t>
      </w:r>
      <w:r w:rsidR="00993CAF">
        <w:t>2009.</w:t>
      </w:r>
      <w:r w:rsidRPr="00BB3C05">
        <w:t xml:space="preserve"> </w:t>
      </w:r>
      <w:proofErr w:type="gramStart"/>
      <w:r w:rsidR="00993CAF">
        <w:t>‘</w:t>
      </w:r>
      <w:r w:rsidRPr="00BB3C05">
        <w:t>Management of the asymptomatic primary in the palliative treatment of metastatic colorectal cancer</w:t>
      </w:r>
      <w:r w:rsidR="00993CAF">
        <w:t>’</w:t>
      </w:r>
      <w:r w:rsidRPr="00BB3C05">
        <w:t xml:space="preserve">, </w:t>
      </w:r>
      <w:r w:rsidRPr="00BB3C05">
        <w:rPr>
          <w:i/>
          <w:iCs/>
        </w:rPr>
        <w:t>Colorectal Dis</w:t>
      </w:r>
      <w:r w:rsidR="00976DB7">
        <w:rPr>
          <w:i/>
          <w:iCs/>
        </w:rPr>
        <w:t>ease</w:t>
      </w:r>
      <w:r w:rsidRPr="00BB3C05">
        <w:t>, 11</w:t>
      </w:r>
      <w:r w:rsidR="005267B7">
        <w:t xml:space="preserve"> (</w:t>
      </w:r>
      <w:r w:rsidRPr="00BB3C05">
        <w:t>8</w:t>
      </w:r>
      <w:r w:rsidR="005267B7">
        <w:t>)</w:t>
      </w:r>
      <w:r w:rsidR="00B3467F">
        <w:t>,</w:t>
      </w:r>
      <w:r w:rsidRPr="00BB3C05">
        <w:t xml:space="preserve"> 845-848.</w:t>
      </w:r>
      <w:proofErr w:type="gramEnd"/>
    </w:p>
    <w:p w:rsidR="009C594D" w:rsidRPr="00BB3C05" w:rsidRDefault="009C594D" w:rsidP="009C594D">
      <w:r w:rsidRPr="00BB3C05">
        <w:t>Cozzi, G., Chiaraviglio, F.</w:t>
      </w:r>
      <w:r w:rsidR="000E2EDC" w:rsidRPr="00BB3C05">
        <w:t xml:space="preserve"> </w:t>
      </w:r>
      <w:r w:rsidR="000E2EDC">
        <w:t>et al</w:t>
      </w:r>
      <w:r w:rsidRPr="00BB3C05">
        <w:t xml:space="preserve"> </w:t>
      </w:r>
      <w:r w:rsidR="00993CAF">
        <w:t>2006.</w:t>
      </w:r>
      <w:r w:rsidRPr="00BB3C05">
        <w:t xml:space="preserve"> </w:t>
      </w:r>
      <w:proofErr w:type="gramStart"/>
      <w:r w:rsidR="00993CAF">
        <w:t>‘</w:t>
      </w:r>
      <w:r w:rsidRPr="00BB3C05">
        <w:t>Self-expanding metal stents in gastrointestinal interventional radiology: technical problems</w:t>
      </w:r>
      <w:r w:rsidR="00993CAF">
        <w:t>’</w:t>
      </w:r>
      <w:r w:rsidRPr="00BB3C05">
        <w:t xml:space="preserve">, </w:t>
      </w:r>
      <w:r w:rsidRPr="00BB3C05">
        <w:rPr>
          <w:i/>
          <w:iCs/>
        </w:rPr>
        <w:t>Tumori</w:t>
      </w:r>
      <w:r w:rsidRPr="00BB3C05">
        <w:t>, 92</w:t>
      </w:r>
      <w:r w:rsidR="005267B7">
        <w:t xml:space="preserve"> (</w:t>
      </w:r>
      <w:r w:rsidRPr="00BB3C05">
        <w:t>4</w:t>
      </w:r>
      <w:r w:rsidR="005267B7">
        <w:t>)</w:t>
      </w:r>
      <w:r w:rsidR="00B3467F">
        <w:t>,</w:t>
      </w:r>
      <w:r w:rsidRPr="00BB3C05">
        <w:t xml:space="preserve"> 334-339.</w:t>
      </w:r>
      <w:proofErr w:type="gramEnd"/>
    </w:p>
    <w:p w:rsidR="009C594D" w:rsidRPr="00BB3C05" w:rsidRDefault="009C594D" w:rsidP="009C594D">
      <w:r w:rsidRPr="00BB3C05">
        <w:t>Crosta, C., Trovato, C.</w:t>
      </w:r>
      <w:r w:rsidR="000E2EDC" w:rsidRPr="00BB3C05">
        <w:t xml:space="preserve"> </w:t>
      </w:r>
      <w:r w:rsidR="000E2EDC">
        <w:t>et al</w:t>
      </w:r>
      <w:r w:rsidRPr="00BB3C05">
        <w:t xml:space="preserve"> </w:t>
      </w:r>
      <w:r w:rsidR="00993CAF">
        <w:t>2006.</w:t>
      </w:r>
      <w:r w:rsidRPr="00BB3C05">
        <w:t xml:space="preserve"> </w:t>
      </w:r>
      <w:r w:rsidR="00993CAF">
        <w:t>‘</w:t>
      </w:r>
      <w:r w:rsidRPr="00BB3C05">
        <w:t>Metal stent placement in acute malignant colorectal obstruction</w:t>
      </w:r>
      <w:r w:rsidR="00993CAF">
        <w:t>’</w:t>
      </w:r>
      <w:r w:rsidRPr="00BB3C05">
        <w:t xml:space="preserve">, </w:t>
      </w:r>
      <w:r w:rsidRPr="00BB3C05">
        <w:rPr>
          <w:i/>
          <w:iCs/>
        </w:rPr>
        <w:t>Dig</w:t>
      </w:r>
      <w:r w:rsidR="009D7559">
        <w:rPr>
          <w:i/>
          <w:iCs/>
        </w:rPr>
        <w:t>estive and</w:t>
      </w:r>
      <w:r w:rsidRPr="00BB3C05">
        <w:rPr>
          <w:i/>
          <w:iCs/>
        </w:rPr>
        <w:t xml:space="preserve"> Liver Dis</w:t>
      </w:r>
      <w:r w:rsidR="009D7559">
        <w:rPr>
          <w:i/>
          <w:iCs/>
        </w:rPr>
        <w:t>ease</w:t>
      </w:r>
      <w:r w:rsidRPr="00BB3C05">
        <w:t>, 38</w:t>
      </w:r>
      <w:r w:rsidR="005267B7">
        <w:t xml:space="preserve"> (</w:t>
      </w:r>
      <w:r w:rsidRPr="00BB3C05">
        <w:t>5</w:t>
      </w:r>
      <w:r w:rsidR="005267B7">
        <w:t>)</w:t>
      </w:r>
      <w:r w:rsidR="00B3467F">
        <w:t>,</w:t>
      </w:r>
      <w:r w:rsidRPr="00BB3C05">
        <w:t xml:space="preserve"> 341-346.</w:t>
      </w:r>
    </w:p>
    <w:p w:rsidR="009C594D" w:rsidRPr="00BB3C05" w:rsidRDefault="009C594D" w:rsidP="009C594D">
      <w:proofErr w:type="gramStart"/>
      <w:r w:rsidRPr="00BB3C05">
        <w:t>Dauphine, C. E., Tan, P.</w:t>
      </w:r>
      <w:r w:rsidR="000E2EDC" w:rsidRPr="00BB3C05">
        <w:t xml:space="preserve"> </w:t>
      </w:r>
      <w:r w:rsidR="000E2EDC">
        <w:t>et al</w:t>
      </w:r>
      <w:r w:rsidRPr="00BB3C05">
        <w:t xml:space="preserve"> </w:t>
      </w:r>
      <w:r w:rsidR="00993CAF">
        <w:t>2002.</w:t>
      </w:r>
      <w:proofErr w:type="gramEnd"/>
      <w:r w:rsidRPr="00BB3C05">
        <w:t xml:space="preserve"> </w:t>
      </w:r>
      <w:proofErr w:type="gramStart"/>
      <w:r w:rsidR="00993CAF">
        <w:t>‘</w:t>
      </w:r>
      <w:r w:rsidRPr="00BB3C05">
        <w:t>Placement of self-expanding metal stents for acute malignant large-bowel obstruction: a collective review</w:t>
      </w:r>
      <w:r w:rsidR="00993CAF">
        <w:t>’</w:t>
      </w:r>
      <w:r w:rsidRPr="00BB3C05">
        <w:t xml:space="preserve">, </w:t>
      </w:r>
      <w:r w:rsidRPr="00BB3C05">
        <w:rPr>
          <w:i/>
          <w:iCs/>
        </w:rPr>
        <w:t>Ann</w:t>
      </w:r>
      <w:r w:rsidR="009D7559">
        <w:rPr>
          <w:i/>
          <w:iCs/>
        </w:rPr>
        <w:t>als of</w:t>
      </w:r>
      <w:r w:rsidRPr="00BB3C05">
        <w:rPr>
          <w:i/>
          <w:iCs/>
        </w:rPr>
        <w:t xml:space="preserve"> Surg</w:t>
      </w:r>
      <w:r w:rsidR="009D7559">
        <w:rPr>
          <w:i/>
          <w:iCs/>
        </w:rPr>
        <w:t>ical</w:t>
      </w:r>
      <w:r w:rsidRPr="00BB3C05">
        <w:rPr>
          <w:i/>
          <w:iCs/>
        </w:rPr>
        <w:t xml:space="preserve"> Oncol</w:t>
      </w:r>
      <w:r w:rsidR="009D7559">
        <w:rPr>
          <w:i/>
          <w:iCs/>
        </w:rPr>
        <w:t>ogy</w:t>
      </w:r>
      <w:r w:rsidRPr="00BB3C05">
        <w:t>, 9</w:t>
      </w:r>
      <w:r w:rsidR="005267B7">
        <w:t xml:space="preserve"> (</w:t>
      </w:r>
      <w:r w:rsidRPr="00BB3C05">
        <w:t>6</w:t>
      </w:r>
      <w:r w:rsidR="005267B7">
        <w:t>)</w:t>
      </w:r>
      <w:r w:rsidR="00B3467F">
        <w:t>,</w:t>
      </w:r>
      <w:r w:rsidRPr="00BB3C05">
        <w:t xml:space="preserve"> 574-579.</w:t>
      </w:r>
      <w:proofErr w:type="gramEnd"/>
    </w:p>
    <w:p w:rsidR="009C594D" w:rsidRPr="00BB3C05" w:rsidRDefault="009C594D" w:rsidP="009C594D">
      <w:r w:rsidRPr="00BB3C05">
        <w:t>Davies, R. J., D'Sa, I. B.</w:t>
      </w:r>
      <w:r w:rsidR="000E2EDC" w:rsidRPr="00BB3C05">
        <w:t xml:space="preserve"> </w:t>
      </w:r>
      <w:r w:rsidR="000E2EDC">
        <w:t>et al</w:t>
      </w:r>
      <w:r w:rsidRPr="00BB3C05">
        <w:t xml:space="preserve"> </w:t>
      </w:r>
      <w:r w:rsidR="00993CAF">
        <w:t>2005.</w:t>
      </w:r>
      <w:r w:rsidRPr="00BB3C05">
        <w:t xml:space="preserve"> </w:t>
      </w:r>
      <w:proofErr w:type="gramStart"/>
      <w:r w:rsidR="00993CAF">
        <w:t>‘</w:t>
      </w:r>
      <w:r w:rsidRPr="00BB3C05">
        <w:t>Bowel function following insertion of self-expanding metallic stents for palliation of colorectal cancer</w:t>
      </w:r>
      <w:r w:rsidR="00993CAF">
        <w:t>’</w:t>
      </w:r>
      <w:r w:rsidRPr="00BB3C05">
        <w:t xml:space="preserve">, </w:t>
      </w:r>
      <w:r w:rsidRPr="00BB3C05">
        <w:rPr>
          <w:i/>
          <w:iCs/>
        </w:rPr>
        <w:t>Colorectal Dis</w:t>
      </w:r>
      <w:r w:rsidR="009D7559">
        <w:rPr>
          <w:i/>
          <w:iCs/>
        </w:rPr>
        <w:t>ease</w:t>
      </w:r>
      <w:r w:rsidRPr="00BB3C05">
        <w:t>, 7</w:t>
      </w:r>
      <w:r w:rsidR="005267B7">
        <w:t xml:space="preserve"> (</w:t>
      </w:r>
      <w:r w:rsidRPr="00BB3C05">
        <w:t>3</w:t>
      </w:r>
      <w:r w:rsidR="005267B7">
        <w:t>)</w:t>
      </w:r>
      <w:r w:rsidR="00ED6295">
        <w:t>,</w:t>
      </w:r>
      <w:r w:rsidRPr="00BB3C05">
        <w:t xml:space="preserve"> 251-253.</w:t>
      </w:r>
      <w:proofErr w:type="gramEnd"/>
    </w:p>
    <w:p w:rsidR="009C594D" w:rsidRPr="00BB3C05" w:rsidRDefault="009C594D" w:rsidP="009C594D">
      <w:r w:rsidRPr="00BB3C05">
        <w:t>De Gregorio, M. A., Mainar, A.</w:t>
      </w:r>
      <w:r w:rsidR="000E2EDC" w:rsidRPr="00BB3C05">
        <w:t xml:space="preserve"> </w:t>
      </w:r>
      <w:r w:rsidR="000E2EDC">
        <w:t>et al</w:t>
      </w:r>
      <w:r w:rsidRPr="00BB3C05">
        <w:t xml:space="preserve"> 1998, </w:t>
      </w:r>
      <w:r w:rsidR="00993CAF">
        <w:t>‘</w:t>
      </w:r>
      <w:r w:rsidRPr="00BB3C05">
        <w:t>Acute colorectal obstruction: stent placement for palliative treatment--results of a multicenter study</w:t>
      </w:r>
      <w:r w:rsidR="00993CAF">
        <w:t>’</w:t>
      </w:r>
      <w:r w:rsidRPr="00BB3C05">
        <w:t xml:space="preserve">, </w:t>
      </w:r>
      <w:r w:rsidRPr="00BB3C05">
        <w:rPr>
          <w:i/>
          <w:iCs/>
        </w:rPr>
        <w:t>Radiology</w:t>
      </w:r>
      <w:r w:rsidRPr="00BB3C05">
        <w:t>, 209</w:t>
      </w:r>
      <w:r w:rsidR="005267B7">
        <w:t xml:space="preserve"> (</w:t>
      </w:r>
      <w:r w:rsidRPr="00BB3C05">
        <w:t>1</w:t>
      </w:r>
      <w:r w:rsidR="005267B7">
        <w:t>)</w:t>
      </w:r>
      <w:r w:rsidR="00B3467F">
        <w:t>,</w:t>
      </w:r>
      <w:r w:rsidRPr="00BB3C05">
        <w:t xml:space="preserve"> 117-120.</w:t>
      </w:r>
    </w:p>
    <w:p w:rsidR="009C594D" w:rsidRPr="00BB3C05" w:rsidRDefault="009C594D" w:rsidP="009C594D">
      <w:r w:rsidRPr="00BB3C05">
        <w:t>Diaz, P.L., Pinto, P., I</w:t>
      </w:r>
      <w:r w:rsidR="000E2EDC">
        <w:t>. et al</w:t>
      </w:r>
      <w:r w:rsidR="000E2EDC" w:rsidRPr="00423FF6">
        <w:t xml:space="preserve"> </w:t>
      </w:r>
      <w:r w:rsidR="00993CAF">
        <w:t>1999.</w:t>
      </w:r>
      <w:r w:rsidRPr="00BB3C05">
        <w:t xml:space="preserve"> </w:t>
      </w:r>
      <w:proofErr w:type="gramStart"/>
      <w:r w:rsidR="00993CAF">
        <w:t>‘</w:t>
      </w:r>
      <w:r w:rsidRPr="00BB3C05">
        <w:t>Palliative treatment of malignant colorectal strictures with metallic stents</w:t>
      </w:r>
      <w:r w:rsidR="00993CAF">
        <w:t>’</w:t>
      </w:r>
      <w:r w:rsidRPr="00BB3C05">
        <w:t xml:space="preserve">, </w:t>
      </w:r>
      <w:r w:rsidRPr="00BB3C05">
        <w:rPr>
          <w:i/>
          <w:iCs/>
        </w:rPr>
        <w:t>Cardiovasc</w:t>
      </w:r>
      <w:r w:rsidR="009D7559">
        <w:rPr>
          <w:i/>
          <w:iCs/>
        </w:rPr>
        <w:t>ular and</w:t>
      </w:r>
      <w:r w:rsidRPr="00BB3C05">
        <w:rPr>
          <w:i/>
          <w:iCs/>
        </w:rPr>
        <w:t xml:space="preserve"> Intervent</w:t>
      </w:r>
      <w:r w:rsidR="009D7559">
        <w:rPr>
          <w:i/>
          <w:iCs/>
        </w:rPr>
        <w:t>ional</w:t>
      </w:r>
      <w:r w:rsidRPr="00BB3C05">
        <w:rPr>
          <w:i/>
          <w:iCs/>
        </w:rPr>
        <w:t xml:space="preserve"> Radiol</w:t>
      </w:r>
      <w:r w:rsidR="009D7559">
        <w:rPr>
          <w:i/>
          <w:iCs/>
        </w:rPr>
        <w:t>ogy</w:t>
      </w:r>
      <w:r w:rsidRPr="00BB3C05">
        <w:t>, 22</w:t>
      </w:r>
      <w:r w:rsidR="005267B7">
        <w:t xml:space="preserve"> (</w:t>
      </w:r>
      <w:r w:rsidRPr="00BB3C05">
        <w:t>1</w:t>
      </w:r>
      <w:r w:rsidR="005267B7">
        <w:t>)</w:t>
      </w:r>
      <w:r w:rsidR="00B3467F">
        <w:t>,</w:t>
      </w:r>
      <w:r w:rsidRPr="00BB3C05">
        <w:t xml:space="preserve"> 29-36.</w:t>
      </w:r>
      <w:proofErr w:type="gramEnd"/>
    </w:p>
    <w:p w:rsidR="009C594D" w:rsidRPr="00BB3C05" w:rsidRDefault="009C594D" w:rsidP="009C594D">
      <w:proofErr w:type="gramStart"/>
      <w:r w:rsidRPr="00BB3C05">
        <w:t>Dohmoto, M., Hunerbein, M.</w:t>
      </w:r>
      <w:r w:rsidR="000E2EDC">
        <w:t xml:space="preserve"> and</w:t>
      </w:r>
      <w:r w:rsidRPr="00BB3C05">
        <w:t xml:space="preserve"> Schlag, P. M. 1997, </w:t>
      </w:r>
      <w:r w:rsidR="00993CAF">
        <w:t>‘</w:t>
      </w:r>
      <w:r w:rsidRPr="00BB3C05">
        <w:t>Application of rectal stents for palliation of obstructing rectosigmoid cancer</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11</w:t>
      </w:r>
      <w:r w:rsidR="005267B7">
        <w:t xml:space="preserve"> (</w:t>
      </w:r>
      <w:r w:rsidRPr="00BB3C05">
        <w:t>7</w:t>
      </w:r>
      <w:r w:rsidR="005267B7">
        <w:t>)</w:t>
      </w:r>
      <w:r w:rsidR="00B3467F">
        <w:t>,</w:t>
      </w:r>
      <w:r w:rsidRPr="00BB3C05">
        <w:t xml:space="preserve"> 758-761.</w:t>
      </w:r>
      <w:proofErr w:type="gramEnd"/>
    </w:p>
    <w:p w:rsidR="009C594D" w:rsidRPr="00BB3C05" w:rsidRDefault="009C594D" w:rsidP="009C594D">
      <w:proofErr w:type="gramStart"/>
      <w:r w:rsidRPr="00BB3C05">
        <w:lastRenderedPageBreak/>
        <w:t>Donnellan, F., Cullen, G.</w:t>
      </w:r>
      <w:r w:rsidR="000E2EDC" w:rsidRPr="00BB3C05">
        <w:t xml:space="preserve"> </w:t>
      </w:r>
      <w:r w:rsidR="000E2EDC">
        <w:t>et al</w:t>
      </w:r>
      <w:r w:rsidRPr="00BB3C05">
        <w:t xml:space="preserve"> </w:t>
      </w:r>
      <w:r w:rsidR="00993CAF">
        <w:t>2010.</w:t>
      </w:r>
      <w:proofErr w:type="gramEnd"/>
      <w:r w:rsidRPr="00BB3C05">
        <w:t xml:space="preserve"> </w:t>
      </w:r>
      <w:proofErr w:type="gramStart"/>
      <w:r w:rsidR="00993CAF">
        <w:t>‘</w:t>
      </w:r>
      <w:r w:rsidRPr="00BB3C05">
        <w:t>Efficacy and safety of colonic stenting for malignant disease in the elderly</w:t>
      </w:r>
      <w:r w:rsidR="00993CAF">
        <w:t>’</w:t>
      </w:r>
      <w:r w:rsidRPr="00BB3C05">
        <w:t xml:space="preserve">, </w:t>
      </w:r>
      <w:r w:rsidRPr="00BB3C05">
        <w:rPr>
          <w:i/>
          <w:iCs/>
        </w:rPr>
        <w:t>Int</w:t>
      </w:r>
      <w:r w:rsidR="009D7559">
        <w:rPr>
          <w:i/>
          <w:iCs/>
        </w:rPr>
        <w:t>ernational</w:t>
      </w:r>
      <w:r w:rsidRPr="00BB3C05">
        <w:rPr>
          <w:i/>
          <w:iCs/>
        </w:rPr>
        <w:t xml:space="preserve"> J</w:t>
      </w:r>
      <w:r w:rsidR="009D7559">
        <w:rPr>
          <w:i/>
          <w:iCs/>
        </w:rPr>
        <w:t>ournal of</w:t>
      </w:r>
      <w:r w:rsidRPr="00BB3C05">
        <w:rPr>
          <w:i/>
          <w:iCs/>
        </w:rPr>
        <w:t xml:space="preserve"> Colorectal Dis</w:t>
      </w:r>
      <w:r w:rsidR="009D7559">
        <w:rPr>
          <w:i/>
          <w:iCs/>
        </w:rPr>
        <w:t>ease</w:t>
      </w:r>
      <w:r w:rsidRPr="00BB3C05">
        <w:t>, 25</w:t>
      </w:r>
      <w:r w:rsidR="005267B7">
        <w:t xml:space="preserve"> (</w:t>
      </w:r>
      <w:r w:rsidRPr="00BB3C05">
        <w:t>6</w:t>
      </w:r>
      <w:r w:rsidR="005267B7">
        <w:t>)</w:t>
      </w:r>
      <w:r w:rsidR="00B3467F">
        <w:t>,</w:t>
      </w:r>
      <w:r w:rsidRPr="00BB3C05">
        <w:t xml:space="preserve"> 747-750.</w:t>
      </w:r>
      <w:proofErr w:type="gramEnd"/>
    </w:p>
    <w:p w:rsidR="009C594D" w:rsidRPr="00BB3C05" w:rsidRDefault="009C594D" w:rsidP="009C594D">
      <w:r w:rsidRPr="00BB3C05">
        <w:t>Dronamraju, S. S., Ramamurthy, S.</w:t>
      </w:r>
      <w:r w:rsidR="000E2EDC" w:rsidRPr="00BB3C05">
        <w:t xml:space="preserve"> </w:t>
      </w:r>
      <w:r w:rsidR="000E2EDC">
        <w:t>et al</w:t>
      </w:r>
      <w:r w:rsidRPr="00BB3C05">
        <w:t xml:space="preserve"> </w:t>
      </w:r>
      <w:r w:rsidR="00993CAF">
        <w:t>2009.</w:t>
      </w:r>
      <w:r w:rsidRPr="00BB3C05">
        <w:t xml:space="preserve"> </w:t>
      </w:r>
      <w:proofErr w:type="gramStart"/>
      <w:r w:rsidR="00993CAF">
        <w:t>‘</w:t>
      </w:r>
      <w:r w:rsidRPr="00BB3C05">
        <w:t>Role of self-expanding metallic stents in the management of malignant obstruction of the proximal colon</w:t>
      </w:r>
      <w:r w:rsidR="00993CAF">
        <w:t>’</w:t>
      </w:r>
      <w:r w:rsidRPr="00BB3C05">
        <w:t xml:space="preserve">, </w:t>
      </w:r>
      <w:r w:rsidRPr="00BB3C05">
        <w:rPr>
          <w:i/>
          <w:iCs/>
        </w:rPr>
        <w:t>Dis</w:t>
      </w:r>
      <w:r w:rsidR="009D7559">
        <w:rPr>
          <w:i/>
          <w:iCs/>
        </w:rPr>
        <w:t>ease of the</w:t>
      </w:r>
      <w:r w:rsidRPr="00BB3C05">
        <w:rPr>
          <w:i/>
          <w:iCs/>
        </w:rPr>
        <w:t xml:space="preserve"> Colon</w:t>
      </w:r>
      <w:r w:rsidR="009D7559">
        <w:rPr>
          <w:i/>
          <w:iCs/>
        </w:rPr>
        <w:t xml:space="preserve"> and</w:t>
      </w:r>
      <w:r w:rsidRPr="00BB3C05">
        <w:rPr>
          <w:i/>
          <w:iCs/>
        </w:rPr>
        <w:t xml:space="preserve"> Rectum</w:t>
      </w:r>
      <w:r w:rsidRPr="00BB3C05">
        <w:t>, 52</w:t>
      </w:r>
      <w:r w:rsidR="005267B7">
        <w:t xml:space="preserve"> (</w:t>
      </w:r>
      <w:r w:rsidRPr="00BB3C05">
        <w:t>9</w:t>
      </w:r>
      <w:r w:rsidR="005267B7">
        <w:t>)</w:t>
      </w:r>
      <w:r w:rsidR="00B3467F">
        <w:t>,</w:t>
      </w:r>
      <w:r w:rsidRPr="00BB3C05">
        <w:t xml:space="preserve"> 1657-1661.</w:t>
      </w:r>
      <w:proofErr w:type="gramEnd"/>
    </w:p>
    <w:p w:rsidR="009C594D" w:rsidRPr="00BB3C05" w:rsidRDefault="009C594D" w:rsidP="009C594D">
      <w:r w:rsidRPr="00BB3C05">
        <w:t>Dulucq, J. L., Wintringer, P.</w:t>
      </w:r>
      <w:r w:rsidR="000E2EDC" w:rsidRPr="00BB3C05">
        <w:t xml:space="preserve"> </w:t>
      </w:r>
      <w:r w:rsidR="000E2EDC">
        <w:t>et al</w:t>
      </w:r>
      <w:r w:rsidRPr="00BB3C05">
        <w:t xml:space="preserve"> </w:t>
      </w:r>
      <w:r w:rsidR="00993CAF">
        <w:t>2006.</w:t>
      </w:r>
      <w:r w:rsidRPr="00BB3C05">
        <w:t xml:space="preserve"> </w:t>
      </w:r>
      <w:proofErr w:type="gramStart"/>
      <w:r w:rsidR="00993CAF">
        <w:t>‘</w:t>
      </w:r>
      <w:r w:rsidRPr="00BB3C05">
        <w:t>One-stage laparoscopic colorectal resection after placement of self-expanding metallic stents for colorectal obstruction: a prospective study</w:t>
      </w:r>
      <w:r w:rsidR="00993CAF">
        <w:t>’</w:t>
      </w:r>
      <w:r w:rsidRPr="00BB3C05">
        <w:t xml:space="preserve">, </w:t>
      </w:r>
      <w:r w:rsidRPr="00BB3C05">
        <w:rPr>
          <w:i/>
          <w:iCs/>
        </w:rPr>
        <w:t>Dig</w:t>
      </w:r>
      <w:r w:rsidR="009D7559">
        <w:rPr>
          <w:i/>
          <w:iCs/>
        </w:rPr>
        <w:t xml:space="preserve">estive </w:t>
      </w:r>
      <w:r w:rsidRPr="00BB3C05">
        <w:rPr>
          <w:i/>
          <w:iCs/>
        </w:rPr>
        <w:t>Dis</w:t>
      </w:r>
      <w:r w:rsidR="009D7559">
        <w:rPr>
          <w:i/>
          <w:iCs/>
        </w:rPr>
        <w:t>eases and</w:t>
      </w:r>
      <w:r w:rsidRPr="00BB3C05">
        <w:rPr>
          <w:i/>
          <w:iCs/>
        </w:rPr>
        <w:t xml:space="preserve"> Sci</w:t>
      </w:r>
      <w:r w:rsidR="009D7559">
        <w:rPr>
          <w:i/>
          <w:iCs/>
        </w:rPr>
        <w:t>ences</w:t>
      </w:r>
      <w:r w:rsidRPr="00BB3C05">
        <w:t>, 51</w:t>
      </w:r>
      <w:r w:rsidR="005267B7">
        <w:t xml:space="preserve"> (</w:t>
      </w:r>
      <w:r w:rsidRPr="00BB3C05">
        <w:t>12</w:t>
      </w:r>
      <w:r w:rsidR="005267B7">
        <w:t>)</w:t>
      </w:r>
      <w:r w:rsidR="00B3467F">
        <w:t>,</w:t>
      </w:r>
      <w:r w:rsidRPr="00BB3C05">
        <w:t xml:space="preserve"> 2365-2371.</w:t>
      </w:r>
      <w:proofErr w:type="gramEnd"/>
    </w:p>
    <w:p w:rsidR="009C594D" w:rsidRPr="00BB3C05" w:rsidRDefault="009C594D" w:rsidP="009C594D">
      <w:r w:rsidRPr="00BB3C05">
        <w:t>Elsberger, B., Rourke, K.</w:t>
      </w:r>
      <w:r w:rsidR="000E2EDC" w:rsidRPr="00BB3C05">
        <w:t xml:space="preserve"> </w:t>
      </w:r>
      <w:r w:rsidR="000E2EDC">
        <w:t>et al</w:t>
      </w:r>
      <w:r w:rsidRPr="00BB3C05">
        <w:t xml:space="preserve"> </w:t>
      </w:r>
      <w:r w:rsidR="00993CAF">
        <w:t>2008.</w:t>
      </w:r>
      <w:r w:rsidRPr="00BB3C05">
        <w:t xml:space="preserve"> </w:t>
      </w:r>
      <w:proofErr w:type="gramStart"/>
      <w:r w:rsidR="00993CAF">
        <w:t>‘</w:t>
      </w:r>
      <w:r w:rsidRPr="00BB3C05">
        <w:t>Self-expanding metallic stent insertion in the proximal colon</w:t>
      </w:r>
      <w:r w:rsidR="00993CAF">
        <w:t>’</w:t>
      </w:r>
      <w:r w:rsidRPr="00BB3C05">
        <w:t xml:space="preserve">, </w:t>
      </w:r>
      <w:r w:rsidRPr="00BB3C05">
        <w:rPr>
          <w:i/>
          <w:iCs/>
        </w:rPr>
        <w:t>Colorectal Dis</w:t>
      </w:r>
      <w:r w:rsidR="009D7559">
        <w:rPr>
          <w:i/>
          <w:iCs/>
        </w:rPr>
        <w:t>ease</w:t>
      </w:r>
      <w:r w:rsidRPr="00BB3C05">
        <w:t>, 10</w:t>
      </w:r>
      <w:r w:rsidR="005267B7">
        <w:t xml:space="preserve"> (</w:t>
      </w:r>
      <w:r w:rsidRPr="00BB3C05">
        <w:t>2</w:t>
      </w:r>
      <w:r w:rsidR="005267B7">
        <w:t>)</w:t>
      </w:r>
      <w:r w:rsidR="000C594B">
        <w:t>,</w:t>
      </w:r>
      <w:r w:rsidRPr="00BB3C05">
        <w:t xml:space="preserve"> 194-196.</w:t>
      </w:r>
      <w:proofErr w:type="gramEnd"/>
    </w:p>
    <w:p w:rsidR="009C594D" w:rsidRPr="00BB3C05" w:rsidRDefault="009C594D" w:rsidP="009C594D">
      <w:proofErr w:type="gramStart"/>
      <w:r w:rsidRPr="00BB3C05">
        <w:t>Ely, C. A.</w:t>
      </w:r>
      <w:r w:rsidR="000E2EDC">
        <w:t xml:space="preserve"> and</w:t>
      </w:r>
      <w:r w:rsidRPr="00BB3C05">
        <w:t xml:space="preserve"> Arregui, M. E. </w:t>
      </w:r>
      <w:r w:rsidR="00993CAF">
        <w:t>2003.</w:t>
      </w:r>
      <w:proofErr w:type="gramEnd"/>
      <w:r w:rsidRPr="00BB3C05">
        <w:t xml:space="preserve"> </w:t>
      </w:r>
      <w:proofErr w:type="gramStart"/>
      <w:r w:rsidR="00993CAF">
        <w:t>‘</w:t>
      </w:r>
      <w:r w:rsidRPr="00BB3C05">
        <w:t>The use of enteral stents in colonic and gastric outlet obstruction</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17</w:t>
      </w:r>
      <w:r w:rsidR="005267B7">
        <w:t xml:space="preserve"> (</w:t>
      </w:r>
      <w:r w:rsidRPr="00BB3C05">
        <w:t>1</w:t>
      </w:r>
      <w:r w:rsidR="005267B7">
        <w:t>)</w:t>
      </w:r>
      <w:r w:rsidR="00B3467F">
        <w:t>,</w:t>
      </w:r>
      <w:r w:rsidRPr="00BB3C05">
        <w:t xml:space="preserve"> 89-94.</w:t>
      </w:r>
      <w:proofErr w:type="gramEnd"/>
    </w:p>
    <w:p w:rsidR="009C594D" w:rsidRPr="00BB3C05" w:rsidRDefault="009C594D" w:rsidP="009C594D">
      <w:proofErr w:type="gramStart"/>
      <w:r w:rsidRPr="00BB3C05">
        <w:t>Fernandez-Esparrach, G., Bordas, J. M.</w:t>
      </w:r>
      <w:r w:rsidR="00CE727B" w:rsidRPr="00BB3C05">
        <w:t xml:space="preserve"> </w:t>
      </w:r>
      <w:r w:rsidR="00CE727B">
        <w:t>et al</w:t>
      </w:r>
      <w:r w:rsidRPr="00BB3C05">
        <w:t xml:space="preserve"> </w:t>
      </w:r>
      <w:r w:rsidR="00993CAF">
        <w:t>2010.</w:t>
      </w:r>
      <w:proofErr w:type="gramEnd"/>
      <w:r w:rsidRPr="00BB3C05">
        <w:t xml:space="preserve"> </w:t>
      </w:r>
      <w:r w:rsidR="00993CAF">
        <w:t>‘</w:t>
      </w:r>
      <w:r w:rsidRPr="00BB3C05">
        <w:t>Severe complications limit long-term clinical success of self-expanding metal stents in patients with obstructive colorectal cancer</w:t>
      </w:r>
      <w:r w:rsidR="00993CAF">
        <w:t>’</w:t>
      </w:r>
      <w:r w:rsidRPr="00BB3C05">
        <w:t xml:space="preserve">, </w:t>
      </w:r>
      <w:r w:rsidRPr="00BB3C05">
        <w:rPr>
          <w:i/>
          <w:iCs/>
        </w:rPr>
        <w:t>Am</w:t>
      </w:r>
      <w:r w:rsidR="009D7559">
        <w:rPr>
          <w:i/>
          <w:iCs/>
        </w:rPr>
        <w:t>erican</w:t>
      </w:r>
      <w:r w:rsidRPr="00BB3C05">
        <w:rPr>
          <w:i/>
          <w:iCs/>
        </w:rPr>
        <w:t xml:space="preserve"> J</w:t>
      </w:r>
      <w:r w:rsidR="009D7559">
        <w:rPr>
          <w:i/>
          <w:iCs/>
        </w:rPr>
        <w:t>ournal of</w:t>
      </w:r>
      <w:r w:rsidRPr="00BB3C05">
        <w:rPr>
          <w:i/>
          <w:iCs/>
        </w:rPr>
        <w:t xml:space="preserve"> Gastroenterol</w:t>
      </w:r>
      <w:r w:rsidR="009D7559">
        <w:rPr>
          <w:i/>
          <w:iCs/>
        </w:rPr>
        <w:t>ogy</w:t>
      </w:r>
      <w:r w:rsidRPr="00BB3C05">
        <w:t>, 105</w:t>
      </w:r>
      <w:r w:rsidR="005267B7">
        <w:t xml:space="preserve"> (</w:t>
      </w:r>
      <w:r w:rsidRPr="00BB3C05">
        <w:t>5</w:t>
      </w:r>
      <w:r w:rsidR="005267B7">
        <w:t>)</w:t>
      </w:r>
      <w:r w:rsidR="00B3467F">
        <w:t>,</w:t>
      </w:r>
      <w:r w:rsidRPr="00BB3C05">
        <w:t xml:space="preserve"> 1087-1093.</w:t>
      </w:r>
    </w:p>
    <w:p w:rsidR="009C594D" w:rsidRPr="00BB3C05" w:rsidRDefault="009C594D" w:rsidP="009C594D">
      <w:r w:rsidRPr="00BB3C05">
        <w:t>Fregonese, D., Naspetti, R.</w:t>
      </w:r>
      <w:r w:rsidR="00CE727B" w:rsidRPr="00BB3C05">
        <w:t xml:space="preserve"> </w:t>
      </w:r>
      <w:r w:rsidR="00CE727B">
        <w:t>et al</w:t>
      </w:r>
      <w:r w:rsidRPr="00BB3C05">
        <w:t xml:space="preserve"> </w:t>
      </w:r>
      <w:r w:rsidR="00993CAF">
        <w:t>2008.</w:t>
      </w:r>
      <w:r w:rsidRPr="00BB3C05">
        <w:t xml:space="preserve"> </w:t>
      </w:r>
      <w:proofErr w:type="gramStart"/>
      <w:r w:rsidR="00993CAF">
        <w:t>‘</w:t>
      </w:r>
      <w:r w:rsidRPr="00BB3C05">
        <w:t>Ultraflex precision colonic stent placement as a bridge to surgery in patients with malignant colon obstruction</w:t>
      </w:r>
      <w:r w:rsidR="00993CAF">
        <w:t>’</w:t>
      </w:r>
      <w:r w:rsidRPr="00BB3C05">
        <w:t xml:space="preserve">, </w:t>
      </w:r>
      <w:r w:rsidRPr="00BB3C05">
        <w:rPr>
          <w:i/>
          <w:iCs/>
        </w:rPr>
        <w:t>Gastrointest</w:t>
      </w:r>
      <w:r w:rsidR="009D7559">
        <w:rPr>
          <w:i/>
          <w:iCs/>
        </w:rPr>
        <w:t>inal</w:t>
      </w:r>
      <w:r w:rsidRPr="00BB3C05">
        <w:rPr>
          <w:i/>
          <w:iCs/>
        </w:rPr>
        <w:t xml:space="preserve"> Endosc</w:t>
      </w:r>
      <w:r w:rsidR="009D7559">
        <w:rPr>
          <w:i/>
          <w:iCs/>
        </w:rPr>
        <w:t>opy</w:t>
      </w:r>
      <w:r w:rsidRPr="00BB3C05">
        <w:t>, 67</w:t>
      </w:r>
      <w:r w:rsidR="005267B7">
        <w:t xml:space="preserve"> (</w:t>
      </w:r>
      <w:r w:rsidRPr="00BB3C05">
        <w:t>1</w:t>
      </w:r>
      <w:r w:rsidR="005267B7">
        <w:t>)</w:t>
      </w:r>
      <w:r w:rsidR="00B3467F">
        <w:t>,</w:t>
      </w:r>
      <w:r w:rsidRPr="00BB3C05">
        <w:t xml:space="preserve"> 68-73.</w:t>
      </w:r>
      <w:proofErr w:type="gramEnd"/>
    </w:p>
    <w:p w:rsidR="009C594D" w:rsidRPr="00BB3C05" w:rsidRDefault="009C594D" w:rsidP="009C594D">
      <w:proofErr w:type="gramStart"/>
      <w:r w:rsidRPr="00BB3C05">
        <w:t xml:space="preserve">Garcia-Cano, J. </w:t>
      </w:r>
      <w:r w:rsidR="00993CAF">
        <w:t>2006.</w:t>
      </w:r>
      <w:proofErr w:type="gramEnd"/>
      <w:r w:rsidRPr="00BB3C05">
        <w:t xml:space="preserve"> </w:t>
      </w:r>
      <w:proofErr w:type="gramStart"/>
      <w:r w:rsidR="00993CAF">
        <w:t>‘</w:t>
      </w:r>
      <w:r w:rsidRPr="00BB3C05">
        <w:t>Use of an ultrathin gastroscope to allow endoscopic insertion of enteral wallstents without fluoroscopic monitoring</w:t>
      </w:r>
      <w:r w:rsidR="00993CAF">
        <w:t>’</w:t>
      </w:r>
      <w:r w:rsidRPr="00BB3C05">
        <w:t xml:space="preserve">, </w:t>
      </w:r>
      <w:r w:rsidRPr="00BB3C05">
        <w:rPr>
          <w:i/>
          <w:iCs/>
        </w:rPr>
        <w:t>Dig</w:t>
      </w:r>
      <w:r w:rsidR="009D7559">
        <w:rPr>
          <w:i/>
          <w:iCs/>
        </w:rPr>
        <w:t>estive</w:t>
      </w:r>
      <w:r w:rsidRPr="00BB3C05">
        <w:rPr>
          <w:i/>
          <w:iCs/>
        </w:rPr>
        <w:t xml:space="preserve"> Dis</w:t>
      </w:r>
      <w:r w:rsidR="009D7559">
        <w:rPr>
          <w:i/>
          <w:iCs/>
        </w:rPr>
        <w:t>eases and</w:t>
      </w:r>
      <w:r w:rsidRPr="00BB3C05">
        <w:rPr>
          <w:i/>
          <w:iCs/>
        </w:rPr>
        <w:t xml:space="preserve"> Sci</w:t>
      </w:r>
      <w:r w:rsidR="009D7559">
        <w:rPr>
          <w:i/>
          <w:iCs/>
        </w:rPr>
        <w:t>ences</w:t>
      </w:r>
      <w:r w:rsidRPr="00BB3C05">
        <w:t>, 51</w:t>
      </w:r>
      <w:r w:rsidR="005267B7">
        <w:t xml:space="preserve"> (</w:t>
      </w:r>
      <w:r w:rsidRPr="00BB3C05">
        <w:t>7</w:t>
      </w:r>
      <w:r w:rsidR="005267B7">
        <w:t>)</w:t>
      </w:r>
      <w:r w:rsidR="00B3467F">
        <w:t>,</w:t>
      </w:r>
      <w:r w:rsidRPr="00BB3C05">
        <w:t xml:space="preserve"> 1231-1235.</w:t>
      </w:r>
      <w:proofErr w:type="gramEnd"/>
    </w:p>
    <w:p w:rsidR="009C594D" w:rsidRPr="00BB3C05" w:rsidRDefault="009C594D" w:rsidP="009C594D">
      <w:proofErr w:type="gramStart"/>
      <w:r w:rsidRPr="00BB3C05">
        <w:t>Gukovsky-Reicher, S., Lin, R. M.</w:t>
      </w:r>
      <w:r w:rsidR="00CE727B" w:rsidRPr="00BB3C05">
        <w:t xml:space="preserve"> </w:t>
      </w:r>
      <w:r w:rsidR="00CE727B">
        <w:t>et al</w:t>
      </w:r>
      <w:r w:rsidRPr="00BB3C05">
        <w:t xml:space="preserve"> </w:t>
      </w:r>
      <w:r w:rsidR="00993CAF">
        <w:t>2003.</w:t>
      </w:r>
      <w:proofErr w:type="gramEnd"/>
      <w:r w:rsidRPr="00BB3C05">
        <w:t xml:space="preserve"> </w:t>
      </w:r>
      <w:proofErr w:type="gramStart"/>
      <w:r w:rsidR="00993CAF">
        <w:t>‘</w:t>
      </w:r>
      <w:r w:rsidRPr="00BB3C05">
        <w:t>Self-expandable metal stents in palliation of malignant gastrointestinal obstruction: review of the current literature data and 5-year experience at Harbor-UCLA Medical Center</w:t>
      </w:r>
      <w:r w:rsidR="00993CAF">
        <w:t>’</w:t>
      </w:r>
      <w:r w:rsidRPr="00BB3C05">
        <w:t xml:space="preserve">, </w:t>
      </w:r>
      <w:r w:rsidRPr="00BB3C05">
        <w:rPr>
          <w:i/>
          <w:iCs/>
        </w:rPr>
        <w:t>Med</w:t>
      </w:r>
      <w:r w:rsidR="009D7559">
        <w:rPr>
          <w:i/>
          <w:iCs/>
        </w:rPr>
        <w:t xml:space="preserve">scape </w:t>
      </w:r>
      <w:r w:rsidRPr="00BB3C05">
        <w:rPr>
          <w:i/>
          <w:iCs/>
        </w:rPr>
        <w:t>Gen</w:t>
      </w:r>
      <w:r w:rsidR="009D7559">
        <w:rPr>
          <w:i/>
          <w:iCs/>
        </w:rPr>
        <w:t xml:space="preserve">eral </w:t>
      </w:r>
      <w:r w:rsidRPr="00BB3C05">
        <w:rPr>
          <w:i/>
          <w:iCs/>
        </w:rPr>
        <w:t>Med</w:t>
      </w:r>
      <w:r w:rsidR="009D7559">
        <w:rPr>
          <w:i/>
          <w:iCs/>
        </w:rPr>
        <w:t>icine</w:t>
      </w:r>
      <w:r w:rsidRPr="00BB3C05">
        <w:t>, 5</w:t>
      </w:r>
      <w:r w:rsidR="005267B7">
        <w:t xml:space="preserve"> (</w:t>
      </w:r>
      <w:r w:rsidRPr="00BB3C05">
        <w:t>1</w:t>
      </w:r>
      <w:r w:rsidR="005D1E42">
        <w:t>)</w:t>
      </w:r>
      <w:r w:rsidR="00B3467F">
        <w:t>,</w:t>
      </w:r>
      <w:r w:rsidRPr="00BB3C05">
        <w:t xml:space="preserve"> 16.</w:t>
      </w:r>
      <w:proofErr w:type="gramEnd"/>
    </w:p>
    <w:p w:rsidR="009C594D" w:rsidRPr="00BB3C05" w:rsidRDefault="009C594D" w:rsidP="009C594D">
      <w:r w:rsidRPr="00BB3C05">
        <w:t>Im, J. P., Kim, S. G.</w:t>
      </w:r>
      <w:r w:rsidR="00CE727B" w:rsidRPr="00BB3C05">
        <w:t xml:space="preserve"> </w:t>
      </w:r>
      <w:r w:rsidR="00CE727B">
        <w:t>et al</w:t>
      </w:r>
      <w:r w:rsidRPr="00BB3C05">
        <w:t xml:space="preserve"> </w:t>
      </w:r>
      <w:r w:rsidR="00993CAF">
        <w:t>2008.</w:t>
      </w:r>
      <w:r w:rsidRPr="00BB3C05">
        <w:t xml:space="preserve"> </w:t>
      </w:r>
      <w:proofErr w:type="gramStart"/>
      <w:r w:rsidR="00993CAF">
        <w:t>‘</w:t>
      </w:r>
      <w:r w:rsidRPr="00BB3C05">
        <w:t>Clinical outcomes and patency of self-expanding metal stents in patients with malignant colorectal obstruction: a prospective single center study</w:t>
      </w:r>
      <w:r w:rsidR="00993CAF">
        <w:t>’</w:t>
      </w:r>
      <w:r w:rsidRPr="00BB3C05">
        <w:t xml:space="preserve">, </w:t>
      </w:r>
      <w:r w:rsidRPr="00BB3C05">
        <w:rPr>
          <w:i/>
          <w:iCs/>
        </w:rPr>
        <w:t>Int</w:t>
      </w:r>
      <w:r w:rsidR="009D7559">
        <w:rPr>
          <w:i/>
          <w:iCs/>
        </w:rPr>
        <w:t>ernational</w:t>
      </w:r>
      <w:r w:rsidRPr="00BB3C05">
        <w:rPr>
          <w:i/>
          <w:iCs/>
        </w:rPr>
        <w:t xml:space="preserve"> J</w:t>
      </w:r>
      <w:r w:rsidR="009D7559">
        <w:rPr>
          <w:i/>
          <w:iCs/>
        </w:rPr>
        <w:t>ournal of</w:t>
      </w:r>
      <w:r w:rsidRPr="00BB3C05">
        <w:rPr>
          <w:i/>
          <w:iCs/>
        </w:rPr>
        <w:t xml:space="preserve"> Colorectal Dis</w:t>
      </w:r>
      <w:r w:rsidR="009D7559">
        <w:rPr>
          <w:i/>
          <w:iCs/>
        </w:rPr>
        <w:t>ease</w:t>
      </w:r>
      <w:r w:rsidRPr="00BB3C05">
        <w:t>, 23</w:t>
      </w:r>
      <w:r w:rsidR="005267B7">
        <w:t xml:space="preserve"> (</w:t>
      </w:r>
      <w:r w:rsidRPr="00BB3C05">
        <w:t>8</w:t>
      </w:r>
      <w:r w:rsidR="005267B7">
        <w:t>)</w:t>
      </w:r>
      <w:r w:rsidR="00B3467F">
        <w:t>,</w:t>
      </w:r>
      <w:r w:rsidRPr="00BB3C05">
        <w:t xml:space="preserve"> 789-794.</w:t>
      </w:r>
      <w:proofErr w:type="gramEnd"/>
    </w:p>
    <w:p w:rsidR="009C594D" w:rsidRPr="00BB3C05" w:rsidRDefault="009C594D" w:rsidP="009C594D">
      <w:r w:rsidRPr="00BB3C05">
        <w:t>Inaba, Y., Arai, Y.</w:t>
      </w:r>
      <w:r w:rsidR="00CE727B" w:rsidRPr="00BB3C05">
        <w:t xml:space="preserve"> </w:t>
      </w:r>
      <w:r w:rsidR="00CE727B">
        <w:t>et al</w:t>
      </w:r>
      <w:r w:rsidRPr="00BB3C05">
        <w:t xml:space="preserve"> </w:t>
      </w:r>
      <w:r w:rsidR="00993CAF">
        <w:t>2011.</w:t>
      </w:r>
      <w:r w:rsidRPr="00BB3C05">
        <w:t xml:space="preserve"> </w:t>
      </w:r>
      <w:r w:rsidR="00993CAF">
        <w:t>‘</w:t>
      </w:r>
      <w:r w:rsidRPr="00BB3C05">
        <w:t>Phase II Clinical Study on Stent Therapy for Unresectable Malignant Colorectal Obstruction (JIVROSG-0206)</w:t>
      </w:r>
      <w:r w:rsidR="00993CAF">
        <w:t>’</w:t>
      </w:r>
      <w:r w:rsidRPr="00BB3C05">
        <w:t xml:space="preserve">, </w:t>
      </w:r>
      <w:r w:rsidRPr="00BB3C05">
        <w:rPr>
          <w:i/>
          <w:iCs/>
        </w:rPr>
        <w:t>Am</w:t>
      </w:r>
      <w:r w:rsidR="009D7559">
        <w:rPr>
          <w:i/>
          <w:iCs/>
        </w:rPr>
        <w:t>erican</w:t>
      </w:r>
      <w:r w:rsidRPr="00BB3C05">
        <w:rPr>
          <w:i/>
          <w:iCs/>
        </w:rPr>
        <w:t xml:space="preserve"> J</w:t>
      </w:r>
      <w:r w:rsidR="009D7559">
        <w:rPr>
          <w:i/>
          <w:iCs/>
        </w:rPr>
        <w:t>ournal of</w:t>
      </w:r>
      <w:r w:rsidRPr="00BB3C05">
        <w:rPr>
          <w:i/>
          <w:iCs/>
        </w:rPr>
        <w:t xml:space="preserve"> Clin</w:t>
      </w:r>
      <w:r w:rsidR="009D7559">
        <w:rPr>
          <w:i/>
          <w:iCs/>
        </w:rPr>
        <w:t>ical</w:t>
      </w:r>
      <w:r w:rsidRPr="00BB3C05">
        <w:rPr>
          <w:i/>
          <w:iCs/>
        </w:rPr>
        <w:t xml:space="preserve"> Oncol</w:t>
      </w:r>
      <w:r w:rsidR="009D7559">
        <w:rPr>
          <w:i/>
          <w:iCs/>
        </w:rPr>
        <w:t>ogy</w:t>
      </w:r>
      <w:r w:rsidR="00ED6295">
        <w:t>,</w:t>
      </w:r>
      <w:r w:rsidR="00B3467F">
        <w:t xml:space="preserve"> 35 (1), 73-76.</w:t>
      </w:r>
    </w:p>
    <w:p w:rsidR="009C594D" w:rsidRPr="00BB3C05" w:rsidRDefault="009C594D" w:rsidP="009C594D">
      <w:r w:rsidRPr="00BB3C05">
        <w:t>Iversen, L. H., Kratmann, M.</w:t>
      </w:r>
      <w:r w:rsidR="00CE727B" w:rsidRPr="00BB3C05">
        <w:t xml:space="preserve"> </w:t>
      </w:r>
      <w:r w:rsidR="00CE727B">
        <w:t>et al</w:t>
      </w:r>
      <w:r w:rsidRPr="00BB3C05">
        <w:t xml:space="preserve"> </w:t>
      </w:r>
      <w:r w:rsidR="00993CAF">
        <w:t>2011.</w:t>
      </w:r>
      <w:r w:rsidRPr="00BB3C05">
        <w:t xml:space="preserve"> </w:t>
      </w:r>
      <w:proofErr w:type="gramStart"/>
      <w:r w:rsidR="00993CAF">
        <w:t>‘</w:t>
      </w:r>
      <w:r w:rsidRPr="00BB3C05">
        <w:t>Self-expanding metallic stents as bridge to surgery in obstructing colorectal cancer</w:t>
      </w:r>
      <w:r w:rsidR="00993CAF">
        <w:t>’</w:t>
      </w:r>
      <w:r w:rsidRPr="00BB3C05">
        <w:t xml:space="preserve">, </w:t>
      </w:r>
      <w:r w:rsidR="009D7559" w:rsidRPr="0007443E">
        <w:rPr>
          <w:i/>
        </w:rPr>
        <w:t xml:space="preserve">The </w:t>
      </w:r>
      <w:r w:rsidRPr="009D7559">
        <w:rPr>
          <w:i/>
          <w:iCs/>
        </w:rPr>
        <w:t>B</w:t>
      </w:r>
      <w:r w:rsidRPr="00BB3C05">
        <w:rPr>
          <w:i/>
          <w:iCs/>
        </w:rPr>
        <w:t>r</w:t>
      </w:r>
      <w:r w:rsidR="009D7559">
        <w:rPr>
          <w:i/>
          <w:iCs/>
        </w:rPr>
        <w:t>itish</w:t>
      </w:r>
      <w:r w:rsidRPr="00BB3C05">
        <w:rPr>
          <w:i/>
          <w:iCs/>
        </w:rPr>
        <w:t xml:space="preserve"> J</w:t>
      </w:r>
      <w:r w:rsidR="009D7559">
        <w:rPr>
          <w:i/>
          <w:iCs/>
        </w:rPr>
        <w:t>ournal of</w:t>
      </w:r>
      <w:r w:rsidRPr="00BB3C05">
        <w:rPr>
          <w:i/>
          <w:iCs/>
        </w:rPr>
        <w:t xml:space="preserve"> Surg</w:t>
      </w:r>
      <w:r w:rsidR="009D7559">
        <w:rPr>
          <w:i/>
          <w:iCs/>
        </w:rPr>
        <w:t>ery</w:t>
      </w:r>
      <w:r w:rsidRPr="00BB3C05">
        <w:t>, 98</w:t>
      </w:r>
      <w:r w:rsidR="005267B7">
        <w:t xml:space="preserve"> (</w:t>
      </w:r>
      <w:r w:rsidRPr="00BB3C05">
        <w:t>2</w:t>
      </w:r>
      <w:r w:rsidR="005267B7">
        <w:t>)</w:t>
      </w:r>
      <w:r w:rsidR="00B3467F">
        <w:t>,</w:t>
      </w:r>
      <w:r w:rsidRPr="00BB3C05">
        <w:t xml:space="preserve"> 275-281.</w:t>
      </w:r>
      <w:proofErr w:type="gramEnd"/>
    </w:p>
    <w:p w:rsidR="009C594D" w:rsidRPr="00BB3C05" w:rsidRDefault="009C594D" w:rsidP="009C594D">
      <w:r w:rsidRPr="00BB3C05">
        <w:t>Jung, M. K., Park, S. Y.</w:t>
      </w:r>
      <w:r w:rsidR="00CE727B" w:rsidRPr="00BB3C05">
        <w:t xml:space="preserve"> </w:t>
      </w:r>
      <w:r w:rsidR="00CE727B">
        <w:t>et al</w:t>
      </w:r>
      <w:r w:rsidRPr="00BB3C05">
        <w:t xml:space="preserve"> </w:t>
      </w:r>
      <w:r w:rsidR="00993CAF">
        <w:t>2010.</w:t>
      </w:r>
      <w:r w:rsidRPr="00BB3C05">
        <w:t xml:space="preserve"> </w:t>
      </w:r>
      <w:r w:rsidR="00993CAF">
        <w:t>‘</w:t>
      </w:r>
      <w:r w:rsidRPr="00BB3C05">
        <w:t>Factors associated with the long-term outcome of a self-expandable colon stent used for palliation of malignant colorectal obstruction</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24</w:t>
      </w:r>
      <w:r w:rsidR="005267B7">
        <w:t xml:space="preserve"> (</w:t>
      </w:r>
      <w:r w:rsidRPr="00BB3C05">
        <w:t>3</w:t>
      </w:r>
      <w:r w:rsidR="005267B7">
        <w:t>)</w:t>
      </w:r>
      <w:r w:rsidR="00B3467F">
        <w:t>,</w:t>
      </w:r>
      <w:r w:rsidRPr="00BB3C05">
        <w:t xml:space="preserve"> 525-530.</w:t>
      </w:r>
    </w:p>
    <w:p w:rsidR="009C594D" w:rsidRPr="00BB3C05" w:rsidRDefault="009C594D" w:rsidP="009C594D">
      <w:r w:rsidRPr="00BB3C05">
        <w:t>Keswani, R. N., Azar, R. R.</w:t>
      </w:r>
      <w:r w:rsidR="00CE727B" w:rsidRPr="00BB3C05">
        <w:t xml:space="preserve"> </w:t>
      </w:r>
      <w:r w:rsidR="00CE727B">
        <w:t>et al</w:t>
      </w:r>
      <w:r w:rsidRPr="00BB3C05">
        <w:t xml:space="preserve"> </w:t>
      </w:r>
      <w:r w:rsidR="00993CAF">
        <w:t>2009.</w:t>
      </w:r>
      <w:r w:rsidRPr="00BB3C05">
        <w:t xml:space="preserve"> </w:t>
      </w:r>
      <w:proofErr w:type="gramStart"/>
      <w:r w:rsidR="00993CAF">
        <w:t>‘</w:t>
      </w:r>
      <w:r w:rsidRPr="00BB3C05">
        <w:t>Stenting for malignant colonic obstruction: a comparison of efficacy and complications in colonic versus extracolonic malignancy</w:t>
      </w:r>
      <w:r w:rsidR="00993CAF">
        <w:t>’</w:t>
      </w:r>
      <w:r w:rsidRPr="00BB3C05">
        <w:t xml:space="preserve">, </w:t>
      </w:r>
      <w:r w:rsidRPr="00BB3C05">
        <w:rPr>
          <w:i/>
          <w:iCs/>
        </w:rPr>
        <w:t>Gastrointestinal Endoscopy</w:t>
      </w:r>
      <w:r w:rsidRPr="00BB3C05">
        <w:t>, 69</w:t>
      </w:r>
      <w:r w:rsidR="005267B7">
        <w:t xml:space="preserve"> (</w:t>
      </w:r>
      <w:r w:rsidRPr="00BB3C05">
        <w:t>3 Part 2</w:t>
      </w:r>
      <w:r w:rsidR="005267B7">
        <w:t>)</w:t>
      </w:r>
      <w:r w:rsidR="00B3467F">
        <w:t>,</w:t>
      </w:r>
      <w:r w:rsidRPr="00BB3C05">
        <w:t xml:space="preserve"> 675-680.</w:t>
      </w:r>
      <w:proofErr w:type="gramEnd"/>
    </w:p>
    <w:p w:rsidR="009C594D" w:rsidRPr="00BB3C05" w:rsidRDefault="009C594D" w:rsidP="009C594D">
      <w:r w:rsidRPr="00BB3C05">
        <w:lastRenderedPageBreak/>
        <w:t>Kim, H., Kim, S. H.</w:t>
      </w:r>
      <w:r w:rsidR="00CE727B" w:rsidRPr="00BB3C05">
        <w:t xml:space="preserve"> </w:t>
      </w:r>
      <w:r w:rsidR="00CE727B">
        <w:t>et al</w:t>
      </w:r>
      <w:r w:rsidRPr="00BB3C05">
        <w:t xml:space="preserve"> </w:t>
      </w:r>
      <w:r w:rsidR="00993CAF">
        <w:t>2008.</w:t>
      </w:r>
      <w:r w:rsidRPr="00BB3C05">
        <w:t xml:space="preserve"> </w:t>
      </w:r>
      <w:proofErr w:type="gramStart"/>
      <w:r w:rsidR="00993CAF">
        <w:t>‘</w:t>
      </w:r>
      <w:r w:rsidRPr="00BB3C05">
        <w:t>Fluoroscopically guided placement of self-expandable metallic stents and stent-grafts in the treatment of acute malignant colorectal obstruction</w:t>
      </w:r>
      <w:r w:rsidR="00993CAF">
        <w:t>’</w:t>
      </w:r>
      <w:r w:rsidRPr="00BB3C05">
        <w:t xml:space="preserve">, </w:t>
      </w:r>
      <w:r w:rsidRPr="00BB3C05">
        <w:rPr>
          <w:i/>
          <w:iCs/>
        </w:rPr>
        <w:t>J</w:t>
      </w:r>
      <w:r w:rsidR="009D7559">
        <w:rPr>
          <w:i/>
          <w:iCs/>
        </w:rPr>
        <w:t>ournal of</w:t>
      </w:r>
      <w:r w:rsidRPr="00BB3C05">
        <w:rPr>
          <w:i/>
          <w:iCs/>
        </w:rPr>
        <w:t xml:space="preserve"> Vasc</w:t>
      </w:r>
      <w:r w:rsidR="009D7559">
        <w:rPr>
          <w:i/>
          <w:iCs/>
        </w:rPr>
        <w:t>ular and</w:t>
      </w:r>
      <w:r w:rsidRPr="00BB3C05">
        <w:rPr>
          <w:i/>
          <w:iCs/>
        </w:rPr>
        <w:t xml:space="preserve"> Interv</w:t>
      </w:r>
      <w:r w:rsidR="009D7559">
        <w:rPr>
          <w:i/>
          <w:iCs/>
        </w:rPr>
        <w:t>entional</w:t>
      </w:r>
      <w:r w:rsidRPr="00BB3C05">
        <w:rPr>
          <w:i/>
          <w:iCs/>
        </w:rPr>
        <w:t xml:space="preserve"> Radiol</w:t>
      </w:r>
      <w:r w:rsidR="009D7559">
        <w:rPr>
          <w:i/>
          <w:iCs/>
        </w:rPr>
        <w:t>ogy</w:t>
      </w:r>
      <w:r w:rsidRPr="00BB3C05">
        <w:t>, 19</w:t>
      </w:r>
      <w:r w:rsidR="005267B7">
        <w:t xml:space="preserve"> (</w:t>
      </w:r>
      <w:r w:rsidRPr="00BB3C05">
        <w:t>12</w:t>
      </w:r>
      <w:r w:rsidR="005267B7">
        <w:t>)</w:t>
      </w:r>
      <w:r w:rsidR="00B3467F">
        <w:t>,</w:t>
      </w:r>
      <w:r w:rsidRPr="00BB3C05">
        <w:t xml:space="preserve"> 1709-1716.</w:t>
      </w:r>
      <w:proofErr w:type="gramEnd"/>
    </w:p>
    <w:p w:rsidR="009C594D" w:rsidRPr="00BB3C05" w:rsidRDefault="009C594D" w:rsidP="009C594D">
      <w:r w:rsidRPr="00BB3C05">
        <w:t>Kozarek, R. A., Brandabur, J. J.</w:t>
      </w:r>
      <w:r w:rsidR="00CE727B">
        <w:t xml:space="preserve"> and</w:t>
      </w:r>
      <w:r w:rsidRPr="00BB3C05">
        <w:t xml:space="preserve"> Raltz, S. L. 1997, </w:t>
      </w:r>
      <w:r w:rsidR="00993CAF">
        <w:t>‘</w:t>
      </w:r>
      <w:r w:rsidRPr="00BB3C05">
        <w:t>Expandable stents: unusual locations</w:t>
      </w:r>
      <w:r w:rsidR="00993CAF">
        <w:t>’</w:t>
      </w:r>
      <w:r w:rsidRPr="00BB3C05">
        <w:t xml:space="preserve">, </w:t>
      </w:r>
      <w:r w:rsidRPr="00BB3C05">
        <w:rPr>
          <w:i/>
          <w:iCs/>
        </w:rPr>
        <w:t>Am</w:t>
      </w:r>
      <w:r w:rsidR="009D7559">
        <w:rPr>
          <w:i/>
          <w:iCs/>
        </w:rPr>
        <w:t>erican</w:t>
      </w:r>
      <w:r w:rsidRPr="00BB3C05">
        <w:rPr>
          <w:i/>
          <w:iCs/>
        </w:rPr>
        <w:t xml:space="preserve"> J</w:t>
      </w:r>
      <w:r w:rsidR="009D7559">
        <w:rPr>
          <w:i/>
          <w:iCs/>
        </w:rPr>
        <w:t>ournal of</w:t>
      </w:r>
      <w:r w:rsidRPr="00BB3C05">
        <w:rPr>
          <w:i/>
          <w:iCs/>
        </w:rPr>
        <w:t xml:space="preserve"> Gastroenterol</w:t>
      </w:r>
      <w:r w:rsidR="009D7559">
        <w:rPr>
          <w:i/>
          <w:iCs/>
        </w:rPr>
        <w:t>ogy</w:t>
      </w:r>
      <w:r w:rsidRPr="00BB3C05">
        <w:t>, 92</w:t>
      </w:r>
      <w:r w:rsidR="005267B7">
        <w:t xml:space="preserve"> (</w:t>
      </w:r>
      <w:r w:rsidRPr="00BB3C05">
        <w:t>5</w:t>
      </w:r>
      <w:r w:rsidR="005267B7">
        <w:t>)</w:t>
      </w:r>
      <w:r w:rsidR="000C594B">
        <w:t>,</w:t>
      </w:r>
      <w:r w:rsidRPr="00BB3C05">
        <w:t xml:space="preserve"> 812-815.</w:t>
      </w:r>
    </w:p>
    <w:p w:rsidR="009C594D" w:rsidRPr="00BB3C05" w:rsidRDefault="009C594D" w:rsidP="009C594D">
      <w:proofErr w:type="gramStart"/>
      <w:r w:rsidRPr="00BB3C05">
        <w:t>Lamah, M., Mathur, P.</w:t>
      </w:r>
      <w:r w:rsidR="00CE727B" w:rsidRPr="00BB3C05">
        <w:t xml:space="preserve"> </w:t>
      </w:r>
      <w:r w:rsidR="00CE727B">
        <w:t>et al</w:t>
      </w:r>
      <w:r w:rsidRPr="00BB3C05">
        <w:t xml:space="preserve"> 1998, </w:t>
      </w:r>
      <w:r w:rsidR="00993CAF">
        <w:t>‘</w:t>
      </w:r>
      <w:r w:rsidRPr="00BB3C05">
        <w:t>The use of rectosigmoid stents in the management of acute large bowel obstruction</w:t>
      </w:r>
      <w:r w:rsidR="00993CAF">
        <w:t>’</w:t>
      </w:r>
      <w:r w:rsidRPr="00BB3C05">
        <w:t xml:space="preserve">, </w:t>
      </w:r>
      <w:r w:rsidRPr="00BB3C05">
        <w:rPr>
          <w:i/>
          <w:iCs/>
        </w:rPr>
        <w:t>J</w:t>
      </w:r>
      <w:r w:rsidR="009D7559">
        <w:rPr>
          <w:i/>
          <w:iCs/>
        </w:rPr>
        <w:t>ournal of the</w:t>
      </w:r>
      <w:r w:rsidRPr="00BB3C05">
        <w:rPr>
          <w:i/>
          <w:iCs/>
        </w:rPr>
        <w:t xml:space="preserve"> R</w:t>
      </w:r>
      <w:r w:rsidR="009D7559">
        <w:rPr>
          <w:i/>
          <w:iCs/>
        </w:rPr>
        <w:t>oyal</w:t>
      </w:r>
      <w:r w:rsidRPr="00BB3C05">
        <w:rPr>
          <w:i/>
          <w:iCs/>
        </w:rPr>
        <w:t xml:space="preserve"> Coll</w:t>
      </w:r>
      <w:r w:rsidR="009D7559">
        <w:rPr>
          <w:i/>
          <w:iCs/>
        </w:rPr>
        <w:t>ege of</w:t>
      </w:r>
      <w:r w:rsidRPr="00BB3C05">
        <w:rPr>
          <w:i/>
          <w:iCs/>
        </w:rPr>
        <w:t xml:space="preserve"> Surg</w:t>
      </w:r>
      <w:r w:rsidR="009D7559">
        <w:rPr>
          <w:i/>
          <w:iCs/>
        </w:rPr>
        <w:t>eons of</w:t>
      </w:r>
      <w:r w:rsidRPr="00BB3C05">
        <w:rPr>
          <w:i/>
          <w:iCs/>
        </w:rPr>
        <w:t xml:space="preserve"> Edinb</w:t>
      </w:r>
      <w:r w:rsidR="009D7559">
        <w:rPr>
          <w:i/>
          <w:iCs/>
        </w:rPr>
        <w:t>urgh</w:t>
      </w:r>
      <w:r w:rsidRPr="00BB3C05">
        <w:t>, 43</w:t>
      </w:r>
      <w:r w:rsidR="005267B7">
        <w:t xml:space="preserve"> (</w:t>
      </w:r>
      <w:r w:rsidRPr="00BB3C05">
        <w:t>5</w:t>
      </w:r>
      <w:r w:rsidR="005267B7">
        <w:t>)</w:t>
      </w:r>
      <w:r w:rsidR="00B3467F">
        <w:t>,</w:t>
      </w:r>
      <w:r w:rsidRPr="00BB3C05">
        <w:t xml:space="preserve"> 318-321.</w:t>
      </w:r>
      <w:proofErr w:type="gramEnd"/>
    </w:p>
    <w:p w:rsidR="009C594D" w:rsidRPr="00BB3C05" w:rsidRDefault="009C594D" w:rsidP="009C594D">
      <w:r w:rsidRPr="00BB3C05">
        <w:t>Lee, E. Y. T., Bourke, M. J.</w:t>
      </w:r>
      <w:r w:rsidR="00CE727B" w:rsidRPr="00BB3C05">
        <w:t xml:space="preserve"> </w:t>
      </w:r>
      <w:r w:rsidR="00CE727B">
        <w:t>et al</w:t>
      </w:r>
      <w:r w:rsidRPr="00BB3C05">
        <w:t xml:space="preserve"> </w:t>
      </w:r>
      <w:r w:rsidR="00993CAF">
        <w:t>2011.</w:t>
      </w:r>
      <w:r w:rsidRPr="00BB3C05">
        <w:t xml:space="preserve"> </w:t>
      </w:r>
      <w:r w:rsidR="00993CAF">
        <w:t>‘</w:t>
      </w:r>
      <w:r w:rsidRPr="00BB3C05">
        <w:t>Severity of initial stent angulation predicts reintervention after successful palliative enteral stenting for malignant luminal obstruction</w:t>
      </w:r>
      <w:r w:rsidR="00993CAF">
        <w:t>’</w:t>
      </w:r>
      <w:r w:rsidRPr="00BB3C05">
        <w:t xml:space="preserve">, </w:t>
      </w:r>
      <w:r w:rsidRPr="00BB3C05">
        <w:rPr>
          <w:i/>
          <w:iCs/>
        </w:rPr>
        <w:t>Journal of Gastroenterology and Hepatology</w:t>
      </w:r>
      <w:r w:rsidR="005D1E42" w:rsidRPr="0007443E">
        <w:rPr>
          <w:iCs/>
        </w:rPr>
        <w:t>,</w:t>
      </w:r>
      <w:r w:rsidRPr="00BB3C05">
        <w:t xml:space="preserve"> </w:t>
      </w:r>
      <w:r w:rsidR="00B3467F">
        <w:t>26 (</w:t>
      </w:r>
      <w:r w:rsidRPr="00BB3C05">
        <w:t>3</w:t>
      </w:r>
      <w:r w:rsidR="00B3467F">
        <w:t>)</w:t>
      </w:r>
      <w:r w:rsidRPr="00BB3C05">
        <w:t>,</w:t>
      </w:r>
      <w:r w:rsidR="00B3467F">
        <w:t xml:space="preserve"> 484-491.</w:t>
      </w:r>
    </w:p>
    <w:p w:rsidR="009C594D" w:rsidRPr="00BB3C05" w:rsidRDefault="009C594D" w:rsidP="009C594D">
      <w:r w:rsidRPr="00BB3C05">
        <w:t>Liberman, H., Adams, D. R.</w:t>
      </w:r>
      <w:r w:rsidR="00CE727B" w:rsidRPr="00BB3C05">
        <w:t xml:space="preserve"> </w:t>
      </w:r>
      <w:r w:rsidR="00CE727B">
        <w:t>et al</w:t>
      </w:r>
      <w:r w:rsidRPr="00BB3C05">
        <w:t xml:space="preserve"> </w:t>
      </w:r>
      <w:r w:rsidR="00993CAF">
        <w:t>2001.</w:t>
      </w:r>
      <w:r w:rsidRPr="00BB3C05">
        <w:t xml:space="preserve"> </w:t>
      </w:r>
      <w:proofErr w:type="gramStart"/>
      <w:r w:rsidR="00993CAF">
        <w:t>‘</w:t>
      </w:r>
      <w:r w:rsidRPr="00BB3C05">
        <w:t>Clinical use of the self-expanding metallic stent in the management of colorectal cancer</w:t>
      </w:r>
      <w:r w:rsidR="00993CAF">
        <w:t>’</w:t>
      </w:r>
      <w:r w:rsidRPr="00BB3C05">
        <w:t xml:space="preserve">, </w:t>
      </w:r>
      <w:r w:rsidRPr="00BB3C05">
        <w:rPr>
          <w:i/>
          <w:iCs/>
        </w:rPr>
        <w:t>Am</w:t>
      </w:r>
      <w:r w:rsidR="009D7559">
        <w:rPr>
          <w:i/>
          <w:iCs/>
        </w:rPr>
        <w:t>erican</w:t>
      </w:r>
      <w:r w:rsidRPr="00BB3C05">
        <w:rPr>
          <w:i/>
          <w:iCs/>
        </w:rPr>
        <w:t xml:space="preserve"> J</w:t>
      </w:r>
      <w:r w:rsidR="009D7559">
        <w:rPr>
          <w:i/>
          <w:iCs/>
        </w:rPr>
        <w:t>ournal of</w:t>
      </w:r>
      <w:r w:rsidRPr="00BB3C05">
        <w:rPr>
          <w:i/>
          <w:iCs/>
        </w:rPr>
        <w:t xml:space="preserve"> Surg</w:t>
      </w:r>
      <w:r w:rsidR="009D7559">
        <w:rPr>
          <w:i/>
          <w:iCs/>
        </w:rPr>
        <w:t>ery</w:t>
      </w:r>
      <w:r w:rsidRPr="00BB3C05">
        <w:t>, 180</w:t>
      </w:r>
      <w:r w:rsidR="005267B7">
        <w:t xml:space="preserve"> (</w:t>
      </w:r>
      <w:r w:rsidRPr="00BB3C05">
        <w:t>6</w:t>
      </w:r>
      <w:r w:rsidR="005267B7">
        <w:t>)</w:t>
      </w:r>
      <w:r w:rsidR="00B3467F">
        <w:t>,</w:t>
      </w:r>
      <w:r w:rsidRPr="00BB3C05">
        <w:t xml:space="preserve"> 407-411.</w:t>
      </w:r>
      <w:proofErr w:type="gramEnd"/>
    </w:p>
    <w:p w:rsidR="009C594D" w:rsidRPr="00BB3C05" w:rsidRDefault="009C594D" w:rsidP="009C594D">
      <w:r w:rsidRPr="00BB3C05">
        <w:t>Lobato, F. R., Pinto, I.</w:t>
      </w:r>
      <w:r w:rsidR="00CE727B" w:rsidRPr="00BB3C05">
        <w:t xml:space="preserve"> </w:t>
      </w:r>
      <w:r w:rsidR="00CE727B">
        <w:t>et al</w:t>
      </w:r>
      <w:r w:rsidRPr="00BB3C05">
        <w:t xml:space="preserve"> </w:t>
      </w:r>
      <w:r w:rsidR="00993CAF">
        <w:t>1999.</w:t>
      </w:r>
      <w:r w:rsidRPr="00BB3C05">
        <w:t xml:space="preserve"> </w:t>
      </w:r>
      <w:proofErr w:type="gramStart"/>
      <w:r w:rsidR="00993CAF">
        <w:t>‘</w:t>
      </w:r>
      <w:r w:rsidRPr="00BB3C05">
        <w:t>Self-expanding prostheses as a palliative method in treating advanced colorectal cancer</w:t>
      </w:r>
      <w:r w:rsidR="00993CAF">
        <w:t>’</w:t>
      </w:r>
      <w:r w:rsidRPr="00BB3C05">
        <w:t xml:space="preserve">, </w:t>
      </w:r>
      <w:r w:rsidRPr="00BB3C05">
        <w:rPr>
          <w:i/>
          <w:iCs/>
        </w:rPr>
        <w:t>Int</w:t>
      </w:r>
      <w:r w:rsidR="009D7559">
        <w:rPr>
          <w:i/>
          <w:iCs/>
        </w:rPr>
        <w:t>ernational</w:t>
      </w:r>
      <w:r w:rsidRPr="00BB3C05">
        <w:rPr>
          <w:i/>
          <w:iCs/>
        </w:rPr>
        <w:t xml:space="preserve"> Surg</w:t>
      </w:r>
      <w:r w:rsidR="009D7559">
        <w:rPr>
          <w:i/>
          <w:iCs/>
        </w:rPr>
        <w:t>ery</w:t>
      </w:r>
      <w:r w:rsidRPr="00BB3C05">
        <w:t>, 84</w:t>
      </w:r>
      <w:r w:rsidR="005267B7">
        <w:t xml:space="preserve"> (</w:t>
      </w:r>
      <w:r w:rsidRPr="00BB3C05">
        <w:t>2</w:t>
      </w:r>
      <w:r w:rsidR="005267B7">
        <w:t>)</w:t>
      </w:r>
      <w:r w:rsidR="00B3467F">
        <w:t>,</w:t>
      </w:r>
      <w:r w:rsidRPr="00BB3C05">
        <w:t xml:space="preserve"> 159-162.</w:t>
      </w:r>
      <w:proofErr w:type="gramEnd"/>
    </w:p>
    <w:p w:rsidR="007C13BC" w:rsidRPr="00BB3C05" w:rsidRDefault="009C594D" w:rsidP="009C594D">
      <w:proofErr w:type="gramStart"/>
      <w:r w:rsidRPr="00BB3C05">
        <w:t>Lopes, C. V., Pesenti, C.</w:t>
      </w:r>
      <w:r w:rsidR="00CE727B" w:rsidRPr="00BB3C05">
        <w:t xml:space="preserve"> </w:t>
      </w:r>
      <w:r w:rsidR="00CE727B">
        <w:t>et al</w:t>
      </w:r>
      <w:r w:rsidRPr="00BB3C05">
        <w:t xml:space="preserve"> </w:t>
      </w:r>
      <w:r w:rsidR="00993CAF">
        <w:t>2008.</w:t>
      </w:r>
      <w:proofErr w:type="gramEnd"/>
      <w:r w:rsidRPr="00BB3C05">
        <w:t xml:space="preserve"> </w:t>
      </w:r>
      <w:proofErr w:type="gramStart"/>
      <w:r w:rsidR="00993CAF">
        <w:t>‘</w:t>
      </w:r>
      <w:r w:rsidRPr="00BB3C05">
        <w:t>Self-expandable metallic stents for palliative treatment of digestive cancer</w:t>
      </w:r>
      <w:r w:rsidR="00993CAF">
        <w:t>’</w:t>
      </w:r>
      <w:r w:rsidRPr="00BB3C05">
        <w:t xml:space="preserve">, </w:t>
      </w:r>
      <w:r w:rsidRPr="00BB3C05">
        <w:rPr>
          <w:i/>
          <w:iCs/>
        </w:rPr>
        <w:t>J</w:t>
      </w:r>
      <w:r w:rsidR="009D7559">
        <w:rPr>
          <w:i/>
          <w:iCs/>
        </w:rPr>
        <w:t>ournal of</w:t>
      </w:r>
      <w:r w:rsidRPr="00BB3C05">
        <w:rPr>
          <w:i/>
          <w:iCs/>
        </w:rPr>
        <w:t xml:space="preserve"> Clin</w:t>
      </w:r>
      <w:r w:rsidR="009D7559">
        <w:rPr>
          <w:i/>
          <w:iCs/>
        </w:rPr>
        <w:t>ical</w:t>
      </w:r>
      <w:r w:rsidRPr="00BB3C05">
        <w:rPr>
          <w:i/>
          <w:iCs/>
        </w:rPr>
        <w:t xml:space="preserve"> Gastroenterol</w:t>
      </w:r>
      <w:r w:rsidR="009D7559">
        <w:rPr>
          <w:i/>
          <w:iCs/>
        </w:rPr>
        <w:t>ogy</w:t>
      </w:r>
      <w:r w:rsidRPr="00BB3C05">
        <w:t>, 42</w:t>
      </w:r>
      <w:r w:rsidR="005267B7">
        <w:t xml:space="preserve"> (</w:t>
      </w:r>
      <w:r w:rsidRPr="00BB3C05">
        <w:t>9</w:t>
      </w:r>
      <w:r w:rsidR="005267B7">
        <w:t>)</w:t>
      </w:r>
      <w:r w:rsidR="00B3467F">
        <w:t>,</w:t>
      </w:r>
      <w:r w:rsidRPr="00BB3C05">
        <w:t xml:space="preserve"> 991-996.</w:t>
      </w:r>
      <w:proofErr w:type="gramEnd"/>
    </w:p>
    <w:p w:rsidR="009C594D" w:rsidRPr="00BB3C05" w:rsidRDefault="009C594D" w:rsidP="009C594D">
      <w:r w:rsidRPr="00BB3C05">
        <w:t>Luigiano, C., Ferrara, F.</w:t>
      </w:r>
      <w:r w:rsidR="00CE727B" w:rsidRPr="00BB3C05">
        <w:t xml:space="preserve"> </w:t>
      </w:r>
      <w:r w:rsidR="00CE727B">
        <w:t>et al</w:t>
      </w:r>
      <w:r w:rsidRPr="00BB3C05">
        <w:t xml:space="preserve"> </w:t>
      </w:r>
      <w:r w:rsidR="00993CAF">
        <w:t>2011.</w:t>
      </w:r>
      <w:r w:rsidRPr="00BB3C05">
        <w:t xml:space="preserve"> </w:t>
      </w:r>
      <w:proofErr w:type="gramStart"/>
      <w:r w:rsidR="00993CAF">
        <w:t>‘</w:t>
      </w:r>
      <w:r w:rsidRPr="00BB3C05">
        <w:t>Through-the-scope large diameter self-expanding metal stent placement as a safe and effective technique for palliation of malignant colorectal obstruction: a single center experience with a long-term follow-up</w:t>
      </w:r>
      <w:r w:rsidR="00993CAF">
        <w:t>’</w:t>
      </w:r>
      <w:r w:rsidRPr="00BB3C05">
        <w:t xml:space="preserve">, </w:t>
      </w:r>
      <w:r w:rsidRPr="00BB3C05">
        <w:rPr>
          <w:i/>
          <w:iCs/>
        </w:rPr>
        <w:t>Scand</w:t>
      </w:r>
      <w:r w:rsidR="009D7559">
        <w:rPr>
          <w:i/>
          <w:iCs/>
        </w:rPr>
        <w:t>inavian</w:t>
      </w:r>
      <w:r w:rsidRPr="00BB3C05">
        <w:rPr>
          <w:i/>
          <w:iCs/>
        </w:rPr>
        <w:t xml:space="preserve"> J</w:t>
      </w:r>
      <w:r w:rsidR="009D7559">
        <w:rPr>
          <w:i/>
          <w:iCs/>
        </w:rPr>
        <w:t>ournal of</w:t>
      </w:r>
      <w:r w:rsidRPr="00BB3C05">
        <w:rPr>
          <w:i/>
          <w:iCs/>
        </w:rPr>
        <w:t xml:space="preserve"> Gastroenterol</w:t>
      </w:r>
      <w:r w:rsidR="009D7559">
        <w:rPr>
          <w:i/>
          <w:iCs/>
        </w:rPr>
        <w:t>ogy</w:t>
      </w:r>
      <w:r w:rsidRPr="00BB3C05">
        <w:t>, 46</w:t>
      </w:r>
      <w:r w:rsidR="005267B7">
        <w:t xml:space="preserve"> (</w:t>
      </w:r>
      <w:r w:rsidRPr="00BB3C05">
        <w:t>5</w:t>
      </w:r>
      <w:r w:rsidR="005267B7">
        <w:t>)</w:t>
      </w:r>
      <w:r w:rsidR="00B3467F">
        <w:t>,</w:t>
      </w:r>
      <w:r w:rsidRPr="00BB3C05">
        <w:t xml:space="preserve"> 591-596.</w:t>
      </w:r>
      <w:proofErr w:type="gramEnd"/>
    </w:p>
    <w:p w:rsidR="009C594D" w:rsidRPr="00BB3C05" w:rsidRDefault="009C594D" w:rsidP="009C594D">
      <w:r w:rsidRPr="00BB3C05">
        <w:t>Maetani, I., Tada, T.</w:t>
      </w:r>
      <w:r w:rsidR="00CE727B" w:rsidRPr="00BB3C05">
        <w:t xml:space="preserve"> </w:t>
      </w:r>
      <w:r w:rsidR="00CE727B">
        <w:t>et al</w:t>
      </w:r>
      <w:r w:rsidRPr="00BB3C05">
        <w:t xml:space="preserve"> </w:t>
      </w:r>
      <w:r w:rsidR="00993CAF">
        <w:t>2004.</w:t>
      </w:r>
      <w:r w:rsidRPr="00BB3C05">
        <w:t xml:space="preserve"> </w:t>
      </w:r>
      <w:proofErr w:type="gramStart"/>
      <w:r w:rsidR="00993CAF">
        <w:t>‘</w:t>
      </w:r>
      <w:r w:rsidRPr="00BB3C05">
        <w:t>Self-expandable metallic stent placement as palliative treatment of obstructed colorectal carcinoma</w:t>
      </w:r>
      <w:r w:rsidR="00993CAF">
        <w:t>’</w:t>
      </w:r>
      <w:r w:rsidRPr="00BB3C05">
        <w:t xml:space="preserve">, </w:t>
      </w:r>
      <w:r w:rsidRPr="00BB3C05">
        <w:rPr>
          <w:i/>
          <w:iCs/>
        </w:rPr>
        <w:t>Journal of Gastroenterology</w:t>
      </w:r>
      <w:r w:rsidRPr="00BB3C05">
        <w:t>, 39</w:t>
      </w:r>
      <w:r w:rsidR="005267B7">
        <w:t xml:space="preserve"> (</w:t>
      </w:r>
      <w:r w:rsidRPr="00BB3C05">
        <w:t>4</w:t>
      </w:r>
      <w:r w:rsidR="005267B7">
        <w:t>)</w:t>
      </w:r>
      <w:r w:rsidR="00B3467F">
        <w:t>,</w:t>
      </w:r>
      <w:r w:rsidRPr="00BB3C05">
        <w:t xml:space="preserve"> 334-338.</w:t>
      </w:r>
      <w:proofErr w:type="gramEnd"/>
    </w:p>
    <w:p w:rsidR="009C594D" w:rsidRPr="00BB3C05" w:rsidRDefault="009C594D" w:rsidP="009C594D">
      <w:r w:rsidRPr="00BB3C05">
        <w:t>Mainar, A., Tejero, E.</w:t>
      </w:r>
      <w:r w:rsidR="00CE727B" w:rsidRPr="00BB3C05">
        <w:t xml:space="preserve"> </w:t>
      </w:r>
      <w:r w:rsidR="00CE727B">
        <w:t>et al</w:t>
      </w:r>
      <w:r w:rsidRPr="00BB3C05">
        <w:t xml:space="preserve"> 1996, </w:t>
      </w:r>
      <w:r w:rsidR="00993CAF">
        <w:t>‘</w:t>
      </w:r>
      <w:r w:rsidRPr="00BB3C05">
        <w:t>Colorectal obstruction: treatment with metallic stents</w:t>
      </w:r>
      <w:r w:rsidR="00993CAF">
        <w:t>’</w:t>
      </w:r>
      <w:r w:rsidRPr="00BB3C05">
        <w:t xml:space="preserve">, </w:t>
      </w:r>
      <w:r w:rsidRPr="00BB3C05">
        <w:rPr>
          <w:i/>
          <w:iCs/>
        </w:rPr>
        <w:t>Radiology</w:t>
      </w:r>
      <w:r w:rsidRPr="00BB3C05">
        <w:t>, 198</w:t>
      </w:r>
      <w:r w:rsidR="005267B7">
        <w:t xml:space="preserve"> (</w:t>
      </w:r>
      <w:r w:rsidRPr="00BB3C05">
        <w:t>3</w:t>
      </w:r>
      <w:r w:rsidR="005267B7">
        <w:t>)</w:t>
      </w:r>
      <w:r w:rsidR="00B3467F">
        <w:t>,</w:t>
      </w:r>
      <w:r w:rsidRPr="00BB3C05">
        <w:t xml:space="preserve"> 761-764.</w:t>
      </w:r>
    </w:p>
    <w:p w:rsidR="009C594D" w:rsidRPr="00BB3C05" w:rsidRDefault="009C594D" w:rsidP="009C594D">
      <w:proofErr w:type="gramStart"/>
      <w:r w:rsidRPr="00BB3C05">
        <w:t>Mao, A.-W., Fang, S.-M.</w:t>
      </w:r>
      <w:proofErr w:type="gramEnd"/>
      <w:r w:rsidR="00CE727B" w:rsidRPr="00BB3C05">
        <w:t xml:space="preserve"> </w:t>
      </w:r>
      <w:proofErr w:type="gramStart"/>
      <w:r w:rsidR="00CE727B">
        <w:t>et</w:t>
      </w:r>
      <w:proofErr w:type="gramEnd"/>
      <w:r w:rsidR="00CE727B">
        <w:t xml:space="preserve"> al</w:t>
      </w:r>
      <w:r w:rsidRPr="00BB3C05">
        <w:t xml:space="preserve"> </w:t>
      </w:r>
      <w:r w:rsidR="00993CAF">
        <w:t>2007.</w:t>
      </w:r>
      <w:r w:rsidRPr="00BB3C05">
        <w:t xml:space="preserve"> </w:t>
      </w:r>
      <w:r w:rsidR="00993CAF">
        <w:t>‘</w:t>
      </w:r>
      <w:r w:rsidRPr="00BB3C05">
        <w:t>Coated metal stents installation for the treatment of malignant tumors complicated with colonic and rectal fistula</w:t>
      </w:r>
      <w:r w:rsidR="00993CAF">
        <w:t>’</w:t>
      </w:r>
      <w:r w:rsidRPr="00BB3C05">
        <w:t xml:space="preserve">, </w:t>
      </w:r>
      <w:r w:rsidRPr="00BB3C05">
        <w:rPr>
          <w:i/>
          <w:iCs/>
        </w:rPr>
        <w:t>Journal of Interventional Radiology</w:t>
      </w:r>
      <w:r w:rsidR="00BC467E">
        <w:rPr>
          <w:iCs/>
        </w:rPr>
        <w:t>,</w:t>
      </w:r>
      <w:r w:rsidRPr="00BB3C05">
        <w:t xml:space="preserve"> 11, </w:t>
      </w:r>
      <w:r w:rsidR="00025FC1">
        <w:t>751-754</w:t>
      </w:r>
      <w:r w:rsidRPr="00BB3C05">
        <w:t>.</w:t>
      </w:r>
    </w:p>
    <w:p w:rsidR="009C594D" w:rsidRPr="00BB3C05" w:rsidRDefault="009C594D" w:rsidP="009C594D">
      <w:r w:rsidRPr="00BB3C05">
        <w:t>Mishima, K., Sawada, S.</w:t>
      </w:r>
      <w:r w:rsidR="00CE727B" w:rsidRPr="00BB3C05">
        <w:t xml:space="preserve"> </w:t>
      </w:r>
      <w:r w:rsidR="00CE727B">
        <w:t>et al</w:t>
      </w:r>
      <w:r w:rsidRPr="00BB3C05">
        <w:t xml:space="preserve"> </w:t>
      </w:r>
      <w:r w:rsidR="00993CAF">
        <w:t>1999.</w:t>
      </w:r>
      <w:r w:rsidRPr="00BB3C05">
        <w:t xml:space="preserve"> </w:t>
      </w:r>
      <w:proofErr w:type="gramStart"/>
      <w:r w:rsidR="00993CAF">
        <w:t>‘</w:t>
      </w:r>
      <w:r w:rsidRPr="00BB3C05">
        <w:t>Expandable metallic stent treatment for malignant colorectal strictures</w:t>
      </w:r>
      <w:r w:rsidR="00993CAF">
        <w:t>’</w:t>
      </w:r>
      <w:r w:rsidRPr="00BB3C05">
        <w:t xml:space="preserve">, </w:t>
      </w:r>
      <w:r w:rsidRPr="00BB3C05">
        <w:rPr>
          <w:i/>
          <w:iCs/>
        </w:rPr>
        <w:t>Cardiovasc</w:t>
      </w:r>
      <w:r w:rsidR="009D7559">
        <w:rPr>
          <w:i/>
          <w:iCs/>
        </w:rPr>
        <w:t xml:space="preserve">ular and </w:t>
      </w:r>
      <w:r w:rsidRPr="00BB3C05">
        <w:rPr>
          <w:i/>
          <w:iCs/>
        </w:rPr>
        <w:t>Intervent</w:t>
      </w:r>
      <w:r w:rsidR="009D7559">
        <w:rPr>
          <w:i/>
          <w:iCs/>
        </w:rPr>
        <w:t>ional</w:t>
      </w:r>
      <w:r w:rsidRPr="00BB3C05">
        <w:rPr>
          <w:i/>
          <w:iCs/>
        </w:rPr>
        <w:t xml:space="preserve"> Radiol</w:t>
      </w:r>
      <w:r w:rsidR="009D7559">
        <w:rPr>
          <w:i/>
          <w:iCs/>
        </w:rPr>
        <w:t>ogy</w:t>
      </w:r>
      <w:r w:rsidRPr="00BB3C05">
        <w:t>, 22</w:t>
      </w:r>
      <w:r w:rsidR="005267B7">
        <w:t xml:space="preserve"> (</w:t>
      </w:r>
      <w:r w:rsidRPr="00BB3C05">
        <w:t>2</w:t>
      </w:r>
      <w:r w:rsidR="005267B7">
        <w:t>)</w:t>
      </w:r>
      <w:r w:rsidR="00B3467F">
        <w:t>,</w:t>
      </w:r>
      <w:r w:rsidRPr="00BB3C05">
        <w:t xml:space="preserve"> 155-158.</w:t>
      </w:r>
      <w:proofErr w:type="gramEnd"/>
    </w:p>
    <w:p w:rsidR="009C594D" w:rsidRPr="00BB3C05" w:rsidRDefault="009C594D" w:rsidP="009C594D">
      <w:proofErr w:type="gramStart"/>
      <w:r w:rsidRPr="00BB3C05">
        <w:t>Miyayama, S., Matsui, O.</w:t>
      </w:r>
      <w:r w:rsidR="00CE727B" w:rsidRPr="00BB3C05">
        <w:t xml:space="preserve"> </w:t>
      </w:r>
      <w:r w:rsidR="00CE727B">
        <w:t>et al</w:t>
      </w:r>
      <w:r w:rsidRPr="00BB3C05">
        <w:t xml:space="preserve"> </w:t>
      </w:r>
      <w:r w:rsidR="00993CAF">
        <w:t>2000.</w:t>
      </w:r>
      <w:proofErr w:type="gramEnd"/>
      <w:r w:rsidRPr="00BB3C05">
        <w:t xml:space="preserve"> </w:t>
      </w:r>
      <w:proofErr w:type="gramStart"/>
      <w:r w:rsidR="00993CAF">
        <w:t>‘</w:t>
      </w:r>
      <w:r w:rsidRPr="00BB3C05">
        <w:t>Malignant colonic obstruction due to extrinsic tumor: palliative treatment with a self-expanding nitinol stent</w:t>
      </w:r>
      <w:r w:rsidR="00993CAF">
        <w:t>’</w:t>
      </w:r>
      <w:r w:rsidRPr="00BB3C05">
        <w:t xml:space="preserve">, </w:t>
      </w:r>
      <w:r w:rsidRPr="00BB3C05">
        <w:rPr>
          <w:i/>
          <w:iCs/>
        </w:rPr>
        <w:t>AJR Am</w:t>
      </w:r>
      <w:r w:rsidR="009D7559">
        <w:rPr>
          <w:i/>
          <w:iCs/>
        </w:rPr>
        <w:t>erican</w:t>
      </w:r>
      <w:r w:rsidRPr="00BB3C05">
        <w:rPr>
          <w:i/>
          <w:iCs/>
        </w:rPr>
        <w:t xml:space="preserve"> J</w:t>
      </w:r>
      <w:r w:rsidR="009D7559">
        <w:rPr>
          <w:i/>
          <w:iCs/>
        </w:rPr>
        <w:t>ournal of</w:t>
      </w:r>
      <w:r w:rsidRPr="00BB3C05">
        <w:rPr>
          <w:i/>
          <w:iCs/>
        </w:rPr>
        <w:t xml:space="preserve"> Roentgenol</w:t>
      </w:r>
      <w:r w:rsidR="009D7559">
        <w:rPr>
          <w:i/>
          <w:iCs/>
        </w:rPr>
        <w:t>ogy</w:t>
      </w:r>
      <w:r w:rsidRPr="00BB3C05">
        <w:t>, 175</w:t>
      </w:r>
      <w:r w:rsidR="005267B7">
        <w:t xml:space="preserve"> (</w:t>
      </w:r>
      <w:r w:rsidRPr="00BB3C05">
        <w:t>6</w:t>
      </w:r>
      <w:r w:rsidR="005267B7">
        <w:t>)</w:t>
      </w:r>
      <w:r w:rsidR="00B3467F">
        <w:t>,</w:t>
      </w:r>
      <w:r w:rsidRPr="00BB3C05">
        <w:t xml:space="preserve"> 1631-1637.</w:t>
      </w:r>
      <w:proofErr w:type="gramEnd"/>
    </w:p>
    <w:p w:rsidR="004D01D0" w:rsidRPr="00BB3C05" w:rsidRDefault="009C594D" w:rsidP="009C594D">
      <w:proofErr w:type="gramStart"/>
      <w:r w:rsidRPr="00BB3C05">
        <w:t>Montes Lopez.</w:t>
      </w:r>
      <w:proofErr w:type="gramEnd"/>
      <w:r w:rsidRPr="00BB3C05">
        <w:t xml:space="preserve"> </w:t>
      </w:r>
      <w:proofErr w:type="gramStart"/>
      <w:r w:rsidRPr="00BB3C05">
        <w:t>C., Romeo Martinez, J. M.</w:t>
      </w:r>
      <w:r w:rsidR="00CE727B" w:rsidRPr="00BB3C05">
        <w:t xml:space="preserve"> </w:t>
      </w:r>
      <w:r w:rsidR="00CE727B">
        <w:t>et al</w:t>
      </w:r>
      <w:r w:rsidRPr="00BB3C05">
        <w:t xml:space="preserve"> </w:t>
      </w:r>
      <w:r w:rsidR="00993CAF">
        <w:t>2001.</w:t>
      </w:r>
      <w:proofErr w:type="gramEnd"/>
      <w:r w:rsidRPr="00BB3C05">
        <w:t xml:space="preserve"> </w:t>
      </w:r>
      <w:proofErr w:type="gramStart"/>
      <w:r w:rsidR="00993CAF">
        <w:t>‘</w:t>
      </w:r>
      <w:r w:rsidRPr="00BB3C05">
        <w:t>Treatment of left colon neoplasic obstruction by placement of self-expandable stents</w:t>
      </w:r>
      <w:r w:rsidR="00993CAF">
        <w:t>’</w:t>
      </w:r>
      <w:r w:rsidRPr="00BB3C05">
        <w:t xml:space="preserve">, </w:t>
      </w:r>
      <w:r w:rsidRPr="00BB3C05">
        <w:rPr>
          <w:i/>
          <w:iCs/>
        </w:rPr>
        <w:t>Rev</w:t>
      </w:r>
      <w:r w:rsidR="009D7559">
        <w:rPr>
          <w:i/>
          <w:iCs/>
        </w:rPr>
        <w:t>ista</w:t>
      </w:r>
      <w:r w:rsidRPr="00BB3C05">
        <w:rPr>
          <w:i/>
          <w:iCs/>
        </w:rPr>
        <w:t xml:space="preserve"> Esp</w:t>
      </w:r>
      <w:r w:rsidR="009D7559">
        <w:rPr>
          <w:i/>
          <w:iCs/>
        </w:rPr>
        <w:t>anola de</w:t>
      </w:r>
      <w:r w:rsidRPr="00BB3C05">
        <w:rPr>
          <w:i/>
          <w:iCs/>
        </w:rPr>
        <w:t xml:space="preserve"> Enferm</w:t>
      </w:r>
      <w:r w:rsidR="009D7559">
        <w:rPr>
          <w:i/>
          <w:iCs/>
        </w:rPr>
        <w:t>edades</w:t>
      </w:r>
      <w:r w:rsidRPr="00BB3C05">
        <w:rPr>
          <w:i/>
          <w:iCs/>
        </w:rPr>
        <w:t xml:space="preserve"> Dig</w:t>
      </w:r>
      <w:r w:rsidR="009D7559">
        <w:rPr>
          <w:i/>
          <w:iCs/>
        </w:rPr>
        <w:t>estivas</w:t>
      </w:r>
      <w:r w:rsidRPr="00BB3C05">
        <w:t>, 93</w:t>
      </w:r>
      <w:r w:rsidR="005267B7">
        <w:t xml:space="preserve"> (</w:t>
      </w:r>
      <w:r w:rsidRPr="00BB3C05">
        <w:t>4</w:t>
      </w:r>
      <w:r w:rsidR="005267B7">
        <w:t>)</w:t>
      </w:r>
      <w:r w:rsidR="00B3467F">
        <w:t>,</w:t>
      </w:r>
      <w:r w:rsidRPr="00BB3C05">
        <w:t xml:space="preserve"> 226-237</w:t>
      </w:r>
      <w:r w:rsidR="00BC467E">
        <w:t>.</w:t>
      </w:r>
      <w:proofErr w:type="gramEnd"/>
    </w:p>
    <w:p w:rsidR="009C594D" w:rsidRPr="00BB3C05" w:rsidRDefault="009C594D" w:rsidP="009C594D">
      <w:proofErr w:type="gramStart"/>
      <w:r w:rsidRPr="00BB3C05">
        <w:t>Morino, M., Bertello, A.</w:t>
      </w:r>
      <w:r w:rsidR="00CE727B" w:rsidRPr="00BB3C05">
        <w:t xml:space="preserve"> </w:t>
      </w:r>
      <w:r w:rsidR="00CE727B">
        <w:t>et al</w:t>
      </w:r>
      <w:r w:rsidRPr="00BB3C05">
        <w:t xml:space="preserve"> </w:t>
      </w:r>
      <w:r w:rsidR="00993CAF">
        <w:t>2002.</w:t>
      </w:r>
      <w:proofErr w:type="gramEnd"/>
      <w:r w:rsidRPr="00BB3C05">
        <w:t xml:space="preserve"> </w:t>
      </w:r>
      <w:r w:rsidR="00993CAF">
        <w:t>‘</w:t>
      </w:r>
      <w:r w:rsidRPr="00BB3C05">
        <w:t>Malignant colonic obstruction managed by endoscopic stent decompression followed by laparoscopic resections</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16</w:t>
      </w:r>
      <w:r w:rsidR="005267B7">
        <w:t xml:space="preserve"> (</w:t>
      </w:r>
      <w:r w:rsidRPr="00BB3C05">
        <w:t>10</w:t>
      </w:r>
      <w:r w:rsidR="005267B7">
        <w:t>)</w:t>
      </w:r>
      <w:r w:rsidR="00B3467F">
        <w:t>,</w:t>
      </w:r>
      <w:r w:rsidRPr="00BB3C05">
        <w:t xml:space="preserve"> 1483-1487.</w:t>
      </w:r>
    </w:p>
    <w:p w:rsidR="009C594D" w:rsidRPr="00BB3C05" w:rsidRDefault="009C594D" w:rsidP="009C594D">
      <w:proofErr w:type="gramStart"/>
      <w:r w:rsidRPr="00BB3C05">
        <w:lastRenderedPageBreak/>
        <w:t>Olmi, S., Scaini, A.</w:t>
      </w:r>
      <w:r w:rsidR="00CE727B" w:rsidRPr="00BB3C05">
        <w:t xml:space="preserve"> </w:t>
      </w:r>
      <w:r w:rsidR="00CE727B">
        <w:t>et al</w:t>
      </w:r>
      <w:r w:rsidRPr="00BB3C05">
        <w:t xml:space="preserve"> </w:t>
      </w:r>
      <w:r w:rsidR="00993CAF">
        <w:t>2007.</w:t>
      </w:r>
      <w:proofErr w:type="gramEnd"/>
      <w:r w:rsidRPr="00BB3C05">
        <w:t xml:space="preserve"> </w:t>
      </w:r>
      <w:proofErr w:type="gramStart"/>
      <w:r w:rsidR="00993CAF">
        <w:t>‘</w:t>
      </w:r>
      <w:r w:rsidRPr="00BB3C05">
        <w:t>Acute colonic obstruction: endoscopic stenting and laparoscopic resection</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21</w:t>
      </w:r>
      <w:r w:rsidR="005267B7">
        <w:t xml:space="preserve"> (</w:t>
      </w:r>
      <w:r w:rsidRPr="00BB3C05">
        <w:t>11</w:t>
      </w:r>
      <w:r w:rsidR="005267B7">
        <w:t>)</w:t>
      </w:r>
      <w:r w:rsidR="00B3467F">
        <w:t>,</w:t>
      </w:r>
      <w:r w:rsidRPr="00BB3C05">
        <w:t xml:space="preserve"> 2100-2104.</w:t>
      </w:r>
      <w:proofErr w:type="gramEnd"/>
    </w:p>
    <w:p w:rsidR="009C594D" w:rsidRPr="00BB3C05" w:rsidRDefault="009C594D" w:rsidP="009C594D">
      <w:r w:rsidRPr="00BB3C05">
        <w:t>Olubaniyi, B. O., McFaul, C. D.</w:t>
      </w:r>
      <w:r w:rsidR="00CE727B" w:rsidRPr="00BB3C05">
        <w:t xml:space="preserve"> </w:t>
      </w:r>
      <w:r w:rsidR="00CE727B">
        <w:t>et al</w:t>
      </w:r>
      <w:r w:rsidRPr="00BB3C05">
        <w:t xml:space="preserve"> </w:t>
      </w:r>
      <w:r w:rsidR="00993CAF">
        <w:t>2009.</w:t>
      </w:r>
      <w:r w:rsidRPr="00BB3C05">
        <w:t xml:space="preserve"> </w:t>
      </w:r>
      <w:proofErr w:type="gramStart"/>
      <w:r w:rsidR="00993CAF">
        <w:t>‘</w:t>
      </w:r>
      <w:r w:rsidRPr="00BB3C05">
        <w:t>Stenting for large bowel obstruction - evolution of a service in a district general hospital</w:t>
      </w:r>
      <w:r w:rsidR="00993CAF">
        <w:t>’</w:t>
      </w:r>
      <w:r w:rsidRPr="00BB3C05">
        <w:t xml:space="preserve">, </w:t>
      </w:r>
      <w:r w:rsidRPr="00BB3C05">
        <w:rPr>
          <w:i/>
          <w:iCs/>
        </w:rPr>
        <w:t>Ann</w:t>
      </w:r>
      <w:r w:rsidR="009D7559">
        <w:rPr>
          <w:i/>
          <w:iCs/>
        </w:rPr>
        <w:t>als of the</w:t>
      </w:r>
      <w:r w:rsidRPr="00BB3C05">
        <w:rPr>
          <w:i/>
          <w:iCs/>
        </w:rPr>
        <w:t xml:space="preserve"> R</w:t>
      </w:r>
      <w:r w:rsidR="009D7559">
        <w:rPr>
          <w:i/>
          <w:iCs/>
        </w:rPr>
        <w:t>oyal</w:t>
      </w:r>
      <w:r w:rsidRPr="00BB3C05">
        <w:rPr>
          <w:i/>
          <w:iCs/>
        </w:rPr>
        <w:t xml:space="preserve"> Coll</w:t>
      </w:r>
      <w:r w:rsidR="009D7559">
        <w:rPr>
          <w:i/>
          <w:iCs/>
        </w:rPr>
        <w:t>ege of</w:t>
      </w:r>
      <w:r w:rsidRPr="00BB3C05">
        <w:rPr>
          <w:i/>
          <w:iCs/>
        </w:rPr>
        <w:t xml:space="preserve"> Surg</w:t>
      </w:r>
      <w:r w:rsidR="009D7559">
        <w:rPr>
          <w:i/>
          <w:iCs/>
        </w:rPr>
        <w:t>eons of</w:t>
      </w:r>
      <w:r w:rsidRPr="00BB3C05">
        <w:rPr>
          <w:i/>
          <w:iCs/>
        </w:rPr>
        <w:t xml:space="preserve"> Engl</w:t>
      </w:r>
      <w:r w:rsidR="009D7559">
        <w:rPr>
          <w:i/>
          <w:iCs/>
        </w:rPr>
        <w:t>and</w:t>
      </w:r>
      <w:r w:rsidRPr="00BB3C05">
        <w:t>, 91</w:t>
      </w:r>
      <w:r w:rsidR="005267B7">
        <w:t xml:space="preserve"> (</w:t>
      </w:r>
      <w:r w:rsidRPr="00BB3C05">
        <w:t>1</w:t>
      </w:r>
      <w:r w:rsidR="005267B7">
        <w:t>)</w:t>
      </w:r>
      <w:r w:rsidR="00B3467F">
        <w:t>,</w:t>
      </w:r>
      <w:r w:rsidRPr="00BB3C05">
        <w:t xml:space="preserve"> 55-58.</w:t>
      </w:r>
      <w:proofErr w:type="gramEnd"/>
    </w:p>
    <w:p w:rsidR="009C594D" w:rsidRPr="00BB3C05" w:rsidRDefault="009C594D" w:rsidP="009C594D">
      <w:r w:rsidRPr="00BB3C05">
        <w:t>Pignata, G., Barone, M.</w:t>
      </w:r>
      <w:r w:rsidR="00CE727B" w:rsidRPr="00BB3C05">
        <w:t xml:space="preserve"> </w:t>
      </w:r>
      <w:r w:rsidR="00CE727B">
        <w:t>et al</w:t>
      </w:r>
      <w:r w:rsidRPr="00BB3C05">
        <w:t xml:space="preserve"> </w:t>
      </w:r>
      <w:r w:rsidR="00993CAF">
        <w:t>2008.</w:t>
      </w:r>
      <w:r w:rsidRPr="00BB3C05">
        <w:t xml:space="preserve"> </w:t>
      </w:r>
      <w:proofErr w:type="gramStart"/>
      <w:r w:rsidR="00993CAF">
        <w:t>‘</w:t>
      </w:r>
      <w:r w:rsidRPr="00BB3C05">
        <w:t>Long-term results of laparoscopic treatment for advanced rectal cancer</w:t>
      </w:r>
      <w:r w:rsidR="00993CAF">
        <w:t>’</w:t>
      </w:r>
      <w:r w:rsidRPr="00BB3C05">
        <w:t xml:space="preserve">, </w:t>
      </w:r>
      <w:r w:rsidRPr="00BB3C05">
        <w:rPr>
          <w:i/>
          <w:iCs/>
        </w:rPr>
        <w:t>Acta Chir</w:t>
      </w:r>
      <w:r w:rsidR="009D7559">
        <w:rPr>
          <w:i/>
          <w:iCs/>
        </w:rPr>
        <w:t>ugica</w:t>
      </w:r>
      <w:r w:rsidRPr="00BB3C05">
        <w:rPr>
          <w:i/>
          <w:iCs/>
        </w:rPr>
        <w:t xml:space="preserve"> Iugosl</w:t>
      </w:r>
      <w:r w:rsidR="009D7559">
        <w:rPr>
          <w:i/>
          <w:iCs/>
        </w:rPr>
        <w:t>avica</w:t>
      </w:r>
      <w:r w:rsidRPr="00BB3C05">
        <w:t>, 55</w:t>
      </w:r>
      <w:r w:rsidR="005267B7">
        <w:t xml:space="preserve"> (</w:t>
      </w:r>
      <w:r w:rsidRPr="00BB3C05">
        <w:t>3</w:t>
      </w:r>
      <w:r w:rsidR="005267B7">
        <w:t>)</w:t>
      </w:r>
      <w:r w:rsidR="00B3467F">
        <w:t>,</w:t>
      </w:r>
      <w:r w:rsidRPr="00BB3C05">
        <w:t xml:space="preserve"> 31-37.</w:t>
      </w:r>
      <w:proofErr w:type="gramEnd"/>
    </w:p>
    <w:p w:rsidR="009C594D" w:rsidRPr="00BB3C05" w:rsidRDefault="009C594D" w:rsidP="009C594D">
      <w:r w:rsidRPr="00BB3C05">
        <w:t>Pommergaard, H. C., Vilmann, P.</w:t>
      </w:r>
      <w:r w:rsidR="00CE727B" w:rsidRPr="00BB3C05">
        <w:t xml:space="preserve"> </w:t>
      </w:r>
      <w:r w:rsidR="00CE727B">
        <w:t>et al</w:t>
      </w:r>
      <w:r w:rsidRPr="00BB3C05">
        <w:t xml:space="preserve"> </w:t>
      </w:r>
      <w:r w:rsidR="00993CAF">
        <w:t>2009.</w:t>
      </w:r>
      <w:r w:rsidRPr="00BB3C05">
        <w:t xml:space="preserve"> </w:t>
      </w:r>
      <w:proofErr w:type="gramStart"/>
      <w:r w:rsidR="00993CAF">
        <w:t>‘</w:t>
      </w:r>
      <w:r w:rsidRPr="00BB3C05">
        <w:t>A clinical evaluation of endoscopically placed self-expanding metallic stents in patients with acute large bowel obstruction</w:t>
      </w:r>
      <w:r w:rsidR="00993CAF">
        <w:t>’</w:t>
      </w:r>
      <w:r w:rsidRPr="00BB3C05">
        <w:t xml:space="preserve">, </w:t>
      </w:r>
      <w:r w:rsidRPr="00BB3C05">
        <w:rPr>
          <w:i/>
          <w:iCs/>
        </w:rPr>
        <w:t>Scand</w:t>
      </w:r>
      <w:r w:rsidR="009D7559">
        <w:rPr>
          <w:i/>
          <w:iCs/>
        </w:rPr>
        <w:t>inavian</w:t>
      </w:r>
      <w:r w:rsidRPr="00BB3C05">
        <w:rPr>
          <w:i/>
          <w:iCs/>
        </w:rPr>
        <w:t xml:space="preserve"> J</w:t>
      </w:r>
      <w:r w:rsidR="009D7559">
        <w:rPr>
          <w:i/>
          <w:iCs/>
        </w:rPr>
        <w:t>ournal of</w:t>
      </w:r>
      <w:r w:rsidRPr="00BB3C05">
        <w:rPr>
          <w:i/>
          <w:iCs/>
        </w:rPr>
        <w:t xml:space="preserve"> Surg</w:t>
      </w:r>
      <w:r w:rsidR="009D7559">
        <w:rPr>
          <w:i/>
          <w:iCs/>
        </w:rPr>
        <w:t>ery</w:t>
      </w:r>
      <w:r w:rsidRPr="00BB3C05">
        <w:t>, 98</w:t>
      </w:r>
      <w:r w:rsidR="005267B7">
        <w:t xml:space="preserve"> (</w:t>
      </w:r>
      <w:r w:rsidRPr="00BB3C05">
        <w:t>3</w:t>
      </w:r>
      <w:r w:rsidR="005267B7">
        <w:t>)</w:t>
      </w:r>
      <w:r w:rsidR="00B3467F">
        <w:t>,</w:t>
      </w:r>
      <w:r w:rsidRPr="00BB3C05">
        <w:t xml:space="preserve"> 143-147.</w:t>
      </w:r>
      <w:proofErr w:type="gramEnd"/>
    </w:p>
    <w:p w:rsidR="009C594D" w:rsidRPr="00BB3C05" w:rsidRDefault="009C594D" w:rsidP="009C594D">
      <w:proofErr w:type="gramStart"/>
      <w:r w:rsidRPr="00BB3C05">
        <w:t>Pothuri, B., Guirguis, A.</w:t>
      </w:r>
      <w:r w:rsidR="00CE727B" w:rsidRPr="00BB3C05">
        <w:t xml:space="preserve"> </w:t>
      </w:r>
      <w:r w:rsidR="00CE727B">
        <w:t>et al</w:t>
      </w:r>
      <w:r w:rsidRPr="00BB3C05">
        <w:t xml:space="preserve"> </w:t>
      </w:r>
      <w:r w:rsidR="00993CAF">
        <w:t>2004.</w:t>
      </w:r>
      <w:proofErr w:type="gramEnd"/>
      <w:r w:rsidRPr="00BB3C05">
        <w:t xml:space="preserve"> </w:t>
      </w:r>
      <w:proofErr w:type="gramStart"/>
      <w:r w:rsidR="00993CAF">
        <w:t>‘</w:t>
      </w:r>
      <w:r w:rsidRPr="00BB3C05">
        <w:t>The use of colorectal stents for palliation of large-bowel obstruction due to recurrent gynecologic cancer</w:t>
      </w:r>
      <w:r w:rsidR="00993CAF">
        <w:t>’</w:t>
      </w:r>
      <w:r w:rsidRPr="00BB3C05">
        <w:t xml:space="preserve">, </w:t>
      </w:r>
      <w:r w:rsidRPr="00BB3C05">
        <w:rPr>
          <w:i/>
          <w:iCs/>
        </w:rPr>
        <w:t>Gynecol</w:t>
      </w:r>
      <w:r w:rsidR="009D7559">
        <w:rPr>
          <w:i/>
          <w:iCs/>
        </w:rPr>
        <w:t>ogic</w:t>
      </w:r>
      <w:r w:rsidRPr="00BB3C05">
        <w:rPr>
          <w:i/>
          <w:iCs/>
        </w:rPr>
        <w:t xml:space="preserve"> Oncol</w:t>
      </w:r>
      <w:r w:rsidR="009D7559">
        <w:rPr>
          <w:i/>
          <w:iCs/>
        </w:rPr>
        <w:t>ogy</w:t>
      </w:r>
      <w:r w:rsidRPr="00BB3C05">
        <w:t>, 95</w:t>
      </w:r>
      <w:r w:rsidR="005267B7">
        <w:t xml:space="preserve"> (</w:t>
      </w:r>
      <w:r w:rsidRPr="00BB3C05">
        <w:t>3</w:t>
      </w:r>
      <w:r w:rsidR="005267B7">
        <w:t>)</w:t>
      </w:r>
      <w:r w:rsidR="00B3467F">
        <w:t>,</w:t>
      </w:r>
      <w:r w:rsidRPr="00BB3C05">
        <w:t xml:space="preserve"> 513-517.</w:t>
      </w:r>
      <w:proofErr w:type="gramEnd"/>
    </w:p>
    <w:p w:rsidR="009C594D" w:rsidRPr="00BB3C05" w:rsidRDefault="009C594D" w:rsidP="009C594D">
      <w:r w:rsidRPr="00BB3C05">
        <w:t>Ptok, H., Meyer, F.</w:t>
      </w:r>
      <w:r w:rsidR="00CE727B" w:rsidRPr="00BB3C05">
        <w:t xml:space="preserve"> </w:t>
      </w:r>
      <w:r w:rsidR="00CE727B">
        <w:t>et al</w:t>
      </w:r>
      <w:r w:rsidRPr="00BB3C05">
        <w:t xml:space="preserve"> </w:t>
      </w:r>
      <w:r w:rsidR="00993CAF">
        <w:t>2006.</w:t>
      </w:r>
      <w:r w:rsidRPr="00BB3C05">
        <w:t xml:space="preserve"> </w:t>
      </w:r>
      <w:proofErr w:type="gramStart"/>
      <w:r w:rsidR="00993CAF">
        <w:t>‘</w:t>
      </w:r>
      <w:r w:rsidRPr="00BB3C05">
        <w:t>Palliative stent implantation in the treatment of malignant colorectal obstruction</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20</w:t>
      </w:r>
      <w:r w:rsidR="005267B7">
        <w:t xml:space="preserve"> (</w:t>
      </w:r>
      <w:r w:rsidRPr="00BB3C05">
        <w:t>6</w:t>
      </w:r>
      <w:r w:rsidR="005267B7">
        <w:t>)</w:t>
      </w:r>
      <w:r w:rsidR="00B3467F">
        <w:t>,</w:t>
      </w:r>
      <w:r w:rsidRPr="00BB3C05">
        <w:t xml:space="preserve"> 909-914.</w:t>
      </w:r>
      <w:proofErr w:type="gramEnd"/>
    </w:p>
    <w:p w:rsidR="009C594D" w:rsidRPr="00BB3C05" w:rsidRDefault="009C594D" w:rsidP="009C594D">
      <w:r w:rsidRPr="00BB3C05">
        <w:t>Repici, A., Adler, D. G.</w:t>
      </w:r>
      <w:r w:rsidR="00CE727B" w:rsidRPr="00BB3C05">
        <w:t xml:space="preserve"> </w:t>
      </w:r>
      <w:r w:rsidR="00CE727B">
        <w:t>et al</w:t>
      </w:r>
      <w:r w:rsidRPr="00BB3C05">
        <w:t xml:space="preserve"> </w:t>
      </w:r>
      <w:r w:rsidR="00993CAF">
        <w:t>2007.</w:t>
      </w:r>
      <w:r w:rsidRPr="00BB3C05">
        <w:t xml:space="preserve"> </w:t>
      </w:r>
      <w:proofErr w:type="gramStart"/>
      <w:r w:rsidR="00993CAF">
        <w:t>‘</w:t>
      </w:r>
      <w:r w:rsidRPr="00BB3C05">
        <w:t>Stenting of the proximal colon in patients with malignant large bowel obstruction: techniques and outcomes</w:t>
      </w:r>
      <w:r w:rsidR="00993CAF">
        <w:t>’</w:t>
      </w:r>
      <w:r w:rsidRPr="00BB3C05">
        <w:t xml:space="preserve">, </w:t>
      </w:r>
      <w:r w:rsidRPr="00BB3C05">
        <w:rPr>
          <w:i/>
          <w:iCs/>
        </w:rPr>
        <w:t>Gastrointest</w:t>
      </w:r>
      <w:r w:rsidR="009D7559">
        <w:rPr>
          <w:i/>
          <w:iCs/>
        </w:rPr>
        <w:t>inal</w:t>
      </w:r>
      <w:r w:rsidRPr="00BB3C05">
        <w:rPr>
          <w:i/>
          <w:iCs/>
        </w:rPr>
        <w:t xml:space="preserve"> Endosc</w:t>
      </w:r>
      <w:r w:rsidR="009D7559">
        <w:rPr>
          <w:i/>
          <w:iCs/>
        </w:rPr>
        <w:t>opy</w:t>
      </w:r>
      <w:r w:rsidRPr="00BB3C05">
        <w:t>, 66</w:t>
      </w:r>
      <w:r w:rsidR="005267B7">
        <w:t xml:space="preserve"> (</w:t>
      </w:r>
      <w:r w:rsidRPr="00BB3C05">
        <w:t>5</w:t>
      </w:r>
      <w:r w:rsidR="005267B7">
        <w:t>)</w:t>
      </w:r>
      <w:r w:rsidR="00B3467F">
        <w:t>,</w:t>
      </w:r>
      <w:r w:rsidRPr="00BB3C05">
        <w:t xml:space="preserve"> 940-944.</w:t>
      </w:r>
      <w:proofErr w:type="gramEnd"/>
    </w:p>
    <w:p w:rsidR="009C594D" w:rsidRPr="00BB3C05" w:rsidRDefault="009C594D" w:rsidP="009C594D">
      <w:r w:rsidRPr="00BB3C05">
        <w:t>Repici, A., De Caro, G.</w:t>
      </w:r>
      <w:r w:rsidR="00CE727B" w:rsidRPr="00BB3C05">
        <w:t xml:space="preserve"> </w:t>
      </w:r>
      <w:r w:rsidR="00CE727B">
        <w:t>et al</w:t>
      </w:r>
      <w:r w:rsidRPr="00BB3C05">
        <w:t xml:space="preserve"> </w:t>
      </w:r>
      <w:r w:rsidR="00993CAF">
        <w:t>2008.</w:t>
      </w:r>
      <w:r w:rsidRPr="00BB3C05">
        <w:t xml:space="preserve"> </w:t>
      </w:r>
      <w:proofErr w:type="gramStart"/>
      <w:r w:rsidR="00993CAF">
        <w:t>‘</w:t>
      </w:r>
      <w:r w:rsidRPr="00BB3C05">
        <w:t>WallFlex colonic stent placement for management of malignant colonic obstruction: a prospective study at two centers</w:t>
      </w:r>
      <w:r w:rsidR="00993CAF">
        <w:t>’</w:t>
      </w:r>
      <w:r w:rsidRPr="00BB3C05">
        <w:t xml:space="preserve">, </w:t>
      </w:r>
      <w:r w:rsidRPr="00BB3C05">
        <w:rPr>
          <w:i/>
          <w:iCs/>
        </w:rPr>
        <w:t>Gastrointestinal Endoscopy</w:t>
      </w:r>
      <w:r w:rsidRPr="00BB3C05">
        <w:t>, 67</w:t>
      </w:r>
      <w:r w:rsidR="005267B7">
        <w:t xml:space="preserve"> (</w:t>
      </w:r>
      <w:r w:rsidRPr="00BB3C05">
        <w:t>1</w:t>
      </w:r>
      <w:r w:rsidR="005267B7">
        <w:t>)</w:t>
      </w:r>
      <w:r w:rsidR="00B3467F">
        <w:t>,</w:t>
      </w:r>
      <w:r w:rsidRPr="00BB3C05">
        <w:t xml:space="preserve"> 77-84.</w:t>
      </w:r>
      <w:proofErr w:type="gramEnd"/>
    </w:p>
    <w:p w:rsidR="009C594D" w:rsidRPr="00BB3C05" w:rsidRDefault="009C594D" w:rsidP="009C594D">
      <w:r w:rsidRPr="00BB3C05">
        <w:t>Repici, A., Fregonese, D.</w:t>
      </w:r>
      <w:r w:rsidR="00CE727B" w:rsidRPr="00BB3C05">
        <w:t xml:space="preserve"> </w:t>
      </w:r>
      <w:r w:rsidR="00CE727B">
        <w:t>et al</w:t>
      </w:r>
      <w:r w:rsidRPr="00BB3C05">
        <w:t xml:space="preserve"> </w:t>
      </w:r>
      <w:r w:rsidR="00993CAF">
        <w:t>2007.</w:t>
      </w:r>
      <w:r w:rsidRPr="00BB3C05">
        <w:t xml:space="preserve"> </w:t>
      </w:r>
      <w:proofErr w:type="gramStart"/>
      <w:r w:rsidR="00993CAF">
        <w:t>‘</w:t>
      </w:r>
      <w:r w:rsidRPr="00BB3C05">
        <w:t>Ultraflex precision colonic stent placement for palliation of malignant colonic obstruction: a prospective multicenter study</w:t>
      </w:r>
      <w:r w:rsidR="00993CAF">
        <w:t>’</w:t>
      </w:r>
      <w:r w:rsidRPr="00BB3C05">
        <w:t xml:space="preserve">, </w:t>
      </w:r>
      <w:r w:rsidRPr="00BB3C05">
        <w:rPr>
          <w:i/>
          <w:iCs/>
        </w:rPr>
        <w:t>Gastrointest</w:t>
      </w:r>
      <w:r w:rsidR="009D7559">
        <w:rPr>
          <w:i/>
          <w:iCs/>
        </w:rPr>
        <w:t>inal</w:t>
      </w:r>
      <w:r w:rsidRPr="00BB3C05">
        <w:rPr>
          <w:i/>
          <w:iCs/>
        </w:rPr>
        <w:t xml:space="preserve"> Endosc</w:t>
      </w:r>
      <w:r w:rsidR="009D7559">
        <w:rPr>
          <w:i/>
          <w:iCs/>
        </w:rPr>
        <w:t>opy</w:t>
      </w:r>
      <w:r w:rsidRPr="00BB3C05">
        <w:t>, 66</w:t>
      </w:r>
      <w:r w:rsidR="005267B7">
        <w:t xml:space="preserve"> (</w:t>
      </w:r>
      <w:r w:rsidRPr="00BB3C05">
        <w:t>5</w:t>
      </w:r>
      <w:r w:rsidR="005267B7">
        <w:t>)</w:t>
      </w:r>
      <w:r w:rsidR="00B3467F">
        <w:t>,</w:t>
      </w:r>
      <w:r w:rsidRPr="00BB3C05">
        <w:t xml:space="preserve"> 920-927.</w:t>
      </w:r>
      <w:proofErr w:type="gramEnd"/>
    </w:p>
    <w:p w:rsidR="009C594D" w:rsidRPr="00BB3C05" w:rsidRDefault="009C594D" w:rsidP="009C594D">
      <w:r w:rsidRPr="00BB3C05">
        <w:t>Repici, A., Reggio, D.</w:t>
      </w:r>
      <w:r w:rsidR="00CE727B" w:rsidRPr="00BB3C05">
        <w:t xml:space="preserve"> </w:t>
      </w:r>
      <w:r w:rsidR="00CE727B">
        <w:t>et al</w:t>
      </w:r>
      <w:r w:rsidRPr="00BB3C05">
        <w:t xml:space="preserve"> </w:t>
      </w:r>
      <w:r w:rsidR="00993CAF">
        <w:t>2000.</w:t>
      </w:r>
      <w:r w:rsidRPr="00BB3C05">
        <w:t xml:space="preserve"> </w:t>
      </w:r>
      <w:r w:rsidR="00993CAF">
        <w:t>‘</w:t>
      </w:r>
      <w:r w:rsidRPr="00BB3C05">
        <w:t>Covered metal stents for management of inoperable malignant colorectal strictures</w:t>
      </w:r>
      <w:r w:rsidR="00993CAF">
        <w:t>’</w:t>
      </w:r>
      <w:r w:rsidRPr="00BB3C05">
        <w:t xml:space="preserve">, </w:t>
      </w:r>
      <w:r w:rsidRPr="00BB3C05">
        <w:rPr>
          <w:i/>
          <w:iCs/>
        </w:rPr>
        <w:t>Gastrointest</w:t>
      </w:r>
      <w:r w:rsidR="009D7559">
        <w:rPr>
          <w:i/>
          <w:iCs/>
        </w:rPr>
        <w:t>inal</w:t>
      </w:r>
      <w:r w:rsidRPr="00BB3C05">
        <w:rPr>
          <w:i/>
          <w:iCs/>
        </w:rPr>
        <w:t xml:space="preserve"> Endosc</w:t>
      </w:r>
      <w:r w:rsidR="009D7559">
        <w:rPr>
          <w:i/>
          <w:iCs/>
        </w:rPr>
        <w:t>opy</w:t>
      </w:r>
      <w:r w:rsidRPr="00BB3C05">
        <w:t>, 52</w:t>
      </w:r>
      <w:r w:rsidR="005267B7">
        <w:t xml:space="preserve"> (</w:t>
      </w:r>
      <w:r w:rsidRPr="00BB3C05">
        <w:t>6</w:t>
      </w:r>
      <w:r w:rsidR="005267B7">
        <w:t>)</w:t>
      </w:r>
      <w:r w:rsidR="00B3467F">
        <w:t>,</w:t>
      </w:r>
      <w:r w:rsidRPr="00BB3C05">
        <w:t xml:space="preserve"> 735-740.</w:t>
      </w:r>
    </w:p>
    <w:p w:rsidR="009C594D" w:rsidRPr="00BB3C05" w:rsidRDefault="009C594D" w:rsidP="009C594D">
      <w:r w:rsidRPr="00BB3C05">
        <w:t>Rey, J. F., Romanczyk, T.</w:t>
      </w:r>
      <w:r w:rsidR="00CE727B">
        <w:t xml:space="preserve"> and</w:t>
      </w:r>
      <w:r w:rsidRPr="00BB3C05">
        <w:t xml:space="preserve"> Greff, M. 1995, </w:t>
      </w:r>
      <w:r w:rsidR="00993CAF">
        <w:t>‘</w:t>
      </w:r>
      <w:r w:rsidRPr="00BB3C05">
        <w:t>Metal stents for palliation of rectal carcinoma: a preliminary report on 12 patients</w:t>
      </w:r>
      <w:r w:rsidR="00993CAF">
        <w:t>’</w:t>
      </w:r>
      <w:r w:rsidRPr="00BB3C05">
        <w:t xml:space="preserve">, </w:t>
      </w:r>
      <w:r w:rsidRPr="00BB3C05">
        <w:rPr>
          <w:i/>
          <w:iCs/>
        </w:rPr>
        <w:t>Endoscopy</w:t>
      </w:r>
      <w:r w:rsidRPr="00BB3C05">
        <w:t>, 27</w:t>
      </w:r>
      <w:r w:rsidR="005267B7">
        <w:t xml:space="preserve"> (</w:t>
      </w:r>
      <w:r w:rsidRPr="00BB3C05">
        <w:t>7</w:t>
      </w:r>
      <w:r w:rsidR="005267B7">
        <w:t>)</w:t>
      </w:r>
      <w:r w:rsidR="00B3467F">
        <w:t>,</w:t>
      </w:r>
      <w:r w:rsidRPr="00BB3C05">
        <w:t xml:space="preserve"> 501-504.</w:t>
      </w:r>
    </w:p>
    <w:p w:rsidR="009C594D" w:rsidRPr="00BB3C05" w:rsidRDefault="009C594D" w:rsidP="009C594D">
      <w:proofErr w:type="gramStart"/>
      <w:r w:rsidRPr="00BB3C05">
        <w:t>Reza, F., Amir, M. A.</w:t>
      </w:r>
      <w:r w:rsidR="00CE727B" w:rsidRPr="00BB3C05">
        <w:t xml:space="preserve"> </w:t>
      </w:r>
      <w:r w:rsidR="00CE727B">
        <w:t>et al</w:t>
      </w:r>
      <w:r w:rsidRPr="00BB3C05">
        <w:t xml:space="preserve"> </w:t>
      </w:r>
      <w:r w:rsidR="00993CAF">
        <w:t>2009.</w:t>
      </w:r>
      <w:proofErr w:type="gramEnd"/>
      <w:r w:rsidRPr="00BB3C05">
        <w:t xml:space="preserve"> </w:t>
      </w:r>
      <w:proofErr w:type="gramStart"/>
      <w:r w:rsidR="00993CAF">
        <w:t>‘</w:t>
      </w:r>
      <w:r w:rsidRPr="00BB3C05">
        <w:t>Colorectal stenting for management of acute malignant bowel obstruction in advanced colorectal cancer in Iran</w:t>
      </w:r>
      <w:r w:rsidR="00993CAF">
        <w:t>’</w:t>
      </w:r>
      <w:r w:rsidRPr="00BB3C05">
        <w:t xml:space="preserve">, </w:t>
      </w:r>
      <w:r w:rsidRPr="00BB3C05">
        <w:rPr>
          <w:i/>
          <w:iCs/>
        </w:rPr>
        <w:t>Asian Pac</w:t>
      </w:r>
      <w:r w:rsidR="009D7559">
        <w:rPr>
          <w:i/>
          <w:iCs/>
        </w:rPr>
        <w:t>ific</w:t>
      </w:r>
      <w:r w:rsidRPr="00BB3C05">
        <w:rPr>
          <w:i/>
          <w:iCs/>
        </w:rPr>
        <w:t xml:space="preserve"> J</w:t>
      </w:r>
      <w:r w:rsidR="009D7559">
        <w:rPr>
          <w:i/>
          <w:iCs/>
        </w:rPr>
        <w:t>ournal of</w:t>
      </w:r>
      <w:r w:rsidRPr="00BB3C05">
        <w:rPr>
          <w:i/>
          <w:iCs/>
        </w:rPr>
        <w:t xml:space="preserve"> Cancer Prev</w:t>
      </w:r>
      <w:r w:rsidR="009D7559">
        <w:rPr>
          <w:i/>
          <w:iCs/>
        </w:rPr>
        <w:t>ention</w:t>
      </w:r>
      <w:r w:rsidRPr="00BB3C05">
        <w:t>, 10</w:t>
      </w:r>
      <w:r w:rsidR="005267B7">
        <w:t xml:space="preserve"> (</w:t>
      </w:r>
      <w:r w:rsidRPr="00BB3C05">
        <w:t>5</w:t>
      </w:r>
      <w:r w:rsidR="005267B7">
        <w:t>)</w:t>
      </w:r>
      <w:r w:rsidR="00B3467F">
        <w:t>,</w:t>
      </w:r>
      <w:r w:rsidRPr="00BB3C05">
        <w:t xml:space="preserve"> 739-741.</w:t>
      </w:r>
      <w:proofErr w:type="gramEnd"/>
    </w:p>
    <w:p w:rsidR="009C594D" w:rsidRPr="00BB3C05" w:rsidRDefault="009C594D" w:rsidP="009C594D">
      <w:proofErr w:type="gramStart"/>
      <w:r w:rsidRPr="00BB3C05">
        <w:t>Rupp, K. D., Dohmoto, M.</w:t>
      </w:r>
      <w:r w:rsidR="00CE727B" w:rsidRPr="00BB3C05">
        <w:t xml:space="preserve"> </w:t>
      </w:r>
      <w:r w:rsidR="00CE727B">
        <w:t>et al</w:t>
      </w:r>
      <w:r w:rsidRPr="00BB3C05">
        <w:t xml:space="preserve"> 1995, </w:t>
      </w:r>
      <w:r w:rsidR="00993CAF">
        <w:t>‘</w:t>
      </w:r>
      <w:r w:rsidRPr="00BB3C05">
        <w:t>Cancer of the rectum--palliative endoscopic treatment</w:t>
      </w:r>
      <w:r w:rsidR="00993CAF">
        <w:t>’</w:t>
      </w:r>
      <w:r w:rsidRPr="00BB3C05">
        <w:t xml:space="preserve">, </w:t>
      </w:r>
      <w:r w:rsidRPr="00BB3C05">
        <w:rPr>
          <w:i/>
          <w:iCs/>
        </w:rPr>
        <w:t>Eur</w:t>
      </w:r>
      <w:r w:rsidR="009D7559">
        <w:rPr>
          <w:i/>
          <w:iCs/>
        </w:rPr>
        <w:t>opean</w:t>
      </w:r>
      <w:r w:rsidRPr="00BB3C05">
        <w:rPr>
          <w:i/>
          <w:iCs/>
        </w:rPr>
        <w:t xml:space="preserve"> J</w:t>
      </w:r>
      <w:r w:rsidR="009D7559">
        <w:rPr>
          <w:i/>
          <w:iCs/>
        </w:rPr>
        <w:t>ournal of</w:t>
      </w:r>
      <w:r w:rsidRPr="00BB3C05">
        <w:rPr>
          <w:i/>
          <w:iCs/>
        </w:rPr>
        <w:t xml:space="preserve"> Surg</w:t>
      </w:r>
      <w:r w:rsidR="009D7559">
        <w:rPr>
          <w:i/>
          <w:iCs/>
        </w:rPr>
        <w:t>ical</w:t>
      </w:r>
      <w:r w:rsidRPr="00BB3C05">
        <w:rPr>
          <w:i/>
          <w:iCs/>
        </w:rPr>
        <w:t xml:space="preserve"> Oncol</w:t>
      </w:r>
      <w:r w:rsidR="009D7559">
        <w:rPr>
          <w:i/>
          <w:iCs/>
        </w:rPr>
        <w:t>ogy</w:t>
      </w:r>
      <w:r w:rsidRPr="00BB3C05">
        <w:t>, 21</w:t>
      </w:r>
      <w:r w:rsidR="005267B7">
        <w:t xml:space="preserve"> (</w:t>
      </w:r>
      <w:r w:rsidRPr="00BB3C05">
        <w:t>6</w:t>
      </w:r>
      <w:r w:rsidR="005267B7">
        <w:t>)</w:t>
      </w:r>
      <w:r w:rsidR="00B3467F">
        <w:t>,</w:t>
      </w:r>
      <w:r w:rsidRPr="00BB3C05">
        <w:t xml:space="preserve"> 644-647.</w:t>
      </w:r>
      <w:proofErr w:type="gramEnd"/>
    </w:p>
    <w:p w:rsidR="009C594D" w:rsidRPr="00BB3C05" w:rsidRDefault="009C594D" w:rsidP="009C594D">
      <w:proofErr w:type="gramStart"/>
      <w:r w:rsidRPr="00BB3C05">
        <w:t>Saida, Y., Sumiyama, Y.</w:t>
      </w:r>
      <w:r w:rsidR="00CE727B" w:rsidRPr="00BB3C05">
        <w:t xml:space="preserve"> </w:t>
      </w:r>
      <w:r w:rsidR="00CE727B">
        <w:t>et al</w:t>
      </w:r>
      <w:r w:rsidRPr="00BB3C05">
        <w:t xml:space="preserve"> 1996, </w:t>
      </w:r>
      <w:r w:rsidR="00993CAF">
        <w:t>‘</w:t>
      </w:r>
      <w:r w:rsidRPr="00BB3C05">
        <w:t>Stent endoprosthesis for obstructing colorectal cancers</w:t>
      </w:r>
      <w:r w:rsidR="00993CAF">
        <w:t>’</w:t>
      </w:r>
      <w:r w:rsidRPr="00BB3C05">
        <w:t xml:space="preserve">, </w:t>
      </w:r>
      <w:r w:rsidRPr="00BB3C05">
        <w:rPr>
          <w:i/>
          <w:iCs/>
        </w:rPr>
        <w:t>Dis</w:t>
      </w:r>
      <w:r w:rsidR="009D7559">
        <w:rPr>
          <w:i/>
          <w:iCs/>
        </w:rPr>
        <w:t>eases of the</w:t>
      </w:r>
      <w:r w:rsidRPr="00BB3C05">
        <w:rPr>
          <w:i/>
          <w:iCs/>
        </w:rPr>
        <w:t xml:space="preserve"> Colon</w:t>
      </w:r>
      <w:r w:rsidR="009D7559">
        <w:rPr>
          <w:i/>
          <w:iCs/>
        </w:rPr>
        <w:t xml:space="preserve"> and</w:t>
      </w:r>
      <w:r w:rsidRPr="00BB3C05">
        <w:rPr>
          <w:i/>
          <w:iCs/>
        </w:rPr>
        <w:t xml:space="preserve"> Rectum</w:t>
      </w:r>
      <w:r w:rsidRPr="00BB3C05">
        <w:t>, 39</w:t>
      </w:r>
      <w:r w:rsidR="005267B7">
        <w:t xml:space="preserve"> (</w:t>
      </w:r>
      <w:r w:rsidRPr="00BB3C05">
        <w:t>5</w:t>
      </w:r>
      <w:r w:rsidR="005267B7">
        <w:t>)</w:t>
      </w:r>
      <w:r w:rsidR="00B3467F">
        <w:t>,</w:t>
      </w:r>
      <w:r w:rsidRPr="00BB3C05">
        <w:t xml:space="preserve"> 552-555.</w:t>
      </w:r>
      <w:proofErr w:type="gramEnd"/>
    </w:p>
    <w:p w:rsidR="004D01D0" w:rsidRPr="00BB3C05" w:rsidRDefault="009C594D" w:rsidP="009C594D">
      <w:r w:rsidRPr="00BB3C05">
        <w:t>Samalin, E., Assenat, E.</w:t>
      </w:r>
      <w:r w:rsidR="00CE727B" w:rsidRPr="00BB3C05">
        <w:t xml:space="preserve"> </w:t>
      </w:r>
      <w:r w:rsidR="00CE727B">
        <w:t>et al</w:t>
      </w:r>
      <w:r w:rsidRPr="00BB3C05">
        <w:t xml:space="preserve"> </w:t>
      </w:r>
      <w:r w:rsidR="00993CAF">
        <w:t>2007.</w:t>
      </w:r>
      <w:r w:rsidRPr="00BB3C05">
        <w:t xml:space="preserve"> </w:t>
      </w:r>
      <w:r w:rsidR="00993CAF">
        <w:t>‘</w:t>
      </w:r>
      <w:r w:rsidRPr="00BB3C05">
        <w:t>Self-expandable metal stents placed with overtube for the treatment of malignant obstruction of the gastrointestinal tract in 33 consecutive patients</w:t>
      </w:r>
      <w:r w:rsidR="00993CAF">
        <w:t>’</w:t>
      </w:r>
      <w:r w:rsidRPr="00BB3C05">
        <w:t xml:space="preserve">, </w:t>
      </w:r>
      <w:r w:rsidRPr="00BB3C05">
        <w:rPr>
          <w:i/>
          <w:iCs/>
        </w:rPr>
        <w:t>Endoscopy</w:t>
      </w:r>
      <w:r w:rsidRPr="00BB3C05">
        <w:t xml:space="preserve">, 39 </w:t>
      </w:r>
      <w:r w:rsidR="00025FC1">
        <w:t>(</w:t>
      </w:r>
      <w:r w:rsidRPr="00BB3C05">
        <w:t>Suppl</w:t>
      </w:r>
      <w:r w:rsidR="00025FC1">
        <w:t>.</w:t>
      </w:r>
      <w:r w:rsidRPr="00BB3C05">
        <w:t xml:space="preserve"> 1</w:t>
      </w:r>
      <w:r w:rsidR="00B3467F">
        <w:t>)</w:t>
      </w:r>
      <w:r w:rsidRPr="00BB3C05">
        <w:t>, E101.</w:t>
      </w:r>
    </w:p>
    <w:p w:rsidR="009C594D" w:rsidRPr="00BB3C05" w:rsidRDefault="009C594D" w:rsidP="009C594D">
      <w:r w:rsidRPr="00BB3C05">
        <w:lastRenderedPageBreak/>
        <w:t>Seymour, K., Johnson, R.</w:t>
      </w:r>
      <w:r w:rsidR="00CE727B" w:rsidRPr="00BB3C05">
        <w:t xml:space="preserve"> </w:t>
      </w:r>
      <w:r w:rsidR="00CE727B">
        <w:t>et al</w:t>
      </w:r>
      <w:r w:rsidRPr="00BB3C05">
        <w:t xml:space="preserve"> </w:t>
      </w:r>
      <w:r w:rsidR="00993CAF">
        <w:t>2002.</w:t>
      </w:r>
      <w:r w:rsidRPr="00BB3C05">
        <w:t xml:space="preserve"> </w:t>
      </w:r>
      <w:proofErr w:type="gramStart"/>
      <w:r w:rsidR="00993CAF">
        <w:t>‘</w:t>
      </w:r>
      <w:r w:rsidRPr="00BB3C05">
        <w:t>Palliative stenting of malignant large bowel obstruction</w:t>
      </w:r>
      <w:r w:rsidR="00993CAF">
        <w:t>’</w:t>
      </w:r>
      <w:r w:rsidRPr="00BB3C05">
        <w:t xml:space="preserve">, </w:t>
      </w:r>
      <w:r w:rsidRPr="00BB3C05">
        <w:rPr>
          <w:i/>
          <w:iCs/>
        </w:rPr>
        <w:t>Colorectal Dis</w:t>
      </w:r>
      <w:r w:rsidR="009D7559">
        <w:rPr>
          <w:i/>
          <w:iCs/>
        </w:rPr>
        <w:t>ease</w:t>
      </w:r>
      <w:r w:rsidRPr="00BB3C05">
        <w:t>, 4</w:t>
      </w:r>
      <w:r w:rsidR="005267B7">
        <w:t xml:space="preserve"> (</w:t>
      </w:r>
      <w:r w:rsidRPr="00BB3C05">
        <w:t>4</w:t>
      </w:r>
      <w:r w:rsidR="005267B7">
        <w:t>)</w:t>
      </w:r>
      <w:r w:rsidR="00B3467F">
        <w:t>,</w:t>
      </w:r>
      <w:r w:rsidRPr="00BB3C05">
        <w:t xml:space="preserve"> 240-245.</w:t>
      </w:r>
      <w:proofErr w:type="gramEnd"/>
    </w:p>
    <w:p w:rsidR="009C594D" w:rsidRPr="00BB3C05" w:rsidRDefault="009C594D" w:rsidP="009C594D">
      <w:proofErr w:type="gramStart"/>
      <w:r w:rsidRPr="00BB3C05">
        <w:t>Shim, C. S., Cho, J. Y.</w:t>
      </w:r>
      <w:r w:rsidR="00CE727B" w:rsidRPr="00BB3C05">
        <w:t xml:space="preserve"> </w:t>
      </w:r>
      <w:r w:rsidR="00CE727B">
        <w:t>et al</w:t>
      </w:r>
      <w:r w:rsidRPr="00BB3C05">
        <w:t xml:space="preserve"> </w:t>
      </w:r>
      <w:r w:rsidR="00993CAF">
        <w:t>2004.</w:t>
      </w:r>
      <w:proofErr w:type="gramEnd"/>
      <w:r w:rsidRPr="00BB3C05">
        <w:t xml:space="preserve"> </w:t>
      </w:r>
      <w:proofErr w:type="gramStart"/>
      <w:r w:rsidR="00993CAF">
        <w:t>‘</w:t>
      </w:r>
      <w:r w:rsidRPr="00BB3C05">
        <w:t>Through-the-scope double colonic stenting in the management of inoperable proximal malignant colonic obstruction: a pilot study</w:t>
      </w:r>
      <w:r w:rsidR="00993CAF">
        <w:t>’</w:t>
      </w:r>
      <w:r w:rsidRPr="00BB3C05">
        <w:t xml:space="preserve">, </w:t>
      </w:r>
      <w:r w:rsidRPr="00BB3C05">
        <w:rPr>
          <w:i/>
          <w:iCs/>
        </w:rPr>
        <w:t>Endoscopy</w:t>
      </w:r>
      <w:r w:rsidRPr="00BB3C05">
        <w:t>, 36</w:t>
      </w:r>
      <w:r w:rsidR="005267B7">
        <w:t xml:space="preserve"> (</w:t>
      </w:r>
      <w:r w:rsidRPr="00BB3C05">
        <w:t>5</w:t>
      </w:r>
      <w:r w:rsidR="005267B7">
        <w:t>)</w:t>
      </w:r>
      <w:r w:rsidR="00B3467F">
        <w:t>,</w:t>
      </w:r>
      <w:r w:rsidRPr="00BB3C05">
        <w:t xml:space="preserve"> 426-431.</w:t>
      </w:r>
      <w:proofErr w:type="gramEnd"/>
    </w:p>
    <w:p w:rsidR="009C594D" w:rsidRPr="00BB3C05" w:rsidRDefault="009C594D" w:rsidP="009C594D">
      <w:proofErr w:type="gramStart"/>
      <w:r w:rsidRPr="00BB3C05">
        <w:t>Shin, S. J., Kim, T. I.</w:t>
      </w:r>
      <w:r w:rsidR="00CE727B" w:rsidRPr="00BB3C05">
        <w:t xml:space="preserve"> </w:t>
      </w:r>
      <w:r w:rsidR="00CE727B">
        <w:t>et al</w:t>
      </w:r>
      <w:r w:rsidRPr="00BB3C05">
        <w:t xml:space="preserve"> </w:t>
      </w:r>
      <w:r w:rsidR="00993CAF">
        <w:t>2008.</w:t>
      </w:r>
      <w:proofErr w:type="gramEnd"/>
      <w:r w:rsidRPr="00BB3C05">
        <w:t xml:space="preserve"> </w:t>
      </w:r>
      <w:proofErr w:type="gramStart"/>
      <w:r w:rsidR="00993CAF">
        <w:t>‘</w:t>
      </w:r>
      <w:r w:rsidRPr="00BB3C05">
        <w:t>Clinical application of self-expandable metallic stent for treatment of colorectal obstruction caused by extrinsic invasive tumors</w:t>
      </w:r>
      <w:r w:rsidR="00993CAF">
        <w:t>’</w:t>
      </w:r>
      <w:r w:rsidRPr="00BB3C05">
        <w:t xml:space="preserve">, </w:t>
      </w:r>
      <w:r w:rsidRPr="00BB3C05">
        <w:rPr>
          <w:i/>
          <w:iCs/>
        </w:rPr>
        <w:t>Dis</w:t>
      </w:r>
      <w:r w:rsidR="009D7559">
        <w:rPr>
          <w:i/>
          <w:iCs/>
        </w:rPr>
        <w:t>eases of the</w:t>
      </w:r>
      <w:r w:rsidRPr="00BB3C05">
        <w:rPr>
          <w:i/>
          <w:iCs/>
        </w:rPr>
        <w:t xml:space="preserve"> Colon</w:t>
      </w:r>
      <w:r w:rsidR="009D7559">
        <w:rPr>
          <w:i/>
          <w:iCs/>
        </w:rPr>
        <w:t xml:space="preserve"> and</w:t>
      </w:r>
      <w:r w:rsidRPr="00BB3C05">
        <w:rPr>
          <w:i/>
          <w:iCs/>
        </w:rPr>
        <w:t xml:space="preserve"> Rectum</w:t>
      </w:r>
      <w:r w:rsidRPr="00BB3C05">
        <w:t>, 51</w:t>
      </w:r>
      <w:r w:rsidR="005267B7">
        <w:t xml:space="preserve"> (</w:t>
      </w:r>
      <w:r w:rsidRPr="00BB3C05">
        <w:t>5</w:t>
      </w:r>
      <w:r w:rsidR="005267B7">
        <w:t>)</w:t>
      </w:r>
      <w:r w:rsidR="00B3467F">
        <w:t>,</w:t>
      </w:r>
      <w:r w:rsidRPr="00BB3C05">
        <w:t xml:space="preserve"> 578-583.</w:t>
      </w:r>
      <w:proofErr w:type="gramEnd"/>
    </w:p>
    <w:p w:rsidR="009C594D" w:rsidRPr="00BB3C05" w:rsidRDefault="009C594D" w:rsidP="009C594D">
      <w:r w:rsidRPr="00BB3C05">
        <w:t>Sjo, O. H., Larsen, S.</w:t>
      </w:r>
      <w:r w:rsidR="00CE727B" w:rsidRPr="00BB3C05">
        <w:t xml:space="preserve"> </w:t>
      </w:r>
      <w:r w:rsidR="00CE727B">
        <w:t>et al</w:t>
      </w:r>
      <w:r w:rsidRPr="00BB3C05">
        <w:t xml:space="preserve"> </w:t>
      </w:r>
      <w:r w:rsidR="00993CAF">
        <w:t>2009.</w:t>
      </w:r>
      <w:r w:rsidRPr="00BB3C05">
        <w:t xml:space="preserve"> </w:t>
      </w:r>
      <w:proofErr w:type="gramStart"/>
      <w:r w:rsidR="00993CAF">
        <w:t>‘</w:t>
      </w:r>
      <w:r w:rsidRPr="00BB3C05">
        <w:t>Short term outcome after emergency and elective surgery for colon cancer</w:t>
      </w:r>
      <w:r w:rsidR="00993CAF">
        <w:t>’</w:t>
      </w:r>
      <w:r w:rsidRPr="00BB3C05">
        <w:t>,</w:t>
      </w:r>
      <w:r w:rsidRPr="00BB3C05">
        <w:rPr>
          <w:i/>
          <w:iCs/>
        </w:rPr>
        <w:t xml:space="preserve"> Colorectal Dis</w:t>
      </w:r>
      <w:r w:rsidR="009D7559">
        <w:rPr>
          <w:i/>
          <w:iCs/>
        </w:rPr>
        <w:t>ease</w:t>
      </w:r>
      <w:r w:rsidRPr="00BB3C05">
        <w:t>, 11</w:t>
      </w:r>
      <w:r w:rsidR="005267B7">
        <w:t xml:space="preserve"> (</w:t>
      </w:r>
      <w:r w:rsidRPr="00BB3C05">
        <w:t>7</w:t>
      </w:r>
      <w:r w:rsidR="005267B7">
        <w:t>)</w:t>
      </w:r>
      <w:r w:rsidR="00B3467F">
        <w:t>,</w:t>
      </w:r>
      <w:r w:rsidRPr="00BB3C05">
        <w:t xml:space="preserve"> 733-739.</w:t>
      </w:r>
      <w:proofErr w:type="gramEnd"/>
    </w:p>
    <w:p w:rsidR="009C594D" w:rsidRPr="00BB3C05" w:rsidRDefault="009C594D" w:rsidP="009C594D">
      <w:r w:rsidRPr="00BB3C05">
        <w:t>Song, H., Kim, J. H.</w:t>
      </w:r>
      <w:r w:rsidR="00CE727B" w:rsidRPr="00BB3C05">
        <w:t xml:space="preserve"> </w:t>
      </w:r>
      <w:r w:rsidR="00CE727B">
        <w:t>et al</w:t>
      </w:r>
      <w:r w:rsidRPr="00BB3C05">
        <w:t xml:space="preserve"> </w:t>
      </w:r>
      <w:r w:rsidR="00993CAF">
        <w:t>2008.</w:t>
      </w:r>
      <w:r w:rsidRPr="00BB3C05">
        <w:t xml:space="preserve"> </w:t>
      </w:r>
      <w:r w:rsidR="00993CAF">
        <w:t>‘</w:t>
      </w:r>
      <w:r w:rsidRPr="00BB3C05">
        <w:t>Malignant rectal obstruction within 5 cm of the anal verge: is there a role for expandable metallic stent placement?</w:t>
      </w:r>
      <w:proofErr w:type="gramStart"/>
      <w:r w:rsidR="00993CAF">
        <w:t>’</w:t>
      </w:r>
      <w:r w:rsidRPr="00BB3C05">
        <w:t>,</w:t>
      </w:r>
      <w:proofErr w:type="gramEnd"/>
      <w:r w:rsidRPr="00BB3C05">
        <w:t xml:space="preserve"> </w:t>
      </w:r>
      <w:r w:rsidRPr="00BB3C05">
        <w:rPr>
          <w:i/>
          <w:iCs/>
        </w:rPr>
        <w:t>Gastrointestinal Endoscopy</w:t>
      </w:r>
      <w:r w:rsidRPr="00BB3C05">
        <w:t>, 68</w:t>
      </w:r>
      <w:r w:rsidR="005267B7">
        <w:t xml:space="preserve"> (</w:t>
      </w:r>
      <w:r w:rsidRPr="00BB3C05">
        <w:t>4</w:t>
      </w:r>
      <w:r w:rsidR="005267B7">
        <w:t>)</w:t>
      </w:r>
      <w:r w:rsidR="00B3467F">
        <w:t>,</w:t>
      </w:r>
      <w:r w:rsidRPr="00BB3C05">
        <w:t xml:space="preserve"> 713-720.</w:t>
      </w:r>
    </w:p>
    <w:p w:rsidR="00053D0E" w:rsidRPr="00BB3C05" w:rsidRDefault="009C594D" w:rsidP="009C594D">
      <w:proofErr w:type="gramStart"/>
      <w:r w:rsidRPr="00BB3C05">
        <w:t xml:space="preserve">Soonawalla, Z., Thakur, K. </w:t>
      </w:r>
      <w:r w:rsidR="00CE727B">
        <w:t>et al</w:t>
      </w:r>
      <w:r w:rsidR="00CE727B" w:rsidRPr="00423FF6">
        <w:t xml:space="preserve"> </w:t>
      </w:r>
      <w:r w:rsidRPr="00BB3C05">
        <w:t xml:space="preserve">1998, </w:t>
      </w:r>
      <w:r w:rsidR="00993CAF">
        <w:t>‘</w:t>
      </w:r>
      <w:r w:rsidRPr="00BB3C05">
        <w:t>Use of self-expandind metallic stent in the management of obstruction of the sigmoid colon</w:t>
      </w:r>
      <w:r w:rsidR="00993CAF">
        <w:t>’</w:t>
      </w:r>
      <w:r w:rsidRPr="00BB3C05">
        <w:t xml:space="preserve">, </w:t>
      </w:r>
      <w:r w:rsidRPr="00BB3C05">
        <w:rPr>
          <w:i/>
        </w:rPr>
        <w:t>AJR</w:t>
      </w:r>
      <w:r w:rsidR="009D7559">
        <w:rPr>
          <w:i/>
        </w:rPr>
        <w:t xml:space="preserve"> American Journal of Roentgenology</w:t>
      </w:r>
      <w:r w:rsidRPr="00BB3C05">
        <w:rPr>
          <w:i/>
        </w:rPr>
        <w:t xml:space="preserve">, </w:t>
      </w:r>
      <w:r w:rsidRPr="00BB3C05">
        <w:t>171</w:t>
      </w:r>
      <w:r w:rsidR="003A4FF2">
        <w:t xml:space="preserve"> (3)</w:t>
      </w:r>
      <w:r w:rsidR="009C3E87">
        <w:t>,</w:t>
      </w:r>
      <w:r w:rsidRPr="00BB3C05">
        <w:t xml:space="preserve"> 633-636</w:t>
      </w:r>
      <w:r w:rsidR="00BC467E">
        <w:t>.</w:t>
      </w:r>
      <w:proofErr w:type="gramEnd"/>
      <w:r w:rsidRPr="00BB3C05">
        <w:t xml:space="preserve"> </w:t>
      </w:r>
    </w:p>
    <w:p w:rsidR="009C594D" w:rsidRPr="00BB3C05" w:rsidRDefault="009C594D" w:rsidP="009C594D">
      <w:r w:rsidRPr="00BB3C05">
        <w:t>Spinelli, P., Dal Fante, M.</w:t>
      </w:r>
      <w:r w:rsidR="00CE727B">
        <w:t xml:space="preserve"> and</w:t>
      </w:r>
      <w:r w:rsidRPr="00BB3C05">
        <w:t xml:space="preserve"> Mancini, A. 1992, </w:t>
      </w:r>
      <w:r w:rsidR="00993CAF">
        <w:t>‘</w:t>
      </w:r>
      <w:r w:rsidRPr="00BB3C05">
        <w:t>Self-expanding mesh stent for endoscopic palliation of rectal obstructing tumors: a preliminary report</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6</w:t>
      </w:r>
      <w:r w:rsidR="005267B7">
        <w:t xml:space="preserve"> (</w:t>
      </w:r>
      <w:r w:rsidRPr="00BB3C05">
        <w:t>2</w:t>
      </w:r>
      <w:r w:rsidR="005267B7">
        <w:t>)</w:t>
      </w:r>
      <w:r w:rsidR="003A4FF2">
        <w:t>,</w:t>
      </w:r>
      <w:r w:rsidRPr="00BB3C05">
        <w:t xml:space="preserve"> 72-74.</w:t>
      </w:r>
    </w:p>
    <w:p w:rsidR="009C594D" w:rsidRPr="00BB3C05" w:rsidRDefault="009C594D" w:rsidP="009C594D">
      <w:proofErr w:type="gramStart"/>
      <w:r w:rsidRPr="00BB3C05">
        <w:t>Spinelli, P., Dal Fante, M.</w:t>
      </w:r>
      <w:r w:rsidR="00CE727B">
        <w:t xml:space="preserve"> and</w:t>
      </w:r>
      <w:r w:rsidRPr="00BB3C05">
        <w:t xml:space="preserve"> Mancini, A. 1993, </w:t>
      </w:r>
      <w:r w:rsidR="00993CAF">
        <w:t>‘</w:t>
      </w:r>
      <w:r w:rsidRPr="00BB3C05">
        <w:t>Rectal metal stents for palliation of colorectal malignant stenosis</w:t>
      </w:r>
      <w:r w:rsidR="00993CAF">
        <w:t>’</w:t>
      </w:r>
      <w:r w:rsidRPr="00BB3C05">
        <w:t xml:space="preserve">, </w:t>
      </w:r>
      <w:r w:rsidRPr="00BB3C05">
        <w:rPr>
          <w:i/>
          <w:iCs/>
        </w:rPr>
        <w:t>Bildgebung</w:t>
      </w:r>
      <w:r w:rsidRPr="00BB3C05">
        <w:t>, 60</w:t>
      </w:r>
      <w:r w:rsidR="003A4FF2">
        <w:t xml:space="preserve"> (</w:t>
      </w:r>
      <w:r w:rsidRPr="00BB3C05">
        <w:t>Suppl</w:t>
      </w:r>
      <w:r w:rsidR="00025FC1">
        <w:t>.</w:t>
      </w:r>
      <w:r w:rsidRPr="00BB3C05">
        <w:t xml:space="preserve"> 1</w:t>
      </w:r>
      <w:r w:rsidR="003A4FF2">
        <w:t>)</w:t>
      </w:r>
      <w:r w:rsidR="009C3E87">
        <w:t>,</w:t>
      </w:r>
      <w:r w:rsidRPr="00BB3C05">
        <w:t xml:space="preserve"> 48-50.</w:t>
      </w:r>
      <w:proofErr w:type="gramEnd"/>
    </w:p>
    <w:p w:rsidR="006E1269" w:rsidRPr="00BB3C05" w:rsidRDefault="006E1269" w:rsidP="006E1269">
      <w:proofErr w:type="gramStart"/>
      <w:r w:rsidRPr="00BB3C05">
        <w:t xml:space="preserve">Spinelli, P. </w:t>
      </w:r>
      <w:r>
        <w:t>and</w:t>
      </w:r>
      <w:r w:rsidRPr="00BB3C05">
        <w:t xml:space="preserve"> Mancini, A. </w:t>
      </w:r>
      <w:r>
        <w:t>2001.</w:t>
      </w:r>
      <w:proofErr w:type="gramEnd"/>
      <w:r w:rsidRPr="00BB3C05">
        <w:t xml:space="preserve"> </w:t>
      </w:r>
      <w:proofErr w:type="gramStart"/>
      <w:r>
        <w:t>‘</w:t>
      </w:r>
      <w:r w:rsidRPr="00BB3C05">
        <w:t>Use of self-expanding metal stents for palliation of rectosigmoid cancer</w:t>
      </w:r>
      <w:r>
        <w:t>’</w:t>
      </w:r>
      <w:r w:rsidRPr="00BB3C05">
        <w:t xml:space="preserve">, </w:t>
      </w:r>
      <w:r w:rsidRPr="00BB3C05">
        <w:rPr>
          <w:i/>
          <w:iCs/>
        </w:rPr>
        <w:t>Gastrointest</w:t>
      </w:r>
      <w:r>
        <w:rPr>
          <w:i/>
          <w:iCs/>
        </w:rPr>
        <w:t>inal</w:t>
      </w:r>
      <w:r w:rsidRPr="00BB3C05">
        <w:rPr>
          <w:i/>
          <w:iCs/>
        </w:rPr>
        <w:t xml:space="preserve"> Endosc</w:t>
      </w:r>
      <w:r>
        <w:rPr>
          <w:i/>
          <w:iCs/>
        </w:rPr>
        <w:t>opy</w:t>
      </w:r>
      <w:r w:rsidRPr="00BB3C05">
        <w:t>, 53</w:t>
      </w:r>
      <w:r>
        <w:t xml:space="preserve"> (</w:t>
      </w:r>
      <w:r w:rsidRPr="00BB3C05">
        <w:t>2</w:t>
      </w:r>
      <w:r>
        <w:t>)</w:t>
      </w:r>
      <w:r w:rsidR="003A4FF2">
        <w:t>,</w:t>
      </w:r>
      <w:r w:rsidRPr="00BB3C05">
        <w:t xml:space="preserve"> 203-206.</w:t>
      </w:r>
      <w:proofErr w:type="gramEnd"/>
    </w:p>
    <w:p w:rsidR="009C594D" w:rsidRPr="00BB3C05" w:rsidRDefault="009C594D" w:rsidP="009C594D">
      <w:proofErr w:type="gramStart"/>
      <w:r w:rsidRPr="00BB3C05">
        <w:t>Stipa, F., Pigazzi, A.</w:t>
      </w:r>
      <w:r w:rsidR="00CE727B" w:rsidRPr="00BB3C05">
        <w:t xml:space="preserve"> </w:t>
      </w:r>
      <w:r w:rsidR="00CE727B">
        <w:t>et al</w:t>
      </w:r>
      <w:r w:rsidRPr="00BB3C05">
        <w:t xml:space="preserve"> </w:t>
      </w:r>
      <w:r w:rsidR="00993CAF">
        <w:t>2008.</w:t>
      </w:r>
      <w:proofErr w:type="gramEnd"/>
      <w:r w:rsidRPr="00BB3C05">
        <w:t xml:space="preserve"> </w:t>
      </w:r>
      <w:r w:rsidR="00993CAF">
        <w:t>‘</w:t>
      </w:r>
      <w:r w:rsidRPr="00BB3C05">
        <w:t>Management of obstructive colorectal cancer with endoscopic stenting followed by single-stage surgery: open or laparoscopic resection?</w:t>
      </w:r>
      <w:proofErr w:type="gramStart"/>
      <w:r w:rsidR="00993CAF">
        <w:t>’</w:t>
      </w:r>
      <w:r w:rsidRPr="00BB3C05">
        <w:t>,</w:t>
      </w:r>
      <w:proofErr w:type="gramEnd"/>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22</w:t>
      </w:r>
      <w:r w:rsidR="005267B7">
        <w:t xml:space="preserve"> (</w:t>
      </w:r>
      <w:r w:rsidRPr="00BB3C05">
        <w:t>6</w:t>
      </w:r>
      <w:r w:rsidR="005267B7">
        <w:t>)</w:t>
      </w:r>
      <w:r w:rsidR="003A4FF2">
        <w:t>,</w:t>
      </w:r>
      <w:r w:rsidRPr="00BB3C05">
        <w:t xml:space="preserve"> 1477-1481.</w:t>
      </w:r>
    </w:p>
    <w:p w:rsidR="009C594D" w:rsidRPr="00BB3C05" w:rsidRDefault="009C594D" w:rsidP="009C594D">
      <w:r w:rsidRPr="00BB3C05">
        <w:t>Suzuki, N., Saunders, B. P.</w:t>
      </w:r>
      <w:r w:rsidR="00CE727B" w:rsidRPr="00BB3C05">
        <w:t xml:space="preserve"> </w:t>
      </w:r>
      <w:r w:rsidR="00CE727B">
        <w:t>et al</w:t>
      </w:r>
      <w:r w:rsidRPr="00BB3C05">
        <w:t xml:space="preserve"> </w:t>
      </w:r>
      <w:r w:rsidR="00993CAF">
        <w:t>2004.</w:t>
      </w:r>
      <w:r w:rsidRPr="00BB3C05">
        <w:t xml:space="preserve"> </w:t>
      </w:r>
      <w:proofErr w:type="gramStart"/>
      <w:r w:rsidR="00993CAF">
        <w:t>‘</w:t>
      </w:r>
      <w:r w:rsidRPr="00BB3C05">
        <w:t>Colorectal stenting for malignant and benign disease: outcomes in colorectal stenting</w:t>
      </w:r>
      <w:r w:rsidR="00993CAF">
        <w:t>’</w:t>
      </w:r>
      <w:r w:rsidRPr="00BB3C05">
        <w:t xml:space="preserve">, </w:t>
      </w:r>
      <w:r w:rsidRPr="00BB3C05">
        <w:rPr>
          <w:i/>
          <w:iCs/>
        </w:rPr>
        <w:t>Dis</w:t>
      </w:r>
      <w:r w:rsidR="009D7559">
        <w:rPr>
          <w:i/>
          <w:iCs/>
        </w:rPr>
        <w:t>eases of the</w:t>
      </w:r>
      <w:r w:rsidRPr="00BB3C05">
        <w:rPr>
          <w:i/>
          <w:iCs/>
        </w:rPr>
        <w:t xml:space="preserve"> Colon</w:t>
      </w:r>
      <w:r w:rsidR="009D7559">
        <w:rPr>
          <w:i/>
          <w:iCs/>
        </w:rPr>
        <w:t xml:space="preserve"> and</w:t>
      </w:r>
      <w:r w:rsidRPr="00BB3C05">
        <w:rPr>
          <w:i/>
          <w:iCs/>
        </w:rPr>
        <w:t xml:space="preserve"> Rectum</w:t>
      </w:r>
      <w:r w:rsidRPr="00BB3C05">
        <w:t>, 47</w:t>
      </w:r>
      <w:r w:rsidR="005267B7">
        <w:t xml:space="preserve"> (</w:t>
      </w:r>
      <w:r w:rsidRPr="00BB3C05">
        <w:t>7</w:t>
      </w:r>
      <w:r w:rsidR="005267B7">
        <w:t>)</w:t>
      </w:r>
      <w:r w:rsidR="003A4FF2">
        <w:t>,</w:t>
      </w:r>
      <w:r w:rsidRPr="00BB3C05">
        <w:t xml:space="preserve"> 1201-1207.</w:t>
      </w:r>
      <w:proofErr w:type="gramEnd"/>
    </w:p>
    <w:p w:rsidR="009C594D" w:rsidRPr="00BB3C05" w:rsidRDefault="009C594D" w:rsidP="009C594D">
      <w:proofErr w:type="gramStart"/>
      <w:r w:rsidRPr="00BB3C05">
        <w:t>Syn, W. K., Patel, M.</w:t>
      </w:r>
      <w:r w:rsidR="00CE727B">
        <w:t xml:space="preserve"> and</w:t>
      </w:r>
      <w:r w:rsidRPr="00BB3C05">
        <w:t xml:space="preserve"> Ahmed, M. M. </w:t>
      </w:r>
      <w:r w:rsidR="00993CAF">
        <w:t>2005.</w:t>
      </w:r>
      <w:proofErr w:type="gramEnd"/>
      <w:r w:rsidRPr="00BB3C05">
        <w:t xml:space="preserve"> </w:t>
      </w:r>
      <w:r w:rsidR="00993CAF">
        <w:t>‘</w:t>
      </w:r>
      <w:r w:rsidRPr="00BB3C05">
        <w:t>Metallic stents in large bowel obstruction: experience in a District General Hospital</w:t>
      </w:r>
      <w:r w:rsidR="00993CAF">
        <w:t>’</w:t>
      </w:r>
      <w:r w:rsidRPr="00BB3C05">
        <w:t xml:space="preserve">, </w:t>
      </w:r>
      <w:r w:rsidRPr="00BB3C05">
        <w:rPr>
          <w:i/>
          <w:iCs/>
        </w:rPr>
        <w:t>Colorectal Dis</w:t>
      </w:r>
      <w:r w:rsidR="009D7559">
        <w:rPr>
          <w:i/>
          <w:iCs/>
        </w:rPr>
        <w:t>ease</w:t>
      </w:r>
      <w:r w:rsidRPr="00BB3C05">
        <w:t>, 7</w:t>
      </w:r>
      <w:r w:rsidR="005267B7">
        <w:t xml:space="preserve"> (</w:t>
      </w:r>
      <w:r w:rsidRPr="00BB3C05">
        <w:t>1</w:t>
      </w:r>
      <w:r w:rsidR="005267B7">
        <w:t>)</w:t>
      </w:r>
      <w:r w:rsidR="003A4FF2">
        <w:t>,</w:t>
      </w:r>
      <w:r w:rsidRPr="00BB3C05">
        <w:t xml:space="preserve"> 22-26.</w:t>
      </w:r>
    </w:p>
    <w:p w:rsidR="009C594D" w:rsidRPr="00BB3C05" w:rsidRDefault="009C594D" w:rsidP="009C594D">
      <w:proofErr w:type="gramStart"/>
      <w:r w:rsidRPr="00BB3C05">
        <w:t>Soonawalla, Z., Thakur, K.</w:t>
      </w:r>
      <w:r w:rsidR="00CE727B" w:rsidRPr="00BB3C05">
        <w:t xml:space="preserve"> </w:t>
      </w:r>
      <w:r w:rsidR="00CE727B">
        <w:t>et al</w:t>
      </w:r>
      <w:r w:rsidRPr="00BB3C05">
        <w:t xml:space="preserve"> 1998, </w:t>
      </w:r>
      <w:r w:rsidR="00993CAF">
        <w:t>‘</w:t>
      </w:r>
      <w:r w:rsidRPr="00BB3C05">
        <w:t>Use of self-expanding metallic stents in the management of obstruction of the sigmoid colon</w:t>
      </w:r>
      <w:r w:rsidR="00993CAF">
        <w:t>’</w:t>
      </w:r>
      <w:r w:rsidRPr="00BB3C05">
        <w:t xml:space="preserve">, </w:t>
      </w:r>
      <w:r w:rsidRPr="00BB3C05">
        <w:rPr>
          <w:i/>
          <w:iCs/>
        </w:rPr>
        <w:t>AJR Am</w:t>
      </w:r>
      <w:r w:rsidR="009D7559">
        <w:rPr>
          <w:i/>
          <w:iCs/>
        </w:rPr>
        <w:t>erican</w:t>
      </w:r>
      <w:r w:rsidRPr="00BB3C05">
        <w:rPr>
          <w:i/>
          <w:iCs/>
        </w:rPr>
        <w:t xml:space="preserve"> J</w:t>
      </w:r>
      <w:r w:rsidR="009D7559">
        <w:rPr>
          <w:i/>
          <w:iCs/>
        </w:rPr>
        <w:t>ournal of</w:t>
      </w:r>
      <w:r w:rsidRPr="00BB3C05">
        <w:rPr>
          <w:i/>
          <w:iCs/>
        </w:rPr>
        <w:t xml:space="preserve"> Roentgenol</w:t>
      </w:r>
      <w:r w:rsidR="009D7559">
        <w:rPr>
          <w:i/>
          <w:iCs/>
        </w:rPr>
        <w:t>ogy</w:t>
      </w:r>
      <w:r w:rsidRPr="00BB3C05">
        <w:t>, 171</w:t>
      </w:r>
      <w:r w:rsidR="005267B7">
        <w:t xml:space="preserve"> (</w:t>
      </w:r>
      <w:r w:rsidRPr="00BB3C05">
        <w:t>3</w:t>
      </w:r>
      <w:r w:rsidR="005267B7">
        <w:t>)</w:t>
      </w:r>
      <w:r w:rsidR="003A4FF2">
        <w:t>,</w:t>
      </w:r>
      <w:r w:rsidRPr="00BB3C05">
        <w:t xml:space="preserve"> 633-636.</w:t>
      </w:r>
      <w:proofErr w:type="gramEnd"/>
    </w:p>
    <w:p w:rsidR="009D7559" w:rsidRDefault="009D7559" w:rsidP="009D7559">
      <w:r w:rsidRPr="00BB3C05">
        <w:t>Tack, J., Gevers, A. M.</w:t>
      </w:r>
      <w:r w:rsidR="00CE727B">
        <w:t xml:space="preserve"> and</w:t>
      </w:r>
      <w:r w:rsidRPr="00BB3C05">
        <w:t xml:space="preserve"> Rutgeerts, P. 1998, </w:t>
      </w:r>
      <w:r w:rsidR="00993CAF">
        <w:t>‘</w:t>
      </w:r>
      <w:r w:rsidRPr="00BB3C05">
        <w:t>Self-expandable metallic stents in the palliation of rectosigmoidal carcinoma: a follow-up study</w:t>
      </w:r>
      <w:r w:rsidR="00993CAF">
        <w:t>’</w:t>
      </w:r>
      <w:r w:rsidRPr="00BB3C05">
        <w:t xml:space="preserve">, </w:t>
      </w:r>
      <w:r w:rsidRPr="00BB3C05">
        <w:rPr>
          <w:i/>
          <w:iCs/>
        </w:rPr>
        <w:t>Gastrointest</w:t>
      </w:r>
      <w:r>
        <w:rPr>
          <w:i/>
          <w:iCs/>
        </w:rPr>
        <w:t>inal</w:t>
      </w:r>
      <w:r w:rsidRPr="00BB3C05">
        <w:rPr>
          <w:i/>
          <w:iCs/>
        </w:rPr>
        <w:t xml:space="preserve"> Endosc</w:t>
      </w:r>
      <w:r>
        <w:rPr>
          <w:i/>
          <w:iCs/>
        </w:rPr>
        <w:t>opy</w:t>
      </w:r>
      <w:r w:rsidRPr="00BB3C05">
        <w:t>, 48</w:t>
      </w:r>
      <w:r w:rsidR="005267B7">
        <w:t xml:space="preserve"> (</w:t>
      </w:r>
      <w:r w:rsidRPr="00BB3C05">
        <w:t>3</w:t>
      </w:r>
      <w:r w:rsidR="005267B7">
        <w:t>)</w:t>
      </w:r>
      <w:r w:rsidR="003A4FF2">
        <w:t>,</w:t>
      </w:r>
      <w:r w:rsidRPr="00BB3C05">
        <w:t xml:space="preserve"> 267-271</w:t>
      </w:r>
      <w:r w:rsidR="00BC467E">
        <w:t>.</w:t>
      </w:r>
      <w:r w:rsidRPr="00BB3C05">
        <w:t xml:space="preserve"> </w:t>
      </w:r>
    </w:p>
    <w:p w:rsidR="009C594D" w:rsidRPr="00BB3C05" w:rsidRDefault="009C594D" w:rsidP="009C594D">
      <w:proofErr w:type="gramStart"/>
      <w:r w:rsidRPr="00BB3C05">
        <w:lastRenderedPageBreak/>
        <w:t>Tamim, W. Z., Ghellai, A.</w:t>
      </w:r>
      <w:r w:rsidR="00CE727B" w:rsidRPr="00BB3C05">
        <w:t xml:space="preserve"> </w:t>
      </w:r>
      <w:r w:rsidR="00CE727B">
        <w:t>et al</w:t>
      </w:r>
      <w:r w:rsidRPr="00BB3C05">
        <w:t xml:space="preserve"> </w:t>
      </w:r>
      <w:r w:rsidR="00993CAF">
        <w:t>2000.</w:t>
      </w:r>
      <w:proofErr w:type="gramEnd"/>
      <w:r w:rsidRPr="00BB3C05">
        <w:t xml:space="preserve"> </w:t>
      </w:r>
      <w:r w:rsidR="00993CAF">
        <w:t>‘</w:t>
      </w:r>
      <w:r w:rsidRPr="00BB3C05">
        <w:t>Experience with endoluminal colonic wall stents for the management of large bowel obstruction for benign and malignant disease</w:t>
      </w:r>
      <w:r w:rsidR="00993CAF">
        <w:t>’</w:t>
      </w:r>
      <w:r w:rsidRPr="00BB3C05">
        <w:t xml:space="preserve">, </w:t>
      </w:r>
      <w:r w:rsidRPr="00BB3C05">
        <w:rPr>
          <w:i/>
          <w:iCs/>
        </w:rPr>
        <w:t>Arch</w:t>
      </w:r>
      <w:r w:rsidR="009D7559">
        <w:rPr>
          <w:i/>
          <w:iCs/>
        </w:rPr>
        <w:t>ives of</w:t>
      </w:r>
      <w:r w:rsidRPr="00BB3C05">
        <w:rPr>
          <w:i/>
          <w:iCs/>
        </w:rPr>
        <w:t xml:space="preserve"> Surg</w:t>
      </w:r>
      <w:r w:rsidR="009D7559">
        <w:rPr>
          <w:i/>
          <w:iCs/>
        </w:rPr>
        <w:t>ery</w:t>
      </w:r>
      <w:r w:rsidRPr="00BB3C05">
        <w:t>, 135</w:t>
      </w:r>
      <w:r w:rsidR="005267B7">
        <w:t xml:space="preserve"> (</w:t>
      </w:r>
      <w:r w:rsidRPr="00BB3C05">
        <w:t>4</w:t>
      </w:r>
      <w:r w:rsidR="005267B7">
        <w:t>)</w:t>
      </w:r>
      <w:r w:rsidR="003A4FF2">
        <w:t>,</w:t>
      </w:r>
      <w:r w:rsidRPr="00BB3C05">
        <w:t xml:space="preserve"> 434-438.</w:t>
      </w:r>
    </w:p>
    <w:p w:rsidR="009C594D" w:rsidRPr="00BB3C05" w:rsidRDefault="009C594D" w:rsidP="009C594D">
      <w:proofErr w:type="gramStart"/>
      <w:r w:rsidRPr="00BB3C05">
        <w:t>Tan, K. K.</w:t>
      </w:r>
      <w:r w:rsidR="00CE727B">
        <w:t xml:space="preserve"> and</w:t>
      </w:r>
      <w:r w:rsidRPr="00BB3C05">
        <w:t xml:space="preserve"> Sim, R. </w:t>
      </w:r>
      <w:r w:rsidR="00993CAF">
        <w:t>2010.</w:t>
      </w:r>
      <w:proofErr w:type="gramEnd"/>
      <w:r w:rsidRPr="00BB3C05">
        <w:t xml:space="preserve"> </w:t>
      </w:r>
      <w:proofErr w:type="gramStart"/>
      <w:r w:rsidR="00993CAF">
        <w:t>‘</w:t>
      </w:r>
      <w:r w:rsidRPr="00BB3C05">
        <w:t>Surgery for obstructed colorectal malignancy in an Asian population: predictors of morbidity and comparison between left- and right-sided cancers</w:t>
      </w:r>
      <w:r w:rsidR="00993CAF">
        <w:t>’</w:t>
      </w:r>
      <w:r w:rsidRPr="00BB3C05">
        <w:t xml:space="preserve">, </w:t>
      </w:r>
      <w:r w:rsidRPr="00BB3C05">
        <w:rPr>
          <w:i/>
          <w:iCs/>
        </w:rPr>
        <w:t>J</w:t>
      </w:r>
      <w:r w:rsidR="009D7559">
        <w:rPr>
          <w:i/>
          <w:iCs/>
        </w:rPr>
        <w:t>ournal of</w:t>
      </w:r>
      <w:r w:rsidRPr="00BB3C05">
        <w:rPr>
          <w:i/>
          <w:iCs/>
        </w:rPr>
        <w:t xml:space="preserve"> Gastrointest</w:t>
      </w:r>
      <w:r w:rsidR="009D7559">
        <w:rPr>
          <w:i/>
          <w:iCs/>
        </w:rPr>
        <w:t>inal</w:t>
      </w:r>
      <w:r w:rsidRPr="00BB3C05">
        <w:rPr>
          <w:i/>
          <w:iCs/>
        </w:rPr>
        <w:t xml:space="preserve"> Surg</w:t>
      </w:r>
      <w:r w:rsidR="009D7559">
        <w:rPr>
          <w:i/>
          <w:iCs/>
        </w:rPr>
        <w:t>ery</w:t>
      </w:r>
      <w:r w:rsidRPr="00BB3C05">
        <w:t>, 14</w:t>
      </w:r>
      <w:r w:rsidR="005267B7">
        <w:t xml:space="preserve"> (</w:t>
      </w:r>
      <w:r w:rsidRPr="00BB3C05">
        <w:t>2</w:t>
      </w:r>
      <w:r w:rsidR="005267B7">
        <w:t>)</w:t>
      </w:r>
      <w:r w:rsidR="003A4FF2">
        <w:t>,</w:t>
      </w:r>
      <w:r w:rsidRPr="00BB3C05">
        <w:t xml:space="preserve"> 295-302.</w:t>
      </w:r>
      <w:proofErr w:type="gramEnd"/>
    </w:p>
    <w:p w:rsidR="009C594D" w:rsidRPr="00BB3C05" w:rsidRDefault="009C594D" w:rsidP="009C594D">
      <w:proofErr w:type="gramStart"/>
      <w:r w:rsidRPr="00BB3C05">
        <w:t>Tejero, E., Fernandez-Lobato, R.</w:t>
      </w:r>
      <w:r w:rsidR="00CE727B" w:rsidRPr="00BB3C05">
        <w:t xml:space="preserve"> </w:t>
      </w:r>
      <w:r w:rsidR="00CE727B">
        <w:t>et al</w:t>
      </w:r>
      <w:r w:rsidRPr="00BB3C05">
        <w:t xml:space="preserve"> 1997, </w:t>
      </w:r>
      <w:r w:rsidR="00993CAF">
        <w:t>‘</w:t>
      </w:r>
      <w:r w:rsidRPr="00BB3C05">
        <w:t>Initial results of a new procedure for treatment of malignant obstruction of the left colon</w:t>
      </w:r>
      <w:r w:rsidR="00993CAF">
        <w:t>’</w:t>
      </w:r>
      <w:r w:rsidRPr="00BB3C05">
        <w:t xml:space="preserve">, </w:t>
      </w:r>
      <w:r w:rsidR="009D7559" w:rsidRPr="00BB3C05">
        <w:rPr>
          <w:i/>
          <w:iCs/>
        </w:rPr>
        <w:t>Dis</w:t>
      </w:r>
      <w:r w:rsidR="009D7559">
        <w:rPr>
          <w:i/>
          <w:iCs/>
        </w:rPr>
        <w:t xml:space="preserve">eases of the </w:t>
      </w:r>
      <w:r w:rsidRPr="00BB3C05">
        <w:rPr>
          <w:i/>
          <w:iCs/>
        </w:rPr>
        <w:t>Colon</w:t>
      </w:r>
      <w:r w:rsidR="009D7559">
        <w:rPr>
          <w:i/>
          <w:iCs/>
        </w:rPr>
        <w:t xml:space="preserve"> and</w:t>
      </w:r>
      <w:r w:rsidRPr="00BB3C05">
        <w:rPr>
          <w:i/>
          <w:iCs/>
        </w:rPr>
        <w:t xml:space="preserve"> Rectum</w:t>
      </w:r>
      <w:r w:rsidRPr="00BB3C05">
        <w:t>, 40</w:t>
      </w:r>
      <w:r w:rsidR="005267B7">
        <w:t xml:space="preserve"> (</w:t>
      </w:r>
      <w:r w:rsidRPr="00BB3C05">
        <w:t>4</w:t>
      </w:r>
      <w:r w:rsidR="005267B7">
        <w:t>)</w:t>
      </w:r>
      <w:r w:rsidR="003A4FF2">
        <w:t>,</w:t>
      </w:r>
      <w:r w:rsidRPr="00BB3C05">
        <w:t xml:space="preserve"> 432-436.</w:t>
      </w:r>
      <w:proofErr w:type="gramEnd"/>
    </w:p>
    <w:p w:rsidR="009C594D" w:rsidRPr="00BB3C05" w:rsidRDefault="009C594D" w:rsidP="009C594D">
      <w:proofErr w:type="gramStart"/>
      <w:r w:rsidRPr="00BB3C05">
        <w:t>Trompetas, V., Saunders, M.</w:t>
      </w:r>
      <w:r w:rsidR="00CE727B" w:rsidRPr="00BB3C05">
        <w:t xml:space="preserve"> </w:t>
      </w:r>
      <w:r w:rsidR="00CE727B">
        <w:t>et al</w:t>
      </w:r>
      <w:r w:rsidRPr="00BB3C05">
        <w:t xml:space="preserve"> </w:t>
      </w:r>
      <w:r w:rsidR="00993CAF">
        <w:t>2010.</w:t>
      </w:r>
      <w:proofErr w:type="gramEnd"/>
      <w:r w:rsidRPr="00BB3C05">
        <w:t xml:space="preserve"> </w:t>
      </w:r>
      <w:proofErr w:type="gramStart"/>
      <w:r w:rsidR="00993CAF">
        <w:t>‘</w:t>
      </w:r>
      <w:r w:rsidRPr="00BB3C05">
        <w:t>Shortcomings in colonic stenting to palliate large bowel obstruction from extracolonic malignancies</w:t>
      </w:r>
      <w:r w:rsidR="00993CAF">
        <w:t>’</w:t>
      </w:r>
      <w:r w:rsidRPr="00BB3C05">
        <w:t xml:space="preserve">, </w:t>
      </w:r>
      <w:r w:rsidRPr="00BB3C05">
        <w:rPr>
          <w:i/>
          <w:iCs/>
        </w:rPr>
        <w:t>Int J Colorectal Dis</w:t>
      </w:r>
      <w:r w:rsidR="009D7559">
        <w:rPr>
          <w:i/>
          <w:iCs/>
        </w:rPr>
        <w:t>ease</w:t>
      </w:r>
      <w:r w:rsidRPr="00BB3C05">
        <w:t>, 25</w:t>
      </w:r>
      <w:r w:rsidR="005267B7">
        <w:t xml:space="preserve"> (</w:t>
      </w:r>
      <w:r w:rsidRPr="00BB3C05">
        <w:t>7</w:t>
      </w:r>
      <w:r w:rsidR="005267B7">
        <w:t>)</w:t>
      </w:r>
      <w:r w:rsidR="003A4FF2">
        <w:t>,</w:t>
      </w:r>
      <w:r w:rsidRPr="00BB3C05">
        <w:t xml:space="preserve"> 851-854.</w:t>
      </w:r>
      <w:proofErr w:type="gramEnd"/>
    </w:p>
    <w:p w:rsidR="009C594D" w:rsidRPr="00BB3C05" w:rsidRDefault="009C594D" w:rsidP="009C594D">
      <w:r w:rsidRPr="00BB3C05">
        <w:t>Tsurumaru, D., Hidaka, H.</w:t>
      </w:r>
      <w:r w:rsidR="00CE727B" w:rsidRPr="00BB3C05">
        <w:t xml:space="preserve"> </w:t>
      </w:r>
      <w:r w:rsidR="00CE727B">
        <w:t>et al</w:t>
      </w:r>
      <w:r w:rsidRPr="00BB3C05">
        <w:t xml:space="preserve"> </w:t>
      </w:r>
      <w:r w:rsidR="00993CAF">
        <w:t>2007.</w:t>
      </w:r>
      <w:r w:rsidRPr="00BB3C05">
        <w:t xml:space="preserve"> </w:t>
      </w:r>
      <w:proofErr w:type="gramStart"/>
      <w:r w:rsidR="00993CAF">
        <w:t>‘</w:t>
      </w:r>
      <w:r w:rsidRPr="00BB3C05">
        <w:t>Self-expandable metallic stents as palliative treatment for malignant colorectal obstruction</w:t>
      </w:r>
      <w:r w:rsidR="00993CAF">
        <w:t>’</w:t>
      </w:r>
      <w:r w:rsidRPr="00BB3C05">
        <w:t xml:space="preserve">, </w:t>
      </w:r>
      <w:r w:rsidRPr="00BB3C05">
        <w:rPr>
          <w:i/>
          <w:iCs/>
        </w:rPr>
        <w:t>Abdom</w:t>
      </w:r>
      <w:r w:rsidR="009D7559">
        <w:rPr>
          <w:i/>
          <w:iCs/>
        </w:rPr>
        <w:t>inal</w:t>
      </w:r>
      <w:r w:rsidRPr="00BB3C05">
        <w:rPr>
          <w:i/>
          <w:iCs/>
        </w:rPr>
        <w:t xml:space="preserve"> Imaging</w:t>
      </w:r>
      <w:r w:rsidRPr="00BB3C05">
        <w:t>, 32</w:t>
      </w:r>
      <w:r w:rsidR="005267B7">
        <w:t xml:space="preserve"> (</w:t>
      </w:r>
      <w:r w:rsidRPr="00BB3C05">
        <w:t>5</w:t>
      </w:r>
      <w:r w:rsidR="005267B7">
        <w:t>)</w:t>
      </w:r>
      <w:r w:rsidR="003A4FF2">
        <w:t>,</w:t>
      </w:r>
      <w:r w:rsidRPr="00BB3C05">
        <w:t xml:space="preserve"> 619-623.</w:t>
      </w:r>
      <w:proofErr w:type="gramEnd"/>
    </w:p>
    <w:p w:rsidR="009C594D" w:rsidRPr="00BB3C05" w:rsidRDefault="009C594D" w:rsidP="009C594D">
      <w:r w:rsidRPr="00BB3C05">
        <w:t>Turegano-Fuentes, F., Echenagusia-Belda, A.</w:t>
      </w:r>
      <w:r w:rsidR="00CE727B" w:rsidRPr="00BB3C05">
        <w:t xml:space="preserve"> </w:t>
      </w:r>
      <w:r w:rsidR="00CE727B">
        <w:t>et al</w:t>
      </w:r>
      <w:r w:rsidRPr="00BB3C05">
        <w:t xml:space="preserve"> 1998, </w:t>
      </w:r>
      <w:r w:rsidR="00993CAF">
        <w:t>‘</w:t>
      </w:r>
      <w:r w:rsidRPr="00BB3C05">
        <w:t>Transanal self-expanding metal stents as an alternative to palliative colostomy in selected patients with malignant obstruction of the left colon</w:t>
      </w:r>
      <w:r w:rsidR="00993CAF">
        <w:t>’</w:t>
      </w:r>
      <w:r w:rsidRPr="00BB3C05">
        <w:t xml:space="preserve">, </w:t>
      </w:r>
      <w:r w:rsidR="009D7559" w:rsidRPr="0007443E">
        <w:rPr>
          <w:i/>
        </w:rPr>
        <w:t xml:space="preserve">The </w:t>
      </w:r>
      <w:r w:rsidRPr="00BB3C05">
        <w:rPr>
          <w:i/>
          <w:iCs/>
        </w:rPr>
        <w:t>Br</w:t>
      </w:r>
      <w:r w:rsidR="009D7559">
        <w:rPr>
          <w:i/>
          <w:iCs/>
        </w:rPr>
        <w:t>itish</w:t>
      </w:r>
      <w:r w:rsidRPr="00BB3C05">
        <w:rPr>
          <w:i/>
          <w:iCs/>
        </w:rPr>
        <w:t xml:space="preserve"> J</w:t>
      </w:r>
      <w:r w:rsidR="009D7559">
        <w:rPr>
          <w:i/>
          <w:iCs/>
        </w:rPr>
        <w:t>ournal of</w:t>
      </w:r>
      <w:r w:rsidRPr="00BB3C05">
        <w:rPr>
          <w:i/>
          <w:iCs/>
        </w:rPr>
        <w:t xml:space="preserve"> Surg</w:t>
      </w:r>
      <w:r w:rsidR="009D7559">
        <w:rPr>
          <w:i/>
          <w:iCs/>
        </w:rPr>
        <w:t>ery</w:t>
      </w:r>
      <w:r w:rsidRPr="00BB3C05">
        <w:t>, 85</w:t>
      </w:r>
      <w:r w:rsidR="005267B7">
        <w:t xml:space="preserve"> (</w:t>
      </w:r>
      <w:r w:rsidRPr="00BB3C05">
        <w:t>2</w:t>
      </w:r>
      <w:r w:rsidR="005267B7">
        <w:t>)</w:t>
      </w:r>
      <w:r w:rsidR="003A4FF2">
        <w:t>,</w:t>
      </w:r>
      <w:r w:rsidRPr="00BB3C05">
        <w:t xml:space="preserve"> 232-235.</w:t>
      </w:r>
    </w:p>
    <w:p w:rsidR="009C594D" w:rsidRPr="00BB3C05" w:rsidRDefault="009C594D" w:rsidP="009C594D">
      <w:proofErr w:type="gramStart"/>
      <w:r w:rsidRPr="00BB3C05">
        <w:t>Vanbiervliet, G., Dumas, R.</w:t>
      </w:r>
      <w:r w:rsidR="00CE727B" w:rsidRPr="00BB3C05">
        <w:t xml:space="preserve"> </w:t>
      </w:r>
      <w:r w:rsidR="00CE727B">
        <w:t>et al</w:t>
      </w:r>
      <w:r w:rsidRPr="00BB3C05">
        <w:t xml:space="preserve"> </w:t>
      </w:r>
      <w:r w:rsidR="00993CAF">
        <w:t>2004.</w:t>
      </w:r>
      <w:proofErr w:type="gramEnd"/>
      <w:r w:rsidRPr="00BB3C05">
        <w:t xml:space="preserve"> </w:t>
      </w:r>
      <w:r w:rsidR="00993CAF">
        <w:t>‘</w:t>
      </w:r>
      <w:r w:rsidRPr="00BB3C05">
        <w:t>Endoscopic palliative treatment of malignant colorectal stenosis with metallic stents: Results in 41 patients. [French, English]</w:t>
      </w:r>
      <w:r w:rsidR="00993CAF">
        <w:t>’</w:t>
      </w:r>
      <w:r w:rsidRPr="00BB3C05">
        <w:t xml:space="preserve">, </w:t>
      </w:r>
      <w:r w:rsidRPr="00BB3C05">
        <w:rPr>
          <w:i/>
          <w:iCs/>
        </w:rPr>
        <w:t>Acta Endoscopica</w:t>
      </w:r>
      <w:r w:rsidR="00BC467E">
        <w:t>,</w:t>
      </w:r>
      <w:r w:rsidRPr="00BB3C05">
        <w:t xml:space="preserve"> </w:t>
      </w:r>
      <w:r w:rsidR="003A4FF2">
        <w:t>34 (</w:t>
      </w:r>
      <w:r w:rsidRPr="00BB3C05">
        <w:t>3</w:t>
      </w:r>
      <w:r w:rsidR="003A4FF2">
        <w:t>)</w:t>
      </w:r>
      <w:r w:rsidRPr="00BB3C05">
        <w:t>,</w:t>
      </w:r>
      <w:r w:rsidR="003A4FF2">
        <w:t xml:space="preserve"> 327-334.</w:t>
      </w:r>
    </w:p>
    <w:p w:rsidR="009C594D" w:rsidRPr="00BB3C05" w:rsidRDefault="009C594D" w:rsidP="009C594D">
      <w:r w:rsidRPr="00BB3C05">
        <w:t>Varpe, P., Huhtinen, H.</w:t>
      </w:r>
      <w:r w:rsidR="00CE727B" w:rsidRPr="00BB3C05">
        <w:t xml:space="preserve"> </w:t>
      </w:r>
      <w:r w:rsidR="00CE727B">
        <w:t>et al</w:t>
      </w:r>
      <w:r w:rsidRPr="00BB3C05">
        <w:t xml:space="preserve"> </w:t>
      </w:r>
      <w:r w:rsidR="00993CAF">
        <w:t>2008.</w:t>
      </w:r>
      <w:r w:rsidRPr="00BB3C05">
        <w:t xml:space="preserve"> </w:t>
      </w:r>
      <w:r w:rsidR="00993CAF">
        <w:t>‘</w:t>
      </w:r>
      <w:r w:rsidRPr="00BB3C05">
        <w:t>Adoption of self-expanding metallic stents in the palliative treatment of obstructive colorectal cancer--look out for perforations!</w:t>
      </w:r>
      <w:proofErr w:type="gramStart"/>
      <w:r w:rsidR="00993CAF">
        <w:t>’</w:t>
      </w:r>
      <w:r w:rsidRPr="00BB3C05">
        <w:t>,</w:t>
      </w:r>
      <w:proofErr w:type="gramEnd"/>
      <w:r w:rsidRPr="00BB3C05">
        <w:t xml:space="preserve"> </w:t>
      </w:r>
      <w:r w:rsidRPr="00BB3C05">
        <w:rPr>
          <w:i/>
          <w:iCs/>
        </w:rPr>
        <w:t xml:space="preserve">Surgical Laparoscopy, Endoscopy </w:t>
      </w:r>
      <w:r w:rsidR="0047565D">
        <w:rPr>
          <w:i/>
          <w:iCs/>
        </w:rPr>
        <w:t>&amp;</w:t>
      </w:r>
      <w:r w:rsidR="0047565D" w:rsidRPr="00BB3C05">
        <w:rPr>
          <w:i/>
          <w:iCs/>
        </w:rPr>
        <w:t xml:space="preserve"> </w:t>
      </w:r>
      <w:r w:rsidRPr="00BB3C05">
        <w:rPr>
          <w:i/>
          <w:iCs/>
        </w:rPr>
        <w:t>Percutaneous Techniques</w:t>
      </w:r>
      <w:r w:rsidRPr="00BB3C05">
        <w:t>, 18</w:t>
      </w:r>
      <w:r w:rsidR="005267B7">
        <w:t xml:space="preserve"> (</w:t>
      </w:r>
      <w:r w:rsidRPr="00BB3C05">
        <w:t>4</w:t>
      </w:r>
      <w:r w:rsidR="005267B7">
        <w:t>)</w:t>
      </w:r>
      <w:r w:rsidR="003A4FF2">
        <w:t>,</w:t>
      </w:r>
      <w:r w:rsidRPr="00BB3C05">
        <w:t xml:space="preserve"> 353-356.</w:t>
      </w:r>
    </w:p>
    <w:p w:rsidR="009C594D" w:rsidRPr="00BB3C05" w:rsidRDefault="009C594D" w:rsidP="009C594D">
      <w:proofErr w:type="gramStart"/>
      <w:r w:rsidRPr="00BB3C05">
        <w:t>Vrazas, J. I., Ferris, S.</w:t>
      </w:r>
      <w:r w:rsidR="0090273D" w:rsidRPr="00BB3C05">
        <w:t xml:space="preserve"> </w:t>
      </w:r>
      <w:r w:rsidR="0090273D">
        <w:t>et al</w:t>
      </w:r>
      <w:r w:rsidRPr="00BB3C05">
        <w:t xml:space="preserve"> </w:t>
      </w:r>
      <w:r w:rsidR="00993CAF">
        <w:t>2002.</w:t>
      </w:r>
      <w:proofErr w:type="gramEnd"/>
      <w:r w:rsidRPr="00BB3C05">
        <w:t xml:space="preserve"> </w:t>
      </w:r>
      <w:proofErr w:type="gramStart"/>
      <w:r w:rsidR="00993CAF">
        <w:t>‘</w:t>
      </w:r>
      <w:r w:rsidRPr="00BB3C05">
        <w:t>Stenting for obstructing colorectal malignancy: an interim or definitive procedure</w:t>
      </w:r>
      <w:r w:rsidR="00993CAF">
        <w:t>’</w:t>
      </w:r>
      <w:r w:rsidRPr="00BB3C05">
        <w:t xml:space="preserve">, </w:t>
      </w:r>
      <w:r w:rsidRPr="00BB3C05">
        <w:rPr>
          <w:i/>
          <w:iCs/>
        </w:rPr>
        <w:t>ANZ J</w:t>
      </w:r>
      <w:r w:rsidR="009D7559">
        <w:rPr>
          <w:i/>
          <w:iCs/>
        </w:rPr>
        <w:t>ournal of</w:t>
      </w:r>
      <w:r w:rsidRPr="00BB3C05">
        <w:rPr>
          <w:i/>
          <w:iCs/>
        </w:rPr>
        <w:t xml:space="preserve"> Surg</w:t>
      </w:r>
      <w:r w:rsidR="009D7559">
        <w:rPr>
          <w:i/>
          <w:iCs/>
        </w:rPr>
        <w:t>ery</w:t>
      </w:r>
      <w:r w:rsidRPr="00BB3C05">
        <w:t>, 72</w:t>
      </w:r>
      <w:r w:rsidR="005267B7">
        <w:t xml:space="preserve"> (</w:t>
      </w:r>
      <w:r w:rsidRPr="00BB3C05">
        <w:t>6</w:t>
      </w:r>
      <w:r w:rsidR="005267B7">
        <w:t>)</w:t>
      </w:r>
      <w:r w:rsidR="003A4FF2">
        <w:t>,</w:t>
      </w:r>
      <w:r w:rsidRPr="00BB3C05">
        <w:t xml:space="preserve"> 392-396.</w:t>
      </w:r>
      <w:proofErr w:type="gramEnd"/>
    </w:p>
    <w:p w:rsidR="009C594D" w:rsidRPr="00BB3C05" w:rsidRDefault="009C594D" w:rsidP="009C594D">
      <w:proofErr w:type="gramStart"/>
      <w:r w:rsidRPr="00BB3C05">
        <w:t>Wallis, F., Campbell, K. L.</w:t>
      </w:r>
      <w:r w:rsidR="0090273D" w:rsidRPr="00BB3C05">
        <w:t xml:space="preserve"> </w:t>
      </w:r>
      <w:r w:rsidR="0090273D">
        <w:t>et al</w:t>
      </w:r>
      <w:r w:rsidRPr="00BB3C05">
        <w:t xml:space="preserve"> 1998, </w:t>
      </w:r>
      <w:r w:rsidR="00993CAF">
        <w:t>‘</w:t>
      </w:r>
      <w:r w:rsidRPr="00BB3C05">
        <w:t>Self-expanding metal stents in the management of colorectal carcinoma--a preliminary report</w:t>
      </w:r>
      <w:r w:rsidR="00993CAF">
        <w:t>’</w:t>
      </w:r>
      <w:r w:rsidRPr="00BB3C05">
        <w:t xml:space="preserve">, </w:t>
      </w:r>
      <w:r w:rsidRPr="00BB3C05">
        <w:rPr>
          <w:i/>
          <w:iCs/>
        </w:rPr>
        <w:t>Clin</w:t>
      </w:r>
      <w:r w:rsidR="009D7559">
        <w:rPr>
          <w:i/>
          <w:iCs/>
        </w:rPr>
        <w:t>ical</w:t>
      </w:r>
      <w:r w:rsidRPr="00BB3C05">
        <w:rPr>
          <w:i/>
          <w:iCs/>
        </w:rPr>
        <w:t xml:space="preserve"> Radiol</w:t>
      </w:r>
      <w:r w:rsidR="009D7559">
        <w:rPr>
          <w:i/>
          <w:iCs/>
        </w:rPr>
        <w:t>ogy</w:t>
      </w:r>
      <w:r w:rsidRPr="00BB3C05">
        <w:t>, 53</w:t>
      </w:r>
      <w:r w:rsidR="005267B7">
        <w:t xml:space="preserve"> (</w:t>
      </w:r>
      <w:r w:rsidRPr="00BB3C05">
        <w:t>4</w:t>
      </w:r>
      <w:r w:rsidR="005267B7">
        <w:t>)</w:t>
      </w:r>
      <w:r w:rsidR="003A4FF2">
        <w:t>,</w:t>
      </w:r>
      <w:r w:rsidRPr="00BB3C05">
        <w:t xml:space="preserve"> 251-254.</w:t>
      </w:r>
      <w:proofErr w:type="gramEnd"/>
    </w:p>
    <w:p w:rsidR="009C594D" w:rsidRPr="00BB3C05" w:rsidRDefault="009C594D" w:rsidP="009C594D">
      <w:proofErr w:type="gramStart"/>
      <w:r w:rsidRPr="00BB3C05">
        <w:t>Wang, Z.-M., Gong, J.</w:t>
      </w:r>
      <w:r w:rsidR="0090273D" w:rsidRPr="00BB3C05">
        <w:t xml:space="preserve"> </w:t>
      </w:r>
      <w:r w:rsidR="0090273D">
        <w:t>et al</w:t>
      </w:r>
      <w:r w:rsidRPr="00BB3C05">
        <w:t xml:space="preserve"> </w:t>
      </w:r>
      <w:r w:rsidR="00993CAF">
        <w:t>2006.</w:t>
      </w:r>
      <w:proofErr w:type="gramEnd"/>
      <w:r w:rsidRPr="00BB3C05">
        <w:t xml:space="preserve"> </w:t>
      </w:r>
      <w:proofErr w:type="gramStart"/>
      <w:r w:rsidR="00993CAF">
        <w:t>‘</w:t>
      </w:r>
      <w:r w:rsidRPr="00BB3C05">
        <w:t>Treatment of left colon malignant obstruction with self-expandable stents</w:t>
      </w:r>
      <w:r w:rsidR="00993CAF">
        <w:t>’</w:t>
      </w:r>
      <w:r w:rsidRPr="00BB3C05">
        <w:t xml:space="preserve">, </w:t>
      </w:r>
      <w:r w:rsidRPr="00BB3C05">
        <w:rPr>
          <w:i/>
          <w:iCs/>
        </w:rPr>
        <w:t>Chinese Journal of Interventional Imaging and Therapy</w:t>
      </w:r>
      <w:r w:rsidR="00BC467E">
        <w:t xml:space="preserve">, </w:t>
      </w:r>
      <w:r w:rsidRPr="00BB3C05">
        <w:t>4, 10.</w:t>
      </w:r>
      <w:proofErr w:type="gramEnd"/>
    </w:p>
    <w:p w:rsidR="009C594D" w:rsidRPr="00BB3C05" w:rsidRDefault="009C594D" w:rsidP="009C594D">
      <w:proofErr w:type="gramStart"/>
      <w:r w:rsidRPr="00BB3C05">
        <w:t xml:space="preserve">West, M. </w:t>
      </w:r>
      <w:r w:rsidR="0090273D">
        <w:t>and</w:t>
      </w:r>
      <w:r w:rsidRPr="00BB3C05">
        <w:t xml:space="preserve"> Kiff, R. </w:t>
      </w:r>
      <w:r w:rsidR="00993CAF">
        <w:t>2011.</w:t>
      </w:r>
      <w:proofErr w:type="gramEnd"/>
      <w:r w:rsidRPr="00BB3C05">
        <w:t xml:space="preserve"> </w:t>
      </w:r>
      <w:proofErr w:type="gramStart"/>
      <w:r w:rsidR="00993CAF">
        <w:t>‘</w:t>
      </w:r>
      <w:r w:rsidRPr="00BB3C05">
        <w:t>Stenting of the colon in patients with malignant large bowel obstruction: a local experience</w:t>
      </w:r>
      <w:r w:rsidR="00993CAF">
        <w:t>’</w:t>
      </w:r>
      <w:r w:rsidRPr="00BB3C05">
        <w:t xml:space="preserve">, </w:t>
      </w:r>
      <w:r w:rsidRPr="00BB3C05">
        <w:rPr>
          <w:i/>
          <w:iCs/>
        </w:rPr>
        <w:t>J</w:t>
      </w:r>
      <w:r w:rsidR="00DA2660">
        <w:rPr>
          <w:i/>
          <w:iCs/>
        </w:rPr>
        <w:t xml:space="preserve">ournal of </w:t>
      </w:r>
      <w:r w:rsidRPr="00BB3C05">
        <w:rPr>
          <w:i/>
          <w:iCs/>
        </w:rPr>
        <w:t>Gastrointest</w:t>
      </w:r>
      <w:r w:rsidR="00DA2660">
        <w:rPr>
          <w:i/>
          <w:iCs/>
        </w:rPr>
        <w:t>inal</w:t>
      </w:r>
      <w:r w:rsidRPr="00BB3C05">
        <w:rPr>
          <w:i/>
          <w:iCs/>
        </w:rPr>
        <w:t xml:space="preserve"> Cancer</w:t>
      </w:r>
      <w:r w:rsidRPr="00BB3C05">
        <w:t>, 42</w:t>
      </w:r>
      <w:r w:rsidR="005267B7">
        <w:t xml:space="preserve"> (</w:t>
      </w:r>
      <w:r w:rsidRPr="00BB3C05">
        <w:t>3</w:t>
      </w:r>
      <w:r w:rsidR="005267B7">
        <w:t>)</w:t>
      </w:r>
      <w:r w:rsidR="003A4FF2">
        <w:t>,</w:t>
      </w:r>
      <w:r w:rsidRPr="00BB3C05">
        <w:t xml:space="preserve"> 155-159.</w:t>
      </w:r>
      <w:proofErr w:type="gramEnd"/>
    </w:p>
    <w:p w:rsidR="009C594D" w:rsidRPr="00BB3C05" w:rsidRDefault="009C594D" w:rsidP="009C594D">
      <w:proofErr w:type="gramStart"/>
      <w:r w:rsidRPr="00BB3C05">
        <w:t>Wholey, M. H., Levine, E. A.</w:t>
      </w:r>
      <w:r w:rsidR="0090273D" w:rsidRPr="00BB3C05">
        <w:t xml:space="preserve"> </w:t>
      </w:r>
      <w:r w:rsidR="0090273D">
        <w:t>et al</w:t>
      </w:r>
      <w:r w:rsidRPr="00BB3C05">
        <w:t xml:space="preserve"> 1998, </w:t>
      </w:r>
      <w:r w:rsidR="00993CAF">
        <w:t>‘</w:t>
      </w:r>
      <w:r w:rsidRPr="00BB3C05">
        <w:t>Initial clinical experience with colonic stent placement</w:t>
      </w:r>
      <w:r w:rsidR="00993CAF">
        <w:t>’</w:t>
      </w:r>
      <w:r w:rsidRPr="00BB3C05">
        <w:t xml:space="preserve">, </w:t>
      </w:r>
      <w:r w:rsidRPr="00BB3C05">
        <w:rPr>
          <w:i/>
          <w:iCs/>
        </w:rPr>
        <w:t>Am</w:t>
      </w:r>
      <w:r w:rsidR="002705AE">
        <w:rPr>
          <w:i/>
          <w:iCs/>
        </w:rPr>
        <w:t>erican</w:t>
      </w:r>
      <w:r w:rsidRPr="00BB3C05">
        <w:rPr>
          <w:i/>
          <w:iCs/>
        </w:rPr>
        <w:t xml:space="preserve"> J</w:t>
      </w:r>
      <w:r w:rsidR="002705AE">
        <w:rPr>
          <w:i/>
          <w:iCs/>
        </w:rPr>
        <w:t>ournal of</w:t>
      </w:r>
      <w:r w:rsidRPr="00BB3C05">
        <w:rPr>
          <w:i/>
          <w:iCs/>
        </w:rPr>
        <w:t xml:space="preserve"> Surg</w:t>
      </w:r>
      <w:r w:rsidR="002705AE">
        <w:rPr>
          <w:i/>
          <w:iCs/>
        </w:rPr>
        <w:t>ery</w:t>
      </w:r>
      <w:r w:rsidRPr="00BB3C05">
        <w:t>, 175</w:t>
      </w:r>
      <w:r w:rsidR="005267B7">
        <w:t xml:space="preserve"> (</w:t>
      </w:r>
      <w:r w:rsidRPr="00BB3C05">
        <w:t>3</w:t>
      </w:r>
      <w:r w:rsidR="005267B7">
        <w:t>)</w:t>
      </w:r>
      <w:r w:rsidR="003A4FF2">
        <w:t>,</w:t>
      </w:r>
      <w:r w:rsidRPr="00BB3C05">
        <w:t xml:space="preserve"> 194-197.</w:t>
      </w:r>
      <w:proofErr w:type="gramEnd"/>
    </w:p>
    <w:p w:rsidR="009C594D" w:rsidRPr="00BB3C05" w:rsidRDefault="009C594D" w:rsidP="009C594D">
      <w:proofErr w:type="gramStart"/>
      <w:r w:rsidRPr="00BB3C05">
        <w:t>Wong, K. S., Cheong, D. M.</w:t>
      </w:r>
      <w:r w:rsidR="0090273D">
        <w:t xml:space="preserve"> and</w:t>
      </w:r>
      <w:r w:rsidRPr="00BB3C05">
        <w:t xml:space="preserve"> Wong, D. </w:t>
      </w:r>
      <w:r w:rsidR="00993CAF">
        <w:t>2002.</w:t>
      </w:r>
      <w:proofErr w:type="gramEnd"/>
      <w:r w:rsidRPr="00BB3C05">
        <w:t xml:space="preserve"> </w:t>
      </w:r>
      <w:proofErr w:type="gramStart"/>
      <w:r w:rsidR="00993CAF">
        <w:t>‘</w:t>
      </w:r>
      <w:r w:rsidRPr="00BB3C05">
        <w:t>Treatment of acute malignant colorectal obstruction with self-expandable metallic stents</w:t>
      </w:r>
      <w:r w:rsidR="00993CAF">
        <w:t>’</w:t>
      </w:r>
      <w:r w:rsidRPr="00BB3C05">
        <w:t xml:space="preserve">, </w:t>
      </w:r>
      <w:r w:rsidRPr="00BB3C05">
        <w:rPr>
          <w:i/>
          <w:iCs/>
        </w:rPr>
        <w:t>ANZ J</w:t>
      </w:r>
      <w:r w:rsidR="002705AE">
        <w:rPr>
          <w:i/>
          <w:iCs/>
        </w:rPr>
        <w:t>ournal of</w:t>
      </w:r>
      <w:r w:rsidRPr="00BB3C05">
        <w:rPr>
          <w:i/>
          <w:iCs/>
        </w:rPr>
        <w:t xml:space="preserve"> Surg</w:t>
      </w:r>
      <w:r w:rsidR="002705AE">
        <w:rPr>
          <w:i/>
          <w:iCs/>
        </w:rPr>
        <w:t>ery</w:t>
      </w:r>
      <w:r w:rsidRPr="00BB3C05">
        <w:t>, 72</w:t>
      </w:r>
      <w:r w:rsidR="005267B7">
        <w:t xml:space="preserve"> (</w:t>
      </w:r>
      <w:r w:rsidRPr="00BB3C05">
        <w:t>6</w:t>
      </w:r>
      <w:r w:rsidR="005267B7">
        <w:t>)</w:t>
      </w:r>
      <w:r w:rsidR="003A4FF2">
        <w:t>,</w:t>
      </w:r>
      <w:r w:rsidRPr="00BB3C05">
        <w:t xml:space="preserve"> 385-388.</w:t>
      </w:r>
      <w:proofErr w:type="gramEnd"/>
    </w:p>
    <w:p w:rsidR="009C594D" w:rsidRPr="00BB3C05" w:rsidRDefault="009C594D" w:rsidP="009C594D">
      <w:proofErr w:type="gramStart"/>
      <w:r w:rsidRPr="00BB3C05">
        <w:t>Xinopoulos, D., Dimitroulopoulos, D.</w:t>
      </w:r>
      <w:r w:rsidR="0090273D" w:rsidRPr="00BB3C05">
        <w:t xml:space="preserve"> </w:t>
      </w:r>
      <w:r w:rsidR="0090273D">
        <w:t>et al</w:t>
      </w:r>
      <w:r w:rsidRPr="00BB3C05">
        <w:t xml:space="preserve"> </w:t>
      </w:r>
      <w:r w:rsidR="00993CAF">
        <w:t>2002.</w:t>
      </w:r>
      <w:proofErr w:type="gramEnd"/>
      <w:r w:rsidRPr="00BB3C05">
        <w:t xml:space="preserve"> </w:t>
      </w:r>
      <w:proofErr w:type="gramStart"/>
      <w:r w:rsidR="00993CAF">
        <w:t>‘</w:t>
      </w:r>
      <w:r w:rsidRPr="00BB3C05">
        <w:t>Treatment of malignant colonic obstructions with metal stents and laser</w:t>
      </w:r>
      <w:r w:rsidR="00993CAF">
        <w:t>’</w:t>
      </w:r>
      <w:r w:rsidRPr="00BB3C05">
        <w:t xml:space="preserve">, </w:t>
      </w:r>
      <w:r w:rsidRPr="00BB3C05">
        <w:rPr>
          <w:i/>
          <w:iCs/>
        </w:rPr>
        <w:t>Hepatogastroenterology</w:t>
      </w:r>
      <w:r w:rsidRPr="00BB3C05">
        <w:t>, 49</w:t>
      </w:r>
      <w:r w:rsidR="005267B7">
        <w:t xml:space="preserve"> (</w:t>
      </w:r>
      <w:r w:rsidRPr="00BB3C05">
        <w:t>44</w:t>
      </w:r>
      <w:r w:rsidR="005267B7">
        <w:t>)</w:t>
      </w:r>
      <w:r w:rsidR="003A4FF2">
        <w:t>,</w:t>
      </w:r>
      <w:r w:rsidRPr="00BB3C05">
        <w:t xml:space="preserve"> 359-362.</w:t>
      </w:r>
      <w:proofErr w:type="gramEnd"/>
    </w:p>
    <w:p w:rsidR="009C594D" w:rsidRPr="00BB3C05" w:rsidRDefault="009C594D" w:rsidP="009C594D">
      <w:proofErr w:type="gramStart"/>
      <w:r w:rsidRPr="00BB3C05">
        <w:lastRenderedPageBreak/>
        <w:t>Yang, Z. Q., Song, H. Y.</w:t>
      </w:r>
      <w:r w:rsidR="0090273D" w:rsidRPr="00BB3C05">
        <w:t xml:space="preserve"> </w:t>
      </w:r>
      <w:r w:rsidR="0090273D">
        <w:t>et al</w:t>
      </w:r>
      <w:r w:rsidRPr="00BB3C05">
        <w:t xml:space="preserve"> </w:t>
      </w:r>
      <w:r w:rsidR="00993CAF">
        <w:t>2007.</w:t>
      </w:r>
      <w:proofErr w:type="gramEnd"/>
      <w:r w:rsidRPr="00BB3C05">
        <w:t xml:space="preserve"> </w:t>
      </w:r>
      <w:r w:rsidR="00993CAF">
        <w:t>‘</w:t>
      </w:r>
      <w:r w:rsidRPr="00BB3C05">
        <w:t>Covered stent placement in patients with recurrent cancer after a Billroth I reconstruction</w:t>
      </w:r>
      <w:r w:rsidR="00993CAF">
        <w:t>’</w:t>
      </w:r>
      <w:r w:rsidRPr="00BB3C05">
        <w:t xml:space="preserve">, </w:t>
      </w:r>
      <w:r w:rsidRPr="00BB3C05">
        <w:rPr>
          <w:i/>
          <w:iCs/>
        </w:rPr>
        <w:t>J</w:t>
      </w:r>
      <w:r w:rsidR="002705AE">
        <w:rPr>
          <w:i/>
          <w:iCs/>
        </w:rPr>
        <w:t>ournal of</w:t>
      </w:r>
      <w:r w:rsidRPr="00BB3C05">
        <w:rPr>
          <w:i/>
          <w:iCs/>
        </w:rPr>
        <w:t xml:space="preserve"> Vasc</w:t>
      </w:r>
      <w:r w:rsidR="002705AE">
        <w:rPr>
          <w:i/>
          <w:iCs/>
        </w:rPr>
        <w:t>ular and</w:t>
      </w:r>
      <w:r w:rsidRPr="00BB3C05">
        <w:rPr>
          <w:i/>
          <w:iCs/>
        </w:rPr>
        <w:t xml:space="preserve"> Interv</w:t>
      </w:r>
      <w:r w:rsidR="002705AE">
        <w:rPr>
          <w:i/>
          <w:iCs/>
        </w:rPr>
        <w:t>entional</w:t>
      </w:r>
      <w:r w:rsidRPr="00BB3C05">
        <w:rPr>
          <w:i/>
          <w:iCs/>
        </w:rPr>
        <w:t xml:space="preserve"> Radiol</w:t>
      </w:r>
      <w:r w:rsidR="002705AE">
        <w:rPr>
          <w:i/>
          <w:iCs/>
        </w:rPr>
        <w:t>ogy</w:t>
      </w:r>
      <w:r w:rsidRPr="00BB3C05">
        <w:t>, 18</w:t>
      </w:r>
      <w:r w:rsidR="005267B7">
        <w:t xml:space="preserve"> (</w:t>
      </w:r>
      <w:r w:rsidRPr="00BB3C05">
        <w:t>12</w:t>
      </w:r>
      <w:r w:rsidR="005267B7">
        <w:t>)</w:t>
      </w:r>
      <w:r w:rsidR="003A4FF2">
        <w:t>,</w:t>
      </w:r>
      <w:r w:rsidRPr="00BB3C05">
        <w:t xml:space="preserve"> 1533-1537.</w:t>
      </w:r>
    </w:p>
    <w:p w:rsidR="009C594D" w:rsidRPr="00BB3C05" w:rsidRDefault="009C594D" w:rsidP="00530E94">
      <w:pPr>
        <w:pStyle w:val="Heading3"/>
      </w:pPr>
      <w:r w:rsidRPr="00BB3C05">
        <w:t>Inappropriate or no clinical data</w:t>
      </w:r>
    </w:p>
    <w:p w:rsidR="009C594D" w:rsidRPr="00BB3C05" w:rsidRDefault="009C594D" w:rsidP="00BF39A2">
      <w:r w:rsidRPr="00BB3C05">
        <w:t>Yao, L. Q., Zhong, Y. S.</w:t>
      </w:r>
      <w:r w:rsidR="0090273D" w:rsidRPr="00BB3C05">
        <w:t xml:space="preserve"> </w:t>
      </w:r>
      <w:r w:rsidR="0090273D">
        <w:t>et al</w:t>
      </w:r>
      <w:r w:rsidRPr="00BB3C05">
        <w:t xml:space="preserve"> </w:t>
      </w:r>
      <w:r w:rsidR="00993CAF">
        <w:t>2011.</w:t>
      </w:r>
      <w:r w:rsidRPr="00BB3C05">
        <w:t xml:space="preserve"> </w:t>
      </w:r>
      <w:proofErr w:type="gramStart"/>
      <w:r w:rsidR="00993CAF">
        <w:t>‘</w:t>
      </w:r>
      <w:r w:rsidRPr="00BB3C05">
        <w:t>Self-expanding metallic stents drainage for acute proximal colon obstruction</w:t>
      </w:r>
      <w:r w:rsidR="00993CAF">
        <w:t>’</w:t>
      </w:r>
      <w:r w:rsidRPr="00BB3C05">
        <w:t xml:space="preserve">, </w:t>
      </w:r>
      <w:r w:rsidRPr="00BB3C05">
        <w:rPr>
          <w:i/>
          <w:iCs/>
        </w:rPr>
        <w:t>World J</w:t>
      </w:r>
      <w:r w:rsidR="002705AE">
        <w:rPr>
          <w:i/>
          <w:iCs/>
        </w:rPr>
        <w:t>ournal of</w:t>
      </w:r>
      <w:r w:rsidRPr="00BB3C05">
        <w:rPr>
          <w:i/>
          <w:iCs/>
        </w:rPr>
        <w:t xml:space="preserve"> Gastroenterol</w:t>
      </w:r>
      <w:r w:rsidR="002705AE">
        <w:rPr>
          <w:i/>
          <w:iCs/>
        </w:rPr>
        <w:t>ogy</w:t>
      </w:r>
      <w:r w:rsidRPr="00BB3C05">
        <w:t>, 17</w:t>
      </w:r>
      <w:r w:rsidR="005267B7">
        <w:t xml:space="preserve"> (</w:t>
      </w:r>
      <w:r w:rsidRPr="00BB3C05">
        <w:t>28</w:t>
      </w:r>
      <w:r w:rsidR="005267B7">
        <w:t>)</w:t>
      </w:r>
      <w:r w:rsidR="003A4FF2">
        <w:t>,</w:t>
      </w:r>
      <w:r w:rsidRPr="00BB3C05">
        <w:t xml:space="preserve"> 3342-3346.</w:t>
      </w:r>
      <w:proofErr w:type="gramEnd"/>
    </w:p>
    <w:p w:rsidR="009C594D" w:rsidRPr="00BB3C05" w:rsidRDefault="009C594D" w:rsidP="00530E94">
      <w:pPr>
        <w:pStyle w:val="Heading3"/>
      </w:pPr>
      <w:r w:rsidRPr="00BB3C05">
        <w:t>Inappropriate study design</w:t>
      </w:r>
    </w:p>
    <w:p w:rsidR="009C594D" w:rsidRPr="00BB3C05" w:rsidRDefault="009C594D" w:rsidP="009C594D">
      <w:proofErr w:type="gramStart"/>
      <w:r w:rsidRPr="00BB3C05">
        <w:t>Wholey, M. H., Ferral, H.</w:t>
      </w:r>
      <w:r w:rsidR="0090273D" w:rsidRPr="00BB3C05">
        <w:t xml:space="preserve"> </w:t>
      </w:r>
      <w:r w:rsidR="0090273D">
        <w:t>et al</w:t>
      </w:r>
      <w:r w:rsidRPr="00BB3C05">
        <w:t xml:space="preserve"> 1997, </w:t>
      </w:r>
      <w:r w:rsidR="00993CAF">
        <w:t>‘</w:t>
      </w:r>
      <w:r w:rsidRPr="00BB3C05">
        <w:t>Retrieval of migrated colonic stents from the rectum</w:t>
      </w:r>
      <w:r w:rsidR="00993CAF">
        <w:t>’</w:t>
      </w:r>
      <w:r w:rsidRPr="00BB3C05">
        <w:t xml:space="preserve">, </w:t>
      </w:r>
      <w:r w:rsidRPr="00BB3C05">
        <w:rPr>
          <w:i/>
          <w:iCs/>
        </w:rPr>
        <w:t>Cardiovasc</w:t>
      </w:r>
      <w:r w:rsidR="002705AE">
        <w:rPr>
          <w:i/>
          <w:iCs/>
        </w:rPr>
        <w:t>ular and</w:t>
      </w:r>
      <w:r w:rsidRPr="00BB3C05">
        <w:rPr>
          <w:i/>
          <w:iCs/>
        </w:rPr>
        <w:t xml:space="preserve"> Intervent</w:t>
      </w:r>
      <w:r w:rsidR="002705AE">
        <w:rPr>
          <w:i/>
          <w:iCs/>
        </w:rPr>
        <w:t>ional</w:t>
      </w:r>
      <w:r w:rsidRPr="00BB3C05">
        <w:rPr>
          <w:i/>
          <w:iCs/>
        </w:rPr>
        <w:t xml:space="preserve"> Radiol</w:t>
      </w:r>
      <w:r w:rsidR="002705AE">
        <w:rPr>
          <w:i/>
          <w:iCs/>
        </w:rPr>
        <w:t>ogy</w:t>
      </w:r>
      <w:r w:rsidRPr="00BB3C05">
        <w:t>, 20</w:t>
      </w:r>
      <w:r w:rsidR="005267B7">
        <w:t xml:space="preserve"> (</w:t>
      </w:r>
      <w:r w:rsidRPr="00BB3C05">
        <w:t>6</w:t>
      </w:r>
      <w:r w:rsidR="005267B7">
        <w:t>)</w:t>
      </w:r>
      <w:r w:rsidR="003A4FF2">
        <w:t>,</w:t>
      </w:r>
      <w:r w:rsidRPr="00BB3C05">
        <w:t xml:space="preserve"> 477-480</w:t>
      </w:r>
      <w:r w:rsidR="00BC467E">
        <w:t>.</w:t>
      </w:r>
      <w:proofErr w:type="gramEnd"/>
    </w:p>
    <w:p w:rsidR="009C594D" w:rsidRPr="00BB3C05" w:rsidRDefault="009C594D" w:rsidP="00530E94">
      <w:pPr>
        <w:pStyle w:val="Heading3"/>
      </w:pPr>
      <w:r w:rsidRPr="00BB3C05">
        <w:t>Non-consecutive patient enrolment</w:t>
      </w:r>
    </w:p>
    <w:p w:rsidR="009C594D" w:rsidRPr="00BB3C05" w:rsidRDefault="009C594D" w:rsidP="009C594D">
      <w:r w:rsidRPr="00BB3C05">
        <w:t>DeFriend, D. J., Klimack, O. E.</w:t>
      </w:r>
      <w:r w:rsidR="0090273D" w:rsidRPr="00BB3C05">
        <w:t xml:space="preserve"> </w:t>
      </w:r>
      <w:r w:rsidR="0090273D">
        <w:t>et al</w:t>
      </w:r>
      <w:r w:rsidRPr="00BB3C05">
        <w:t xml:space="preserve"> 1997, </w:t>
      </w:r>
      <w:r w:rsidR="00993CAF">
        <w:t>‘</w:t>
      </w:r>
      <w:r w:rsidRPr="00BB3C05">
        <w:t>Intraluminal stenting in the management of adhesional intestinal obstruction</w:t>
      </w:r>
      <w:r w:rsidR="00993CAF">
        <w:t>’</w:t>
      </w:r>
      <w:r w:rsidRPr="00BB3C05">
        <w:t xml:space="preserve">, </w:t>
      </w:r>
      <w:r w:rsidRPr="00BB3C05">
        <w:rPr>
          <w:i/>
          <w:iCs/>
        </w:rPr>
        <w:t>J</w:t>
      </w:r>
      <w:r w:rsidR="002705AE">
        <w:rPr>
          <w:i/>
          <w:iCs/>
        </w:rPr>
        <w:t>ournal of the</w:t>
      </w:r>
      <w:r w:rsidRPr="00BB3C05">
        <w:rPr>
          <w:i/>
          <w:iCs/>
        </w:rPr>
        <w:t xml:space="preserve"> R</w:t>
      </w:r>
      <w:r w:rsidR="002705AE">
        <w:rPr>
          <w:i/>
          <w:iCs/>
        </w:rPr>
        <w:t>oyal</w:t>
      </w:r>
      <w:r w:rsidRPr="00BB3C05">
        <w:rPr>
          <w:i/>
          <w:iCs/>
        </w:rPr>
        <w:t xml:space="preserve"> Soc</w:t>
      </w:r>
      <w:r w:rsidR="002705AE">
        <w:rPr>
          <w:i/>
          <w:iCs/>
        </w:rPr>
        <w:t>iety of</w:t>
      </w:r>
      <w:r w:rsidRPr="00BB3C05">
        <w:rPr>
          <w:i/>
          <w:iCs/>
        </w:rPr>
        <w:t xml:space="preserve"> Med</w:t>
      </w:r>
      <w:r w:rsidR="002705AE">
        <w:rPr>
          <w:i/>
          <w:iCs/>
        </w:rPr>
        <w:t>icine</w:t>
      </w:r>
      <w:r w:rsidRPr="00BB3C05">
        <w:t>, 90</w:t>
      </w:r>
      <w:r w:rsidR="005267B7">
        <w:t xml:space="preserve"> (</w:t>
      </w:r>
      <w:r w:rsidRPr="00BB3C05">
        <w:t>3</w:t>
      </w:r>
      <w:r w:rsidR="005267B7">
        <w:t>)</w:t>
      </w:r>
      <w:r w:rsidR="003A4FF2">
        <w:t>,</w:t>
      </w:r>
      <w:r w:rsidRPr="00BB3C05">
        <w:t xml:space="preserve"> 132-135.</w:t>
      </w:r>
    </w:p>
    <w:p w:rsidR="009C594D" w:rsidRPr="00BB3C05" w:rsidRDefault="009C594D" w:rsidP="009C594D">
      <w:r w:rsidRPr="00BB3C05">
        <w:t>Horak, L., Stukavec, V.</w:t>
      </w:r>
      <w:r w:rsidR="0090273D" w:rsidRPr="00BB3C05">
        <w:t xml:space="preserve"> </w:t>
      </w:r>
      <w:r w:rsidR="0090273D">
        <w:t>et al</w:t>
      </w:r>
      <w:r w:rsidRPr="00BB3C05">
        <w:t xml:space="preserve"> </w:t>
      </w:r>
      <w:r w:rsidR="00993CAF">
        <w:t>2008.</w:t>
      </w:r>
      <w:r w:rsidRPr="00BB3C05">
        <w:t xml:space="preserve"> </w:t>
      </w:r>
      <w:proofErr w:type="gramStart"/>
      <w:r w:rsidR="00993CAF">
        <w:t>‘</w:t>
      </w:r>
      <w:r w:rsidRPr="00BB3C05">
        <w:t>Transrectal stent in endoscopic palliative therapy of malignant stenosis of the rectum</w:t>
      </w:r>
      <w:r w:rsidR="00993CAF">
        <w:t>’</w:t>
      </w:r>
      <w:r w:rsidRPr="00BB3C05">
        <w:t xml:space="preserve">, </w:t>
      </w:r>
      <w:r w:rsidRPr="00BB3C05">
        <w:rPr>
          <w:i/>
          <w:iCs/>
        </w:rPr>
        <w:t>Hepatogastroenterology</w:t>
      </w:r>
      <w:r w:rsidRPr="00BB3C05">
        <w:t>, 55</w:t>
      </w:r>
      <w:r w:rsidR="005267B7">
        <w:t xml:space="preserve"> (</w:t>
      </w:r>
      <w:r w:rsidRPr="00BB3C05">
        <w:t>85</w:t>
      </w:r>
      <w:r w:rsidR="005267B7">
        <w:t>)</w:t>
      </w:r>
      <w:r w:rsidR="003A4FF2">
        <w:t>,</w:t>
      </w:r>
      <w:r w:rsidRPr="00BB3C05">
        <w:t xml:space="preserve"> 1257-1259.</w:t>
      </w:r>
      <w:proofErr w:type="gramEnd"/>
    </w:p>
    <w:p w:rsidR="009C594D" w:rsidRPr="00BB3C05" w:rsidRDefault="009C594D" w:rsidP="009C594D">
      <w:proofErr w:type="gramStart"/>
      <w:r w:rsidRPr="00BB3C05">
        <w:t>Hunerbein, M., Krause, M.</w:t>
      </w:r>
      <w:r w:rsidR="0090273D" w:rsidRPr="00BB3C05">
        <w:t xml:space="preserve"> </w:t>
      </w:r>
      <w:r w:rsidR="0090273D">
        <w:t>et al</w:t>
      </w:r>
      <w:r w:rsidRPr="00BB3C05">
        <w:t xml:space="preserve"> </w:t>
      </w:r>
      <w:r w:rsidR="00993CAF">
        <w:t>2005.</w:t>
      </w:r>
      <w:proofErr w:type="gramEnd"/>
      <w:r w:rsidRPr="00BB3C05">
        <w:t xml:space="preserve"> </w:t>
      </w:r>
      <w:proofErr w:type="gramStart"/>
      <w:r w:rsidR="00993CAF">
        <w:t>‘</w:t>
      </w:r>
      <w:r w:rsidRPr="00BB3C05">
        <w:t>Palliation of malignant rectal obstruction with self-expanding metal stents</w:t>
      </w:r>
      <w:r w:rsidR="00993CAF">
        <w:t>’</w:t>
      </w:r>
      <w:r w:rsidRPr="00BB3C05">
        <w:t xml:space="preserve">, </w:t>
      </w:r>
      <w:r w:rsidRPr="00BB3C05">
        <w:rPr>
          <w:i/>
          <w:iCs/>
        </w:rPr>
        <w:t>Surgery</w:t>
      </w:r>
      <w:r w:rsidRPr="00BB3C05">
        <w:t>, 137</w:t>
      </w:r>
      <w:r w:rsidR="005267B7">
        <w:t xml:space="preserve"> (</w:t>
      </w:r>
      <w:r w:rsidRPr="00BB3C05">
        <w:t>1</w:t>
      </w:r>
      <w:r w:rsidR="005267B7">
        <w:t>)</w:t>
      </w:r>
      <w:r w:rsidR="003A4FF2">
        <w:t>,</w:t>
      </w:r>
      <w:r w:rsidRPr="00BB3C05">
        <w:t xml:space="preserve"> 42-47.</w:t>
      </w:r>
      <w:proofErr w:type="gramEnd"/>
    </w:p>
    <w:p w:rsidR="00BF39A2" w:rsidRPr="00BB3C05" w:rsidRDefault="00BF39A2" w:rsidP="00530E94">
      <w:pPr>
        <w:pStyle w:val="Heading3"/>
      </w:pPr>
      <w:r w:rsidRPr="00BB3C05">
        <w:t xml:space="preserve">Inappropriate or wrong intervention </w:t>
      </w:r>
    </w:p>
    <w:p w:rsidR="009C594D" w:rsidRPr="00BB3C05" w:rsidRDefault="009C594D" w:rsidP="009C594D">
      <w:r w:rsidRPr="00BB3C05">
        <w:t>Baron, T. H., Dean, P. A.</w:t>
      </w:r>
      <w:r w:rsidR="0090273D" w:rsidRPr="00BB3C05">
        <w:t xml:space="preserve"> </w:t>
      </w:r>
      <w:r w:rsidR="0090273D">
        <w:t>et al</w:t>
      </w:r>
      <w:r w:rsidRPr="00BB3C05">
        <w:t xml:space="preserve"> 1998, </w:t>
      </w:r>
      <w:r w:rsidR="00993CAF">
        <w:t>‘</w:t>
      </w:r>
      <w:r w:rsidRPr="00BB3C05">
        <w:t>Expandable metal stents for the treatment of colonic obstruction: techniques and outcomes</w:t>
      </w:r>
      <w:r w:rsidR="00993CAF">
        <w:t>’</w:t>
      </w:r>
      <w:r w:rsidRPr="00BB3C05">
        <w:t xml:space="preserve">, </w:t>
      </w:r>
      <w:r w:rsidRPr="00BB3C05">
        <w:rPr>
          <w:i/>
          <w:iCs/>
        </w:rPr>
        <w:t>Gastrointest</w:t>
      </w:r>
      <w:r w:rsidR="002705AE">
        <w:rPr>
          <w:i/>
          <w:iCs/>
        </w:rPr>
        <w:t>inal</w:t>
      </w:r>
      <w:r w:rsidRPr="00BB3C05">
        <w:rPr>
          <w:i/>
          <w:iCs/>
        </w:rPr>
        <w:t xml:space="preserve"> Endosc</w:t>
      </w:r>
      <w:r w:rsidR="002705AE">
        <w:rPr>
          <w:i/>
          <w:iCs/>
        </w:rPr>
        <w:t>opy</w:t>
      </w:r>
      <w:r w:rsidRPr="00BB3C05">
        <w:t>, 47</w:t>
      </w:r>
      <w:r w:rsidR="005267B7">
        <w:t xml:space="preserve"> (</w:t>
      </w:r>
      <w:r w:rsidRPr="00BB3C05">
        <w:t>3</w:t>
      </w:r>
      <w:r w:rsidR="005267B7">
        <w:t>)</w:t>
      </w:r>
      <w:r w:rsidR="003A4FF2">
        <w:t>,</w:t>
      </w:r>
      <w:r w:rsidRPr="00BB3C05">
        <w:t xml:space="preserve"> 277-286.</w:t>
      </w:r>
    </w:p>
    <w:p w:rsidR="00BF39A2" w:rsidRPr="00BB3C05" w:rsidRDefault="00BF39A2" w:rsidP="00BF39A2">
      <w:r w:rsidRPr="00BB3C05">
        <w:t>Brightwell, N. L., McFee, A. S.</w:t>
      </w:r>
      <w:r w:rsidR="0090273D">
        <w:t xml:space="preserve"> and</w:t>
      </w:r>
      <w:r w:rsidRPr="00BB3C05">
        <w:t xml:space="preserve"> Aust, J. B. 1977, </w:t>
      </w:r>
      <w:r w:rsidR="00993CAF">
        <w:t>‘</w:t>
      </w:r>
      <w:r w:rsidRPr="00BB3C05">
        <w:t>Bowel obstruction and the long tube stent</w:t>
      </w:r>
      <w:r w:rsidR="00993CAF">
        <w:t>’</w:t>
      </w:r>
      <w:r w:rsidRPr="00BB3C05">
        <w:t xml:space="preserve">, </w:t>
      </w:r>
      <w:r w:rsidRPr="00BB3C05">
        <w:rPr>
          <w:i/>
          <w:iCs/>
        </w:rPr>
        <w:t>Arch</w:t>
      </w:r>
      <w:r w:rsidR="002705AE">
        <w:rPr>
          <w:i/>
          <w:iCs/>
        </w:rPr>
        <w:t>ives of</w:t>
      </w:r>
      <w:r w:rsidRPr="00BB3C05">
        <w:rPr>
          <w:i/>
          <w:iCs/>
        </w:rPr>
        <w:t xml:space="preserve"> Surg</w:t>
      </w:r>
      <w:r w:rsidR="002705AE">
        <w:rPr>
          <w:i/>
          <w:iCs/>
        </w:rPr>
        <w:t>ery</w:t>
      </w:r>
      <w:r w:rsidRPr="00BB3C05">
        <w:t>, 112</w:t>
      </w:r>
      <w:r w:rsidR="005267B7">
        <w:t xml:space="preserve"> (</w:t>
      </w:r>
      <w:r w:rsidRPr="00BB3C05">
        <w:t>4</w:t>
      </w:r>
      <w:r w:rsidR="005267B7">
        <w:t>)</w:t>
      </w:r>
      <w:r w:rsidR="003A4FF2">
        <w:t>,</w:t>
      </w:r>
      <w:r w:rsidRPr="00BB3C05">
        <w:t xml:space="preserve"> 505-511</w:t>
      </w:r>
      <w:r w:rsidR="00BC467E">
        <w:t>.</w:t>
      </w:r>
    </w:p>
    <w:p w:rsidR="009C594D" w:rsidRPr="00BB3C05" w:rsidRDefault="009C594D" w:rsidP="009C594D">
      <w:proofErr w:type="gramStart"/>
      <w:r w:rsidRPr="00BB3C05">
        <w:t>Camunez, F., Echenagusia, A.</w:t>
      </w:r>
      <w:r w:rsidR="0090273D" w:rsidRPr="00BB3C05">
        <w:t xml:space="preserve"> </w:t>
      </w:r>
      <w:r w:rsidR="0090273D">
        <w:t>et al</w:t>
      </w:r>
      <w:r w:rsidRPr="00BB3C05">
        <w:t xml:space="preserve"> </w:t>
      </w:r>
      <w:r w:rsidR="00993CAF">
        <w:t>2000.</w:t>
      </w:r>
      <w:proofErr w:type="gramEnd"/>
      <w:r w:rsidRPr="00BB3C05">
        <w:t xml:space="preserve"> </w:t>
      </w:r>
      <w:r w:rsidR="00993CAF">
        <w:t>‘</w:t>
      </w:r>
      <w:r w:rsidRPr="00BB3C05">
        <w:t>Malignant colorectal obstruction treated by means of self-expanding metallic stents: effectiveness before surgery and in palliation</w:t>
      </w:r>
      <w:r w:rsidR="00993CAF">
        <w:t>’</w:t>
      </w:r>
      <w:r w:rsidRPr="00BB3C05">
        <w:t xml:space="preserve">, </w:t>
      </w:r>
      <w:r w:rsidRPr="00BB3C05">
        <w:rPr>
          <w:i/>
          <w:iCs/>
        </w:rPr>
        <w:t>Radiology</w:t>
      </w:r>
      <w:r w:rsidRPr="00BB3C05">
        <w:t>, 216</w:t>
      </w:r>
      <w:r w:rsidR="005267B7">
        <w:t xml:space="preserve"> (</w:t>
      </w:r>
      <w:r w:rsidRPr="00BB3C05">
        <w:t>2</w:t>
      </w:r>
      <w:r w:rsidR="005267B7">
        <w:t>)</w:t>
      </w:r>
      <w:r w:rsidR="003A4FF2">
        <w:t>,</w:t>
      </w:r>
      <w:r w:rsidRPr="00BB3C05">
        <w:t xml:space="preserve"> 492-497.</w:t>
      </w:r>
    </w:p>
    <w:p w:rsidR="00BF39A2" w:rsidRPr="00BB3C05" w:rsidRDefault="00BF39A2" w:rsidP="00BF39A2">
      <w:r w:rsidRPr="00BB3C05">
        <w:t>Cho, Y. K., Kim, S. W.</w:t>
      </w:r>
      <w:r w:rsidR="0090273D" w:rsidRPr="00BB3C05">
        <w:t xml:space="preserve"> </w:t>
      </w:r>
      <w:r w:rsidR="0090273D">
        <w:t>et al</w:t>
      </w:r>
      <w:r w:rsidRPr="00BB3C05">
        <w:t xml:space="preserve"> </w:t>
      </w:r>
      <w:r w:rsidR="00993CAF">
        <w:t>2009.</w:t>
      </w:r>
      <w:r w:rsidRPr="00BB3C05">
        <w:t xml:space="preserve"> </w:t>
      </w:r>
      <w:proofErr w:type="gramStart"/>
      <w:r w:rsidR="00993CAF">
        <w:t>‘</w:t>
      </w:r>
      <w:r w:rsidRPr="00BB3C05">
        <w:t>Clinical outcomes of self-expandable metal stents in palliation of malignant anastomotic strictures caused by recurrent gastric cancer</w:t>
      </w:r>
      <w:r w:rsidR="00993CAF">
        <w:t>’</w:t>
      </w:r>
      <w:r w:rsidRPr="00BB3C05">
        <w:t xml:space="preserve">, </w:t>
      </w:r>
      <w:r w:rsidRPr="00BB3C05">
        <w:rPr>
          <w:i/>
          <w:iCs/>
        </w:rPr>
        <w:t>World J</w:t>
      </w:r>
      <w:r w:rsidR="002705AE">
        <w:rPr>
          <w:i/>
          <w:iCs/>
        </w:rPr>
        <w:t>ournal of</w:t>
      </w:r>
      <w:r w:rsidRPr="00BB3C05">
        <w:rPr>
          <w:i/>
          <w:iCs/>
        </w:rPr>
        <w:t xml:space="preserve"> Gastroenterol</w:t>
      </w:r>
      <w:r w:rsidR="002705AE">
        <w:rPr>
          <w:i/>
          <w:iCs/>
        </w:rPr>
        <w:t>ogy</w:t>
      </w:r>
      <w:r w:rsidRPr="00BB3C05">
        <w:t>, 15</w:t>
      </w:r>
      <w:r w:rsidR="005267B7">
        <w:t xml:space="preserve"> (</w:t>
      </w:r>
      <w:r w:rsidRPr="00BB3C05">
        <w:t>28</w:t>
      </w:r>
      <w:r w:rsidR="005267B7">
        <w:t>)</w:t>
      </w:r>
      <w:r w:rsidR="003A4FF2">
        <w:t>,</w:t>
      </w:r>
      <w:r w:rsidRPr="00BB3C05">
        <w:t xml:space="preserve"> 3523-3527.</w:t>
      </w:r>
      <w:proofErr w:type="gramEnd"/>
    </w:p>
    <w:p w:rsidR="009C594D" w:rsidRPr="00BB3C05" w:rsidRDefault="009C594D" w:rsidP="009C594D">
      <w:proofErr w:type="gramStart"/>
      <w:r w:rsidRPr="00BB3C05">
        <w:t>Fan, Y. B., Cheng, Y. S.</w:t>
      </w:r>
      <w:r w:rsidR="0090273D" w:rsidRPr="00BB3C05">
        <w:t xml:space="preserve"> </w:t>
      </w:r>
      <w:r w:rsidR="0090273D">
        <w:t>et al</w:t>
      </w:r>
      <w:r w:rsidRPr="00BB3C05">
        <w:t xml:space="preserve"> </w:t>
      </w:r>
      <w:r w:rsidR="00993CAF">
        <w:t>2006.</w:t>
      </w:r>
      <w:proofErr w:type="gramEnd"/>
      <w:r w:rsidRPr="00BB3C05">
        <w:t xml:space="preserve"> </w:t>
      </w:r>
      <w:proofErr w:type="gramStart"/>
      <w:r w:rsidR="00993CAF">
        <w:t>‘</w:t>
      </w:r>
      <w:r w:rsidRPr="00BB3C05">
        <w:t>Clinical application of self-expanding metallic stent in the management of acute left-sided colorectal malignant obstruction</w:t>
      </w:r>
      <w:r w:rsidR="00993CAF">
        <w:t>’</w:t>
      </w:r>
      <w:r w:rsidRPr="00BB3C05">
        <w:t xml:space="preserve">, </w:t>
      </w:r>
      <w:r w:rsidRPr="00BB3C05">
        <w:rPr>
          <w:i/>
          <w:iCs/>
        </w:rPr>
        <w:t>World J</w:t>
      </w:r>
      <w:r w:rsidR="002705AE">
        <w:rPr>
          <w:i/>
          <w:iCs/>
        </w:rPr>
        <w:t>ournal of</w:t>
      </w:r>
      <w:r w:rsidRPr="00BB3C05">
        <w:rPr>
          <w:i/>
          <w:iCs/>
        </w:rPr>
        <w:t xml:space="preserve"> Gastroenterol</w:t>
      </w:r>
      <w:r w:rsidR="002705AE">
        <w:rPr>
          <w:i/>
          <w:iCs/>
        </w:rPr>
        <w:t>ogy</w:t>
      </w:r>
      <w:r w:rsidRPr="00BB3C05">
        <w:t>, 12</w:t>
      </w:r>
      <w:r w:rsidR="005267B7">
        <w:t xml:space="preserve"> (</w:t>
      </w:r>
      <w:r w:rsidRPr="00BB3C05">
        <w:t>5</w:t>
      </w:r>
      <w:r w:rsidR="005267B7">
        <w:t>)</w:t>
      </w:r>
      <w:r w:rsidR="003A4FF2">
        <w:t>,</w:t>
      </w:r>
      <w:r w:rsidRPr="00BB3C05">
        <w:t xml:space="preserve"> 755-759.</w:t>
      </w:r>
      <w:proofErr w:type="gramEnd"/>
    </w:p>
    <w:p w:rsidR="00BF39A2" w:rsidRPr="00BB3C05" w:rsidRDefault="00BF39A2" w:rsidP="00BF39A2">
      <w:r w:rsidRPr="00BB3C05">
        <w:t>Fischer, A., Schrag, H. J.</w:t>
      </w:r>
      <w:r w:rsidR="0090273D" w:rsidRPr="00BB3C05">
        <w:t xml:space="preserve"> </w:t>
      </w:r>
      <w:r w:rsidR="0090273D">
        <w:t>et al</w:t>
      </w:r>
      <w:r w:rsidRPr="00BB3C05">
        <w:t xml:space="preserve"> </w:t>
      </w:r>
      <w:r w:rsidR="00993CAF">
        <w:t>2008.</w:t>
      </w:r>
      <w:r w:rsidRPr="00BB3C05">
        <w:t xml:space="preserve"> </w:t>
      </w:r>
      <w:proofErr w:type="gramStart"/>
      <w:r w:rsidR="00993CAF">
        <w:t>‘</w:t>
      </w:r>
      <w:r w:rsidRPr="00BB3C05">
        <w:t>Transanal endoscopic tube decompression of acute colonic obstruction: experience with 51 cases</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22</w:t>
      </w:r>
      <w:r w:rsidR="005267B7">
        <w:t xml:space="preserve"> (</w:t>
      </w:r>
      <w:r w:rsidRPr="00BB3C05">
        <w:t>3</w:t>
      </w:r>
      <w:r w:rsidR="005267B7">
        <w:t>)</w:t>
      </w:r>
      <w:r w:rsidR="003A4FF2">
        <w:t>,</w:t>
      </w:r>
      <w:r w:rsidRPr="00BB3C05">
        <w:t xml:space="preserve"> 683-688.</w:t>
      </w:r>
      <w:proofErr w:type="gramEnd"/>
    </w:p>
    <w:p w:rsidR="00BF39A2" w:rsidRPr="00BB3C05" w:rsidRDefault="00BF39A2" w:rsidP="00BF39A2">
      <w:r w:rsidRPr="00BB3C05">
        <w:t>Law, W. L., Choi, H. K.</w:t>
      </w:r>
      <w:r w:rsidR="0090273D" w:rsidRPr="00BB3C05">
        <w:t xml:space="preserve"> </w:t>
      </w:r>
      <w:r w:rsidR="0090273D">
        <w:t>et al</w:t>
      </w:r>
      <w:r w:rsidRPr="00BB3C05">
        <w:t xml:space="preserve"> </w:t>
      </w:r>
      <w:r w:rsidR="00993CAF">
        <w:t>2004.</w:t>
      </w:r>
      <w:r w:rsidRPr="00BB3C05">
        <w:t xml:space="preserve"> </w:t>
      </w:r>
      <w:proofErr w:type="gramStart"/>
      <w:r w:rsidR="00993CAF">
        <w:t>‘</w:t>
      </w:r>
      <w:r w:rsidRPr="00BB3C05">
        <w:t>Palliation for advanced malignant colorectal obstruction by self-expanding metallic stents: prospective evaluation of outcomes</w:t>
      </w:r>
      <w:r w:rsidR="00993CAF">
        <w:t>’</w:t>
      </w:r>
      <w:r w:rsidRPr="00BB3C05">
        <w:t xml:space="preserve">, </w:t>
      </w:r>
      <w:r w:rsidRPr="00BB3C05">
        <w:rPr>
          <w:i/>
          <w:iCs/>
        </w:rPr>
        <w:t>Dis</w:t>
      </w:r>
      <w:r w:rsidR="002705AE">
        <w:rPr>
          <w:i/>
          <w:iCs/>
        </w:rPr>
        <w:t>eases of the</w:t>
      </w:r>
      <w:r w:rsidRPr="00BB3C05">
        <w:rPr>
          <w:i/>
          <w:iCs/>
        </w:rPr>
        <w:t xml:space="preserve"> Colon </w:t>
      </w:r>
      <w:r w:rsidR="002705AE">
        <w:rPr>
          <w:i/>
          <w:iCs/>
        </w:rPr>
        <w:t xml:space="preserve">and </w:t>
      </w:r>
      <w:r w:rsidRPr="00BB3C05">
        <w:rPr>
          <w:i/>
          <w:iCs/>
        </w:rPr>
        <w:t>Rectum</w:t>
      </w:r>
      <w:r w:rsidRPr="00BB3C05">
        <w:t>, 47</w:t>
      </w:r>
      <w:r w:rsidR="005267B7">
        <w:t xml:space="preserve"> (</w:t>
      </w:r>
      <w:r w:rsidRPr="00BB3C05">
        <w:t>1</w:t>
      </w:r>
      <w:r w:rsidR="005267B7">
        <w:t>)</w:t>
      </w:r>
      <w:r w:rsidR="003A4FF2">
        <w:t>,</w:t>
      </w:r>
      <w:r w:rsidRPr="00BB3C05">
        <w:t xml:space="preserve"> 39-43.</w:t>
      </w:r>
      <w:proofErr w:type="gramEnd"/>
    </w:p>
    <w:p w:rsidR="009C594D" w:rsidRPr="00BB3C05" w:rsidRDefault="009C594D" w:rsidP="009C594D">
      <w:r w:rsidRPr="00BB3C05">
        <w:lastRenderedPageBreak/>
        <w:t>Law, W. L., Chu, K. W.</w:t>
      </w:r>
      <w:r w:rsidR="0090273D" w:rsidRPr="00BB3C05">
        <w:t xml:space="preserve"> </w:t>
      </w:r>
      <w:r w:rsidR="0090273D">
        <w:t>et al</w:t>
      </w:r>
      <w:r w:rsidRPr="00BB3C05">
        <w:t xml:space="preserve"> </w:t>
      </w:r>
      <w:r w:rsidR="00993CAF">
        <w:t>2000.</w:t>
      </w:r>
      <w:r w:rsidRPr="00BB3C05">
        <w:t xml:space="preserve"> </w:t>
      </w:r>
      <w:proofErr w:type="gramStart"/>
      <w:r w:rsidR="00993CAF">
        <w:t>‘</w:t>
      </w:r>
      <w:r w:rsidRPr="00BB3C05">
        <w:t>Self-expanding metallic stent in the treatment of colonic obstruction caused by advanced malignancies</w:t>
      </w:r>
      <w:r w:rsidR="00993CAF">
        <w:t>’</w:t>
      </w:r>
      <w:r w:rsidRPr="00BB3C05">
        <w:t xml:space="preserve">, </w:t>
      </w:r>
      <w:r w:rsidRPr="00BB3C05">
        <w:rPr>
          <w:i/>
          <w:iCs/>
        </w:rPr>
        <w:t>Dis</w:t>
      </w:r>
      <w:r w:rsidR="002705AE">
        <w:rPr>
          <w:i/>
          <w:iCs/>
        </w:rPr>
        <w:t>eases of the</w:t>
      </w:r>
      <w:r w:rsidRPr="00BB3C05">
        <w:rPr>
          <w:i/>
          <w:iCs/>
        </w:rPr>
        <w:t xml:space="preserve"> Colon </w:t>
      </w:r>
      <w:r w:rsidR="002705AE">
        <w:rPr>
          <w:i/>
          <w:iCs/>
        </w:rPr>
        <w:t xml:space="preserve">and </w:t>
      </w:r>
      <w:r w:rsidRPr="00BB3C05">
        <w:rPr>
          <w:i/>
          <w:iCs/>
        </w:rPr>
        <w:t>Rectum</w:t>
      </w:r>
      <w:r w:rsidRPr="00BB3C05">
        <w:t>, 43</w:t>
      </w:r>
      <w:r w:rsidR="005267B7">
        <w:t xml:space="preserve"> (</w:t>
      </w:r>
      <w:r w:rsidRPr="00BB3C05">
        <w:t>11</w:t>
      </w:r>
      <w:r w:rsidR="005267B7">
        <w:t>)</w:t>
      </w:r>
      <w:r w:rsidR="003A4FF2">
        <w:t>,</w:t>
      </w:r>
      <w:r w:rsidRPr="00BB3C05">
        <w:t xml:space="preserve"> 1522-1527.</w:t>
      </w:r>
      <w:proofErr w:type="gramEnd"/>
    </w:p>
    <w:p w:rsidR="00BF39A2" w:rsidRPr="00BB3C05" w:rsidRDefault="00BF39A2" w:rsidP="00BF39A2">
      <w:r w:rsidRPr="00BB3C05">
        <w:t>Lee, J. H., Ross, W. A.</w:t>
      </w:r>
      <w:r w:rsidR="0090273D" w:rsidRPr="00BB3C05">
        <w:t xml:space="preserve"> </w:t>
      </w:r>
      <w:r w:rsidR="0090273D">
        <w:t>et al</w:t>
      </w:r>
      <w:r w:rsidRPr="00BB3C05">
        <w:t xml:space="preserve"> </w:t>
      </w:r>
      <w:r w:rsidR="00993CAF">
        <w:t>2010.</w:t>
      </w:r>
      <w:r w:rsidRPr="00BB3C05">
        <w:t xml:space="preserve"> </w:t>
      </w:r>
      <w:r w:rsidR="00993CAF">
        <w:t>‘</w:t>
      </w:r>
      <w:r w:rsidRPr="00BB3C05">
        <w:t>Self-expandable metal stents (SEMS) can serve as a bridge to surgery or as a definitive therapy in patients with an advanced stage of cancer: clinical experience of a tertiary cancer center</w:t>
      </w:r>
      <w:r w:rsidR="00993CAF">
        <w:t>’</w:t>
      </w:r>
      <w:r w:rsidRPr="00BB3C05">
        <w:t xml:space="preserve">, </w:t>
      </w:r>
      <w:r w:rsidRPr="00BB3C05">
        <w:rPr>
          <w:i/>
          <w:iCs/>
        </w:rPr>
        <w:t>Dig</w:t>
      </w:r>
      <w:r w:rsidR="002705AE">
        <w:rPr>
          <w:i/>
          <w:iCs/>
        </w:rPr>
        <w:t>estive</w:t>
      </w:r>
      <w:r w:rsidRPr="00BB3C05">
        <w:rPr>
          <w:i/>
          <w:iCs/>
        </w:rPr>
        <w:t xml:space="preserve"> Dis</w:t>
      </w:r>
      <w:r w:rsidR="002705AE">
        <w:rPr>
          <w:i/>
          <w:iCs/>
        </w:rPr>
        <w:t>eases and</w:t>
      </w:r>
      <w:r w:rsidRPr="00BB3C05">
        <w:rPr>
          <w:i/>
          <w:iCs/>
        </w:rPr>
        <w:t xml:space="preserve"> Sci</w:t>
      </w:r>
      <w:r w:rsidR="002705AE">
        <w:rPr>
          <w:i/>
          <w:iCs/>
        </w:rPr>
        <w:t>ences</w:t>
      </w:r>
      <w:r w:rsidRPr="00BB3C05">
        <w:t>, 55</w:t>
      </w:r>
      <w:r w:rsidR="005267B7">
        <w:t xml:space="preserve"> (</w:t>
      </w:r>
      <w:r w:rsidRPr="00BB3C05">
        <w:t>12</w:t>
      </w:r>
      <w:r w:rsidR="005267B7">
        <w:t>)</w:t>
      </w:r>
      <w:r w:rsidR="003A4FF2">
        <w:t>,</w:t>
      </w:r>
      <w:r w:rsidRPr="00BB3C05">
        <w:t xml:space="preserve"> 3530-3536.</w:t>
      </w:r>
    </w:p>
    <w:p w:rsidR="00BF39A2" w:rsidRPr="00BB3C05" w:rsidRDefault="00BF39A2" w:rsidP="00BF39A2">
      <w:r w:rsidRPr="00BB3C05">
        <w:t>Maeda, K., Inoue, T.</w:t>
      </w:r>
      <w:r w:rsidR="0090273D" w:rsidRPr="00BB3C05">
        <w:t xml:space="preserve"> </w:t>
      </w:r>
      <w:r w:rsidR="0090273D">
        <w:t>et al</w:t>
      </w:r>
      <w:r w:rsidRPr="00BB3C05">
        <w:t xml:space="preserve"> </w:t>
      </w:r>
      <w:r w:rsidR="00993CAF">
        <w:t>2004.</w:t>
      </w:r>
      <w:r w:rsidRPr="00BB3C05">
        <w:t xml:space="preserve"> </w:t>
      </w:r>
      <w:proofErr w:type="gramStart"/>
      <w:r w:rsidR="00993CAF">
        <w:t>‘</w:t>
      </w:r>
      <w:r w:rsidRPr="00BB3C05">
        <w:t>Successful treatment using a self-expandable metallic stent in the palliation for unresectable malignant obstruction of the colon and rectum</w:t>
      </w:r>
      <w:r w:rsidR="00993CAF">
        <w:t>’</w:t>
      </w:r>
      <w:r w:rsidRPr="00BB3C05">
        <w:t xml:space="preserve">, </w:t>
      </w:r>
      <w:r w:rsidRPr="00BB3C05">
        <w:rPr>
          <w:i/>
          <w:iCs/>
        </w:rPr>
        <w:t>Digestive Endoscopy</w:t>
      </w:r>
      <w:r w:rsidR="00BC467E">
        <w:t>,</w:t>
      </w:r>
      <w:r w:rsidRPr="00BB3C05">
        <w:t xml:space="preserve"> </w:t>
      </w:r>
      <w:r w:rsidR="007649CB">
        <w:t>16 (</w:t>
      </w:r>
      <w:r w:rsidRPr="00BB3C05">
        <w:t>4</w:t>
      </w:r>
      <w:r w:rsidR="007649CB">
        <w:t>)</w:t>
      </w:r>
      <w:r w:rsidRPr="00BB3C05">
        <w:t>,</w:t>
      </w:r>
      <w:r w:rsidR="007649CB">
        <w:t xml:space="preserve"> 332-336.</w:t>
      </w:r>
      <w:proofErr w:type="gramEnd"/>
    </w:p>
    <w:p w:rsidR="00BF39A2" w:rsidRPr="00BB3C05" w:rsidRDefault="00BF39A2" w:rsidP="00BF39A2">
      <w:proofErr w:type="gramStart"/>
      <w:r w:rsidRPr="00BB3C05">
        <w:t>Meisner, S., Hensler, M.</w:t>
      </w:r>
      <w:r w:rsidR="0090273D" w:rsidRPr="00BB3C05">
        <w:t xml:space="preserve"> </w:t>
      </w:r>
      <w:r w:rsidR="0090273D">
        <w:t>et al</w:t>
      </w:r>
      <w:r w:rsidRPr="00BB3C05">
        <w:t xml:space="preserve"> </w:t>
      </w:r>
      <w:r w:rsidR="00993CAF">
        <w:t>2004.</w:t>
      </w:r>
      <w:proofErr w:type="gramEnd"/>
      <w:r w:rsidRPr="00BB3C05">
        <w:t xml:space="preserve"> </w:t>
      </w:r>
      <w:proofErr w:type="gramStart"/>
      <w:r w:rsidR="00993CAF">
        <w:t>‘</w:t>
      </w:r>
      <w:r w:rsidRPr="00BB3C05">
        <w:t>Self-expanding metal stents for colonic obstruction: experiences from 104 procedures in a single center</w:t>
      </w:r>
      <w:r w:rsidR="00993CAF">
        <w:t>’</w:t>
      </w:r>
      <w:r w:rsidRPr="00BB3C05">
        <w:t xml:space="preserve">, </w:t>
      </w:r>
      <w:r w:rsidRPr="00BB3C05">
        <w:rPr>
          <w:i/>
          <w:iCs/>
        </w:rPr>
        <w:t>Dis</w:t>
      </w:r>
      <w:r w:rsidR="002705AE">
        <w:rPr>
          <w:i/>
          <w:iCs/>
        </w:rPr>
        <w:t>eases of the</w:t>
      </w:r>
      <w:r w:rsidRPr="00BB3C05">
        <w:rPr>
          <w:i/>
          <w:iCs/>
        </w:rPr>
        <w:t xml:space="preserve"> Colon </w:t>
      </w:r>
      <w:r w:rsidR="002705AE">
        <w:rPr>
          <w:i/>
          <w:iCs/>
        </w:rPr>
        <w:t xml:space="preserve">and </w:t>
      </w:r>
      <w:r w:rsidRPr="00BB3C05">
        <w:rPr>
          <w:i/>
          <w:iCs/>
        </w:rPr>
        <w:t>Rectum</w:t>
      </w:r>
      <w:r w:rsidRPr="00BB3C05">
        <w:t>, 47</w:t>
      </w:r>
      <w:r w:rsidR="005267B7">
        <w:t xml:space="preserve"> (</w:t>
      </w:r>
      <w:r w:rsidRPr="00BB3C05">
        <w:t>4</w:t>
      </w:r>
      <w:r w:rsidR="005267B7">
        <w:t>)</w:t>
      </w:r>
      <w:r w:rsidR="003A4FF2">
        <w:t>,</w:t>
      </w:r>
      <w:r w:rsidRPr="00BB3C05">
        <w:t xml:space="preserve"> 444-450.</w:t>
      </w:r>
      <w:proofErr w:type="gramEnd"/>
    </w:p>
    <w:p w:rsidR="00BF39A2" w:rsidRPr="00BB3C05" w:rsidRDefault="00BF39A2" w:rsidP="00BF39A2">
      <w:proofErr w:type="gramStart"/>
      <w:r w:rsidRPr="00BB3C05">
        <w:t xml:space="preserve">Rayhanabad, J. </w:t>
      </w:r>
      <w:r w:rsidR="0090273D">
        <w:t>and</w:t>
      </w:r>
      <w:r w:rsidR="0090273D" w:rsidRPr="00BB3C05">
        <w:t xml:space="preserve"> </w:t>
      </w:r>
      <w:r w:rsidRPr="00BB3C05">
        <w:t xml:space="preserve">Abbas, M. A. </w:t>
      </w:r>
      <w:r w:rsidR="00993CAF">
        <w:t>2009.</w:t>
      </w:r>
      <w:proofErr w:type="gramEnd"/>
      <w:r w:rsidRPr="00BB3C05">
        <w:t xml:space="preserve"> </w:t>
      </w:r>
      <w:proofErr w:type="gramStart"/>
      <w:r w:rsidR="00993CAF">
        <w:t>‘</w:t>
      </w:r>
      <w:r w:rsidRPr="00BB3C05">
        <w:t>Long-term outcome of endoscopic colorectal stenting for malignant and benign disease</w:t>
      </w:r>
      <w:r w:rsidR="00993CAF">
        <w:t>’</w:t>
      </w:r>
      <w:r w:rsidRPr="00BB3C05">
        <w:t xml:space="preserve">, </w:t>
      </w:r>
      <w:r w:rsidRPr="00BB3C05">
        <w:rPr>
          <w:i/>
          <w:iCs/>
        </w:rPr>
        <w:t>Am</w:t>
      </w:r>
      <w:r w:rsidR="002705AE">
        <w:rPr>
          <w:i/>
          <w:iCs/>
        </w:rPr>
        <w:t>erican Journal of</w:t>
      </w:r>
      <w:r w:rsidRPr="00BB3C05">
        <w:rPr>
          <w:i/>
          <w:iCs/>
        </w:rPr>
        <w:t xml:space="preserve"> Surg</w:t>
      </w:r>
      <w:r w:rsidR="002705AE">
        <w:rPr>
          <w:i/>
          <w:iCs/>
        </w:rPr>
        <w:t>ery</w:t>
      </w:r>
      <w:r w:rsidRPr="00BB3C05">
        <w:t>, 75</w:t>
      </w:r>
      <w:r w:rsidR="005267B7">
        <w:t xml:space="preserve"> (</w:t>
      </w:r>
      <w:r w:rsidRPr="00BB3C05">
        <w:t>10</w:t>
      </w:r>
      <w:r w:rsidR="005267B7">
        <w:t>)</w:t>
      </w:r>
      <w:r w:rsidR="003A4FF2">
        <w:t>,</w:t>
      </w:r>
      <w:r w:rsidRPr="00BB3C05">
        <w:t xml:space="preserve"> 897-900.</w:t>
      </w:r>
      <w:proofErr w:type="gramEnd"/>
    </w:p>
    <w:p w:rsidR="00BF39A2" w:rsidRPr="00BB3C05" w:rsidRDefault="00BF39A2" w:rsidP="00BF39A2">
      <w:r w:rsidRPr="00BB3C05">
        <w:t>Saida, Y., Enomoto, T.</w:t>
      </w:r>
      <w:r w:rsidR="0090273D" w:rsidRPr="00BB3C05">
        <w:t xml:space="preserve"> </w:t>
      </w:r>
      <w:r w:rsidR="0090273D">
        <w:t>et al</w:t>
      </w:r>
      <w:r w:rsidRPr="00BB3C05">
        <w:t xml:space="preserve"> </w:t>
      </w:r>
      <w:r w:rsidR="00993CAF">
        <w:t>2011.</w:t>
      </w:r>
      <w:r w:rsidRPr="00BB3C05">
        <w:t xml:space="preserve"> </w:t>
      </w:r>
      <w:proofErr w:type="gramStart"/>
      <w:r w:rsidR="00993CAF">
        <w:t>‘</w:t>
      </w:r>
      <w:r w:rsidRPr="00BB3C05">
        <w:t>Outcome of 141 cases of self-expandable metallic stent placements for malignant and benign colorectal strictures in a single center</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25</w:t>
      </w:r>
      <w:r w:rsidR="005267B7">
        <w:t xml:space="preserve"> (</w:t>
      </w:r>
      <w:r w:rsidRPr="00BB3C05">
        <w:t>6</w:t>
      </w:r>
      <w:r w:rsidR="005267B7">
        <w:t>)</w:t>
      </w:r>
      <w:r w:rsidR="003A4FF2">
        <w:t>,</w:t>
      </w:r>
      <w:r w:rsidRPr="00BB3C05">
        <w:t xml:space="preserve"> 1748-1752.</w:t>
      </w:r>
      <w:proofErr w:type="gramEnd"/>
    </w:p>
    <w:p w:rsidR="00873909" w:rsidRPr="00BB3C05" w:rsidRDefault="00873909" w:rsidP="00873909">
      <w:proofErr w:type="gramStart"/>
      <w:r w:rsidRPr="00BB3C05">
        <w:t>Soto, S., Lopez-Roses, L.</w:t>
      </w:r>
      <w:r w:rsidR="0090273D" w:rsidRPr="00BB3C05">
        <w:t xml:space="preserve"> </w:t>
      </w:r>
      <w:r w:rsidR="0090273D">
        <w:t>et al</w:t>
      </w:r>
      <w:r w:rsidRPr="00BB3C05">
        <w:t xml:space="preserve"> </w:t>
      </w:r>
      <w:r w:rsidR="00993CAF">
        <w:t>2006.</w:t>
      </w:r>
      <w:proofErr w:type="gramEnd"/>
      <w:r w:rsidRPr="00BB3C05">
        <w:t xml:space="preserve"> </w:t>
      </w:r>
      <w:r w:rsidR="00993CAF">
        <w:t>‘</w:t>
      </w:r>
      <w:r w:rsidRPr="00BB3C05">
        <w:t>Endoscopic treatment of acute colorectal obstruction with self-expandable metallic stents: experience in a community hospital</w:t>
      </w:r>
      <w:r w:rsidR="00993CAF">
        <w:t>’</w:t>
      </w:r>
      <w:r w:rsidRPr="00BB3C05">
        <w:t xml:space="preserve">, </w:t>
      </w:r>
      <w:r w:rsidR="00E56A97" w:rsidRPr="00BB3C05">
        <w:rPr>
          <w:i/>
          <w:iCs/>
        </w:rPr>
        <w:t>Surg</w:t>
      </w:r>
      <w:r w:rsidR="00E56A97">
        <w:rPr>
          <w:i/>
          <w:iCs/>
        </w:rPr>
        <w:t>ical</w:t>
      </w:r>
      <w:r w:rsidR="00E56A97" w:rsidRPr="00BB3C05">
        <w:rPr>
          <w:i/>
          <w:iCs/>
        </w:rPr>
        <w:t xml:space="preserve"> Endosc</w:t>
      </w:r>
      <w:r w:rsidR="00E56A97">
        <w:rPr>
          <w:i/>
          <w:iCs/>
        </w:rPr>
        <w:t>opy</w:t>
      </w:r>
      <w:r w:rsidRPr="00BB3C05">
        <w:t>, 20</w:t>
      </w:r>
      <w:r w:rsidR="005267B7">
        <w:t xml:space="preserve"> (</w:t>
      </w:r>
      <w:r w:rsidRPr="00BB3C05">
        <w:t>7</w:t>
      </w:r>
      <w:r w:rsidR="005267B7">
        <w:t>)</w:t>
      </w:r>
      <w:r w:rsidR="003A4FF2">
        <w:t>,</w:t>
      </w:r>
      <w:r w:rsidRPr="00BB3C05">
        <w:t xml:space="preserve"> 1072-1076.</w:t>
      </w:r>
    </w:p>
    <w:p w:rsidR="00BF39A2" w:rsidRPr="00BB3C05" w:rsidRDefault="00BF39A2" w:rsidP="00BF39A2">
      <w:r w:rsidRPr="00BB3C05">
        <w:t>Stefanidis, D., Brown, K.</w:t>
      </w:r>
      <w:r w:rsidR="0090273D" w:rsidRPr="00BB3C05">
        <w:t xml:space="preserve"> </w:t>
      </w:r>
      <w:r w:rsidR="0090273D">
        <w:t>et al</w:t>
      </w:r>
      <w:r w:rsidRPr="00BB3C05">
        <w:t xml:space="preserve"> </w:t>
      </w:r>
      <w:r w:rsidR="00993CAF">
        <w:t>2005.</w:t>
      </w:r>
      <w:r w:rsidRPr="00BB3C05">
        <w:t xml:space="preserve"> </w:t>
      </w:r>
      <w:proofErr w:type="gramStart"/>
      <w:r w:rsidR="00993CAF">
        <w:t>‘</w:t>
      </w:r>
      <w:r w:rsidRPr="00BB3C05">
        <w:t>Safety and efficacy of metallic stents in the management of colorectal obstruction</w:t>
      </w:r>
      <w:r w:rsidR="00993CAF">
        <w:t>’</w:t>
      </w:r>
      <w:r w:rsidRPr="00BB3C05">
        <w:t xml:space="preserve">, </w:t>
      </w:r>
      <w:r w:rsidRPr="00BB3C05">
        <w:rPr>
          <w:i/>
          <w:iCs/>
        </w:rPr>
        <w:t>J</w:t>
      </w:r>
      <w:r w:rsidR="002705AE">
        <w:rPr>
          <w:i/>
          <w:iCs/>
        </w:rPr>
        <w:t>ourna</w:t>
      </w:r>
      <w:r w:rsidR="006E1269">
        <w:rPr>
          <w:i/>
          <w:iCs/>
        </w:rPr>
        <w:t>l</w:t>
      </w:r>
      <w:r w:rsidR="002705AE">
        <w:rPr>
          <w:i/>
          <w:iCs/>
        </w:rPr>
        <w:t xml:space="preserve"> of the </w:t>
      </w:r>
      <w:r w:rsidRPr="00BB3C05">
        <w:rPr>
          <w:i/>
          <w:iCs/>
        </w:rPr>
        <w:t>S</w:t>
      </w:r>
      <w:r w:rsidR="002705AE">
        <w:rPr>
          <w:i/>
          <w:iCs/>
        </w:rPr>
        <w:t xml:space="preserve">ociety of </w:t>
      </w:r>
      <w:r w:rsidRPr="00BB3C05">
        <w:rPr>
          <w:i/>
          <w:iCs/>
        </w:rPr>
        <w:t>L</w:t>
      </w:r>
      <w:r w:rsidR="002705AE">
        <w:rPr>
          <w:i/>
          <w:iCs/>
        </w:rPr>
        <w:t xml:space="preserve">aproendoscopic </w:t>
      </w:r>
      <w:r w:rsidRPr="00BB3C05">
        <w:rPr>
          <w:i/>
          <w:iCs/>
        </w:rPr>
        <w:t>S</w:t>
      </w:r>
      <w:r w:rsidR="002705AE">
        <w:rPr>
          <w:i/>
          <w:iCs/>
        </w:rPr>
        <w:t>urgeons</w:t>
      </w:r>
      <w:r w:rsidRPr="00BB3C05">
        <w:t>, 9</w:t>
      </w:r>
      <w:r w:rsidR="005267B7">
        <w:t xml:space="preserve"> (</w:t>
      </w:r>
      <w:r w:rsidRPr="00BB3C05">
        <w:t>4</w:t>
      </w:r>
      <w:r w:rsidR="005267B7">
        <w:t>)</w:t>
      </w:r>
      <w:r w:rsidR="003A4FF2">
        <w:t>,</w:t>
      </w:r>
      <w:r w:rsidRPr="00BB3C05">
        <w:t xml:space="preserve"> 454-459.</w:t>
      </w:r>
      <w:proofErr w:type="gramEnd"/>
    </w:p>
    <w:p w:rsidR="009C594D" w:rsidRPr="00BB3C05" w:rsidRDefault="009C594D" w:rsidP="009C594D">
      <w:r w:rsidRPr="00BB3C05">
        <w:t>Watson, A. J., Shanmugam, V.</w:t>
      </w:r>
      <w:r w:rsidR="0090273D" w:rsidRPr="00BB3C05">
        <w:t xml:space="preserve"> </w:t>
      </w:r>
      <w:r w:rsidR="0090273D">
        <w:t>et al</w:t>
      </w:r>
      <w:r w:rsidRPr="00BB3C05">
        <w:t xml:space="preserve"> </w:t>
      </w:r>
      <w:r w:rsidR="00993CAF">
        <w:t>2005.</w:t>
      </w:r>
      <w:r w:rsidRPr="00BB3C05">
        <w:t xml:space="preserve"> </w:t>
      </w:r>
      <w:proofErr w:type="gramStart"/>
      <w:r w:rsidR="00993CAF">
        <w:t>‘</w:t>
      </w:r>
      <w:r w:rsidRPr="00BB3C05">
        <w:t>Outcomes after placement of colorectal stents</w:t>
      </w:r>
      <w:r w:rsidR="00993CAF">
        <w:t>’</w:t>
      </w:r>
      <w:r w:rsidRPr="00BB3C05">
        <w:t xml:space="preserve">, </w:t>
      </w:r>
      <w:r w:rsidRPr="00BB3C05">
        <w:rPr>
          <w:i/>
          <w:iCs/>
        </w:rPr>
        <w:t>Colorectal Dis</w:t>
      </w:r>
      <w:r w:rsidR="002705AE">
        <w:rPr>
          <w:i/>
          <w:iCs/>
        </w:rPr>
        <w:t>ease</w:t>
      </w:r>
      <w:r w:rsidRPr="00BB3C05">
        <w:t>, 7</w:t>
      </w:r>
      <w:r w:rsidR="005267B7">
        <w:t xml:space="preserve"> (</w:t>
      </w:r>
      <w:r w:rsidRPr="00BB3C05">
        <w:t>1</w:t>
      </w:r>
      <w:r w:rsidR="005267B7">
        <w:t>)</w:t>
      </w:r>
      <w:r w:rsidR="003A4FF2">
        <w:t>,</w:t>
      </w:r>
      <w:r w:rsidRPr="00BB3C05">
        <w:t xml:space="preserve"> 70-73.</w:t>
      </w:r>
      <w:proofErr w:type="gramEnd"/>
    </w:p>
    <w:p w:rsidR="009C594D" w:rsidRPr="00BB3C05" w:rsidRDefault="009C594D" w:rsidP="009C594D">
      <w:r w:rsidRPr="00BB3C05">
        <w:t>Yoon, J., Jung, Y.</w:t>
      </w:r>
      <w:r w:rsidR="0090273D" w:rsidRPr="00BB3C05">
        <w:t xml:space="preserve"> </w:t>
      </w:r>
      <w:r w:rsidR="0090273D">
        <w:t>et al</w:t>
      </w:r>
      <w:r w:rsidRPr="00BB3C05">
        <w:t xml:space="preserve"> </w:t>
      </w:r>
      <w:r w:rsidR="00993CAF">
        <w:t>2011.</w:t>
      </w:r>
      <w:r w:rsidRPr="00BB3C05">
        <w:t xml:space="preserve"> </w:t>
      </w:r>
      <w:proofErr w:type="gramStart"/>
      <w:r w:rsidR="00993CAF">
        <w:t>‘</w:t>
      </w:r>
      <w:r w:rsidRPr="00BB3C05">
        <w:t>Outcomes of secondary stent-in-stent self-expandable metal stent insertion for malignant colorectal obstruction</w:t>
      </w:r>
      <w:r w:rsidR="00993CAF">
        <w:t>’</w:t>
      </w:r>
      <w:r w:rsidRPr="00BB3C05">
        <w:t xml:space="preserve">, </w:t>
      </w:r>
      <w:r w:rsidRPr="00BB3C05">
        <w:rPr>
          <w:i/>
          <w:iCs/>
        </w:rPr>
        <w:t>Gastrointestinal Endoscopy</w:t>
      </w:r>
      <w:r w:rsidRPr="00BB3C05">
        <w:t>, 74</w:t>
      </w:r>
      <w:r w:rsidR="005267B7">
        <w:t xml:space="preserve"> (</w:t>
      </w:r>
      <w:r w:rsidRPr="00BB3C05">
        <w:t>3</w:t>
      </w:r>
      <w:r w:rsidR="005267B7">
        <w:t>)</w:t>
      </w:r>
      <w:r w:rsidR="003A4FF2">
        <w:t>,</w:t>
      </w:r>
      <w:r w:rsidRPr="00BB3C05">
        <w:t xml:space="preserve"> 625-633.</w:t>
      </w:r>
      <w:proofErr w:type="gramEnd"/>
    </w:p>
    <w:p w:rsidR="006445FB" w:rsidRPr="00BB3C05" w:rsidRDefault="006445FB" w:rsidP="00530E94">
      <w:pPr>
        <w:pStyle w:val="Heading3"/>
      </w:pPr>
      <w:r w:rsidRPr="00BB3C05">
        <w:t>Patient overlap</w:t>
      </w:r>
    </w:p>
    <w:p w:rsidR="006445FB" w:rsidRPr="00BB3C05" w:rsidRDefault="006445FB" w:rsidP="009C594D">
      <w:r w:rsidRPr="00BB3C05">
        <w:t>Song, H. Y., Kim, J. H.</w:t>
      </w:r>
      <w:r w:rsidR="0090273D" w:rsidRPr="00BB3C05">
        <w:t xml:space="preserve"> </w:t>
      </w:r>
      <w:r w:rsidR="0090273D">
        <w:t>et al</w:t>
      </w:r>
      <w:r w:rsidRPr="00BB3C05">
        <w:t xml:space="preserve"> </w:t>
      </w:r>
      <w:r w:rsidR="00993CAF">
        <w:t>2007.</w:t>
      </w:r>
      <w:r w:rsidRPr="00BB3C05">
        <w:t xml:space="preserve"> </w:t>
      </w:r>
      <w:proofErr w:type="gramStart"/>
      <w:r w:rsidR="00993CAF">
        <w:t>‘</w:t>
      </w:r>
      <w:r w:rsidRPr="00BB3C05">
        <w:t>A dual-design expandable colorectal stent for malignant colorectal obstruction: results of a multicenter study</w:t>
      </w:r>
      <w:r w:rsidR="00993CAF">
        <w:t>’</w:t>
      </w:r>
      <w:r w:rsidRPr="00BB3C05">
        <w:t xml:space="preserve">, </w:t>
      </w:r>
      <w:r w:rsidRPr="0007443E">
        <w:rPr>
          <w:i/>
        </w:rPr>
        <w:t>Endoscopy</w:t>
      </w:r>
      <w:r w:rsidRPr="00BB3C05">
        <w:t>, 39</w:t>
      </w:r>
      <w:r w:rsidR="005267B7">
        <w:t xml:space="preserve"> (</w:t>
      </w:r>
      <w:r w:rsidRPr="00BB3C05">
        <w:t>5</w:t>
      </w:r>
      <w:r w:rsidR="005267B7">
        <w:t>)</w:t>
      </w:r>
      <w:r w:rsidR="003A4FF2">
        <w:t>,</w:t>
      </w:r>
      <w:r w:rsidRPr="00BB3C05">
        <w:t xml:space="preserve"> 448-454.</w:t>
      </w:r>
      <w:proofErr w:type="gramEnd"/>
    </w:p>
    <w:p w:rsidR="009C594D" w:rsidRPr="00BB3C05" w:rsidRDefault="009C594D" w:rsidP="00530E94">
      <w:pPr>
        <w:pStyle w:val="Heading3"/>
      </w:pPr>
      <w:r w:rsidRPr="00BB3C05">
        <w:t>Study could not be obtained</w:t>
      </w:r>
    </w:p>
    <w:p w:rsidR="009C594D" w:rsidRPr="00BB3C05" w:rsidRDefault="009C594D" w:rsidP="009C594D">
      <w:proofErr w:type="gramStart"/>
      <w:r w:rsidRPr="00BB3C05">
        <w:t>Al Samaraee, A., Fasih, T.</w:t>
      </w:r>
      <w:r w:rsidR="0090273D">
        <w:t xml:space="preserve"> and</w:t>
      </w:r>
      <w:r w:rsidRPr="00BB3C05">
        <w:t xml:space="preserve"> Hayat, M. </w:t>
      </w:r>
      <w:r w:rsidR="00993CAF">
        <w:t>2010.</w:t>
      </w:r>
      <w:proofErr w:type="gramEnd"/>
      <w:r w:rsidRPr="00BB3C05">
        <w:t xml:space="preserve"> </w:t>
      </w:r>
      <w:proofErr w:type="gramStart"/>
      <w:r w:rsidR="00993CAF">
        <w:t>‘</w:t>
      </w:r>
      <w:r w:rsidRPr="00BB3C05">
        <w:t>Use of self-expandable stents for obstructive distal and proximal large bowel cancer: a retrospective study in a single centre</w:t>
      </w:r>
      <w:r w:rsidR="00993CAF">
        <w:t>’</w:t>
      </w:r>
      <w:r w:rsidRPr="00BB3C05">
        <w:t xml:space="preserve">, </w:t>
      </w:r>
      <w:r w:rsidRPr="00BB3C05">
        <w:rPr>
          <w:i/>
          <w:iCs/>
        </w:rPr>
        <w:t>J</w:t>
      </w:r>
      <w:r w:rsidR="002705AE">
        <w:rPr>
          <w:i/>
          <w:iCs/>
        </w:rPr>
        <w:t>ournal of</w:t>
      </w:r>
      <w:r w:rsidRPr="00BB3C05">
        <w:rPr>
          <w:i/>
          <w:iCs/>
        </w:rPr>
        <w:t xml:space="preserve"> Gastrointest</w:t>
      </w:r>
      <w:r w:rsidR="002705AE">
        <w:rPr>
          <w:i/>
          <w:iCs/>
        </w:rPr>
        <w:t>inal</w:t>
      </w:r>
      <w:r w:rsidRPr="00BB3C05">
        <w:rPr>
          <w:i/>
          <w:iCs/>
        </w:rPr>
        <w:t xml:space="preserve"> Cancer</w:t>
      </w:r>
      <w:r w:rsidRPr="00BB3C05">
        <w:t>, 41</w:t>
      </w:r>
      <w:r w:rsidR="005267B7">
        <w:t xml:space="preserve"> (</w:t>
      </w:r>
      <w:r w:rsidRPr="00BB3C05">
        <w:t>1</w:t>
      </w:r>
      <w:r w:rsidR="005267B7">
        <w:t>)</w:t>
      </w:r>
      <w:r w:rsidR="003A4FF2">
        <w:t>,</w:t>
      </w:r>
      <w:r w:rsidRPr="00BB3C05">
        <w:t xml:space="preserve"> 43-46.</w:t>
      </w:r>
      <w:proofErr w:type="gramEnd"/>
    </w:p>
    <w:p w:rsidR="009C594D" w:rsidRPr="00BB3C05" w:rsidRDefault="009C594D" w:rsidP="009C594D">
      <w:r w:rsidRPr="00BB3C05">
        <w:t>Dell'Abate, P., Del Rio, P.</w:t>
      </w:r>
      <w:r w:rsidR="0090273D" w:rsidRPr="00BB3C05">
        <w:t xml:space="preserve"> </w:t>
      </w:r>
      <w:r w:rsidR="0090273D">
        <w:t>et al</w:t>
      </w:r>
      <w:r w:rsidRPr="00BB3C05">
        <w:t xml:space="preserve"> </w:t>
      </w:r>
      <w:r w:rsidR="00993CAF">
        <w:t>2003.</w:t>
      </w:r>
      <w:r w:rsidRPr="00BB3C05">
        <w:t xml:space="preserve"> </w:t>
      </w:r>
      <w:proofErr w:type="gramStart"/>
      <w:r w:rsidR="00993CAF">
        <w:t>‘</w:t>
      </w:r>
      <w:r w:rsidRPr="00BB3C05">
        <w:t>Self-expanding metal stents in the treatment of colonic obstruction</w:t>
      </w:r>
      <w:r w:rsidR="00993CAF">
        <w:t>’</w:t>
      </w:r>
      <w:r w:rsidRPr="00BB3C05">
        <w:t xml:space="preserve">, </w:t>
      </w:r>
      <w:r w:rsidRPr="00BB3C05">
        <w:rPr>
          <w:i/>
          <w:iCs/>
        </w:rPr>
        <w:t>Chirurgische Gastroenterologie Interdisziplinar</w:t>
      </w:r>
      <w:r w:rsidR="00BC467E">
        <w:t>,</w:t>
      </w:r>
      <w:r w:rsidR="009C3E87">
        <w:t xml:space="preserve"> </w:t>
      </w:r>
      <w:r w:rsidR="007649CB">
        <w:t>19 (</w:t>
      </w:r>
      <w:r w:rsidRPr="00BB3C05">
        <w:t>1</w:t>
      </w:r>
      <w:r w:rsidR="007649CB">
        <w:t>)</w:t>
      </w:r>
      <w:r w:rsidRPr="00BB3C05">
        <w:t>,</w:t>
      </w:r>
      <w:r w:rsidR="007649CB">
        <w:t xml:space="preserve"> 86-88.</w:t>
      </w:r>
      <w:proofErr w:type="gramEnd"/>
    </w:p>
    <w:p w:rsidR="009C594D" w:rsidRPr="00BB3C05" w:rsidRDefault="009C594D" w:rsidP="009C594D">
      <w:r w:rsidRPr="00BB3C05">
        <w:lastRenderedPageBreak/>
        <w:t>Okorie, M. I., Hussain, S. A.</w:t>
      </w:r>
      <w:r w:rsidR="0090273D" w:rsidRPr="00BB3C05">
        <w:t xml:space="preserve"> </w:t>
      </w:r>
      <w:r w:rsidR="0090273D">
        <w:t>et al</w:t>
      </w:r>
      <w:r w:rsidRPr="00BB3C05">
        <w:t xml:space="preserve"> </w:t>
      </w:r>
      <w:r w:rsidR="00993CAF">
        <w:t>2004.</w:t>
      </w:r>
      <w:r w:rsidRPr="00BB3C05">
        <w:t xml:space="preserve"> </w:t>
      </w:r>
      <w:proofErr w:type="gramStart"/>
      <w:r w:rsidR="00993CAF">
        <w:t>‘</w:t>
      </w:r>
      <w:r w:rsidRPr="00BB3C05">
        <w:t>The use of self-expandable metal stents in the palliation of malignant bowel obstruction</w:t>
      </w:r>
      <w:r w:rsidR="00993CAF">
        <w:t>’</w:t>
      </w:r>
      <w:r w:rsidRPr="00BB3C05">
        <w:t xml:space="preserve">, </w:t>
      </w:r>
      <w:r w:rsidRPr="00BB3C05">
        <w:rPr>
          <w:i/>
          <w:iCs/>
        </w:rPr>
        <w:t>Oncol</w:t>
      </w:r>
      <w:r w:rsidR="002705AE">
        <w:rPr>
          <w:i/>
          <w:iCs/>
        </w:rPr>
        <w:t>ogy</w:t>
      </w:r>
      <w:r w:rsidRPr="00BB3C05">
        <w:rPr>
          <w:i/>
          <w:iCs/>
        </w:rPr>
        <w:t xml:space="preserve"> Rep</w:t>
      </w:r>
      <w:r w:rsidR="002705AE">
        <w:rPr>
          <w:i/>
          <w:iCs/>
        </w:rPr>
        <w:t>orts</w:t>
      </w:r>
      <w:r w:rsidRPr="00BB3C05">
        <w:t>, 12</w:t>
      </w:r>
      <w:r w:rsidR="005267B7">
        <w:t xml:space="preserve"> (</w:t>
      </w:r>
      <w:r w:rsidRPr="00BB3C05">
        <w:t>1</w:t>
      </w:r>
      <w:r w:rsidR="005267B7">
        <w:t>)</w:t>
      </w:r>
      <w:r w:rsidR="003A4FF2">
        <w:t>,</w:t>
      </w:r>
      <w:r w:rsidRPr="00BB3C05">
        <w:t xml:space="preserve"> 67-71.</w:t>
      </w:r>
      <w:proofErr w:type="gramEnd"/>
    </w:p>
    <w:p w:rsidR="009C594D" w:rsidRPr="00BB3C05" w:rsidRDefault="009C594D" w:rsidP="009C594D">
      <w:proofErr w:type="gramStart"/>
      <w:r w:rsidRPr="00BB3C05">
        <w:t>Paul, D. L., Pinto, P., I</w:t>
      </w:r>
      <w:r w:rsidR="0090273D">
        <w:t>. and</w:t>
      </w:r>
      <w:r w:rsidRPr="00BB3C05">
        <w:t xml:space="preserve"> Fernandez, L. R. 1998, </w:t>
      </w:r>
      <w:r w:rsidR="00993CAF">
        <w:t>‘</w:t>
      </w:r>
      <w:r w:rsidRPr="00BB3C05">
        <w:t>Metallic stents as a palliative measure in obstructive colon cancer</w:t>
      </w:r>
      <w:r w:rsidR="00993CAF">
        <w:t>’</w:t>
      </w:r>
      <w:r w:rsidRPr="00BB3C05">
        <w:t xml:space="preserve">, </w:t>
      </w:r>
      <w:r w:rsidRPr="00BB3C05">
        <w:rPr>
          <w:i/>
          <w:iCs/>
        </w:rPr>
        <w:t>Journal of Interventional Radiology</w:t>
      </w:r>
      <w:r w:rsidR="009C3E87">
        <w:t>,</w:t>
      </w:r>
      <w:r w:rsidRPr="00BB3C05">
        <w:t xml:space="preserve"> </w:t>
      </w:r>
      <w:r w:rsidR="007649CB">
        <w:t>13 (</w:t>
      </w:r>
      <w:r w:rsidRPr="00BB3C05">
        <w:t>1</w:t>
      </w:r>
      <w:r w:rsidR="007649CB">
        <w:t>)</w:t>
      </w:r>
      <w:r w:rsidRPr="00BB3C05">
        <w:t>,</w:t>
      </w:r>
      <w:r w:rsidR="007649CB">
        <w:t xml:space="preserve"> 24-30.</w:t>
      </w:r>
      <w:proofErr w:type="gramEnd"/>
    </w:p>
    <w:p w:rsidR="00E40FC9" w:rsidRDefault="009C594D" w:rsidP="00F62DA4">
      <w:pPr>
        <w:sectPr w:rsidR="00E40FC9" w:rsidSect="00177142">
          <w:footerReference w:type="even" r:id="rId53"/>
          <w:footerReference w:type="default" r:id="rId54"/>
          <w:pgSz w:w="11906" w:h="16838" w:code="9"/>
          <w:pgMar w:top="1440" w:right="1440" w:bottom="1440" w:left="1440" w:header="720" w:footer="720" w:gutter="0"/>
          <w:paperSrc w:first="7" w:other="7"/>
          <w:cols w:space="720"/>
        </w:sectPr>
      </w:pPr>
      <w:proofErr w:type="gramStart"/>
      <w:r w:rsidRPr="00BB3C05">
        <w:t>Rosen, D. R., Chen, L.</w:t>
      </w:r>
      <w:r w:rsidR="0090273D" w:rsidRPr="00BB3C05">
        <w:t xml:space="preserve"> </w:t>
      </w:r>
      <w:r w:rsidR="0090273D">
        <w:t>et al</w:t>
      </w:r>
      <w:r w:rsidRPr="00BB3C05">
        <w:t xml:space="preserve"> </w:t>
      </w:r>
      <w:r w:rsidR="00993CAF">
        <w:t>2011.</w:t>
      </w:r>
      <w:proofErr w:type="gramEnd"/>
      <w:r w:rsidRPr="00BB3C05">
        <w:t xml:space="preserve"> </w:t>
      </w:r>
      <w:proofErr w:type="gramStart"/>
      <w:r w:rsidR="00993CAF">
        <w:t>‘</w:t>
      </w:r>
      <w:r w:rsidRPr="00BB3C05">
        <w:t>Perforation after stenting of obstructing sigmoid cancer caused by acute angulation of the colon</w:t>
      </w:r>
      <w:r w:rsidR="00993CAF">
        <w:t>’</w:t>
      </w:r>
      <w:r w:rsidRPr="00BB3C05">
        <w:t xml:space="preserve">, </w:t>
      </w:r>
      <w:r w:rsidR="007649CB">
        <w:rPr>
          <w:i/>
          <w:iCs/>
        </w:rPr>
        <w:t>The A</w:t>
      </w:r>
      <w:r w:rsidRPr="00BB3C05">
        <w:rPr>
          <w:i/>
          <w:iCs/>
        </w:rPr>
        <w:t>merican Surgeon</w:t>
      </w:r>
      <w:r w:rsidR="009C3E87">
        <w:rPr>
          <w:iCs/>
        </w:rPr>
        <w:t>,</w:t>
      </w:r>
      <w:r w:rsidRPr="00BB3C05">
        <w:t xml:space="preserve"> </w:t>
      </w:r>
      <w:r w:rsidR="007649CB">
        <w:t>77 (</w:t>
      </w:r>
      <w:r w:rsidRPr="00BB3C05">
        <w:t>9</w:t>
      </w:r>
      <w:r w:rsidR="007649CB">
        <w:t>)</w:t>
      </w:r>
      <w:r w:rsidRPr="00BB3C05">
        <w:t>,</w:t>
      </w:r>
      <w:r w:rsidR="007649CB">
        <w:t xml:space="preserve"> E186-E187.</w:t>
      </w:r>
      <w:proofErr w:type="gramEnd"/>
    </w:p>
    <w:p w:rsidR="00441959" w:rsidRPr="00C605D6" w:rsidRDefault="00441959" w:rsidP="00E40FC9">
      <w:pPr>
        <w:pStyle w:val="Heading1"/>
        <w:ind w:left="0" w:firstLine="0"/>
      </w:pPr>
      <w:bookmarkStart w:id="373" w:name="_Toc352924458"/>
      <w:r w:rsidRPr="00C605D6">
        <w:lastRenderedPageBreak/>
        <w:t xml:space="preserve">Appendix </w:t>
      </w:r>
      <w:r w:rsidR="00F76B65">
        <w:rPr>
          <w:bCs/>
          <w:lang w:val="en-AU"/>
        </w:rPr>
        <w:t>J</w:t>
      </w:r>
      <w:r w:rsidR="004A391B">
        <w:rPr>
          <w:lang w:val="en-AU"/>
        </w:rPr>
        <w:tab/>
      </w:r>
      <w:r w:rsidRPr="00C605D6">
        <w:t>Sensitiv</w:t>
      </w:r>
      <w:r>
        <w:t>ity</w:t>
      </w:r>
      <w:r w:rsidRPr="00C605D6">
        <w:t xml:space="preserve"> analysis</w:t>
      </w:r>
      <w:bookmarkEnd w:id="373"/>
    </w:p>
    <w:p w:rsidR="00441959" w:rsidRPr="0015496C" w:rsidRDefault="00441959" w:rsidP="00E40FC9">
      <w:pPr>
        <w:pStyle w:val="StyleTableNameLeft1cm"/>
        <w:rPr>
          <w:lang w:val="en-AU"/>
        </w:rPr>
      </w:pPr>
      <w:r w:rsidRPr="00C605D6">
        <w:t>One-way sensitivity analysis (SEMS vs Colostomy for palliative treatment)</w:t>
      </w:r>
    </w:p>
    <w:p w:rsidR="001614DB" w:rsidRPr="0047347F" w:rsidRDefault="00516B5D" w:rsidP="00B726E0">
      <w:pPr>
        <w:pStyle w:val="TableNotes"/>
        <w:rPr>
          <w:noProof/>
        </w:rPr>
      </w:pPr>
      <w:r>
        <w:rPr>
          <w:noProof/>
          <w:lang w:val="en-AU" w:eastAsia="en-AU"/>
        </w:rPr>
        <w:drawing>
          <wp:inline distT="0" distB="0" distL="0" distR="0" wp14:anchorId="5161B4C3" wp14:editId="2C607D33">
            <wp:extent cx="7506335" cy="4476115"/>
            <wp:effectExtent l="0" t="0" r="0" b="635"/>
            <wp:docPr id="12" name="Picture 4" descr="One-way sensitivity analysis (SEMS vs Colostomy for palliative treatment)" title="One-way sensitivity analysis (SEMS vs Colostomy for palliative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506335" cy="4476115"/>
                    </a:xfrm>
                    <a:prstGeom prst="rect">
                      <a:avLst/>
                    </a:prstGeom>
                    <a:noFill/>
                    <a:ln>
                      <a:noFill/>
                    </a:ln>
                  </pic:spPr>
                </pic:pic>
              </a:graphicData>
            </a:graphic>
          </wp:inline>
        </w:drawing>
      </w:r>
    </w:p>
    <w:p w:rsidR="00441959" w:rsidRPr="0015496C" w:rsidRDefault="001614DB" w:rsidP="0007443E">
      <w:pPr>
        <w:pStyle w:val="TableNotes"/>
        <w:rPr>
          <w:szCs w:val="16"/>
          <w:lang w:val="en-AU"/>
        </w:rPr>
      </w:pPr>
      <w:r w:rsidRPr="001614DB">
        <w:rPr>
          <w:szCs w:val="16"/>
          <w:lang w:val="en-AU"/>
        </w:rPr>
        <w:t xml:space="preserve">ICER: </w:t>
      </w:r>
      <w:r w:rsidRPr="0015496C">
        <w:rPr>
          <w:szCs w:val="16"/>
          <w:lang w:val="en-AU" w:eastAsia="en-AU"/>
        </w:rPr>
        <w:t>incremental cost-effectiveness ratio; QALY: quality-adjusted life year</w:t>
      </w:r>
    </w:p>
    <w:p w:rsidR="00441959" w:rsidRDefault="00441959" w:rsidP="00E40FC9">
      <w:pPr>
        <w:pStyle w:val="StyleTableNameLeft1cm"/>
      </w:pPr>
      <w:r w:rsidRPr="00C605D6">
        <w:lastRenderedPageBreak/>
        <w:t xml:space="preserve">One-way sensitivity analysis (SEMS vs Colostomy/Hartmann’s procedure as a </w:t>
      </w:r>
      <w:r w:rsidR="003617AD">
        <w:t>bridge to surgery</w:t>
      </w:r>
      <w:r w:rsidRPr="00C605D6">
        <w:t>)</w:t>
      </w:r>
    </w:p>
    <w:p w:rsidR="00441959" w:rsidRDefault="00516B5D" w:rsidP="00704E10">
      <w:pPr>
        <w:spacing w:after="0"/>
        <w:jc w:val="both"/>
      </w:pPr>
      <w:r>
        <w:rPr>
          <w:noProof/>
        </w:rPr>
        <w:drawing>
          <wp:inline distT="0" distB="0" distL="0" distR="0" wp14:anchorId="0CAFD7A3" wp14:editId="50F02DFA">
            <wp:extent cx="8453120" cy="4912360"/>
            <wp:effectExtent l="0" t="0" r="5080" b="2540"/>
            <wp:docPr id="13" name="Picture 2" descr="One-way sensitivity analysis (SEMS vs Colostomy/Hartmann’s procedure as a bridge to surgery)" title="One-way sensitivity analysis (SEMS vs Colostomy/Hartmann’s procedure as a bridge to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453120" cy="4912360"/>
                    </a:xfrm>
                    <a:prstGeom prst="rect">
                      <a:avLst/>
                    </a:prstGeom>
                    <a:noFill/>
                    <a:ln>
                      <a:noFill/>
                    </a:ln>
                  </pic:spPr>
                </pic:pic>
              </a:graphicData>
            </a:graphic>
          </wp:inline>
        </w:drawing>
      </w:r>
    </w:p>
    <w:p w:rsidR="00E40FC9" w:rsidRPr="0015496C" w:rsidRDefault="001614DB" w:rsidP="00EE092B">
      <w:pPr>
        <w:ind w:left="0"/>
        <w:rPr>
          <w:rFonts w:ascii="Arial Narrow" w:hAnsi="Arial Narrow"/>
          <w:sz w:val="16"/>
          <w:szCs w:val="16"/>
        </w:rPr>
        <w:sectPr w:rsidR="00E40FC9" w:rsidRPr="0015496C" w:rsidSect="00E40FC9">
          <w:footerReference w:type="even" r:id="rId57"/>
          <w:footerReference w:type="default" r:id="rId58"/>
          <w:pgSz w:w="16838" w:h="11906" w:orient="landscape" w:code="9"/>
          <w:pgMar w:top="1440" w:right="1440" w:bottom="1440" w:left="1440" w:header="720" w:footer="720" w:gutter="0"/>
          <w:paperSrc w:first="4" w:other="4"/>
          <w:cols w:space="720"/>
        </w:sectPr>
      </w:pPr>
      <w:r w:rsidRPr="0015496C">
        <w:rPr>
          <w:rFonts w:ascii="Arial Narrow" w:hAnsi="Arial Narrow"/>
          <w:sz w:val="16"/>
          <w:szCs w:val="16"/>
        </w:rPr>
        <w:t>ICER: incremental cost-effectiveness ratio; QALY: quality-adjusted life year</w:t>
      </w:r>
    </w:p>
    <w:p w:rsidR="008F59A8" w:rsidRPr="00BB3C05" w:rsidRDefault="00FB42FA" w:rsidP="00EE092B">
      <w:pPr>
        <w:pStyle w:val="Heading1"/>
        <w:ind w:left="0" w:firstLine="0"/>
      </w:pPr>
      <w:bookmarkStart w:id="374" w:name="_Toc214339204"/>
      <w:bookmarkStart w:id="375" w:name="_Toc352924459"/>
      <w:bookmarkEnd w:id="368"/>
      <w:r w:rsidRPr="00BB3C05">
        <w:lastRenderedPageBreak/>
        <w:t>Glossary and a</w:t>
      </w:r>
      <w:r w:rsidR="008F59A8" w:rsidRPr="00BB3C05">
        <w:t>bbreviations</w:t>
      </w:r>
      <w:bookmarkEnd w:id="374"/>
      <w:bookmarkEnd w:id="375"/>
      <w:r w:rsidR="008F59A8" w:rsidRPr="00BB3C05">
        <w:t xml:space="preserve"> </w:t>
      </w:r>
    </w:p>
    <w:p w:rsidR="00940B77" w:rsidRDefault="00940B77" w:rsidP="00F977BB">
      <w:pPr>
        <w:tabs>
          <w:tab w:val="left" w:pos="2835"/>
        </w:tabs>
      </w:pPr>
      <w:r w:rsidRPr="00940B77">
        <w:t xml:space="preserve">AHMAC </w:t>
      </w:r>
      <w:r>
        <w:tab/>
      </w:r>
      <w:r w:rsidRPr="00940B77">
        <w:t>Australian Heal</w:t>
      </w:r>
      <w:r>
        <w:t>th Ministers’ Advisory Council</w:t>
      </w:r>
    </w:p>
    <w:p w:rsidR="003D4E02" w:rsidRDefault="003D4E02" w:rsidP="00F977BB">
      <w:pPr>
        <w:tabs>
          <w:tab w:val="left" w:pos="2835"/>
        </w:tabs>
      </w:pPr>
      <w:r>
        <w:t>AIHW</w:t>
      </w:r>
      <w:r w:rsidR="00370943">
        <w:tab/>
      </w:r>
      <w:r w:rsidRPr="003D4E02">
        <w:t>Australian Institute of Health and Welfare</w:t>
      </w:r>
    </w:p>
    <w:p w:rsidR="00C647A7" w:rsidRPr="00BB3C05" w:rsidRDefault="00F977BB" w:rsidP="00F977BB">
      <w:pPr>
        <w:tabs>
          <w:tab w:val="left" w:pos="2835"/>
        </w:tabs>
      </w:pPr>
      <w:r w:rsidRPr="00BB3C05">
        <w:t>APC</w:t>
      </w:r>
      <w:r>
        <w:tab/>
        <w:t>a</w:t>
      </w:r>
      <w:r w:rsidR="00C647A7" w:rsidRPr="00BB3C05">
        <w:t>rgon plasma coagulation</w:t>
      </w:r>
      <w:r w:rsidR="00C647A7" w:rsidRPr="00BB3C05">
        <w:tab/>
      </w:r>
    </w:p>
    <w:p w:rsidR="00C647A7" w:rsidRPr="00BB3C05" w:rsidRDefault="00C647A7" w:rsidP="00F977BB">
      <w:pPr>
        <w:tabs>
          <w:tab w:val="left" w:pos="2835"/>
        </w:tabs>
      </w:pPr>
      <w:r w:rsidRPr="00BB3C05">
        <w:t>AR-</w:t>
      </w:r>
      <w:r w:rsidR="00F977BB" w:rsidRPr="00BB3C05">
        <w:t>DRG</w:t>
      </w:r>
      <w:r w:rsidR="00F977BB">
        <w:tab/>
      </w:r>
      <w:r w:rsidRPr="00BB3C05">
        <w:t>Australian Refined Diagnostic Related Group</w:t>
      </w:r>
    </w:p>
    <w:p w:rsidR="00C647A7" w:rsidRPr="00BB3C05" w:rsidRDefault="00F977BB" w:rsidP="00F977BB">
      <w:pPr>
        <w:tabs>
          <w:tab w:val="left" w:pos="2835"/>
        </w:tabs>
      </w:pPr>
      <w:r w:rsidRPr="00BB3C05">
        <w:t>ARTG</w:t>
      </w:r>
      <w:r>
        <w:tab/>
      </w:r>
      <w:r w:rsidR="00C647A7" w:rsidRPr="00BB3C05">
        <w:t>Australian Register of Therapeutic Goods</w:t>
      </w:r>
    </w:p>
    <w:p w:rsidR="000F5C4A" w:rsidRDefault="000F5C4A" w:rsidP="0007443E">
      <w:pPr>
        <w:tabs>
          <w:tab w:val="left" w:pos="2835"/>
        </w:tabs>
        <w:ind w:left="2835" w:hanging="2126"/>
      </w:pPr>
      <w:r>
        <w:t>ASA</w:t>
      </w:r>
      <w:r>
        <w:tab/>
        <w:t>Australian Society of Anaesthetists</w:t>
      </w:r>
    </w:p>
    <w:p w:rsidR="00C647A7" w:rsidRPr="00BB3C05" w:rsidRDefault="00C647A7" w:rsidP="0007443E">
      <w:pPr>
        <w:tabs>
          <w:tab w:val="left" w:pos="2835"/>
        </w:tabs>
        <w:ind w:left="2835" w:hanging="2126"/>
      </w:pPr>
      <w:r w:rsidRPr="00BB3C05">
        <w:t>ASERNIP</w:t>
      </w:r>
      <w:r w:rsidR="00F977BB">
        <w:t>-</w:t>
      </w:r>
      <w:r w:rsidR="00F977BB" w:rsidRPr="00BB3C05">
        <w:t>S</w:t>
      </w:r>
      <w:r w:rsidR="00F977BB">
        <w:tab/>
      </w:r>
      <w:r w:rsidRPr="00BB3C05">
        <w:t>Australian Safety and Efficacy Register of New Interventional Procedures – Surgical</w:t>
      </w:r>
    </w:p>
    <w:p w:rsidR="00C647A7" w:rsidRPr="00BB3C05" w:rsidRDefault="00C647A7" w:rsidP="00F977BB">
      <w:pPr>
        <w:tabs>
          <w:tab w:val="left" w:pos="2835"/>
        </w:tabs>
      </w:pPr>
      <w:r w:rsidRPr="00BB3C05">
        <w:t>CHERE</w:t>
      </w:r>
      <w:r w:rsidR="00665EB9" w:rsidRPr="00BB3C05">
        <w:tab/>
      </w:r>
      <w:r w:rsidRPr="00BB3C05">
        <w:t>Centre for Health Economics Research and Evaluation</w:t>
      </w:r>
    </w:p>
    <w:p w:rsidR="00665EB9" w:rsidRPr="00BB3C05" w:rsidRDefault="00665EB9" w:rsidP="00F977BB">
      <w:pPr>
        <w:tabs>
          <w:tab w:val="left" w:pos="2835"/>
        </w:tabs>
      </w:pPr>
      <w:r w:rsidRPr="00BB3C05">
        <w:t xml:space="preserve">CSSANZ </w:t>
      </w:r>
      <w:r w:rsidRPr="00BB3C05">
        <w:tab/>
        <w:t>Colorectal Surgical Society of Australia and New Zealand</w:t>
      </w:r>
    </w:p>
    <w:p w:rsidR="00FC764B" w:rsidRPr="00BB3C05" w:rsidRDefault="00FC764B" w:rsidP="00F977BB">
      <w:pPr>
        <w:tabs>
          <w:tab w:val="left" w:pos="2835"/>
        </w:tabs>
      </w:pPr>
      <w:r w:rsidRPr="00BB3C05">
        <w:t xml:space="preserve">DRG </w:t>
      </w:r>
      <w:r w:rsidRPr="00BB3C05">
        <w:tab/>
      </w:r>
      <w:r w:rsidRPr="00BB3C05">
        <w:tab/>
      </w:r>
      <w:r w:rsidR="00F977BB">
        <w:t>d</w:t>
      </w:r>
      <w:r w:rsidRPr="00BB3C05">
        <w:t xml:space="preserve">iagnosis </w:t>
      </w:r>
      <w:r w:rsidR="00F977BB">
        <w:t>r</w:t>
      </w:r>
      <w:r w:rsidRPr="00BB3C05">
        <w:t xml:space="preserve">elated </w:t>
      </w:r>
      <w:r w:rsidR="00F977BB">
        <w:t>g</w:t>
      </w:r>
      <w:r w:rsidRPr="00BB3C05">
        <w:t>roup</w:t>
      </w:r>
    </w:p>
    <w:p w:rsidR="00852753" w:rsidRDefault="00852753" w:rsidP="00F977BB">
      <w:pPr>
        <w:tabs>
          <w:tab w:val="left" w:pos="2835"/>
        </w:tabs>
      </w:pPr>
      <w:r w:rsidRPr="00852753">
        <w:t>FACT-C</w:t>
      </w:r>
      <w:r>
        <w:tab/>
      </w:r>
      <w:r w:rsidRPr="00852753">
        <w:t xml:space="preserve">Functional Assessment of Cancer Therapy – Colorectal </w:t>
      </w:r>
      <w:r>
        <w:t xml:space="preserve"> </w:t>
      </w:r>
    </w:p>
    <w:tbl>
      <w:tblPr>
        <w:tblW w:w="0" w:type="auto"/>
        <w:tblInd w:w="720" w:type="dxa"/>
        <w:tblLook w:val="04A0" w:firstRow="1" w:lastRow="0" w:firstColumn="1" w:lastColumn="0" w:noHBand="0" w:noVBand="1"/>
      </w:tblPr>
      <w:tblGrid>
        <w:gridCol w:w="2245"/>
        <w:gridCol w:w="5529"/>
      </w:tblGrid>
      <w:tr w:rsidR="00516B5D" w:rsidTr="0042762F">
        <w:tc>
          <w:tcPr>
            <w:tcW w:w="2245" w:type="dxa"/>
          </w:tcPr>
          <w:p w:rsidR="00516B5D" w:rsidRDefault="00516B5D" w:rsidP="0042762F">
            <w:pPr>
              <w:ind w:left="0"/>
            </w:pPr>
            <w:r>
              <w:t>HESP</w:t>
            </w:r>
          </w:p>
        </w:tc>
        <w:tc>
          <w:tcPr>
            <w:tcW w:w="5529" w:type="dxa"/>
          </w:tcPr>
          <w:p w:rsidR="00516B5D" w:rsidRDefault="00516B5D" w:rsidP="0042762F">
            <w:pPr>
              <w:ind w:left="0"/>
            </w:pPr>
            <w:r>
              <w:t>Health Expert Standing Panel</w:t>
            </w:r>
          </w:p>
        </w:tc>
      </w:tr>
    </w:tbl>
    <w:p w:rsidR="00FC764B" w:rsidRPr="00BB3C05" w:rsidRDefault="00FC764B" w:rsidP="00F977BB">
      <w:pPr>
        <w:tabs>
          <w:tab w:val="left" w:pos="2835"/>
        </w:tabs>
      </w:pPr>
      <w:r w:rsidRPr="00BB3C05">
        <w:t xml:space="preserve">HTA </w:t>
      </w:r>
      <w:r w:rsidRPr="00BB3C05">
        <w:tab/>
      </w:r>
      <w:r w:rsidRPr="00BB3C05">
        <w:tab/>
      </w:r>
      <w:r w:rsidR="00F977BB">
        <w:t>h</w:t>
      </w:r>
      <w:r w:rsidRPr="00BB3C05">
        <w:t>ealth technology assessment</w:t>
      </w:r>
    </w:p>
    <w:p w:rsidR="00441959" w:rsidRPr="00C605D6" w:rsidRDefault="00441959" w:rsidP="00F977BB">
      <w:pPr>
        <w:tabs>
          <w:tab w:val="left" w:pos="2835"/>
        </w:tabs>
      </w:pPr>
      <w:r>
        <w:t xml:space="preserve">ICER </w:t>
      </w:r>
      <w:r>
        <w:tab/>
      </w:r>
      <w:r>
        <w:tab/>
      </w:r>
      <w:r w:rsidR="00F977BB">
        <w:t>i</w:t>
      </w:r>
      <w:r w:rsidR="008D7AAB" w:rsidRPr="00C605D6">
        <w:t xml:space="preserve">ncremental </w:t>
      </w:r>
      <w:r w:rsidRPr="00C605D6">
        <w:t>cost-effectiveness ratio</w:t>
      </w:r>
    </w:p>
    <w:p w:rsidR="00F977BB" w:rsidRDefault="00F977BB" w:rsidP="00F977BB">
      <w:pPr>
        <w:tabs>
          <w:tab w:val="left" w:pos="2835"/>
        </w:tabs>
      </w:pPr>
      <w:r>
        <w:t>ICU</w:t>
      </w:r>
      <w:r>
        <w:tab/>
      </w:r>
      <w:r>
        <w:tab/>
        <w:t>intensive care unit</w:t>
      </w:r>
    </w:p>
    <w:p w:rsidR="00FC764B" w:rsidRPr="00BB3C05" w:rsidRDefault="00FC764B" w:rsidP="00F977BB">
      <w:pPr>
        <w:tabs>
          <w:tab w:val="left" w:pos="2835"/>
        </w:tabs>
      </w:pPr>
      <w:r w:rsidRPr="00BB3C05">
        <w:t xml:space="preserve">IQR </w:t>
      </w:r>
      <w:r w:rsidRPr="00BB3C05">
        <w:tab/>
      </w:r>
      <w:r w:rsidRPr="00BB3C05">
        <w:tab/>
      </w:r>
      <w:r w:rsidR="00F977BB">
        <w:t>i</w:t>
      </w:r>
      <w:r w:rsidRPr="00BB3C05">
        <w:t>nterquartile range</w:t>
      </w:r>
    </w:p>
    <w:p w:rsidR="00521587" w:rsidRDefault="00521587" w:rsidP="00F977BB">
      <w:pPr>
        <w:tabs>
          <w:tab w:val="left" w:pos="2835"/>
        </w:tabs>
        <w:ind w:left="2835" w:hanging="2126"/>
      </w:pPr>
      <w:r>
        <w:t>ITT</w:t>
      </w:r>
      <w:r>
        <w:tab/>
        <w:t>intention to treat</w:t>
      </w:r>
    </w:p>
    <w:p w:rsidR="00441959" w:rsidRDefault="00441959" w:rsidP="00F977BB">
      <w:pPr>
        <w:tabs>
          <w:tab w:val="left" w:pos="2835"/>
        </w:tabs>
      </w:pPr>
      <w:r>
        <w:t>LOS</w:t>
      </w:r>
      <w:r>
        <w:tab/>
      </w:r>
      <w:r>
        <w:tab/>
      </w:r>
      <w:r w:rsidRPr="00C605D6">
        <w:t>length of hospital stay</w:t>
      </w:r>
    </w:p>
    <w:p w:rsidR="008012FA" w:rsidRPr="00C605D6" w:rsidRDefault="008012FA" w:rsidP="00F977BB">
      <w:pPr>
        <w:tabs>
          <w:tab w:val="left" w:pos="2835"/>
        </w:tabs>
      </w:pPr>
      <w:r>
        <w:t>LYG</w:t>
      </w:r>
      <w:r>
        <w:tab/>
        <w:t>life year gained</w:t>
      </w:r>
    </w:p>
    <w:p w:rsidR="00FC764B" w:rsidRPr="00BB3C05" w:rsidRDefault="00FC764B" w:rsidP="00F977BB">
      <w:pPr>
        <w:tabs>
          <w:tab w:val="left" w:pos="2835"/>
        </w:tabs>
      </w:pPr>
      <w:r w:rsidRPr="00BB3C05">
        <w:t>MBS</w:t>
      </w:r>
      <w:r w:rsidRPr="00BB3C05">
        <w:tab/>
      </w:r>
      <w:r w:rsidRPr="00BB3C05">
        <w:tab/>
        <w:t>Medicare Benefits Schedule</w:t>
      </w:r>
    </w:p>
    <w:p w:rsidR="00FC764B" w:rsidRPr="00BB3C05" w:rsidRDefault="00FC764B" w:rsidP="00F977BB">
      <w:pPr>
        <w:tabs>
          <w:tab w:val="left" w:pos="2835"/>
        </w:tabs>
      </w:pPr>
      <w:r w:rsidRPr="00BB3C05">
        <w:t>MSAC</w:t>
      </w:r>
      <w:r w:rsidRPr="00BB3C05">
        <w:tab/>
      </w:r>
      <w:r w:rsidRPr="00BB3C05">
        <w:tab/>
        <w:t>Medical Services Advisory Committee</w:t>
      </w:r>
    </w:p>
    <w:p w:rsidR="00FC764B" w:rsidRPr="00BB3C05" w:rsidRDefault="00FC764B" w:rsidP="00F977BB">
      <w:pPr>
        <w:tabs>
          <w:tab w:val="left" w:pos="2835"/>
        </w:tabs>
      </w:pPr>
      <w:r w:rsidRPr="00BB3C05">
        <w:t>NHMRC</w:t>
      </w:r>
      <w:r w:rsidRPr="00BB3C05">
        <w:tab/>
      </w:r>
      <w:r w:rsidRPr="00BB3C05">
        <w:tab/>
        <w:t>National Health and Medical Research Council</w:t>
      </w:r>
    </w:p>
    <w:p w:rsidR="00FC764B" w:rsidRPr="00BB3C05" w:rsidRDefault="00FC764B" w:rsidP="00F977BB">
      <w:pPr>
        <w:tabs>
          <w:tab w:val="left" w:pos="2835"/>
        </w:tabs>
      </w:pPr>
      <w:r w:rsidRPr="00BB3C05">
        <w:t>PASC</w:t>
      </w:r>
      <w:r w:rsidRPr="00BB3C05">
        <w:tab/>
      </w:r>
      <w:r w:rsidRPr="00BB3C05">
        <w:tab/>
        <w:t>Protocol Advisory Sub-Committee</w:t>
      </w:r>
    </w:p>
    <w:p w:rsidR="00FC764B" w:rsidRPr="00BB3C05" w:rsidRDefault="00FC764B" w:rsidP="00F977BB">
      <w:pPr>
        <w:tabs>
          <w:tab w:val="left" w:pos="2835"/>
        </w:tabs>
        <w:ind w:left="2835" w:hanging="2115"/>
      </w:pPr>
      <w:r w:rsidRPr="00BB3C05">
        <w:t>PRISMA</w:t>
      </w:r>
      <w:r w:rsidRPr="00BB3C05">
        <w:tab/>
      </w:r>
      <w:r w:rsidRPr="00BB3C05">
        <w:tab/>
      </w:r>
      <w:r w:rsidR="00F977BB" w:rsidRPr="00BB3C05">
        <w:rPr>
          <w:lang w:eastAsia="en-US"/>
        </w:rPr>
        <w:t>preferred</w:t>
      </w:r>
      <w:r w:rsidR="00F977BB" w:rsidRPr="00BB3C05">
        <w:t xml:space="preserve"> reporting items for systematic reviews and meta-analyses</w:t>
      </w:r>
    </w:p>
    <w:p w:rsidR="00FC764B" w:rsidRPr="00BB3C05" w:rsidRDefault="00FC764B" w:rsidP="00F977BB">
      <w:pPr>
        <w:tabs>
          <w:tab w:val="left" w:pos="2835"/>
        </w:tabs>
      </w:pPr>
      <w:r w:rsidRPr="00BB3C05">
        <w:t xml:space="preserve">QALY </w:t>
      </w:r>
      <w:r w:rsidRPr="00BB3C05">
        <w:tab/>
      </w:r>
      <w:r w:rsidRPr="00BB3C05">
        <w:tab/>
      </w:r>
      <w:r w:rsidR="00F977BB" w:rsidRPr="00BB3C05">
        <w:t>q</w:t>
      </w:r>
      <w:r w:rsidRPr="00BB3C05">
        <w:t>uality-adjusted life year</w:t>
      </w:r>
    </w:p>
    <w:p w:rsidR="00FC764B" w:rsidRPr="00BB3C05" w:rsidRDefault="00FC764B" w:rsidP="00F977BB">
      <w:pPr>
        <w:tabs>
          <w:tab w:val="left" w:pos="2835"/>
        </w:tabs>
      </w:pPr>
      <w:r w:rsidRPr="00BB3C05">
        <w:lastRenderedPageBreak/>
        <w:t xml:space="preserve">RCT </w:t>
      </w:r>
      <w:r w:rsidRPr="00BB3C05">
        <w:tab/>
      </w:r>
      <w:r w:rsidRPr="00BB3C05">
        <w:tab/>
      </w:r>
      <w:r w:rsidR="00F977BB" w:rsidRPr="00BB3C05">
        <w:t>r</w:t>
      </w:r>
      <w:r w:rsidRPr="00BB3C05">
        <w:t>andomised controlled trial</w:t>
      </w:r>
    </w:p>
    <w:p w:rsidR="00FC764B" w:rsidRPr="00BB3C05" w:rsidRDefault="00FC764B" w:rsidP="00F977BB">
      <w:pPr>
        <w:tabs>
          <w:tab w:val="left" w:pos="2835"/>
        </w:tabs>
      </w:pPr>
      <w:r w:rsidRPr="00BB3C05">
        <w:t xml:space="preserve">SEMS </w:t>
      </w:r>
      <w:r w:rsidRPr="00BB3C05">
        <w:tab/>
      </w:r>
      <w:r w:rsidRPr="00BB3C05">
        <w:tab/>
      </w:r>
      <w:r w:rsidR="00CE0D06">
        <w:t>s</w:t>
      </w:r>
      <w:r w:rsidRPr="00BB3C05">
        <w:t>elf</w:t>
      </w:r>
      <w:r w:rsidR="00CE0D06">
        <w:t>-</w:t>
      </w:r>
      <w:r w:rsidRPr="00BB3C05">
        <w:t>expanding metallic stent</w:t>
      </w:r>
    </w:p>
    <w:p w:rsidR="00FC764B" w:rsidRPr="00BB3C05" w:rsidRDefault="00FC764B" w:rsidP="00F977BB">
      <w:pPr>
        <w:tabs>
          <w:tab w:val="left" w:pos="2835"/>
        </w:tabs>
      </w:pPr>
      <w:r w:rsidRPr="00BB3C05">
        <w:t>SD</w:t>
      </w:r>
      <w:r w:rsidRPr="00BB3C05">
        <w:tab/>
      </w:r>
      <w:r w:rsidRPr="00BB3C05">
        <w:tab/>
        <w:t>standard deviation</w:t>
      </w:r>
    </w:p>
    <w:p w:rsidR="008F1C4F" w:rsidRDefault="00F977BB" w:rsidP="00F977BB">
      <w:pPr>
        <w:tabs>
          <w:tab w:val="left" w:pos="2835"/>
        </w:tabs>
      </w:pPr>
      <w:r>
        <w:t>TGA</w:t>
      </w:r>
      <w:r>
        <w:tab/>
      </w:r>
      <w:r>
        <w:tab/>
      </w:r>
      <w:r w:rsidR="008F1C4F">
        <w:t>Therapeutic Goods Administration</w:t>
      </w:r>
    </w:p>
    <w:p w:rsidR="00FC764B" w:rsidRPr="00BB3C05" w:rsidRDefault="00FC764B" w:rsidP="00F977BB">
      <w:pPr>
        <w:tabs>
          <w:tab w:val="left" w:pos="2835"/>
        </w:tabs>
      </w:pPr>
      <w:r w:rsidRPr="00BB3C05">
        <w:t>UK</w:t>
      </w:r>
      <w:r w:rsidRPr="00BB3C05">
        <w:tab/>
      </w:r>
      <w:r w:rsidRPr="00BB3C05">
        <w:tab/>
        <w:t>United Kingdom</w:t>
      </w:r>
    </w:p>
    <w:p w:rsidR="00C647A7" w:rsidRDefault="00FC764B" w:rsidP="00F977BB">
      <w:pPr>
        <w:tabs>
          <w:tab w:val="left" w:pos="2835"/>
        </w:tabs>
        <w:ind w:left="153" w:firstLine="567"/>
      </w:pPr>
      <w:r w:rsidRPr="00BB3C05">
        <w:t>USA</w:t>
      </w:r>
      <w:r w:rsidRPr="00BB3C05">
        <w:tab/>
      </w:r>
      <w:r w:rsidRPr="00BB3C05">
        <w:tab/>
        <w:t>United States of America</w:t>
      </w:r>
    </w:p>
    <w:p w:rsidR="00017CD0" w:rsidRPr="00BB3C05" w:rsidRDefault="00017CD0" w:rsidP="00F977BB">
      <w:pPr>
        <w:tabs>
          <w:tab w:val="left" w:pos="2835"/>
        </w:tabs>
        <w:ind w:left="153" w:firstLine="567"/>
      </w:pPr>
      <w:r>
        <w:t>WTP</w:t>
      </w:r>
      <w:r w:rsidR="008012FA">
        <w:tab/>
        <w:t>willingness-to-pay</w:t>
      </w:r>
    </w:p>
    <w:p w:rsidR="00516B5D" w:rsidRDefault="00516B5D" w:rsidP="0038092A">
      <w:pPr>
        <w:pStyle w:val="Heading1"/>
        <w:ind w:left="0" w:firstLine="0"/>
        <w:rPr>
          <w:lang w:val="en-AU"/>
        </w:rPr>
      </w:pPr>
      <w:bookmarkStart w:id="376" w:name="_Toc214339205"/>
    </w:p>
    <w:p w:rsidR="00516B5D" w:rsidRDefault="00516B5D" w:rsidP="0038092A">
      <w:pPr>
        <w:pStyle w:val="Heading1"/>
        <w:ind w:left="0" w:firstLine="0"/>
        <w:rPr>
          <w:lang w:val="en-AU"/>
        </w:rPr>
      </w:pPr>
    </w:p>
    <w:p w:rsidR="006C0851" w:rsidRPr="00BB3C05" w:rsidRDefault="008F59A8" w:rsidP="0038092A">
      <w:pPr>
        <w:pStyle w:val="Heading1"/>
        <w:ind w:left="0" w:firstLine="0"/>
      </w:pPr>
      <w:bookmarkStart w:id="377" w:name="_Toc352924460"/>
      <w:r w:rsidRPr="00BB3C05">
        <w:lastRenderedPageBreak/>
        <w:t>References</w:t>
      </w:r>
      <w:bookmarkEnd w:id="376"/>
      <w:bookmarkEnd w:id="377"/>
      <w:r w:rsidRPr="00BB3C05">
        <w:t xml:space="preserve"> </w:t>
      </w:r>
    </w:p>
    <w:p w:rsidR="007640FB" w:rsidRPr="00BB3C05" w:rsidRDefault="007640FB" w:rsidP="00CC55D8">
      <w:pPr>
        <w:pStyle w:val="References"/>
        <w:ind w:left="709" w:firstLine="11"/>
      </w:pPr>
      <w:proofErr w:type="gramStart"/>
      <w:r w:rsidRPr="00BB3C05">
        <w:t xml:space="preserve">ACPGBI </w:t>
      </w:r>
      <w:r w:rsidR="00993CAF">
        <w:t>2007.</w:t>
      </w:r>
      <w:proofErr w:type="gramEnd"/>
      <w:r w:rsidRPr="00BB3C05">
        <w:t xml:space="preserve"> </w:t>
      </w:r>
      <w:proofErr w:type="gramStart"/>
      <w:r w:rsidR="00993CAF">
        <w:t>‘</w:t>
      </w:r>
      <w:r w:rsidRPr="00BB3C05">
        <w:t>Association of Colo-Proctology of Great Britain and Ireland, Guidelines for the management of colorectal cancer</w:t>
      </w:r>
      <w:r w:rsidR="00993CAF">
        <w:t>’</w:t>
      </w:r>
      <w:r w:rsidRPr="00BB3C05">
        <w:t>, London.</w:t>
      </w:r>
      <w:proofErr w:type="gramEnd"/>
    </w:p>
    <w:p w:rsidR="003F742B" w:rsidRPr="0015496C" w:rsidRDefault="007640FB" w:rsidP="003F742B">
      <w:pPr>
        <w:pStyle w:val="CommentText"/>
        <w:rPr>
          <w:sz w:val="24"/>
          <w:szCs w:val="24"/>
        </w:rPr>
      </w:pPr>
      <w:r w:rsidRPr="0015496C">
        <w:rPr>
          <w:sz w:val="24"/>
          <w:szCs w:val="24"/>
        </w:rPr>
        <w:t>Ahmed</w:t>
      </w:r>
      <w:r w:rsidR="008D7AAB" w:rsidRPr="0015496C">
        <w:rPr>
          <w:sz w:val="24"/>
          <w:szCs w:val="24"/>
        </w:rPr>
        <w:t>,</w:t>
      </w:r>
      <w:r w:rsidRPr="0015496C">
        <w:rPr>
          <w:sz w:val="24"/>
          <w:szCs w:val="24"/>
        </w:rPr>
        <w:t xml:space="preserve"> N</w:t>
      </w:r>
      <w:r w:rsidR="008D7AAB" w:rsidRPr="0015496C">
        <w:rPr>
          <w:sz w:val="24"/>
          <w:szCs w:val="24"/>
        </w:rPr>
        <w:t>.</w:t>
      </w:r>
      <w:r w:rsidRPr="0015496C">
        <w:rPr>
          <w:sz w:val="24"/>
          <w:szCs w:val="24"/>
        </w:rPr>
        <w:t>, Ahmedzai</w:t>
      </w:r>
      <w:r w:rsidR="008D7AAB" w:rsidRPr="0015496C">
        <w:rPr>
          <w:sz w:val="24"/>
          <w:szCs w:val="24"/>
        </w:rPr>
        <w:t>,</w:t>
      </w:r>
      <w:r w:rsidRPr="0015496C">
        <w:rPr>
          <w:sz w:val="24"/>
          <w:szCs w:val="24"/>
        </w:rPr>
        <w:t xml:space="preserve"> S</w:t>
      </w:r>
      <w:r w:rsidR="008D7AAB" w:rsidRPr="0015496C">
        <w:rPr>
          <w:sz w:val="24"/>
          <w:szCs w:val="24"/>
        </w:rPr>
        <w:t>.</w:t>
      </w:r>
      <w:r w:rsidR="008D03B5" w:rsidRPr="0015496C">
        <w:rPr>
          <w:sz w:val="24"/>
          <w:szCs w:val="24"/>
        </w:rPr>
        <w:t xml:space="preserve"> et al</w:t>
      </w:r>
      <w:r w:rsidRPr="0015496C">
        <w:rPr>
          <w:sz w:val="24"/>
          <w:szCs w:val="24"/>
        </w:rPr>
        <w:t xml:space="preserve"> </w:t>
      </w:r>
      <w:r w:rsidR="00993CAF" w:rsidRPr="0015496C">
        <w:rPr>
          <w:sz w:val="24"/>
          <w:szCs w:val="24"/>
        </w:rPr>
        <w:t>2004.</w:t>
      </w:r>
      <w:r w:rsidRPr="0015496C">
        <w:rPr>
          <w:sz w:val="24"/>
          <w:szCs w:val="24"/>
        </w:rPr>
        <w:t xml:space="preserve"> </w:t>
      </w:r>
      <w:r w:rsidR="00993CAF" w:rsidRPr="0015496C">
        <w:rPr>
          <w:sz w:val="24"/>
          <w:szCs w:val="24"/>
        </w:rPr>
        <w:t>‘</w:t>
      </w:r>
      <w:r w:rsidRPr="0015496C">
        <w:rPr>
          <w:sz w:val="24"/>
          <w:szCs w:val="24"/>
        </w:rPr>
        <w:t>Supportive care for patients with gastrointestinal cancer</w:t>
      </w:r>
      <w:r w:rsidR="00993CAF" w:rsidRPr="0015496C">
        <w:rPr>
          <w:sz w:val="24"/>
          <w:szCs w:val="24"/>
        </w:rPr>
        <w:t>’</w:t>
      </w:r>
      <w:r w:rsidRPr="0015496C">
        <w:rPr>
          <w:sz w:val="24"/>
          <w:szCs w:val="24"/>
        </w:rPr>
        <w:t xml:space="preserve">, </w:t>
      </w:r>
      <w:r w:rsidRPr="0015496C">
        <w:rPr>
          <w:i/>
          <w:sz w:val="24"/>
          <w:szCs w:val="24"/>
        </w:rPr>
        <w:t>Cochrane Database of Systematic Reviews</w:t>
      </w:r>
      <w:r w:rsidRPr="0015496C">
        <w:rPr>
          <w:sz w:val="24"/>
          <w:szCs w:val="24"/>
        </w:rPr>
        <w:t xml:space="preserve">, Issue 3. </w:t>
      </w:r>
      <w:r w:rsidR="003F742B" w:rsidRPr="0015496C">
        <w:rPr>
          <w:sz w:val="24"/>
          <w:szCs w:val="24"/>
        </w:rPr>
        <w:t>Art. No.: CD003445. DOI: 10.1002/14651858.CD003445.pub2.</w:t>
      </w:r>
    </w:p>
    <w:p w:rsidR="007640FB" w:rsidRPr="00BB3C05" w:rsidRDefault="007640FB" w:rsidP="00CC55D8">
      <w:pPr>
        <w:pStyle w:val="References"/>
        <w:ind w:left="709" w:firstLine="11"/>
      </w:pPr>
      <w:proofErr w:type="gramStart"/>
      <w:r w:rsidRPr="00BB3C05">
        <w:t>Ahmedzai</w:t>
      </w:r>
      <w:r w:rsidR="008D7AAB">
        <w:t>,</w:t>
      </w:r>
      <w:r w:rsidRPr="00BB3C05">
        <w:t xml:space="preserve"> S</w:t>
      </w:r>
      <w:r w:rsidR="008D7AAB">
        <w:t>.</w:t>
      </w:r>
      <w:r w:rsidRPr="00BB3C05">
        <w:t>H</w:t>
      </w:r>
      <w:r w:rsidR="008D7AAB">
        <w:t>.</w:t>
      </w:r>
      <w:r w:rsidRPr="00BB3C05">
        <w:t>, Lubbe</w:t>
      </w:r>
      <w:r w:rsidR="008D7AAB">
        <w:t>,</w:t>
      </w:r>
      <w:r w:rsidRPr="00BB3C05">
        <w:t xml:space="preserve"> A</w:t>
      </w:r>
      <w:r w:rsidR="008D7AAB">
        <w:t>.</w:t>
      </w:r>
      <w:r w:rsidR="008D03B5">
        <w:t xml:space="preserve"> and </w:t>
      </w:r>
      <w:r w:rsidRPr="00BB3C05">
        <w:t>Van den Eynden</w:t>
      </w:r>
      <w:r w:rsidR="008D7AAB">
        <w:t>,</w:t>
      </w:r>
      <w:r w:rsidRPr="00BB3C05">
        <w:t xml:space="preserve"> B</w:t>
      </w:r>
      <w:r w:rsidR="008D7AAB">
        <w:t>.</w:t>
      </w:r>
      <w:r w:rsidRPr="00BB3C05">
        <w:t xml:space="preserve"> </w:t>
      </w:r>
      <w:r w:rsidR="00993CAF">
        <w:t>2001.</w:t>
      </w:r>
      <w:proofErr w:type="gramEnd"/>
      <w:r w:rsidRPr="00BB3C05">
        <w:t xml:space="preserve"> </w:t>
      </w:r>
      <w:proofErr w:type="gramStart"/>
      <w:r w:rsidR="00993CAF">
        <w:t>‘</w:t>
      </w:r>
      <w:r w:rsidRPr="00BB3C05">
        <w:t>Towards a European standard for supportive care of cancer patients.</w:t>
      </w:r>
      <w:proofErr w:type="gramEnd"/>
      <w:r w:rsidRPr="00BB3C05">
        <w:t xml:space="preserve"> </w:t>
      </w:r>
      <w:proofErr w:type="gramStart"/>
      <w:r w:rsidRPr="00BB3C05">
        <w:t>A coordinated activity funded by DGV</w:t>
      </w:r>
      <w:r w:rsidR="00993CAF">
        <w:t>’</w:t>
      </w:r>
      <w:r w:rsidRPr="00BB3C05">
        <w:t xml:space="preserve">, </w:t>
      </w:r>
      <w:r w:rsidR="008D7AAB">
        <w:t>F</w:t>
      </w:r>
      <w:r w:rsidR="008D7AAB" w:rsidRPr="00BB3C05">
        <w:t xml:space="preserve">inal </w:t>
      </w:r>
      <w:r w:rsidRPr="00BB3C05">
        <w:t>report for EC on behalf of the EORTC Pain and Symptom Control Task Force</w:t>
      </w:r>
      <w:r w:rsidR="005267B7">
        <w:t>)</w:t>
      </w:r>
      <w:r w:rsidRPr="00BB3C05">
        <w:t xml:space="preserve"> 1–25.</w:t>
      </w:r>
      <w:proofErr w:type="gramEnd"/>
    </w:p>
    <w:p w:rsidR="007640FB" w:rsidRPr="00BB3C05" w:rsidRDefault="007640FB" w:rsidP="00CC55D8">
      <w:pPr>
        <w:pStyle w:val="References"/>
        <w:ind w:left="709" w:firstLine="11"/>
      </w:pPr>
      <w:proofErr w:type="gramStart"/>
      <w:r w:rsidRPr="00BB3C05">
        <w:t xml:space="preserve">AIHW </w:t>
      </w:r>
      <w:r w:rsidR="00993CAF">
        <w:t>2004.</w:t>
      </w:r>
      <w:proofErr w:type="gramEnd"/>
      <w:r w:rsidRPr="00BB3C05">
        <w:t xml:space="preserve"> </w:t>
      </w:r>
      <w:proofErr w:type="gramStart"/>
      <w:r w:rsidRPr="00BB3C05">
        <w:t>Australian Institute of Health and Welfare (AIHW) &amp; Australasian Association of Cancer</w:t>
      </w:r>
      <w:r w:rsidR="00CC55D8" w:rsidRPr="00BB3C05">
        <w:t xml:space="preserve"> </w:t>
      </w:r>
      <w:r w:rsidRPr="00BB3C05">
        <w:t xml:space="preserve">Registries (AACR), </w:t>
      </w:r>
      <w:r w:rsidR="00993CAF">
        <w:t>‘</w:t>
      </w:r>
      <w:r w:rsidRPr="00BB3C05">
        <w:t>Cancer in Australia 2001</w:t>
      </w:r>
      <w:r w:rsidR="00993CAF">
        <w:t>’</w:t>
      </w:r>
      <w:r w:rsidRPr="00BB3C05">
        <w:t>, AIHW cat.</w:t>
      </w:r>
      <w:proofErr w:type="gramEnd"/>
      <w:r w:rsidRPr="00BB3C05">
        <w:t xml:space="preserve"> </w:t>
      </w:r>
      <w:proofErr w:type="gramStart"/>
      <w:r w:rsidRPr="00BB3C05">
        <w:t>no</w:t>
      </w:r>
      <w:proofErr w:type="gramEnd"/>
      <w:r w:rsidRPr="00BB3C05">
        <w:t>. CAN 23, Canberra</w:t>
      </w:r>
      <w:r w:rsidR="00CC55D8" w:rsidRPr="00BB3C05">
        <w:t>.</w:t>
      </w:r>
    </w:p>
    <w:p w:rsidR="007640FB" w:rsidRPr="00BB3C05" w:rsidRDefault="007640FB" w:rsidP="000C193E">
      <w:pPr>
        <w:pStyle w:val="References"/>
        <w:ind w:left="709" w:firstLine="11"/>
      </w:pPr>
      <w:proofErr w:type="gramStart"/>
      <w:r w:rsidRPr="00BB3C05">
        <w:t xml:space="preserve">AIHW </w:t>
      </w:r>
      <w:r w:rsidR="00993CAF">
        <w:t>2010.</w:t>
      </w:r>
      <w:proofErr w:type="gramEnd"/>
      <w:r w:rsidRPr="00BB3C05">
        <w:t xml:space="preserve"> Australian Institute of Health and Welfare (AIHW) &amp; Australasian Association of Cancer Registries (AACR), </w:t>
      </w:r>
      <w:r w:rsidR="00993CAF">
        <w:t>‘</w:t>
      </w:r>
      <w:r w:rsidRPr="00BB3C05">
        <w:t>Cancer in Australia: an overview</w:t>
      </w:r>
      <w:r w:rsidR="00993CAF">
        <w:t>’</w:t>
      </w:r>
      <w:r w:rsidRPr="00BB3C05">
        <w:t xml:space="preserve">, Cancer series no. 60. Cat. </w:t>
      </w:r>
      <w:proofErr w:type="gramStart"/>
      <w:r w:rsidRPr="00BB3C05">
        <w:t>no</w:t>
      </w:r>
      <w:proofErr w:type="gramEnd"/>
      <w:r w:rsidRPr="00BB3C05">
        <w:t>. CAN 56. Canberra.</w:t>
      </w:r>
    </w:p>
    <w:p w:rsidR="007640FB" w:rsidRPr="00BB3C05" w:rsidRDefault="007640FB" w:rsidP="000C193E">
      <w:pPr>
        <w:pStyle w:val="References"/>
        <w:ind w:left="709" w:firstLine="11"/>
      </w:pPr>
      <w:proofErr w:type="gramStart"/>
      <w:r w:rsidRPr="00BB3C05">
        <w:t>AIHW</w:t>
      </w:r>
      <w:r w:rsidR="00494F71">
        <w:t xml:space="preserve"> 2011</w:t>
      </w:r>
      <w:r w:rsidRPr="00BB3C05">
        <w:t xml:space="preserve">, Interactive </w:t>
      </w:r>
      <w:r w:rsidR="008D7AAB">
        <w:t>N</w:t>
      </w:r>
      <w:r w:rsidR="008D7AAB" w:rsidRPr="00BB3C05">
        <w:t xml:space="preserve">ational </w:t>
      </w:r>
      <w:r w:rsidRPr="00BB3C05">
        <w:t xml:space="preserve">Hospital Morbidity </w:t>
      </w:r>
      <w:r w:rsidR="008D7AAB">
        <w:t>D</w:t>
      </w:r>
      <w:r w:rsidR="008D7AAB" w:rsidRPr="00BB3C05">
        <w:t>atabase</w:t>
      </w:r>
      <w:r w:rsidRPr="00BB3C05">
        <w:t xml:space="preserve">, </w:t>
      </w:r>
      <w:r w:rsidR="00494F71" w:rsidRPr="00494F71">
        <w:t>[Internet].</w:t>
      </w:r>
      <w:proofErr w:type="gramEnd"/>
      <w:r w:rsidR="00494F71" w:rsidRPr="00494F71">
        <w:t xml:space="preserve"> Available from:</w:t>
      </w:r>
      <w:r w:rsidR="00494F71">
        <w:t xml:space="preserve"> </w:t>
      </w:r>
      <w:r w:rsidRPr="00BB3C05">
        <w:t xml:space="preserve">&lt;http://d01.aihw.gov.au/cognos/cgi-bin/ppdscgi.exe?DC=Q&amp;E=/AHS/pdx0708&gt;, </w:t>
      </w:r>
      <w:r w:rsidR="00494F71" w:rsidRPr="00494F71">
        <w:t>[</w:t>
      </w:r>
      <w:r w:rsidR="00494F71">
        <w:t>A</w:t>
      </w:r>
      <w:r w:rsidRPr="00BB3C05">
        <w:t>ccessed 15</w:t>
      </w:r>
      <w:r w:rsidR="00494F71">
        <w:t xml:space="preserve"> March </w:t>
      </w:r>
      <w:r w:rsidRPr="00BB3C05">
        <w:t>2011</w:t>
      </w:r>
      <w:r w:rsidR="00494F71" w:rsidRPr="00494F71">
        <w:t>]</w:t>
      </w:r>
      <w:r w:rsidRPr="00BB3C05">
        <w:t xml:space="preserve">. </w:t>
      </w:r>
    </w:p>
    <w:p w:rsidR="008B6CDC" w:rsidRPr="008B6CDC" w:rsidRDefault="008B6CDC" w:rsidP="008B6CDC">
      <w:bookmarkStart w:id="378" w:name="_ENREF_5"/>
      <w:proofErr w:type="gramStart"/>
      <w:r w:rsidRPr="008B6CDC">
        <w:t>Alcantara, M., Serra, X. et al 2007.</w:t>
      </w:r>
      <w:proofErr w:type="gramEnd"/>
      <w:r w:rsidRPr="008B6CDC">
        <w:t xml:space="preserve"> </w:t>
      </w:r>
      <w:proofErr w:type="gramStart"/>
      <w:r w:rsidRPr="008B6CDC">
        <w:t xml:space="preserve">‘Colorectal stenting as an effective therapy for preoperative and palliative treatment of large bowel obstruction: 9 years' experience’, </w:t>
      </w:r>
      <w:r w:rsidRPr="008B6CDC">
        <w:rPr>
          <w:i/>
          <w:iCs/>
        </w:rPr>
        <w:t>Techniques in Coloproctology</w:t>
      </w:r>
      <w:r w:rsidRPr="008B6CDC">
        <w:t>, 11 (4)</w:t>
      </w:r>
      <w:r w:rsidR="003F742B">
        <w:t>,</w:t>
      </w:r>
      <w:r w:rsidRPr="008B6CDC">
        <w:t xml:space="preserve"> 316-322.</w:t>
      </w:r>
      <w:proofErr w:type="gramEnd"/>
    </w:p>
    <w:p w:rsidR="007F33A8" w:rsidRPr="00BB3C05" w:rsidRDefault="007F33A8" w:rsidP="009F3BE5">
      <w:pPr>
        <w:rPr>
          <w:noProof/>
        </w:rPr>
      </w:pPr>
      <w:proofErr w:type="gramStart"/>
      <w:r w:rsidRPr="00BB3C05">
        <w:rPr>
          <w:noProof/>
        </w:rPr>
        <w:t>Altman, D. G., Schulz, K. F.</w:t>
      </w:r>
      <w:r w:rsidR="008D03B5" w:rsidRPr="00BB3C05">
        <w:t xml:space="preserve"> </w:t>
      </w:r>
      <w:r w:rsidR="008D03B5">
        <w:t>et al</w:t>
      </w:r>
      <w:r w:rsidRPr="00BB3C05">
        <w:rPr>
          <w:noProof/>
        </w:rPr>
        <w:t xml:space="preserve"> </w:t>
      </w:r>
      <w:r w:rsidR="00993CAF">
        <w:rPr>
          <w:noProof/>
        </w:rPr>
        <w:t>2001.</w:t>
      </w:r>
      <w:proofErr w:type="gramEnd"/>
      <w:r w:rsidRPr="00BB3C05">
        <w:rPr>
          <w:noProof/>
        </w:rPr>
        <w:t xml:space="preserve"> 'The revised CONSORT statement for reporting randomized trials: explanation and elaboration', </w:t>
      </w:r>
      <w:r w:rsidRPr="00BB3C05">
        <w:rPr>
          <w:i/>
          <w:noProof/>
        </w:rPr>
        <w:t>Annals of Internal Medicine,</w:t>
      </w:r>
      <w:r w:rsidRPr="00BB3C05">
        <w:rPr>
          <w:noProof/>
        </w:rPr>
        <w:t xml:space="preserve"> 134</w:t>
      </w:r>
      <w:r w:rsidR="003F742B">
        <w:rPr>
          <w:noProof/>
        </w:rPr>
        <w:t xml:space="preserve"> </w:t>
      </w:r>
      <w:r w:rsidR="0038021B">
        <w:rPr>
          <w:noProof/>
        </w:rPr>
        <w:t>(</w:t>
      </w:r>
      <w:r w:rsidRPr="00BB3C05">
        <w:rPr>
          <w:noProof/>
        </w:rPr>
        <w:t>8</w:t>
      </w:r>
      <w:r w:rsidR="005267B7">
        <w:rPr>
          <w:noProof/>
        </w:rPr>
        <w:t>)</w:t>
      </w:r>
      <w:r w:rsidR="003F742B">
        <w:rPr>
          <w:noProof/>
        </w:rPr>
        <w:t>,</w:t>
      </w:r>
      <w:r w:rsidR="008D7AAB">
        <w:rPr>
          <w:noProof/>
        </w:rPr>
        <w:t xml:space="preserve"> </w:t>
      </w:r>
      <w:r w:rsidRPr="00BB3C05">
        <w:rPr>
          <w:noProof/>
        </w:rPr>
        <w:t>663</w:t>
      </w:r>
      <w:r w:rsidR="009C3E87" w:rsidRPr="009C3E87">
        <w:rPr>
          <w:noProof/>
        </w:rPr>
        <w:t>-</w:t>
      </w:r>
      <w:r w:rsidRPr="00BB3C05">
        <w:rPr>
          <w:noProof/>
        </w:rPr>
        <w:t>694.</w:t>
      </w:r>
      <w:bookmarkEnd w:id="378"/>
    </w:p>
    <w:p w:rsidR="00C71740" w:rsidRPr="00BB3C05" w:rsidRDefault="00C71740" w:rsidP="00C71740">
      <w:pPr>
        <w:pStyle w:val="References"/>
        <w:ind w:left="709" w:firstLine="11"/>
      </w:pPr>
      <w:r w:rsidRPr="00BB3C05">
        <w:t>Amersi</w:t>
      </w:r>
      <w:r w:rsidR="008D7AAB">
        <w:t>,</w:t>
      </w:r>
      <w:r w:rsidRPr="00BB3C05">
        <w:t xml:space="preserve"> F., Agustin</w:t>
      </w:r>
      <w:r w:rsidR="008D7AAB">
        <w:t>,</w:t>
      </w:r>
      <w:r w:rsidRPr="00BB3C05">
        <w:t xml:space="preserve"> M. and </w:t>
      </w:r>
      <w:proofErr w:type="gramStart"/>
      <w:r w:rsidRPr="00BB3C05">
        <w:t>Ko</w:t>
      </w:r>
      <w:proofErr w:type="gramEnd"/>
      <w:r w:rsidR="008D7AAB">
        <w:t>,</w:t>
      </w:r>
      <w:r w:rsidRPr="00BB3C05">
        <w:t xml:space="preserve"> C.Y. </w:t>
      </w:r>
      <w:r w:rsidR="00993CAF">
        <w:t>2005.</w:t>
      </w:r>
      <w:r w:rsidRPr="00BB3C05">
        <w:t xml:space="preserve"> </w:t>
      </w:r>
      <w:proofErr w:type="gramStart"/>
      <w:r w:rsidR="00993CAF">
        <w:t>‘</w:t>
      </w:r>
      <w:r w:rsidRPr="00BB3C05">
        <w:t xml:space="preserve">Colorectal </w:t>
      </w:r>
      <w:r w:rsidR="007B6016">
        <w:t>c</w:t>
      </w:r>
      <w:r w:rsidR="007B6016" w:rsidRPr="00BB3C05">
        <w:t>ancer</w:t>
      </w:r>
      <w:r w:rsidRPr="00BB3C05">
        <w:t xml:space="preserve">: </w:t>
      </w:r>
      <w:r w:rsidR="007B6016">
        <w:t>e</w:t>
      </w:r>
      <w:r w:rsidR="007B6016" w:rsidRPr="00BB3C05">
        <w:t>pidemiology</w:t>
      </w:r>
      <w:r w:rsidRPr="00BB3C05">
        <w:t xml:space="preserve">, </w:t>
      </w:r>
      <w:r w:rsidR="007B6016">
        <w:t>r</w:t>
      </w:r>
      <w:r w:rsidR="007B6016" w:rsidRPr="00BB3C05">
        <w:t xml:space="preserve">isk </w:t>
      </w:r>
      <w:r w:rsidR="007B6016">
        <w:t>f</w:t>
      </w:r>
      <w:r w:rsidR="007B6016" w:rsidRPr="00BB3C05">
        <w:t>actors</w:t>
      </w:r>
      <w:r w:rsidRPr="00BB3C05">
        <w:t xml:space="preserve">, and </w:t>
      </w:r>
      <w:r w:rsidR="007B6016">
        <w:t>h</w:t>
      </w:r>
      <w:r w:rsidR="007B6016" w:rsidRPr="00BB3C05">
        <w:t xml:space="preserve">ealth </w:t>
      </w:r>
      <w:r w:rsidR="007B6016">
        <w:t>s</w:t>
      </w:r>
      <w:r w:rsidR="007B6016" w:rsidRPr="00BB3C05">
        <w:t>ervices</w:t>
      </w:r>
      <w:r w:rsidR="00993CAF">
        <w:t>’</w:t>
      </w:r>
      <w:r w:rsidRPr="00BB3C05">
        <w:t xml:space="preserve">, </w:t>
      </w:r>
      <w:r w:rsidRPr="0007443E">
        <w:rPr>
          <w:i/>
        </w:rPr>
        <w:t>C</w:t>
      </w:r>
      <w:r w:rsidR="00E56A97" w:rsidRPr="0007443E">
        <w:rPr>
          <w:i/>
        </w:rPr>
        <w:t>l</w:t>
      </w:r>
      <w:r w:rsidRPr="0007443E">
        <w:rPr>
          <w:i/>
        </w:rPr>
        <w:t>inics in Colon and Rectal Surgery</w:t>
      </w:r>
      <w:r w:rsidR="003F742B">
        <w:t>,</w:t>
      </w:r>
      <w:r w:rsidRPr="00BB3C05">
        <w:t xml:space="preserve"> 18</w:t>
      </w:r>
      <w:r w:rsidR="00501DD3">
        <w:t xml:space="preserve"> </w:t>
      </w:r>
      <w:r w:rsidR="0038021B">
        <w:t>(</w:t>
      </w:r>
      <w:r w:rsidRPr="00BB3C05">
        <w:t>3</w:t>
      </w:r>
      <w:r w:rsidR="005267B7">
        <w:t>)</w:t>
      </w:r>
      <w:r w:rsidR="003F742B">
        <w:t>,</w:t>
      </w:r>
      <w:r w:rsidRPr="00BB3C05">
        <w:t xml:space="preserve"> 133-140.</w:t>
      </w:r>
      <w:proofErr w:type="gramEnd"/>
      <w:r w:rsidRPr="00BB3C05">
        <w:t xml:space="preserve"> </w:t>
      </w:r>
    </w:p>
    <w:p w:rsidR="008B6CDC" w:rsidRPr="008B6CDC" w:rsidRDefault="008B6CDC" w:rsidP="008B6CDC">
      <w:proofErr w:type="gramStart"/>
      <w:r w:rsidRPr="008B6CDC">
        <w:t>Athreya, S., Moss, J. et al 2006.</w:t>
      </w:r>
      <w:proofErr w:type="gramEnd"/>
      <w:r w:rsidRPr="008B6CDC">
        <w:t xml:space="preserve"> </w:t>
      </w:r>
      <w:proofErr w:type="gramStart"/>
      <w:r w:rsidRPr="008B6CDC">
        <w:t xml:space="preserve">‘Colorectal stenting for colonic obstruction: the indications, complications, effectiveness and outcome--5 year review’, </w:t>
      </w:r>
      <w:r w:rsidRPr="008B6CDC">
        <w:rPr>
          <w:i/>
          <w:iCs/>
        </w:rPr>
        <w:t>European Journal of Radiology</w:t>
      </w:r>
      <w:r w:rsidRPr="008B6CDC">
        <w:t>, 60 (1)</w:t>
      </w:r>
      <w:r w:rsidR="003F742B">
        <w:t>,</w:t>
      </w:r>
      <w:r w:rsidRPr="008B6CDC">
        <w:t xml:space="preserve"> 91-94.</w:t>
      </w:r>
      <w:proofErr w:type="gramEnd"/>
    </w:p>
    <w:p w:rsidR="00A50093" w:rsidRDefault="00A50093" w:rsidP="00FC73B8">
      <w:r w:rsidRPr="00A50093">
        <w:t xml:space="preserve">Baik, S. H., Kim, N. K. et al 2006. </w:t>
      </w:r>
      <w:proofErr w:type="gramStart"/>
      <w:r w:rsidRPr="00A50093">
        <w:t xml:space="preserve">‘Clinical outcomes of metallic stent insertion for obstructive colorectal cancer’, </w:t>
      </w:r>
      <w:r w:rsidRPr="001E196C">
        <w:rPr>
          <w:i/>
        </w:rPr>
        <w:t>Hepatogastroenterology</w:t>
      </w:r>
      <w:r w:rsidRPr="00A50093">
        <w:t>, 53 (68)</w:t>
      </w:r>
      <w:r w:rsidR="003F742B">
        <w:t>,</w:t>
      </w:r>
      <w:r w:rsidRPr="00A50093">
        <w:t xml:space="preserve"> 183-187.</w:t>
      </w:r>
      <w:proofErr w:type="gramEnd"/>
    </w:p>
    <w:p w:rsidR="008B6CDC" w:rsidRPr="008B6CDC" w:rsidRDefault="008B6CDC" w:rsidP="008B6CDC">
      <w:proofErr w:type="gramStart"/>
      <w:r w:rsidRPr="008B6CDC">
        <w:t>Baraza, W., Lee, F. et al 2008.</w:t>
      </w:r>
      <w:proofErr w:type="gramEnd"/>
      <w:r w:rsidRPr="008B6CDC">
        <w:t xml:space="preserve"> </w:t>
      </w:r>
      <w:proofErr w:type="gramStart"/>
      <w:r w:rsidRPr="008B6CDC">
        <w:t xml:space="preserve">‘Combination endo-radiological colorectal stenting: a prospective 5-year clinical evaluation’, </w:t>
      </w:r>
      <w:r w:rsidRPr="008B6CDC">
        <w:rPr>
          <w:i/>
          <w:iCs/>
        </w:rPr>
        <w:t>Colorectal Disease</w:t>
      </w:r>
      <w:r w:rsidRPr="008B6CDC">
        <w:t>, 10 (9)</w:t>
      </w:r>
      <w:r w:rsidR="003F742B">
        <w:t>,</w:t>
      </w:r>
      <w:r w:rsidRPr="008B6CDC">
        <w:t xml:space="preserve"> 901-906.</w:t>
      </w:r>
      <w:proofErr w:type="gramEnd"/>
    </w:p>
    <w:p w:rsidR="00FC73B8" w:rsidRPr="00FC73B8" w:rsidRDefault="00FC73B8" w:rsidP="00FC73B8">
      <w:r w:rsidRPr="00FC73B8">
        <w:t>Binkert</w:t>
      </w:r>
      <w:r w:rsidR="007B6016">
        <w:t>,</w:t>
      </w:r>
      <w:r w:rsidRPr="00FC73B8">
        <w:t xml:space="preserve"> C</w:t>
      </w:r>
      <w:r w:rsidR="007B6016">
        <w:t>.</w:t>
      </w:r>
      <w:r w:rsidRPr="00FC73B8">
        <w:t>A</w:t>
      </w:r>
      <w:r w:rsidR="007B6016">
        <w:t>.</w:t>
      </w:r>
      <w:r w:rsidRPr="00FC73B8">
        <w:t>, Ledermann</w:t>
      </w:r>
      <w:r w:rsidR="007B6016">
        <w:t>,</w:t>
      </w:r>
      <w:r w:rsidRPr="00FC73B8">
        <w:t xml:space="preserve"> H</w:t>
      </w:r>
      <w:r w:rsidR="007B6016">
        <w:t>.</w:t>
      </w:r>
      <w:r w:rsidRPr="00FC73B8">
        <w:t xml:space="preserve"> et al</w:t>
      </w:r>
      <w:r w:rsidR="007B6016">
        <w:t xml:space="preserve"> 1998,</w:t>
      </w:r>
      <w:r w:rsidRPr="00FC73B8">
        <w:t xml:space="preserve"> </w:t>
      </w:r>
      <w:r w:rsidR="00993CAF">
        <w:t>‘</w:t>
      </w:r>
      <w:proofErr w:type="gramStart"/>
      <w:r w:rsidRPr="00FC73B8">
        <w:t>Acute</w:t>
      </w:r>
      <w:proofErr w:type="gramEnd"/>
      <w:r w:rsidRPr="00FC73B8">
        <w:t xml:space="preserve"> colonic obstruction: clinical aspects and cost-effectiveness of preoperative and palliative treatment with self-expanding metallic stents-a preliminary report. </w:t>
      </w:r>
      <w:r w:rsidRPr="0007443E">
        <w:rPr>
          <w:i/>
        </w:rPr>
        <w:t>Radiology</w:t>
      </w:r>
      <w:r w:rsidR="007B6016">
        <w:t>,</w:t>
      </w:r>
      <w:r w:rsidR="00801575">
        <w:t xml:space="preserve"> </w:t>
      </w:r>
      <w:r w:rsidRPr="00FC73B8">
        <w:t>206</w:t>
      </w:r>
      <w:r w:rsidR="00801575">
        <w:t xml:space="preserve"> (1)</w:t>
      </w:r>
      <w:r w:rsidR="00501DD3">
        <w:t xml:space="preserve">, </w:t>
      </w:r>
      <w:r w:rsidRPr="00FC73B8">
        <w:t xml:space="preserve">199-204. </w:t>
      </w:r>
    </w:p>
    <w:p w:rsidR="000D1026" w:rsidRPr="00BB3C05" w:rsidRDefault="000D1026" w:rsidP="000D1026">
      <w:pPr>
        <w:pStyle w:val="References"/>
        <w:ind w:left="709" w:firstLine="11"/>
      </w:pPr>
      <w:r w:rsidRPr="00BB3C05">
        <w:lastRenderedPageBreak/>
        <w:t>Boorman</w:t>
      </w:r>
      <w:r w:rsidR="007B6016">
        <w:t>,</w:t>
      </w:r>
      <w:r w:rsidRPr="00BB3C05">
        <w:t xml:space="preserve"> P</w:t>
      </w:r>
      <w:r w:rsidR="007B6016">
        <w:t>.</w:t>
      </w:r>
      <w:r w:rsidRPr="00BB3C05">
        <w:t>, Soonawalla</w:t>
      </w:r>
      <w:r w:rsidR="007B6016">
        <w:t>,</w:t>
      </w:r>
      <w:r w:rsidRPr="00BB3C05">
        <w:t xml:space="preserve"> Z</w:t>
      </w:r>
      <w:r w:rsidR="007B6016">
        <w:t>.</w:t>
      </w:r>
      <w:r w:rsidR="008D03B5" w:rsidRPr="00BB3C05">
        <w:t xml:space="preserve"> </w:t>
      </w:r>
      <w:r w:rsidR="008D03B5">
        <w:t>et al</w:t>
      </w:r>
      <w:r w:rsidR="007B6016">
        <w:t xml:space="preserve"> </w:t>
      </w:r>
      <w:r w:rsidR="00993CAF">
        <w:t>1999.</w:t>
      </w:r>
      <w:r w:rsidRPr="00BB3C05">
        <w:t xml:space="preserve"> </w:t>
      </w:r>
      <w:proofErr w:type="gramStart"/>
      <w:r w:rsidR="00993CAF">
        <w:t>‘</w:t>
      </w:r>
      <w:r w:rsidRPr="00BB3C05">
        <w:t>Endoluminal stenting of obstructed colorectal tumours</w:t>
      </w:r>
      <w:r w:rsidR="00993CAF">
        <w:t>’</w:t>
      </w:r>
      <w:r w:rsidR="007B6016">
        <w:t>,</w:t>
      </w:r>
      <w:r w:rsidRPr="00BB3C05">
        <w:t xml:space="preserve"> </w:t>
      </w:r>
      <w:r w:rsidRPr="0007443E">
        <w:rPr>
          <w:i/>
        </w:rPr>
        <w:t>A</w:t>
      </w:r>
      <w:r w:rsidR="002705AE" w:rsidRPr="0007443E">
        <w:rPr>
          <w:i/>
        </w:rPr>
        <w:t>nnals of the</w:t>
      </w:r>
      <w:r w:rsidRPr="0007443E">
        <w:rPr>
          <w:i/>
        </w:rPr>
        <w:t xml:space="preserve"> R</w:t>
      </w:r>
      <w:r w:rsidR="002705AE" w:rsidRPr="0007443E">
        <w:rPr>
          <w:i/>
        </w:rPr>
        <w:t>oyal</w:t>
      </w:r>
      <w:r w:rsidRPr="0007443E">
        <w:rPr>
          <w:i/>
        </w:rPr>
        <w:t xml:space="preserve"> Coll</w:t>
      </w:r>
      <w:r w:rsidR="002705AE" w:rsidRPr="0007443E">
        <w:rPr>
          <w:i/>
        </w:rPr>
        <w:t>ege of</w:t>
      </w:r>
      <w:r w:rsidRPr="0007443E">
        <w:rPr>
          <w:i/>
        </w:rPr>
        <w:t xml:space="preserve"> Surg</w:t>
      </w:r>
      <w:r w:rsidR="002705AE" w:rsidRPr="0007443E">
        <w:rPr>
          <w:i/>
        </w:rPr>
        <w:t>eons of</w:t>
      </w:r>
      <w:r w:rsidRPr="0007443E">
        <w:rPr>
          <w:i/>
        </w:rPr>
        <w:t xml:space="preserve"> Engl</w:t>
      </w:r>
      <w:r w:rsidR="002705AE" w:rsidRPr="0007443E">
        <w:rPr>
          <w:i/>
        </w:rPr>
        <w:t>and</w:t>
      </w:r>
      <w:r w:rsidR="007B6016">
        <w:rPr>
          <w:i/>
        </w:rPr>
        <w:t>,</w:t>
      </w:r>
      <w:r w:rsidRPr="0007443E">
        <w:rPr>
          <w:i/>
        </w:rPr>
        <w:t xml:space="preserve"> </w:t>
      </w:r>
      <w:r w:rsidRPr="00BB3C05">
        <w:t>81</w:t>
      </w:r>
      <w:r w:rsidR="00ED6295">
        <w:t xml:space="preserve"> </w:t>
      </w:r>
      <w:r w:rsidR="0038021B">
        <w:t>(</w:t>
      </w:r>
      <w:r w:rsidRPr="00BB3C05">
        <w:t>4</w:t>
      </w:r>
      <w:r w:rsidR="0038021B">
        <w:t>)</w:t>
      </w:r>
      <w:r w:rsidR="00ED6295">
        <w:t>,</w:t>
      </w:r>
      <w:r w:rsidRPr="00BB3C05">
        <w:t xml:space="preserve"> 251-254.</w:t>
      </w:r>
      <w:proofErr w:type="gramEnd"/>
    </w:p>
    <w:p w:rsidR="008B6CDC" w:rsidRPr="008B6CDC" w:rsidRDefault="008B6CDC" w:rsidP="008B6CDC">
      <w:proofErr w:type="gramStart"/>
      <w:r w:rsidRPr="008B6CDC">
        <w:t>Branger, F., Thibaudeau, E. et al 2010.</w:t>
      </w:r>
      <w:proofErr w:type="gramEnd"/>
      <w:r w:rsidRPr="008B6CDC">
        <w:t xml:space="preserve"> </w:t>
      </w:r>
      <w:proofErr w:type="gramStart"/>
      <w:r w:rsidRPr="008B6CDC">
        <w:t xml:space="preserve">‘Management of acute malignant large-bowel obstruction with self-expanding metal stent’, </w:t>
      </w:r>
      <w:r w:rsidRPr="008B6CDC">
        <w:rPr>
          <w:i/>
          <w:iCs/>
        </w:rPr>
        <w:t>International Journal of Colorectal Disease</w:t>
      </w:r>
      <w:r w:rsidRPr="008B6CDC">
        <w:t>, 25 (12)</w:t>
      </w:r>
      <w:r w:rsidR="00ED6295">
        <w:t>,</w:t>
      </w:r>
      <w:r w:rsidRPr="008B6CDC">
        <w:t xml:space="preserve"> 1481-1485.</w:t>
      </w:r>
      <w:proofErr w:type="gramEnd"/>
    </w:p>
    <w:p w:rsidR="000F4454" w:rsidRPr="00BB3C05" w:rsidRDefault="000F4454" w:rsidP="000F4454">
      <w:pPr>
        <w:pStyle w:val="References"/>
        <w:ind w:left="709" w:firstLine="11"/>
      </w:pPr>
      <w:proofErr w:type="gramStart"/>
      <w:r w:rsidRPr="00BB3C05">
        <w:t>Breitenstein</w:t>
      </w:r>
      <w:r w:rsidR="007B6016">
        <w:t>,</w:t>
      </w:r>
      <w:r w:rsidRPr="00BB3C05">
        <w:t xml:space="preserve"> S., Rickenbacher</w:t>
      </w:r>
      <w:r w:rsidR="007B6016">
        <w:t>,</w:t>
      </w:r>
      <w:r w:rsidRPr="00BB3C05">
        <w:t xml:space="preserve"> A.</w:t>
      </w:r>
      <w:r w:rsidR="008D03B5" w:rsidRPr="00BB3C05">
        <w:t xml:space="preserve"> </w:t>
      </w:r>
      <w:r w:rsidR="008D03B5">
        <w:t>et al</w:t>
      </w:r>
      <w:r w:rsidRPr="00BB3C05">
        <w:t xml:space="preserve"> </w:t>
      </w:r>
      <w:r w:rsidR="00993CAF">
        <w:t>2007.</w:t>
      </w:r>
      <w:proofErr w:type="gramEnd"/>
      <w:r w:rsidRPr="00BB3C05">
        <w:t xml:space="preserve"> </w:t>
      </w:r>
      <w:proofErr w:type="gramStart"/>
      <w:r w:rsidR="00993CAF">
        <w:t>‘</w:t>
      </w:r>
      <w:r w:rsidRPr="00BB3C05">
        <w:t xml:space="preserve">Systematic evaluation of surgical strategies for acute malignant left-sided colonic </w:t>
      </w:r>
      <w:r w:rsidR="007B6016" w:rsidRPr="00BB3C05">
        <w:t>obstruction</w:t>
      </w:r>
      <w:r w:rsidR="00993CAF">
        <w:t>’</w:t>
      </w:r>
      <w:r w:rsidRPr="00BB3C05">
        <w:t xml:space="preserve">, </w:t>
      </w:r>
      <w:r w:rsidRPr="00BB3C05">
        <w:rPr>
          <w:i/>
        </w:rPr>
        <w:t>British Journal of Surgery</w:t>
      </w:r>
      <w:r w:rsidRPr="00BB3C05">
        <w:t>; 94</w:t>
      </w:r>
      <w:r w:rsidR="00B81FEC">
        <w:t xml:space="preserve"> (12)</w:t>
      </w:r>
      <w:r w:rsidR="00ED6295">
        <w:t>,</w:t>
      </w:r>
      <w:r w:rsidRPr="00BB3C05">
        <w:t xml:space="preserve"> 1451</w:t>
      </w:r>
      <w:r w:rsidR="009C3E87" w:rsidRPr="009C3E87">
        <w:t>-</w:t>
      </w:r>
      <w:r w:rsidRPr="00BB3C05">
        <w:t>1460</w:t>
      </w:r>
      <w:r w:rsidR="007B6016">
        <w:t>.</w:t>
      </w:r>
      <w:proofErr w:type="gramEnd"/>
    </w:p>
    <w:p w:rsidR="007640FB" w:rsidRPr="00BB3C05" w:rsidRDefault="007640FB" w:rsidP="000C193E">
      <w:pPr>
        <w:pStyle w:val="References"/>
        <w:ind w:left="709" w:firstLine="11"/>
      </w:pPr>
      <w:proofErr w:type="gramStart"/>
      <w:r w:rsidRPr="00BB3C05">
        <w:t>Camunez</w:t>
      </w:r>
      <w:r w:rsidR="007B6016">
        <w:t>,</w:t>
      </w:r>
      <w:r w:rsidRPr="00BB3C05">
        <w:t xml:space="preserve"> F</w:t>
      </w:r>
      <w:r w:rsidR="000C193E" w:rsidRPr="00BB3C05">
        <w:t>.</w:t>
      </w:r>
      <w:r w:rsidRPr="00BB3C05">
        <w:t>, Echenagusia</w:t>
      </w:r>
      <w:r w:rsidR="007B6016">
        <w:t>,</w:t>
      </w:r>
      <w:r w:rsidRPr="00BB3C05">
        <w:t xml:space="preserve"> A</w:t>
      </w:r>
      <w:r w:rsidR="000C193E" w:rsidRPr="00BB3C05">
        <w:t>.</w:t>
      </w:r>
      <w:r w:rsidR="008D03B5" w:rsidRPr="00BB3C05">
        <w:t xml:space="preserve"> </w:t>
      </w:r>
      <w:r w:rsidR="008D03B5">
        <w:t>et al</w:t>
      </w:r>
      <w:r w:rsidRPr="00BB3C05">
        <w:t xml:space="preserve"> </w:t>
      </w:r>
      <w:r w:rsidR="00993CAF">
        <w:t>2000.</w:t>
      </w:r>
      <w:proofErr w:type="gramEnd"/>
      <w:r w:rsidRPr="00BB3C05">
        <w:t xml:space="preserve">  </w:t>
      </w:r>
      <w:r w:rsidR="00993CAF">
        <w:t>‘</w:t>
      </w:r>
      <w:r w:rsidRPr="00BB3C05">
        <w:t>Malignant colorectal obstruction treated by means of self-expanding metallic stents: effectiveness before surgery and in palliation</w:t>
      </w:r>
      <w:r w:rsidR="00993CAF">
        <w:t>’</w:t>
      </w:r>
      <w:r w:rsidRPr="00BB3C05">
        <w:t xml:space="preserve">, </w:t>
      </w:r>
      <w:r w:rsidRPr="00BB3C05">
        <w:rPr>
          <w:i/>
        </w:rPr>
        <w:t>Radiology</w:t>
      </w:r>
      <w:r w:rsidRPr="00BB3C05">
        <w:t>, 216</w:t>
      </w:r>
      <w:r w:rsidR="00501DD3">
        <w:t xml:space="preserve"> (</w:t>
      </w:r>
      <w:r w:rsidR="00D17076" w:rsidRPr="00BB3C05">
        <w:t>2</w:t>
      </w:r>
      <w:r w:rsidR="00501DD3">
        <w:t>)</w:t>
      </w:r>
      <w:r w:rsidR="003F742B">
        <w:t>,</w:t>
      </w:r>
      <w:r w:rsidR="00D17076" w:rsidRPr="00BB3C05">
        <w:t xml:space="preserve"> </w:t>
      </w:r>
      <w:r w:rsidRPr="00BB3C05">
        <w:t xml:space="preserve">492-497. </w:t>
      </w:r>
    </w:p>
    <w:p w:rsidR="007640FB" w:rsidRPr="00BB3C05" w:rsidRDefault="007640FB" w:rsidP="00B721E2">
      <w:pPr>
        <w:pStyle w:val="References"/>
        <w:ind w:left="709" w:firstLine="11"/>
      </w:pPr>
      <w:proofErr w:type="gramStart"/>
      <w:r w:rsidRPr="00BB3C05">
        <w:t xml:space="preserve">Cancer Council Australia (CCA) &amp; Australian Cancer Network (ACN), </w:t>
      </w:r>
      <w:r w:rsidR="00993CAF">
        <w:t>2005.</w:t>
      </w:r>
      <w:proofErr w:type="gramEnd"/>
      <w:r w:rsidRPr="00BB3C05">
        <w:t xml:space="preserve"> </w:t>
      </w:r>
      <w:proofErr w:type="gramStart"/>
      <w:r w:rsidR="00993CAF">
        <w:t>‘</w:t>
      </w:r>
      <w:r w:rsidRPr="00BB3C05">
        <w:t xml:space="preserve">Clinical practical guidelines for the </w:t>
      </w:r>
      <w:r w:rsidR="007B6016">
        <w:t>p</w:t>
      </w:r>
      <w:r w:rsidR="007B6016" w:rsidRPr="00BB3C05">
        <w:t>revention</w:t>
      </w:r>
      <w:r w:rsidRPr="00BB3C05">
        <w:t xml:space="preserve">, </w:t>
      </w:r>
      <w:r w:rsidR="007B6016">
        <w:t>e</w:t>
      </w:r>
      <w:r w:rsidR="007B6016" w:rsidRPr="00BB3C05">
        <w:t xml:space="preserve">arly </w:t>
      </w:r>
      <w:r w:rsidR="007B6016">
        <w:t>d</w:t>
      </w:r>
      <w:r w:rsidR="007B6016" w:rsidRPr="00BB3C05">
        <w:t xml:space="preserve">etection </w:t>
      </w:r>
      <w:r w:rsidRPr="00BB3C05">
        <w:t xml:space="preserve">and </w:t>
      </w:r>
      <w:r w:rsidR="007B6016">
        <w:t>m</w:t>
      </w:r>
      <w:r w:rsidR="007B6016" w:rsidRPr="00BB3C05">
        <w:t xml:space="preserve">anagement </w:t>
      </w:r>
      <w:r w:rsidRPr="00BB3C05">
        <w:t xml:space="preserve">of </w:t>
      </w:r>
      <w:r w:rsidR="007B6016">
        <w:t>c</w:t>
      </w:r>
      <w:r w:rsidR="007B6016" w:rsidRPr="00BB3C05">
        <w:t xml:space="preserve">olorectal </w:t>
      </w:r>
      <w:r w:rsidR="007B6016">
        <w:t>c</w:t>
      </w:r>
      <w:r w:rsidR="007B6016" w:rsidRPr="00BB3C05">
        <w:t>ancer</w:t>
      </w:r>
      <w:r w:rsidR="00993CAF">
        <w:t>’</w:t>
      </w:r>
      <w:r w:rsidRPr="00BB3C05">
        <w:t>, Australian Cancer Network Colorectal Cancer Guidelines Revis</w:t>
      </w:r>
      <w:r w:rsidR="00B721E2" w:rsidRPr="00BB3C05">
        <w:t>ion Committee, Sydney.</w:t>
      </w:r>
      <w:proofErr w:type="gramEnd"/>
    </w:p>
    <w:p w:rsidR="008B6CDC" w:rsidRDefault="008B6CDC" w:rsidP="008B6CDC">
      <w:r w:rsidRPr="008B6CDC">
        <w:t xml:space="preserve">Cho, Y. K., Kim, S. W. </w:t>
      </w:r>
      <w:r>
        <w:t>et al</w:t>
      </w:r>
      <w:r w:rsidRPr="008B6CDC">
        <w:t xml:space="preserve"> 2011. </w:t>
      </w:r>
      <w:proofErr w:type="gramStart"/>
      <w:r w:rsidRPr="008B6CDC">
        <w:t xml:space="preserve">‘Clinical outcome of self-expandable metal stent placement in the management of malignant proximal colon obstruction’, </w:t>
      </w:r>
      <w:r w:rsidRPr="008B6CDC">
        <w:rPr>
          <w:i/>
          <w:iCs/>
        </w:rPr>
        <w:t>Gut and Liver</w:t>
      </w:r>
      <w:r w:rsidRPr="008B6CDC">
        <w:t>, 5 (2)</w:t>
      </w:r>
      <w:r w:rsidR="003F742B">
        <w:t>,</w:t>
      </w:r>
      <w:r w:rsidRPr="008B6CDC">
        <w:t xml:space="preserve"> 165-170.</w:t>
      </w:r>
      <w:proofErr w:type="gramEnd"/>
    </w:p>
    <w:p w:rsidR="00961115" w:rsidRPr="008B6CDC" w:rsidRDefault="00961115" w:rsidP="008B6CDC">
      <w:proofErr w:type="gramStart"/>
      <w:r>
        <w:t>Cook,</w:t>
      </w:r>
      <w:proofErr w:type="gramEnd"/>
      <w:r>
        <w:t xml:space="preserve"> D.J., Mulrow, C.D., et al, 1997. </w:t>
      </w:r>
      <w:proofErr w:type="gramStart"/>
      <w:r>
        <w:t xml:space="preserve">‘Systematic reviews: synthesis of best evidence for clinical decisions’, </w:t>
      </w:r>
      <w:r w:rsidRPr="00961115">
        <w:rPr>
          <w:i/>
        </w:rPr>
        <w:t>Annals of Internal Medicine</w:t>
      </w:r>
      <w:r>
        <w:t>, 126 (5), 376-380.</w:t>
      </w:r>
      <w:proofErr w:type="gramEnd"/>
    </w:p>
    <w:p w:rsidR="00B22B51" w:rsidRPr="00BB3C05" w:rsidRDefault="00B22B51" w:rsidP="00B22B51">
      <w:pPr>
        <w:pStyle w:val="References"/>
        <w:ind w:left="709" w:firstLine="11"/>
      </w:pPr>
      <w:r w:rsidRPr="00BB3C05">
        <w:t>Dauphine, C.E., Tan P.</w:t>
      </w:r>
      <w:r w:rsidR="008D03B5" w:rsidRPr="00BB3C05">
        <w:t xml:space="preserve"> </w:t>
      </w:r>
      <w:r w:rsidR="008D03B5">
        <w:t>et al</w:t>
      </w:r>
      <w:r w:rsidRPr="00BB3C05">
        <w:t xml:space="preserve"> </w:t>
      </w:r>
      <w:r w:rsidR="00993CAF">
        <w:t>2002.</w:t>
      </w:r>
      <w:r w:rsidRPr="00BB3C05">
        <w:t xml:space="preserve"> </w:t>
      </w:r>
      <w:r w:rsidR="00993CAF">
        <w:t>‘</w:t>
      </w:r>
      <w:r w:rsidRPr="00BB3C05">
        <w:t xml:space="preserve">Placement of </w:t>
      </w:r>
      <w:r w:rsidR="007B6016">
        <w:t>s</w:t>
      </w:r>
      <w:r w:rsidR="007B6016" w:rsidRPr="00BB3C05">
        <w:t>elf</w:t>
      </w:r>
      <w:r w:rsidRPr="00BB3C05">
        <w:t>-</w:t>
      </w:r>
      <w:r w:rsidR="007B6016">
        <w:t>e</w:t>
      </w:r>
      <w:r w:rsidR="007B6016" w:rsidRPr="00BB3C05">
        <w:t xml:space="preserve">xpanding </w:t>
      </w:r>
      <w:r w:rsidR="007B6016">
        <w:t>m</w:t>
      </w:r>
      <w:r w:rsidR="007B6016" w:rsidRPr="00BB3C05">
        <w:t xml:space="preserve">etal </w:t>
      </w:r>
      <w:r w:rsidR="007B6016">
        <w:t>s</w:t>
      </w:r>
      <w:r w:rsidR="007B6016" w:rsidRPr="00BB3C05">
        <w:t xml:space="preserve">tents </w:t>
      </w:r>
      <w:r w:rsidRPr="00BB3C05">
        <w:t xml:space="preserve">for </w:t>
      </w:r>
      <w:r w:rsidR="007B6016">
        <w:t>a</w:t>
      </w:r>
      <w:r w:rsidR="007B6016" w:rsidRPr="00BB3C05">
        <w:t xml:space="preserve">cute </w:t>
      </w:r>
      <w:r w:rsidR="007B6016">
        <w:t>m</w:t>
      </w:r>
      <w:r w:rsidR="007B6016" w:rsidRPr="00BB3C05">
        <w:t xml:space="preserve">alignant </w:t>
      </w:r>
      <w:r w:rsidR="007B6016">
        <w:t>l</w:t>
      </w:r>
      <w:r w:rsidR="007B6016" w:rsidRPr="00BB3C05">
        <w:t>arge</w:t>
      </w:r>
      <w:r w:rsidRPr="00BB3C05">
        <w:t>-</w:t>
      </w:r>
      <w:r w:rsidR="007B6016">
        <w:t>b</w:t>
      </w:r>
      <w:r w:rsidR="007B6016" w:rsidRPr="00BB3C05">
        <w:t xml:space="preserve">owel </w:t>
      </w:r>
      <w:r w:rsidR="007B6016">
        <w:t>o</w:t>
      </w:r>
      <w:r w:rsidR="007B6016" w:rsidRPr="00BB3C05">
        <w:t>bstruction</w:t>
      </w:r>
      <w:r w:rsidRPr="00BB3C05">
        <w:t xml:space="preserve">: </w:t>
      </w:r>
      <w:r w:rsidR="007B6016">
        <w:t>a</w:t>
      </w:r>
      <w:r w:rsidR="007B6016" w:rsidRPr="00BB3C05">
        <w:t xml:space="preserve"> </w:t>
      </w:r>
      <w:r w:rsidR="007B6016">
        <w:t>c</w:t>
      </w:r>
      <w:r w:rsidR="007B6016" w:rsidRPr="00BB3C05">
        <w:t xml:space="preserve">ollective </w:t>
      </w:r>
      <w:r w:rsidR="007B6016">
        <w:t>r</w:t>
      </w:r>
      <w:r w:rsidR="007B6016" w:rsidRPr="00BB3C05">
        <w:t>eview</w:t>
      </w:r>
      <w:r w:rsidR="00993CAF">
        <w:t>’</w:t>
      </w:r>
      <w:r w:rsidRPr="00BB3C05">
        <w:t xml:space="preserve">. </w:t>
      </w:r>
      <w:r w:rsidRPr="0007443E">
        <w:rPr>
          <w:i/>
        </w:rPr>
        <w:t>Annals of Surgical Oncology</w:t>
      </w:r>
      <w:r w:rsidRPr="00BB3C05">
        <w:t>, 9</w:t>
      </w:r>
      <w:r w:rsidR="00501DD3">
        <w:t xml:space="preserve"> (</w:t>
      </w:r>
      <w:r w:rsidRPr="00BB3C05">
        <w:t>6</w:t>
      </w:r>
      <w:r w:rsidR="00501DD3">
        <w:t>)</w:t>
      </w:r>
      <w:r w:rsidR="003F742B">
        <w:t>,</w:t>
      </w:r>
      <w:r w:rsidR="007B6016">
        <w:t xml:space="preserve"> </w:t>
      </w:r>
      <w:r w:rsidRPr="00BB3C05">
        <w:t>574-579</w:t>
      </w:r>
      <w:r w:rsidR="007B6016">
        <w:t>.</w:t>
      </w:r>
    </w:p>
    <w:p w:rsidR="007640FB" w:rsidRPr="00BB3C05" w:rsidRDefault="007640FB" w:rsidP="000C193E">
      <w:pPr>
        <w:pStyle w:val="References"/>
        <w:ind w:left="709" w:firstLine="11"/>
      </w:pPr>
      <w:r w:rsidRPr="00BB3C05">
        <w:t>Davis</w:t>
      </w:r>
      <w:r w:rsidR="007B6016">
        <w:t>,</w:t>
      </w:r>
      <w:r w:rsidRPr="00BB3C05">
        <w:t xml:space="preserve"> M</w:t>
      </w:r>
      <w:r w:rsidR="000C193E" w:rsidRPr="00BB3C05">
        <w:t>.</w:t>
      </w:r>
      <w:r w:rsidRPr="00BB3C05">
        <w:t>P</w:t>
      </w:r>
      <w:r w:rsidR="000C193E" w:rsidRPr="00BB3C05">
        <w:t>.</w:t>
      </w:r>
      <w:r w:rsidR="008D03B5">
        <w:t xml:space="preserve"> and</w:t>
      </w:r>
      <w:r w:rsidRPr="00BB3C05">
        <w:t xml:space="preserve"> Nouneh</w:t>
      </w:r>
      <w:r w:rsidR="007B6016">
        <w:t>,</w:t>
      </w:r>
      <w:r w:rsidRPr="00BB3C05">
        <w:t xml:space="preserve"> C</w:t>
      </w:r>
      <w:r w:rsidR="000C193E" w:rsidRPr="00BB3C05">
        <w:t>.</w:t>
      </w:r>
      <w:r w:rsidRPr="00BB3C05">
        <w:t xml:space="preserve"> </w:t>
      </w:r>
      <w:r w:rsidR="00993CAF">
        <w:t>2001.</w:t>
      </w:r>
      <w:r w:rsidRPr="00BB3C05">
        <w:t xml:space="preserve"> </w:t>
      </w:r>
      <w:proofErr w:type="gramStart"/>
      <w:r w:rsidR="00993CAF">
        <w:t>‘</w:t>
      </w:r>
      <w:r w:rsidRPr="00BB3C05">
        <w:t>Modern management of cancer related intestinal obstruction</w:t>
      </w:r>
      <w:r w:rsidR="00993CAF">
        <w:t>’</w:t>
      </w:r>
      <w:r w:rsidRPr="00BB3C05">
        <w:t xml:space="preserve">, </w:t>
      </w:r>
      <w:r w:rsidRPr="00BB3C05">
        <w:rPr>
          <w:i/>
        </w:rPr>
        <w:t xml:space="preserve">Current </w:t>
      </w:r>
      <w:r w:rsidR="002705AE">
        <w:rPr>
          <w:i/>
        </w:rPr>
        <w:t>P</w:t>
      </w:r>
      <w:r w:rsidR="002705AE" w:rsidRPr="00BB3C05">
        <w:rPr>
          <w:i/>
        </w:rPr>
        <w:t xml:space="preserve">ain </w:t>
      </w:r>
      <w:r w:rsidRPr="00BB3C05">
        <w:rPr>
          <w:i/>
        </w:rPr>
        <w:t xml:space="preserve">and </w:t>
      </w:r>
      <w:r w:rsidR="002705AE">
        <w:rPr>
          <w:i/>
        </w:rPr>
        <w:t>H</w:t>
      </w:r>
      <w:r w:rsidRPr="00BB3C05">
        <w:rPr>
          <w:i/>
        </w:rPr>
        <w:t xml:space="preserve">eadache </w:t>
      </w:r>
      <w:r w:rsidR="002705AE">
        <w:rPr>
          <w:i/>
        </w:rPr>
        <w:t>R</w:t>
      </w:r>
      <w:r w:rsidRPr="00BB3C05">
        <w:rPr>
          <w:i/>
        </w:rPr>
        <w:t>eports</w:t>
      </w:r>
      <w:r w:rsidRPr="00BB3C05">
        <w:t>, 5</w:t>
      </w:r>
      <w:r w:rsidR="00501DD3">
        <w:t xml:space="preserve"> (</w:t>
      </w:r>
      <w:r w:rsidRPr="00BB3C05">
        <w:t>3</w:t>
      </w:r>
      <w:r w:rsidR="005267B7">
        <w:t>)</w:t>
      </w:r>
      <w:r w:rsidR="003F742B">
        <w:t>,</w:t>
      </w:r>
      <w:r w:rsidRPr="00BB3C05">
        <w:t xml:space="preserve"> 257-264.</w:t>
      </w:r>
      <w:proofErr w:type="gramEnd"/>
    </w:p>
    <w:p w:rsidR="00AF4B5C" w:rsidRPr="00AF4B5C" w:rsidRDefault="00AF4B5C" w:rsidP="00AF4B5C">
      <w:r w:rsidRPr="00AF4B5C">
        <w:t xml:space="preserve">De Gregorio, M. A., Laborda, A. et al 2011. </w:t>
      </w:r>
      <w:proofErr w:type="gramStart"/>
      <w:r w:rsidRPr="00AF4B5C">
        <w:t xml:space="preserve">‘Ten-year retrospective study of treatment of malignant colonic obstructions with self-expandable stents’, </w:t>
      </w:r>
      <w:r w:rsidRPr="00AF4B5C">
        <w:rPr>
          <w:i/>
          <w:iCs/>
        </w:rPr>
        <w:t>Journal of Vascular and Interventional Radiology</w:t>
      </w:r>
      <w:r w:rsidRPr="00AF4B5C">
        <w:t>, 22 (6)</w:t>
      </w:r>
      <w:r w:rsidR="003F742B">
        <w:t>,</w:t>
      </w:r>
      <w:r w:rsidRPr="00AF4B5C">
        <w:t xml:space="preserve"> 870-878.</w:t>
      </w:r>
      <w:proofErr w:type="gramEnd"/>
    </w:p>
    <w:p w:rsidR="00AF4B5C" w:rsidRPr="00AF4B5C" w:rsidRDefault="00AF4B5C" w:rsidP="00AF4B5C">
      <w:proofErr w:type="gramStart"/>
      <w:r w:rsidRPr="00AF4B5C">
        <w:t>Demarquay, J.-F., Dumas, R. et al 2008.</w:t>
      </w:r>
      <w:proofErr w:type="gramEnd"/>
      <w:r w:rsidRPr="00AF4B5C">
        <w:t xml:space="preserve"> ‘Twelve years of colorectal stenting: Results and follow-up in 204 patients. [French, English]’, </w:t>
      </w:r>
      <w:r w:rsidRPr="00AF4B5C">
        <w:rPr>
          <w:i/>
          <w:iCs/>
        </w:rPr>
        <w:t>Acta Endoscopica</w:t>
      </w:r>
      <w:r w:rsidRPr="00AF4B5C">
        <w:t xml:space="preserve">, </w:t>
      </w:r>
      <w:r w:rsidR="00801575">
        <w:t>38 (</w:t>
      </w:r>
      <w:r w:rsidRPr="00AF4B5C">
        <w:t>4</w:t>
      </w:r>
      <w:r w:rsidR="00801575">
        <w:t>)</w:t>
      </w:r>
      <w:r w:rsidRPr="00AF4B5C">
        <w:t>,</w:t>
      </w:r>
      <w:r w:rsidR="00801575">
        <w:t xml:space="preserve"> 339-347.</w:t>
      </w:r>
    </w:p>
    <w:p w:rsidR="007640FB" w:rsidRPr="00BB3C05" w:rsidRDefault="007640FB" w:rsidP="000C193E">
      <w:pPr>
        <w:pStyle w:val="References"/>
        <w:ind w:left="709" w:firstLine="11"/>
      </w:pPr>
      <w:r w:rsidRPr="00BB3C05">
        <w:t>De Salvo</w:t>
      </w:r>
      <w:r w:rsidR="007B6016">
        <w:t>,</w:t>
      </w:r>
      <w:r w:rsidRPr="00BB3C05">
        <w:t xml:space="preserve"> G</w:t>
      </w:r>
      <w:r w:rsidR="000C193E" w:rsidRPr="00BB3C05">
        <w:t>.</w:t>
      </w:r>
      <w:r w:rsidRPr="00BB3C05">
        <w:t>L</w:t>
      </w:r>
      <w:r w:rsidR="000C193E" w:rsidRPr="00BB3C05">
        <w:t>.</w:t>
      </w:r>
      <w:r w:rsidRPr="00BB3C05">
        <w:t>, Gava</w:t>
      </w:r>
      <w:r w:rsidR="008D03B5">
        <w:t>,</w:t>
      </w:r>
      <w:r w:rsidRPr="00BB3C05">
        <w:t xml:space="preserve"> C</w:t>
      </w:r>
      <w:r w:rsidR="000C193E" w:rsidRPr="00BB3C05">
        <w:t>.</w:t>
      </w:r>
      <w:r w:rsidR="008D03B5" w:rsidRPr="00BB3C05">
        <w:t xml:space="preserve"> </w:t>
      </w:r>
      <w:r w:rsidR="008D03B5">
        <w:t>et al</w:t>
      </w:r>
      <w:r w:rsidRPr="00BB3C05">
        <w:t xml:space="preserve"> </w:t>
      </w:r>
      <w:r w:rsidR="00993CAF">
        <w:t>2002.</w:t>
      </w:r>
      <w:r w:rsidRPr="00BB3C05">
        <w:t xml:space="preserve"> </w:t>
      </w:r>
      <w:r w:rsidR="00993CAF">
        <w:t>‘</w:t>
      </w:r>
      <w:r w:rsidRPr="00BB3C05">
        <w:t>Curative surgery for obstruction from primary left colorectal carcinoma: Primary or staged resection?</w:t>
      </w:r>
      <w:proofErr w:type="gramStart"/>
      <w:r w:rsidR="00993CAF">
        <w:t>’</w:t>
      </w:r>
      <w:r w:rsidRPr="00BB3C05">
        <w:t>,</w:t>
      </w:r>
      <w:proofErr w:type="gramEnd"/>
      <w:r w:rsidRPr="00BB3C05">
        <w:t xml:space="preserve"> </w:t>
      </w:r>
      <w:r w:rsidRPr="00BB3C05">
        <w:rPr>
          <w:i/>
        </w:rPr>
        <w:t>The Cochrane Database of Systematic Reviews</w:t>
      </w:r>
      <w:r w:rsidRPr="00BB3C05">
        <w:t>, Issue 2, 1, Art no. CD002101.</w:t>
      </w:r>
    </w:p>
    <w:p w:rsidR="002B5454" w:rsidRPr="00BB3C05" w:rsidRDefault="002B5454" w:rsidP="002B5454">
      <w:proofErr w:type="gramStart"/>
      <w:r w:rsidRPr="00BB3C05">
        <w:t>Deans</w:t>
      </w:r>
      <w:r w:rsidR="007B6016">
        <w:t>,</w:t>
      </w:r>
      <w:r w:rsidRPr="00BB3C05">
        <w:t xml:space="preserve"> G.T.,</w:t>
      </w:r>
      <w:r w:rsidR="00FC7B80" w:rsidRPr="00BB3C05">
        <w:t xml:space="preserve"> </w:t>
      </w:r>
      <w:r w:rsidRPr="00BB3C05">
        <w:t>Krukowski</w:t>
      </w:r>
      <w:r w:rsidR="007B6016">
        <w:t>,</w:t>
      </w:r>
      <w:r w:rsidRPr="00BB3C05">
        <w:t xml:space="preserve"> Z.H. and Irwin</w:t>
      </w:r>
      <w:r w:rsidR="007B6016">
        <w:t>,</w:t>
      </w:r>
      <w:r w:rsidRPr="00BB3C05">
        <w:t xml:space="preserve"> S.T. 1994, </w:t>
      </w:r>
      <w:r w:rsidR="00993CAF">
        <w:t>‘</w:t>
      </w:r>
      <w:r w:rsidRPr="00BB3C05">
        <w:t>Malignant obstruction of the left colon</w:t>
      </w:r>
      <w:r w:rsidR="00993CAF">
        <w:t>’</w:t>
      </w:r>
      <w:r w:rsidRPr="00BB3C05">
        <w:t xml:space="preserve">, </w:t>
      </w:r>
      <w:r w:rsidRPr="00BB3C05">
        <w:rPr>
          <w:i/>
        </w:rPr>
        <w:t>British Journal of Surge</w:t>
      </w:r>
      <w:r w:rsidR="002705AE">
        <w:rPr>
          <w:i/>
        </w:rPr>
        <w:t>r</w:t>
      </w:r>
      <w:r w:rsidRPr="00BB3C05">
        <w:rPr>
          <w:i/>
        </w:rPr>
        <w:t>y</w:t>
      </w:r>
      <w:r w:rsidRPr="00BB3C05">
        <w:t>, 81</w:t>
      </w:r>
      <w:r w:rsidR="00B81FEC">
        <w:t xml:space="preserve"> (9)</w:t>
      </w:r>
      <w:r w:rsidR="00ED6295">
        <w:t>,</w:t>
      </w:r>
      <w:r w:rsidR="009E60D9">
        <w:t xml:space="preserve"> </w:t>
      </w:r>
      <w:r w:rsidRPr="00BB3C05">
        <w:t>1270-1276.</w:t>
      </w:r>
      <w:proofErr w:type="gramEnd"/>
    </w:p>
    <w:p w:rsidR="000A59A6" w:rsidRPr="00BB3C05" w:rsidRDefault="000A59A6" w:rsidP="002B5454">
      <w:r w:rsidRPr="00BB3C05">
        <w:t>Dohmoto</w:t>
      </w:r>
      <w:r w:rsidR="007B6016">
        <w:t>,</w:t>
      </w:r>
      <w:r w:rsidRPr="00BB3C05">
        <w:t xml:space="preserve"> M. 1991, </w:t>
      </w:r>
      <w:r w:rsidR="00993CAF">
        <w:t>‘</w:t>
      </w:r>
      <w:r w:rsidRPr="00BB3C05">
        <w:t>New method – endoscopic implantation of rectal sent in palliative treatment of malignant stenosis</w:t>
      </w:r>
      <w:r w:rsidR="00993CAF">
        <w:t>’</w:t>
      </w:r>
      <w:r w:rsidRPr="00BB3C05">
        <w:t xml:space="preserve">. </w:t>
      </w:r>
      <w:r w:rsidRPr="00BB3C05">
        <w:rPr>
          <w:i/>
        </w:rPr>
        <w:t>Endoscopia Digestriva</w:t>
      </w:r>
      <w:r w:rsidRPr="00BB3C05">
        <w:t>, 3</w:t>
      </w:r>
      <w:r w:rsidR="00501DD3">
        <w:t xml:space="preserve">, </w:t>
      </w:r>
      <w:r w:rsidRPr="00BB3C05">
        <w:t>1507-</w:t>
      </w:r>
      <w:r w:rsidR="00EB51A7">
        <w:t>15</w:t>
      </w:r>
      <w:r w:rsidRPr="00BB3C05">
        <w:t>12.</w:t>
      </w:r>
    </w:p>
    <w:p w:rsidR="00C71740" w:rsidRPr="00BB3C05" w:rsidRDefault="00C71740" w:rsidP="00C71740">
      <w:pPr>
        <w:rPr>
          <w:noProof/>
        </w:rPr>
      </w:pPr>
      <w:bookmarkStart w:id="379" w:name="_ENREF_90"/>
      <w:r w:rsidRPr="00BB3C05">
        <w:rPr>
          <w:noProof/>
        </w:rPr>
        <w:t>Eaden</w:t>
      </w:r>
      <w:r w:rsidR="00EB51A7">
        <w:rPr>
          <w:noProof/>
        </w:rPr>
        <w:t>,</w:t>
      </w:r>
      <w:r w:rsidRPr="00BB3C05">
        <w:rPr>
          <w:noProof/>
        </w:rPr>
        <w:t xml:space="preserve"> J</w:t>
      </w:r>
      <w:r w:rsidR="00EB51A7">
        <w:rPr>
          <w:noProof/>
        </w:rPr>
        <w:t>.</w:t>
      </w:r>
      <w:r w:rsidRPr="00BB3C05">
        <w:rPr>
          <w:noProof/>
        </w:rPr>
        <w:t>A</w:t>
      </w:r>
      <w:r w:rsidR="00EB51A7">
        <w:rPr>
          <w:noProof/>
        </w:rPr>
        <w:t>.</w:t>
      </w:r>
      <w:r w:rsidRPr="00BB3C05">
        <w:rPr>
          <w:noProof/>
        </w:rPr>
        <w:t>, Abrams</w:t>
      </w:r>
      <w:r w:rsidR="00EB51A7">
        <w:rPr>
          <w:noProof/>
        </w:rPr>
        <w:t>,</w:t>
      </w:r>
      <w:r w:rsidRPr="00BB3C05">
        <w:rPr>
          <w:noProof/>
        </w:rPr>
        <w:t xml:space="preserve"> K</w:t>
      </w:r>
      <w:r w:rsidR="00EB51A7">
        <w:rPr>
          <w:noProof/>
        </w:rPr>
        <w:t>.</w:t>
      </w:r>
      <w:r w:rsidRPr="00BB3C05">
        <w:rPr>
          <w:noProof/>
        </w:rPr>
        <w:t>R</w:t>
      </w:r>
      <w:r w:rsidR="00EB51A7">
        <w:rPr>
          <w:noProof/>
        </w:rPr>
        <w:t>.</w:t>
      </w:r>
      <w:r w:rsidR="00C80127">
        <w:rPr>
          <w:noProof/>
        </w:rPr>
        <w:t xml:space="preserve"> and</w:t>
      </w:r>
      <w:r w:rsidRPr="00BB3C05">
        <w:rPr>
          <w:noProof/>
        </w:rPr>
        <w:t xml:space="preserve"> Mayberry</w:t>
      </w:r>
      <w:r w:rsidR="00EB51A7">
        <w:rPr>
          <w:noProof/>
        </w:rPr>
        <w:t>,</w:t>
      </w:r>
      <w:r w:rsidRPr="00BB3C05">
        <w:rPr>
          <w:noProof/>
        </w:rPr>
        <w:t xml:space="preserve"> J</w:t>
      </w:r>
      <w:r w:rsidR="00EB51A7">
        <w:rPr>
          <w:noProof/>
        </w:rPr>
        <w:t>.</w:t>
      </w:r>
      <w:r w:rsidRPr="00BB3C05">
        <w:rPr>
          <w:noProof/>
        </w:rPr>
        <w:t>F.</w:t>
      </w:r>
      <w:r w:rsidR="00EB51A7">
        <w:rPr>
          <w:noProof/>
        </w:rPr>
        <w:t xml:space="preserve"> </w:t>
      </w:r>
      <w:r w:rsidR="00993CAF">
        <w:rPr>
          <w:noProof/>
        </w:rPr>
        <w:t>2001.</w:t>
      </w:r>
      <w:r w:rsidRPr="00BB3C05">
        <w:rPr>
          <w:noProof/>
        </w:rPr>
        <w:t xml:space="preserve"> </w:t>
      </w:r>
      <w:r w:rsidR="00993CAF">
        <w:rPr>
          <w:noProof/>
        </w:rPr>
        <w:t>‘</w:t>
      </w:r>
      <w:r w:rsidRPr="00BB3C05">
        <w:rPr>
          <w:noProof/>
        </w:rPr>
        <w:t>The risk of colorectal cancer in ulcerative colitis: a meta-analysis</w:t>
      </w:r>
      <w:r w:rsidR="00993CAF">
        <w:rPr>
          <w:noProof/>
        </w:rPr>
        <w:t>’</w:t>
      </w:r>
      <w:r w:rsidR="00EB51A7">
        <w:rPr>
          <w:noProof/>
        </w:rPr>
        <w:t>,</w:t>
      </w:r>
      <w:r w:rsidRPr="00BB3C05">
        <w:rPr>
          <w:noProof/>
        </w:rPr>
        <w:t xml:space="preserve"> </w:t>
      </w:r>
      <w:r w:rsidRPr="0007443E">
        <w:rPr>
          <w:i/>
          <w:noProof/>
        </w:rPr>
        <w:t>Gut</w:t>
      </w:r>
      <w:r w:rsidR="00EB51A7">
        <w:rPr>
          <w:i/>
          <w:noProof/>
        </w:rPr>
        <w:t>,</w:t>
      </w:r>
      <w:r w:rsidR="00801575">
        <w:rPr>
          <w:noProof/>
        </w:rPr>
        <w:t xml:space="preserve"> </w:t>
      </w:r>
      <w:r w:rsidRPr="00BB3C05">
        <w:rPr>
          <w:noProof/>
        </w:rPr>
        <w:t>48</w:t>
      </w:r>
      <w:r w:rsidR="00801575">
        <w:rPr>
          <w:noProof/>
        </w:rPr>
        <w:t xml:space="preserve"> (4)</w:t>
      </w:r>
      <w:r w:rsidR="00EB51A7">
        <w:rPr>
          <w:noProof/>
        </w:rPr>
        <w:t>,</w:t>
      </w:r>
      <w:r w:rsidRPr="00BB3C05">
        <w:rPr>
          <w:noProof/>
        </w:rPr>
        <w:t xml:space="preserve"> 526-35.</w:t>
      </w:r>
    </w:p>
    <w:p w:rsidR="00FC73B8" w:rsidRDefault="00FC73B8" w:rsidP="00B22B51">
      <w:pPr>
        <w:pStyle w:val="References"/>
        <w:ind w:left="709" w:firstLine="11"/>
      </w:pPr>
      <w:proofErr w:type="gramStart"/>
      <w:r w:rsidRPr="00FC73B8">
        <w:lastRenderedPageBreak/>
        <w:t>Farrell</w:t>
      </w:r>
      <w:r w:rsidR="00EB51A7">
        <w:t>,</w:t>
      </w:r>
      <w:r w:rsidRPr="00FC73B8">
        <w:t xml:space="preserve"> J</w:t>
      </w:r>
      <w:r w:rsidR="00EB51A7">
        <w:t>.</w:t>
      </w:r>
      <w:r w:rsidRPr="00FC73B8">
        <w:t xml:space="preserve">J. </w:t>
      </w:r>
      <w:r w:rsidR="00993CAF">
        <w:t>2007.</w:t>
      </w:r>
      <w:proofErr w:type="gramEnd"/>
      <w:r w:rsidR="00EB51A7">
        <w:t xml:space="preserve"> </w:t>
      </w:r>
      <w:proofErr w:type="gramStart"/>
      <w:r w:rsidR="00993CAF">
        <w:t>‘</w:t>
      </w:r>
      <w:r w:rsidRPr="00FC73B8">
        <w:t>Preoperative colonic stenting: how, when and why?</w:t>
      </w:r>
      <w:r w:rsidR="00993CAF">
        <w:t>’</w:t>
      </w:r>
      <w:proofErr w:type="gramEnd"/>
      <w:r w:rsidRPr="00FC73B8">
        <w:t xml:space="preserve"> </w:t>
      </w:r>
      <w:r w:rsidRPr="0007443E">
        <w:rPr>
          <w:i/>
        </w:rPr>
        <w:t xml:space="preserve">Current </w:t>
      </w:r>
      <w:r w:rsidR="002705AE">
        <w:rPr>
          <w:i/>
        </w:rPr>
        <w:t>O</w:t>
      </w:r>
      <w:r w:rsidR="002705AE" w:rsidRPr="0007443E">
        <w:rPr>
          <w:i/>
        </w:rPr>
        <w:t xml:space="preserve">pinion </w:t>
      </w:r>
      <w:r w:rsidRPr="0007443E">
        <w:rPr>
          <w:i/>
        </w:rPr>
        <w:t xml:space="preserve">in </w:t>
      </w:r>
      <w:r w:rsidR="002705AE">
        <w:rPr>
          <w:i/>
        </w:rPr>
        <w:t>G</w:t>
      </w:r>
      <w:r w:rsidR="002705AE" w:rsidRPr="0007443E">
        <w:rPr>
          <w:i/>
        </w:rPr>
        <w:t>astroenterology</w:t>
      </w:r>
      <w:r w:rsidR="00EB51A7">
        <w:rPr>
          <w:i/>
        </w:rPr>
        <w:t>,</w:t>
      </w:r>
      <w:r w:rsidR="002705AE" w:rsidRPr="00FC73B8">
        <w:t xml:space="preserve"> </w:t>
      </w:r>
      <w:r w:rsidRPr="00FC73B8">
        <w:t>23</w:t>
      </w:r>
      <w:r w:rsidR="00801575">
        <w:t xml:space="preserve"> (5)</w:t>
      </w:r>
      <w:r w:rsidR="00EB51A7">
        <w:t>,</w:t>
      </w:r>
      <w:r w:rsidR="009E60D9">
        <w:t xml:space="preserve"> </w:t>
      </w:r>
      <w:r w:rsidRPr="00FC73B8">
        <w:t>544-</w:t>
      </w:r>
      <w:r w:rsidR="00EB51A7">
        <w:t>54</w:t>
      </w:r>
      <w:r w:rsidRPr="00FC73B8">
        <w:t>9.</w:t>
      </w:r>
    </w:p>
    <w:p w:rsidR="00422ADB" w:rsidRDefault="00422ADB" w:rsidP="00B22B51">
      <w:pPr>
        <w:pStyle w:val="References"/>
        <w:ind w:left="709" w:firstLine="11"/>
      </w:pPr>
      <w:proofErr w:type="gramStart"/>
      <w:r w:rsidRPr="00422ADB">
        <w:t>Feo</w:t>
      </w:r>
      <w:r w:rsidR="00EB51A7">
        <w:t>,</w:t>
      </w:r>
      <w:r w:rsidRPr="00422ADB">
        <w:t xml:space="preserve"> L</w:t>
      </w:r>
      <w:r w:rsidR="00EB51A7">
        <w:t>.</w:t>
      </w:r>
      <w:r w:rsidRPr="00422ADB">
        <w:t>, Schaffzin</w:t>
      </w:r>
      <w:r w:rsidR="00EB51A7">
        <w:t>,</w:t>
      </w:r>
      <w:r w:rsidRPr="00422ADB">
        <w:t xml:space="preserve"> D</w:t>
      </w:r>
      <w:r w:rsidR="00EB51A7">
        <w:t>.</w:t>
      </w:r>
      <w:r w:rsidRPr="00422ADB">
        <w:t>M.</w:t>
      </w:r>
      <w:r w:rsidR="00EB51A7">
        <w:t xml:space="preserve"> </w:t>
      </w:r>
      <w:r w:rsidR="00993CAF">
        <w:t>2011.</w:t>
      </w:r>
      <w:proofErr w:type="gramEnd"/>
      <w:r w:rsidRPr="00422ADB">
        <w:t xml:space="preserve"> </w:t>
      </w:r>
      <w:r w:rsidR="00993CAF">
        <w:t>‘</w:t>
      </w:r>
      <w:r w:rsidRPr="00422ADB">
        <w:t>Colonic stents: the modern treatment of colonic obstruction</w:t>
      </w:r>
      <w:r w:rsidR="00993CAF">
        <w:t>’</w:t>
      </w:r>
      <w:r w:rsidR="00EB51A7">
        <w:t>,</w:t>
      </w:r>
      <w:r w:rsidRPr="00422ADB">
        <w:t xml:space="preserve"> </w:t>
      </w:r>
      <w:r w:rsidRPr="0007443E">
        <w:rPr>
          <w:i/>
        </w:rPr>
        <w:t>Adv</w:t>
      </w:r>
      <w:r w:rsidR="002705AE" w:rsidRPr="0007443E">
        <w:rPr>
          <w:i/>
        </w:rPr>
        <w:t>ances in</w:t>
      </w:r>
      <w:r w:rsidRPr="0007443E">
        <w:rPr>
          <w:i/>
        </w:rPr>
        <w:t xml:space="preserve"> Ther</w:t>
      </w:r>
      <w:r w:rsidR="002705AE" w:rsidRPr="0007443E">
        <w:rPr>
          <w:i/>
        </w:rPr>
        <w:t>apy</w:t>
      </w:r>
      <w:r w:rsidR="00EB51A7">
        <w:rPr>
          <w:i/>
        </w:rPr>
        <w:t>,</w:t>
      </w:r>
      <w:r w:rsidRPr="00422ADB">
        <w:t xml:space="preserve"> 28</w:t>
      </w:r>
      <w:r w:rsidR="00801575">
        <w:t xml:space="preserve"> (2)</w:t>
      </w:r>
      <w:r w:rsidR="00EB51A7">
        <w:t xml:space="preserve">, </w:t>
      </w:r>
      <w:r w:rsidRPr="00422ADB">
        <w:t>73-86.</w:t>
      </w:r>
    </w:p>
    <w:p w:rsidR="00422ADB" w:rsidRDefault="00422ADB" w:rsidP="00B22B51">
      <w:pPr>
        <w:pStyle w:val="References"/>
        <w:ind w:left="709" w:firstLine="11"/>
      </w:pPr>
      <w:r w:rsidRPr="00422ADB">
        <w:t>Fiori</w:t>
      </w:r>
      <w:r w:rsidR="00EB51A7">
        <w:t>,</w:t>
      </w:r>
      <w:r w:rsidRPr="00422ADB">
        <w:t xml:space="preserve"> E</w:t>
      </w:r>
      <w:r w:rsidR="00EB51A7">
        <w:t>.</w:t>
      </w:r>
      <w:r w:rsidRPr="00422ADB">
        <w:t>, Lamazza</w:t>
      </w:r>
      <w:r w:rsidR="00EB51A7">
        <w:t>,</w:t>
      </w:r>
      <w:r w:rsidRPr="00422ADB">
        <w:t xml:space="preserve"> A</w:t>
      </w:r>
      <w:r w:rsidR="00EB51A7">
        <w:t>.</w:t>
      </w:r>
      <w:r w:rsidRPr="00422ADB">
        <w:t xml:space="preserve"> et al</w:t>
      </w:r>
      <w:r w:rsidR="00EB51A7">
        <w:t xml:space="preserve"> </w:t>
      </w:r>
      <w:r w:rsidR="00993CAF">
        <w:t>2004.</w:t>
      </w:r>
      <w:r w:rsidRPr="00422ADB">
        <w:t xml:space="preserve"> </w:t>
      </w:r>
      <w:proofErr w:type="gramStart"/>
      <w:r w:rsidR="00993CAF">
        <w:t>‘</w:t>
      </w:r>
      <w:r w:rsidRPr="00422ADB">
        <w:t>Palliative management of malignant rectosigmoidal obstruction.</w:t>
      </w:r>
      <w:proofErr w:type="gramEnd"/>
      <w:r w:rsidRPr="00422ADB">
        <w:t xml:space="preserve"> </w:t>
      </w:r>
      <w:proofErr w:type="gramStart"/>
      <w:r w:rsidRPr="00422ADB">
        <w:t>Colostomy vs. endoscopic stenting.</w:t>
      </w:r>
      <w:proofErr w:type="gramEnd"/>
      <w:r w:rsidRPr="00422ADB">
        <w:t xml:space="preserve"> </w:t>
      </w:r>
      <w:proofErr w:type="gramStart"/>
      <w:r w:rsidRPr="00422ADB">
        <w:t>A randomized prospective trial</w:t>
      </w:r>
      <w:r w:rsidR="00993CAF">
        <w:t>’</w:t>
      </w:r>
      <w:r w:rsidR="00EB51A7">
        <w:t>,</w:t>
      </w:r>
      <w:r w:rsidRPr="00422ADB">
        <w:t xml:space="preserve"> </w:t>
      </w:r>
      <w:r w:rsidRPr="0007443E">
        <w:rPr>
          <w:i/>
        </w:rPr>
        <w:t>Anticancer Res</w:t>
      </w:r>
      <w:r w:rsidR="002705AE" w:rsidRPr="0007443E">
        <w:rPr>
          <w:i/>
        </w:rPr>
        <w:t>earch</w:t>
      </w:r>
      <w:r w:rsidR="00EB51A7">
        <w:rPr>
          <w:i/>
        </w:rPr>
        <w:t>,</w:t>
      </w:r>
      <w:r w:rsidRPr="0007443E">
        <w:rPr>
          <w:i/>
        </w:rPr>
        <w:t xml:space="preserve"> </w:t>
      </w:r>
      <w:r w:rsidRPr="00422ADB">
        <w:t>24</w:t>
      </w:r>
      <w:r w:rsidR="00A50093">
        <w:t xml:space="preserve"> (1)</w:t>
      </w:r>
      <w:r w:rsidR="00801575">
        <w:t>,</w:t>
      </w:r>
      <w:r w:rsidR="00EB51A7">
        <w:t xml:space="preserve"> </w:t>
      </w:r>
      <w:r w:rsidRPr="00422ADB">
        <w:t>265-</w:t>
      </w:r>
      <w:r w:rsidR="00EB51A7">
        <w:t>26</w:t>
      </w:r>
      <w:r w:rsidRPr="00422ADB">
        <w:t>8.</w:t>
      </w:r>
      <w:proofErr w:type="gramEnd"/>
    </w:p>
    <w:p w:rsidR="00B22B51" w:rsidRPr="00BB3C05" w:rsidRDefault="00FC7B80" w:rsidP="00B22B51">
      <w:pPr>
        <w:pStyle w:val="References"/>
        <w:ind w:left="709" w:firstLine="11"/>
      </w:pPr>
      <w:proofErr w:type="gramStart"/>
      <w:r w:rsidRPr="00BB3C05">
        <w:t>Gainant</w:t>
      </w:r>
      <w:r w:rsidR="00EB51A7">
        <w:t>,</w:t>
      </w:r>
      <w:r w:rsidRPr="00BB3C05">
        <w:t xml:space="preserve"> A. </w:t>
      </w:r>
      <w:r w:rsidR="00993CAF">
        <w:t>201</w:t>
      </w:r>
      <w:r w:rsidR="004A556E">
        <w:t>2</w:t>
      </w:r>
      <w:r w:rsidR="00993CAF">
        <w:t>.</w:t>
      </w:r>
      <w:proofErr w:type="gramEnd"/>
      <w:r w:rsidRPr="00BB3C05">
        <w:t xml:space="preserve"> </w:t>
      </w:r>
      <w:proofErr w:type="gramStart"/>
      <w:r w:rsidR="00993CAF">
        <w:t>‘</w:t>
      </w:r>
      <w:r w:rsidR="00B22B51" w:rsidRPr="00BB3C05">
        <w:t>Emergency management of acute colonic cancer obstruction</w:t>
      </w:r>
      <w:r w:rsidR="00993CAF">
        <w:t>’</w:t>
      </w:r>
      <w:r w:rsidR="00B22B51" w:rsidRPr="00BB3C05">
        <w:t xml:space="preserve">, </w:t>
      </w:r>
      <w:r w:rsidR="00B22B51" w:rsidRPr="0007443E">
        <w:rPr>
          <w:i/>
        </w:rPr>
        <w:t>Journal of Visceral Surgery</w:t>
      </w:r>
      <w:r w:rsidR="00B22B51" w:rsidRPr="00BB3C05">
        <w:t xml:space="preserve">, </w:t>
      </w:r>
      <w:r w:rsidR="00AB3DD1">
        <w:t>149 (1),</w:t>
      </w:r>
      <w:r w:rsidR="00B22B51" w:rsidRPr="00BB3C05">
        <w:t xml:space="preserve"> </w:t>
      </w:r>
      <w:r w:rsidR="00AB3DD1">
        <w:t>e3</w:t>
      </w:r>
      <w:r w:rsidR="00B22B51" w:rsidRPr="00BB3C05">
        <w:t>-</w:t>
      </w:r>
      <w:r w:rsidR="00AB3DD1">
        <w:t>e10</w:t>
      </w:r>
      <w:r w:rsidR="00B22B51" w:rsidRPr="00BB3C05">
        <w:t>.</w:t>
      </w:r>
      <w:proofErr w:type="gramEnd"/>
      <w:r w:rsidR="00B22B51" w:rsidRPr="00BB3C05">
        <w:t xml:space="preserve"> </w:t>
      </w:r>
    </w:p>
    <w:p w:rsidR="00AF4B5C" w:rsidRPr="00AF4B5C" w:rsidRDefault="00AF4B5C" w:rsidP="00AF4B5C">
      <w:proofErr w:type="gramStart"/>
      <w:r w:rsidRPr="00AF4B5C">
        <w:t>Garcia-Cano, J., Gonzalez-Huix, F. et al 2006.</w:t>
      </w:r>
      <w:proofErr w:type="gramEnd"/>
      <w:r w:rsidRPr="00AF4B5C">
        <w:t xml:space="preserve"> </w:t>
      </w:r>
      <w:proofErr w:type="gramStart"/>
      <w:r w:rsidRPr="00AF4B5C">
        <w:t xml:space="preserve">‘Use of self-expanding metal stents to treat malignant colorectal obstruction in general endoscopic practice (with videos)’, </w:t>
      </w:r>
      <w:r w:rsidRPr="00AF4B5C">
        <w:rPr>
          <w:i/>
          <w:iCs/>
        </w:rPr>
        <w:t>Gastrointestinal Endoscopy</w:t>
      </w:r>
      <w:r w:rsidRPr="00AF4B5C">
        <w:t>, 64 (6)</w:t>
      </w:r>
      <w:r w:rsidR="00BC0E24">
        <w:t>,</w:t>
      </w:r>
      <w:r w:rsidRPr="00AF4B5C">
        <w:t xml:space="preserve"> 914-920.</w:t>
      </w:r>
      <w:proofErr w:type="gramEnd"/>
    </w:p>
    <w:p w:rsidR="00FC73B8" w:rsidRDefault="00FC73B8" w:rsidP="000D1026">
      <w:pPr>
        <w:rPr>
          <w:noProof/>
        </w:rPr>
      </w:pPr>
      <w:r w:rsidRPr="00FC73B8">
        <w:rPr>
          <w:noProof/>
        </w:rPr>
        <w:t>Govindarajan</w:t>
      </w:r>
      <w:r w:rsidR="00EB51A7">
        <w:rPr>
          <w:noProof/>
        </w:rPr>
        <w:t>,</w:t>
      </w:r>
      <w:r w:rsidRPr="00FC73B8">
        <w:rPr>
          <w:noProof/>
        </w:rPr>
        <w:t xml:space="preserve"> A</w:t>
      </w:r>
      <w:r w:rsidR="00EB51A7">
        <w:rPr>
          <w:noProof/>
        </w:rPr>
        <w:t>.</w:t>
      </w:r>
      <w:r w:rsidRPr="00FC73B8">
        <w:rPr>
          <w:noProof/>
        </w:rPr>
        <w:t>, Naimark</w:t>
      </w:r>
      <w:r w:rsidR="00EB51A7">
        <w:rPr>
          <w:noProof/>
        </w:rPr>
        <w:t>,</w:t>
      </w:r>
      <w:r w:rsidRPr="00FC73B8">
        <w:rPr>
          <w:noProof/>
        </w:rPr>
        <w:t xml:space="preserve"> D</w:t>
      </w:r>
      <w:r w:rsidR="00EB51A7">
        <w:rPr>
          <w:noProof/>
        </w:rPr>
        <w:t>.</w:t>
      </w:r>
      <w:r w:rsidRPr="00FC73B8">
        <w:rPr>
          <w:noProof/>
        </w:rPr>
        <w:t xml:space="preserve"> et al.</w:t>
      </w:r>
      <w:r w:rsidR="00EB51A7">
        <w:rPr>
          <w:noProof/>
        </w:rPr>
        <w:t xml:space="preserve"> </w:t>
      </w:r>
      <w:r w:rsidR="00993CAF">
        <w:rPr>
          <w:noProof/>
        </w:rPr>
        <w:t>2007.</w:t>
      </w:r>
      <w:r w:rsidRPr="00FC73B8">
        <w:rPr>
          <w:noProof/>
        </w:rPr>
        <w:t xml:space="preserve"> </w:t>
      </w:r>
      <w:r w:rsidR="00993CAF">
        <w:rPr>
          <w:noProof/>
        </w:rPr>
        <w:t>‘</w:t>
      </w:r>
      <w:r w:rsidRPr="00FC73B8">
        <w:rPr>
          <w:noProof/>
        </w:rPr>
        <w:t>Use of colonic stents in emergent malignant left colonic obstruction: A markov chain monte carlo decision analysis</w:t>
      </w:r>
      <w:r w:rsidR="00993CAF">
        <w:rPr>
          <w:noProof/>
        </w:rPr>
        <w:t>’</w:t>
      </w:r>
      <w:r w:rsidR="00EB51A7">
        <w:rPr>
          <w:noProof/>
        </w:rPr>
        <w:t>,</w:t>
      </w:r>
      <w:r w:rsidRPr="00FC73B8">
        <w:rPr>
          <w:noProof/>
        </w:rPr>
        <w:t xml:space="preserve"> </w:t>
      </w:r>
      <w:r w:rsidRPr="0007443E">
        <w:rPr>
          <w:i/>
          <w:noProof/>
        </w:rPr>
        <w:t>Dis</w:t>
      </w:r>
      <w:r w:rsidR="002705AE" w:rsidRPr="0007443E">
        <w:rPr>
          <w:i/>
          <w:noProof/>
        </w:rPr>
        <w:t>eases of the</w:t>
      </w:r>
      <w:r w:rsidRPr="0007443E">
        <w:rPr>
          <w:i/>
          <w:noProof/>
        </w:rPr>
        <w:t xml:space="preserve"> Colon</w:t>
      </w:r>
      <w:r w:rsidR="002705AE" w:rsidRPr="0007443E">
        <w:rPr>
          <w:i/>
          <w:noProof/>
        </w:rPr>
        <w:t xml:space="preserve"> and</w:t>
      </w:r>
      <w:r w:rsidRPr="0007443E">
        <w:rPr>
          <w:i/>
          <w:noProof/>
        </w:rPr>
        <w:t xml:space="preserve"> Rectum</w:t>
      </w:r>
      <w:r w:rsidR="00EB51A7">
        <w:rPr>
          <w:i/>
          <w:noProof/>
        </w:rPr>
        <w:t>,</w:t>
      </w:r>
      <w:r w:rsidR="00EB51A7">
        <w:rPr>
          <w:noProof/>
        </w:rPr>
        <w:t xml:space="preserve"> </w:t>
      </w:r>
      <w:r w:rsidRPr="00FC73B8">
        <w:rPr>
          <w:noProof/>
        </w:rPr>
        <w:t>50</w:t>
      </w:r>
      <w:r w:rsidR="00BC0E24">
        <w:rPr>
          <w:noProof/>
        </w:rPr>
        <w:t xml:space="preserve"> (11)</w:t>
      </w:r>
      <w:r w:rsidR="00C36E3C">
        <w:rPr>
          <w:noProof/>
        </w:rPr>
        <w:t xml:space="preserve">, </w:t>
      </w:r>
      <w:r w:rsidRPr="00FC73B8">
        <w:rPr>
          <w:noProof/>
        </w:rPr>
        <w:t>1811-</w:t>
      </w:r>
      <w:r w:rsidR="00C36E3C">
        <w:rPr>
          <w:noProof/>
        </w:rPr>
        <w:t>18</w:t>
      </w:r>
      <w:r w:rsidRPr="00FC73B8">
        <w:rPr>
          <w:noProof/>
        </w:rPr>
        <w:t>24.</w:t>
      </w:r>
    </w:p>
    <w:p w:rsidR="000D1026" w:rsidRPr="00E734FE" w:rsidRDefault="000D1026" w:rsidP="000D1026">
      <w:pPr>
        <w:rPr>
          <w:noProof/>
        </w:rPr>
      </w:pPr>
      <w:r w:rsidRPr="00BB3C05">
        <w:rPr>
          <w:noProof/>
        </w:rPr>
        <w:t>Harrisa</w:t>
      </w:r>
      <w:r w:rsidR="00C36E3C">
        <w:rPr>
          <w:noProof/>
        </w:rPr>
        <w:t>,</w:t>
      </w:r>
      <w:r w:rsidRPr="00BB3C05">
        <w:rPr>
          <w:noProof/>
        </w:rPr>
        <w:t xml:space="preserve"> G.J., Senagorea</w:t>
      </w:r>
      <w:r w:rsidR="00C36E3C">
        <w:rPr>
          <w:noProof/>
        </w:rPr>
        <w:t>,</w:t>
      </w:r>
      <w:r w:rsidRPr="00BB3C05">
        <w:rPr>
          <w:noProof/>
        </w:rPr>
        <w:t xml:space="preserve"> A.J.</w:t>
      </w:r>
      <w:r w:rsidR="00C80127" w:rsidRPr="00BB3C05">
        <w:t xml:space="preserve"> </w:t>
      </w:r>
      <w:r w:rsidR="00C80127">
        <w:t>et al</w:t>
      </w:r>
      <w:r w:rsidRPr="00BB3C05">
        <w:rPr>
          <w:noProof/>
        </w:rPr>
        <w:t xml:space="preserve"> </w:t>
      </w:r>
      <w:r w:rsidR="00993CAF">
        <w:rPr>
          <w:noProof/>
        </w:rPr>
        <w:t>2001.</w:t>
      </w:r>
      <w:r w:rsidRPr="00BB3C05">
        <w:rPr>
          <w:noProof/>
        </w:rPr>
        <w:t xml:space="preserve"> </w:t>
      </w:r>
      <w:r w:rsidR="00993CAF">
        <w:rPr>
          <w:noProof/>
        </w:rPr>
        <w:t>‘</w:t>
      </w:r>
      <w:r w:rsidRPr="00E734FE">
        <w:rPr>
          <w:noProof/>
        </w:rPr>
        <w:t>The management of neoplastic colorectal obstruction with colonic endolumenal stenting devices</w:t>
      </w:r>
      <w:r w:rsidR="00993CAF">
        <w:rPr>
          <w:noProof/>
        </w:rPr>
        <w:t>’</w:t>
      </w:r>
      <w:r w:rsidR="00C36E3C">
        <w:rPr>
          <w:noProof/>
        </w:rPr>
        <w:t>,</w:t>
      </w:r>
      <w:r w:rsidRPr="00E734FE">
        <w:rPr>
          <w:noProof/>
        </w:rPr>
        <w:t xml:space="preserve"> </w:t>
      </w:r>
      <w:r w:rsidRPr="0007443E">
        <w:rPr>
          <w:i/>
          <w:noProof/>
        </w:rPr>
        <w:t>The American Journal of Surgery</w:t>
      </w:r>
      <w:r w:rsidRPr="00E734FE">
        <w:rPr>
          <w:noProof/>
        </w:rPr>
        <w:t>, 181</w:t>
      </w:r>
      <w:r w:rsidR="00BC0E24">
        <w:rPr>
          <w:noProof/>
        </w:rPr>
        <w:t xml:space="preserve"> (6)</w:t>
      </w:r>
      <w:r w:rsidR="00501DD3">
        <w:rPr>
          <w:noProof/>
        </w:rPr>
        <w:t xml:space="preserve">, </w:t>
      </w:r>
      <w:r w:rsidRPr="00E734FE">
        <w:rPr>
          <w:noProof/>
        </w:rPr>
        <w:t xml:space="preserve">499–506. </w:t>
      </w:r>
    </w:p>
    <w:p w:rsidR="007F33A8" w:rsidRPr="008978EE" w:rsidRDefault="007F33A8" w:rsidP="007F33A8">
      <w:pPr>
        <w:rPr>
          <w:noProof/>
        </w:rPr>
      </w:pPr>
      <w:r w:rsidRPr="009E5C53">
        <w:rPr>
          <w:noProof/>
        </w:rPr>
        <w:t xml:space="preserve">Higgins, J. P. T. </w:t>
      </w:r>
      <w:r w:rsidR="00C80127">
        <w:rPr>
          <w:noProof/>
        </w:rPr>
        <w:t>and</w:t>
      </w:r>
      <w:r w:rsidRPr="00E2422F">
        <w:rPr>
          <w:noProof/>
        </w:rPr>
        <w:t xml:space="preserve"> Green, S., eds. </w:t>
      </w:r>
      <w:r w:rsidR="00993CAF">
        <w:rPr>
          <w:noProof/>
        </w:rPr>
        <w:t>2011.</w:t>
      </w:r>
      <w:r w:rsidRPr="00E2422F">
        <w:rPr>
          <w:noProof/>
        </w:rPr>
        <w:t xml:space="preserve"> </w:t>
      </w:r>
      <w:r w:rsidRPr="00892811">
        <w:rPr>
          <w:i/>
          <w:noProof/>
        </w:rPr>
        <w:t>C</w:t>
      </w:r>
      <w:r w:rsidRPr="008978EE">
        <w:rPr>
          <w:i/>
          <w:noProof/>
        </w:rPr>
        <w:t xml:space="preserve">ochrane Handbook for Systematic Reviews of Interventions, </w:t>
      </w:r>
      <w:r w:rsidRPr="008978EE">
        <w:rPr>
          <w:noProof/>
        </w:rPr>
        <w:t>Version 5.1.0  [updated March 2011], The Cochrane Collaboration.</w:t>
      </w:r>
      <w:bookmarkEnd w:id="379"/>
    </w:p>
    <w:p w:rsidR="00C71740" w:rsidRPr="005646B6" w:rsidRDefault="00C71740" w:rsidP="00C71740">
      <w:pPr>
        <w:pStyle w:val="References"/>
        <w:ind w:left="709" w:firstLine="11"/>
      </w:pPr>
      <w:proofErr w:type="gramStart"/>
      <w:r w:rsidRPr="00A30BA9">
        <w:t>Itzkowitz</w:t>
      </w:r>
      <w:r w:rsidR="00C36E3C">
        <w:t>,</w:t>
      </w:r>
      <w:r w:rsidRPr="00A30BA9">
        <w:t xml:space="preserve"> S</w:t>
      </w:r>
      <w:r w:rsidR="00C36E3C">
        <w:t>.</w:t>
      </w:r>
      <w:r w:rsidRPr="00A30BA9">
        <w:t>H</w:t>
      </w:r>
      <w:r w:rsidR="00C36E3C">
        <w:t>.</w:t>
      </w:r>
      <w:r w:rsidR="00C80127">
        <w:t xml:space="preserve"> and</w:t>
      </w:r>
      <w:r w:rsidRPr="00A30BA9">
        <w:t xml:space="preserve"> Harpaz</w:t>
      </w:r>
      <w:r w:rsidR="00C36E3C">
        <w:t>,</w:t>
      </w:r>
      <w:r w:rsidRPr="00A30BA9">
        <w:t xml:space="preserve"> N. </w:t>
      </w:r>
      <w:r w:rsidR="00993CAF">
        <w:t>2004.</w:t>
      </w:r>
      <w:proofErr w:type="gramEnd"/>
      <w:r w:rsidR="00C36E3C">
        <w:t xml:space="preserve"> </w:t>
      </w:r>
      <w:proofErr w:type="gramStart"/>
      <w:r w:rsidR="00993CAF">
        <w:t>‘</w:t>
      </w:r>
      <w:r w:rsidRPr="00A30BA9">
        <w:t>Diagnosis and management of dysplasia in patients with inflammatory bowel diseases</w:t>
      </w:r>
      <w:r w:rsidR="00993CAF">
        <w:t>’</w:t>
      </w:r>
      <w:r w:rsidR="00C36E3C">
        <w:t>,</w:t>
      </w:r>
      <w:r w:rsidRPr="00A30BA9">
        <w:t xml:space="preserve"> </w:t>
      </w:r>
      <w:r w:rsidRPr="0007443E">
        <w:rPr>
          <w:i/>
        </w:rPr>
        <w:t>Gastroenterology</w:t>
      </w:r>
      <w:r w:rsidR="00C36E3C">
        <w:rPr>
          <w:i/>
        </w:rPr>
        <w:t>,</w:t>
      </w:r>
      <w:r w:rsidRPr="00A30BA9">
        <w:t xml:space="preserve"> 12</w:t>
      </w:r>
      <w:r w:rsidRPr="005646B6">
        <w:t>6</w:t>
      </w:r>
      <w:r w:rsidR="00AB3DD1">
        <w:t xml:space="preserve"> (6)</w:t>
      </w:r>
      <w:r w:rsidR="00C36E3C">
        <w:t>,</w:t>
      </w:r>
      <w:r w:rsidR="00501DD3">
        <w:t xml:space="preserve"> </w:t>
      </w:r>
      <w:r w:rsidRPr="005646B6">
        <w:t>1634-</w:t>
      </w:r>
      <w:r w:rsidR="00C36E3C">
        <w:t>16</w:t>
      </w:r>
      <w:r w:rsidRPr="005646B6">
        <w:t>48.</w:t>
      </w:r>
      <w:proofErr w:type="gramEnd"/>
    </w:p>
    <w:p w:rsidR="00A50093" w:rsidRPr="00A50093" w:rsidRDefault="00A50093" w:rsidP="00A50093">
      <w:r w:rsidRPr="00A50093">
        <w:t xml:space="preserve">Johnson, R., Marsh, R. et al 2004. ‘A comparison of two methods of palliation of large bowel obstruction due to irremovable colon cancer’, </w:t>
      </w:r>
      <w:r w:rsidRPr="00A50093">
        <w:rPr>
          <w:i/>
          <w:iCs/>
        </w:rPr>
        <w:t>Annals of the Royal College of Surgeons England</w:t>
      </w:r>
      <w:r w:rsidRPr="00A50093">
        <w:t>, 86 (2)</w:t>
      </w:r>
      <w:r w:rsidR="00BC0E24">
        <w:t>,</w:t>
      </w:r>
      <w:r w:rsidRPr="00A50093">
        <w:t xml:space="preserve"> 99-103.</w:t>
      </w:r>
    </w:p>
    <w:p w:rsidR="00E772C5" w:rsidRPr="00E772C5" w:rsidRDefault="00E772C5" w:rsidP="00E772C5">
      <w:r w:rsidRPr="00E772C5">
        <w:t xml:space="preserve">Jost, R., Schoch, E. et al 2007. </w:t>
      </w:r>
      <w:proofErr w:type="gramStart"/>
      <w:r w:rsidRPr="00E772C5">
        <w:t xml:space="preserve">‘Colorectal stenting: an effective therapy for preoperative and palliative treatment’, </w:t>
      </w:r>
      <w:r w:rsidRPr="00E772C5">
        <w:rPr>
          <w:i/>
          <w:iCs/>
        </w:rPr>
        <w:t>Cardiovascular and Interventional Radiology</w:t>
      </w:r>
      <w:r w:rsidRPr="00E772C5">
        <w:t>, 30 (3)</w:t>
      </w:r>
      <w:r w:rsidR="00BC0E24">
        <w:t>,</w:t>
      </w:r>
      <w:r w:rsidRPr="00E772C5">
        <w:t xml:space="preserve"> 433-440.</w:t>
      </w:r>
      <w:proofErr w:type="gramEnd"/>
    </w:p>
    <w:p w:rsidR="007640FB" w:rsidRPr="00325C69" w:rsidRDefault="007640FB" w:rsidP="000C193E">
      <w:pPr>
        <w:pStyle w:val="References"/>
        <w:ind w:left="709" w:firstLine="11"/>
      </w:pPr>
      <w:proofErr w:type="gramStart"/>
      <w:r w:rsidRPr="005646B6">
        <w:t>Karadag</w:t>
      </w:r>
      <w:r w:rsidR="00C36E3C">
        <w:t>,</w:t>
      </w:r>
      <w:r w:rsidRPr="005646B6">
        <w:t xml:space="preserve"> A</w:t>
      </w:r>
      <w:r w:rsidR="000C193E" w:rsidRPr="00003831">
        <w:t>.</w:t>
      </w:r>
      <w:r w:rsidRPr="00A87C52">
        <w:t>, Mentes</w:t>
      </w:r>
      <w:r w:rsidR="00C36E3C">
        <w:t>,</w:t>
      </w:r>
      <w:r w:rsidRPr="00A87C52">
        <w:t xml:space="preserve"> B</w:t>
      </w:r>
      <w:r w:rsidR="000C193E" w:rsidRPr="00DF686C">
        <w:t>.</w:t>
      </w:r>
      <w:r w:rsidRPr="00DF686C">
        <w:t>B</w:t>
      </w:r>
      <w:r w:rsidR="000C193E" w:rsidRPr="00DF686C">
        <w:t>.</w:t>
      </w:r>
      <w:r w:rsidR="00C80127" w:rsidRPr="00BB3C05">
        <w:t xml:space="preserve"> </w:t>
      </w:r>
      <w:r w:rsidR="00C80127">
        <w:t>et al</w:t>
      </w:r>
      <w:r w:rsidRPr="00A3741F">
        <w:t xml:space="preserve"> </w:t>
      </w:r>
      <w:r w:rsidR="00993CAF">
        <w:t>2003.</w:t>
      </w:r>
      <w:proofErr w:type="gramEnd"/>
      <w:r w:rsidRPr="00A3741F">
        <w:t xml:space="preserve"> </w:t>
      </w:r>
      <w:proofErr w:type="gramStart"/>
      <w:r w:rsidR="00993CAF">
        <w:t>‘</w:t>
      </w:r>
      <w:r w:rsidRPr="00F2707B">
        <w:t>Impact of stoma therapy on quality of life in patients with permanent colostomies or liostomies</w:t>
      </w:r>
      <w:r w:rsidR="00993CAF">
        <w:t>’</w:t>
      </w:r>
      <w:r w:rsidRPr="008F42F9">
        <w:t xml:space="preserve">, </w:t>
      </w:r>
      <w:r w:rsidRPr="008F42F9">
        <w:rPr>
          <w:i/>
        </w:rPr>
        <w:t xml:space="preserve">International </w:t>
      </w:r>
      <w:r w:rsidR="002705AE">
        <w:rPr>
          <w:i/>
        </w:rPr>
        <w:t>J</w:t>
      </w:r>
      <w:r w:rsidR="002705AE" w:rsidRPr="008F42F9">
        <w:rPr>
          <w:i/>
        </w:rPr>
        <w:t xml:space="preserve">ournal </w:t>
      </w:r>
      <w:r w:rsidRPr="008F42F9">
        <w:rPr>
          <w:i/>
        </w:rPr>
        <w:t>of Colorectal Diseases</w:t>
      </w:r>
      <w:r w:rsidRPr="008F42F9">
        <w:t>, 18</w:t>
      </w:r>
      <w:r w:rsidR="005267B7">
        <w:t xml:space="preserve"> (</w:t>
      </w:r>
      <w:r w:rsidRPr="008F42F9">
        <w:t>3</w:t>
      </w:r>
      <w:r w:rsidR="005267B7">
        <w:t>)</w:t>
      </w:r>
      <w:r w:rsidR="00BC0E24">
        <w:t>,</w:t>
      </w:r>
      <w:r w:rsidRPr="008F42F9">
        <w:t xml:space="preserve"> 234-238</w:t>
      </w:r>
      <w:r w:rsidRPr="00325C69">
        <w:t>.</w:t>
      </w:r>
      <w:proofErr w:type="gramEnd"/>
      <w:r w:rsidRPr="00325C69">
        <w:t xml:space="preserve"> </w:t>
      </w:r>
    </w:p>
    <w:p w:rsidR="00422ADB" w:rsidRDefault="00422ADB" w:rsidP="000A59A6">
      <w:proofErr w:type="gramStart"/>
      <w:r w:rsidRPr="00422ADB">
        <w:t>Katsanos</w:t>
      </w:r>
      <w:r w:rsidR="00C36E3C">
        <w:t>,</w:t>
      </w:r>
      <w:r w:rsidRPr="00422ADB">
        <w:t xml:space="preserve"> K</w:t>
      </w:r>
      <w:r w:rsidR="00C36E3C">
        <w:t>.</w:t>
      </w:r>
      <w:r w:rsidRPr="00422ADB">
        <w:t>, Sabharwal</w:t>
      </w:r>
      <w:r w:rsidR="00C36E3C">
        <w:t>,</w:t>
      </w:r>
      <w:r w:rsidRPr="00422ADB">
        <w:t xml:space="preserve"> T</w:t>
      </w:r>
      <w:r w:rsidR="00C36E3C">
        <w:t>.</w:t>
      </w:r>
      <w:r w:rsidR="00C80127">
        <w:t xml:space="preserve"> and</w:t>
      </w:r>
      <w:r w:rsidR="00C36E3C">
        <w:t xml:space="preserve"> </w:t>
      </w:r>
      <w:r w:rsidRPr="00422ADB">
        <w:t>Adam</w:t>
      </w:r>
      <w:r w:rsidR="00C36E3C">
        <w:t>,</w:t>
      </w:r>
      <w:r w:rsidRPr="00422ADB">
        <w:t xml:space="preserve"> A. </w:t>
      </w:r>
      <w:r w:rsidR="00993CAF">
        <w:t>2011.</w:t>
      </w:r>
      <w:proofErr w:type="gramEnd"/>
      <w:r w:rsidR="00C36E3C">
        <w:t xml:space="preserve"> </w:t>
      </w:r>
      <w:proofErr w:type="gramStart"/>
      <w:r w:rsidR="00993CAF">
        <w:t>‘</w:t>
      </w:r>
      <w:r w:rsidRPr="00422ADB">
        <w:t xml:space="preserve">Stenting of the </w:t>
      </w:r>
      <w:r w:rsidR="00C36E3C">
        <w:t>l</w:t>
      </w:r>
      <w:r w:rsidR="00C36E3C" w:rsidRPr="00422ADB">
        <w:t xml:space="preserve">ower </w:t>
      </w:r>
      <w:r w:rsidR="00C36E3C">
        <w:t>g</w:t>
      </w:r>
      <w:r w:rsidR="00C36E3C" w:rsidRPr="00422ADB">
        <w:t xml:space="preserve">astrointestinal </w:t>
      </w:r>
      <w:r w:rsidR="00C36E3C">
        <w:t>t</w:t>
      </w:r>
      <w:r w:rsidR="00C36E3C" w:rsidRPr="00422ADB">
        <w:t>ract</w:t>
      </w:r>
      <w:r w:rsidRPr="00422ADB">
        <w:t xml:space="preserve">: </w:t>
      </w:r>
      <w:r w:rsidR="00C36E3C">
        <w:t>c</w:t>
      </w:r>
      <w:r w:rsidR="00C36E3C" w:rsidRPr="00422ADB">
        <w:t xml:space="preserve">urrent </w:t>
      </w:r>
      <w:r w:rsidR="00C36E3C">
        <w:t>s</w:t>
      </w:r>
      <w:r w:rsidR="00C36E3C" w:rsidRPr="00422ADB">
        <w:t>tatus</w:t>
      </w:r>
      <w:r w:rsidR="00993CAF">
        <w:t>’</w:t>
      </w:r>
      <w:r w:rsidR="00C36E3C">
        <w:t>,</w:t>
      </w:r>
      <w:r w:rsidRPr="00422ADB">
        <w:t xml:space="preserve"> </w:t>
      </w:r>
      <w:r w:rsidRPr="0007443E">
        <w:rPr>
          <w:i/>
        </w:rPr>
        <w:t>Cardiovasc</w:t>
      </w:r>
      <w:r w:rsidR="002705AE">
        <w:rPr>
          <w:i/>
        </w:rPr>
        <w:t>ular and</w:t>
      </w:r>
      <w:r w:rsidRPr="0007443E">
        <w:rPr>
          <w:i/>
        </w:rPr>
        <w:t xml:space="preserve"> Intervent</w:t>
      </w:r>
      <w:r w:rsidR="002705AE">
        <w:rPr>
          <w:i/>
        </w:rPr>
        <w:t>ional</w:t>
      </w:r>
      <w:r w:rsidRPr="0007443E">
        <w:rPr>
          <w:i/>
        </w:rPr>
        <w:t xml:space="preserve"> Radiol</w:t>
      </w:r>
      <w:r w:rsidR="002705AE">
        <w:rPr>
          <w:i/>
        </w:rPr>
        <w:t>ogy</w:t>
      </w:r>
      <w:r w:rsidR="00C36E3C">
        <w:rPr>
          <w:i/>
        </w:rPr>
        <w:t>,</w:t>
      </w:r>
      <w:r w:rsidRPr="00422ADB">
        <w:t xml:space="preserve"> 34</w:t>
      </w:r>
      <w:r w:rsidR="00BC0E24">
        <w:t xml:space="preserve"> (3)</w:t>
      </w:r>
      <w:r w:rsidR="00C36E3C">
        <w:t xml:space="preserve">, </w:t>
      </w:r>
      <w:r w:rsidRPr="00422ADB">
        <w:t>462-</w:t>
      </w:r>
      <w:r w:rsidR="00C36E3C">
        <w:t>4</w:t>
      </w:r>
      <w:r w:rsidRPr="00422ADB">
        <w:t>73.</w:t>
      </w:r>
      <w:proofErr w:type="gramEnd"/>
    </w:p>
    <w:p w:rsidR="00E772C5" w:rsidRPr="00E772C5" w:rsidRDefault="00E772C5" w:rsidP="00E772C5">
      <w:r w:rsidRPr="00E772C5">
        <w:t>Ker</w:t>
      </w:r>
      <w:r w:rsidR="00B16316" w:rsidRPr="00B16316">
        <w:t>ä</w:t>
      </w:r>
      <w:r w:rsidRPr="00E772C5">
        <w:t xml:space="preserve">nen, I., Lepisto, A. et al 2011. </w:t>
      </w:r>
      <w:proofErr w:type="gramStart"/>
      <w:r w:rsidRPr="00E772C5">
        <w:t xml:space="preserve">‘Stenting for malignant colorectal obstruction: a single-center experience with 101 patients’, </w:t>
      </w:r>
      <w:r w:rsidRPr="00E772C5">
        <w:rPr>
          <w:i/>
          <w:iCs/>
        </w:rPr>
        <w:t>Surgical Endoscopy</w:t>
      </w:r>
      <w:r w:rsidR="00BC0E24">
        <w:t>, 26 (2), 423-430.</w:t>
      </w:r>
      <w:proofErr w:type="gramEnd"/>
    </w:p>
    <w:p w:rsidR="00AB3DD1" w:rsidRPr="00AB3DD1" w:rsidRDefault="000A59A6" w:rsidP="00AB3DD1">
      <w:pPr>
        <w:rPr>
          <w:lang w:val="en-US"/>
        </w:rPr>
      </w:pPr>
      <w:proofErr w:type="gramStart"/>
      <w:r w:rsidRPr="007D5B7C">
        <w:t>Khan</w:t>
      </w:r>
      <w:r w:rsidR="00967FD1">
        <w:t>,</w:t>
      </w:r>
      <w:r w:rsidRPr="007D5B7C">
        <w:t xml:space="preserve"> K</w:t>
      </w:r>
      <w:r w:rsidR="00967FD1">
        <w:t>.</w:t>
      </w:r>
      <w:r w:rsidRPr="007D5B7C">
        <w:t>, Riet</w:t>
      </w:r>
      <w:r w:rsidR="00967FD1">
        <w:t>,</w:t>
      </w:r>
      <w:r w:rsidRPr="007D5B7C">
        <w:t xml:space="preserve"> G</w:t>
      </w:r>
      <w:r w:rsidR="00967FD1">
        <w:t>.</w:t>
      </w:r>
      <w:r w:rsidR="00C80127" w:rsidRPr="00BB3C05">
        <w:t xml:space="preserve"> </w:t>
      </w:r>
      <w:r w:rsidR="00C80127">
        <w:t>et al</w:t>
      </w:r>
      <w:r w:rsidRPr="007D5B7C">
        <w:t xml:space="preserve"> </w:t>
      </w:r>
      <w:r w:rsidR="00993CAF">
        <w:t>2001.</w:t>
      </w:r>
      <w:proofErr w:type="gramEnd"/>
      <w:r w:rsidRPr="007D5B7C">
        <w:t xml:space="preserve"> </w:t>
      </w:r>
      <w:r w:rsidR="00993CAF">
        <w:t>‘</w:t>
      </w:r>
      <w:r w:rsidRPr="007D5B7C">
        <w:t>Undertaking systematic reviews of research on effectiveness: CRD’s guidance for those carrying out or commissioning reviews</w:t>
      </w:r>
      <w:r w:rsidR="00993CAF">
        <w:t>’</w:t>
      </w:r>
      <w:r w:rsidRPr="007D5B7C">
        <w:t>, CRD Report 4</w:t>
      </w:r>
      <w:r w:rsidR="0015496C">
        <w:t xml:space="preserve"> </w:t>
      </w:r>
      <w:r w:rsidR="00501DD3">
        <w:t>(</w:t>
      </w:r>
      <w:r w:rsidRPr="007D5B7C">
        <w:t>2</w:t>
      </w:r>
      <w:r w:rsidR="00AB3DD1">
        <w:t xml:space="preserve"> </w:t>
      </w:r>
      <w:proofErr w:type="gramStart"/>
      <w:r w:rsidR="00AB3DD1">
        <w:t>ed</w:t>
      </w:r>
      <w:r w:rsidR="00C146DF">
        <w:t>s</w:t>
      </w:r>
      <w:proofErr w:type="gramEnd"/>
      <w:r w:rsidR="00501DD3">
        <w:t>)</w:t>
      </w:r>
      <w:r w:rsidRPr="007D5B7C">
        <w:t>,</w:t>
      </w:r>
      <w:r w:rsidR="0015496C">
        <w:t xml:space="preserve"> </w:t>
      </w:r>
      <w:r w:rsidR="00AB3DD1" w:rsidRPr="00AB3DD1">
        <w:rPr>
          <w:lang w:val="en-US"/>
        </w:rPr>
        <w:t>NHS Centre for Reviews and Dissemination, York, UK.</w:t>
      </w:r>
    </w:p>
    <w:p w:rsidR="000A59A6" w:rsidRPr="007D5B7C" w:rsidRDefault="000A59A6" w:rsidP="000A59A6"/>
    <w:p w:rsidR="007640FB" w:rsidRPr="001949E9" w:rsidRDefault="007640FB" w:rsidP="00CC55D8">
      <w:pPr>
        <w:pStyle w:val="References"/>
        <w:ind w:left="709" w:firstLine="11"/>
      </w:pPr>
      <w:r w:rsidRPr="007D5B7C">
        <w:lastRenderedPageBreak/>
        <w:t>Khot</w:t>
      </w:r>
      <w:r w:rsidR="00967FD1">
        <w:t>,</w:t>
      </w:r>
      <w:r w:rsidRPr="007D5B7C">
        <w:t xml:space="preserve"> U</w:t>
      </w:r>
      <w:r w:rsidR="000C193E" w:rsidRPr="007D5B7C">
        <w:t>.</w:t>
      </w:r>
      <w:r w:rsidRPr="007D5B7C">
        <w:t>P</w:t>
      </w:r>
      <w:r w:rsidR="000C193E" w:rsidRPr="007D5B7C">
        <w:t>.</w:t>
      </w:r>
      <w:r w:rsidRPr="007D5B7C">
        <w:t>, Lang</w:t>
      </w:r>
      <w:r w:rsidR="00967FD1">
        <w:t>,</w:t>
      </w:r>
      <w:r w:rsidRPr="007D5B7C">
        <w:t xml:space="preserve"> A</w:t>
      </w:r>
      <w:r w:rsidR="000C193E" w:rsidRPr="007D5B7C">
        <w:t>.</w:t>
      </w:r>
      <w:r w:rsidRPr="00960A9E">
        <w:t>W</w:t>
      </w:r>
      <w:r w:rsidR="000C193E" w:rsidRPr="00EA2600">
        <w:t>.</w:t>
      </w:r>
      <w:r w:rsidR="00C80127" w:rsidRPr="00BB3C05">
        <w:t xml:space="preserve"> </w:t>
      </w:r>
      <w:r w:rsidR="00C80127">
        <w:t>et al</w:t>
      </w:r>
      <w:r w:rsidRPr="00DA0155">
        <w:t xml:space="preserve"> </w:t>
      </w:r>
      <w:r w:rsidR="00993CAF">
        <w:t>2002.</w:t>
      </w:r>
      <w:r w:rsidRPr="00DA0155">
        <w:t xml:space="preserve"> </w:t>
      </w:r>
      <w:proofErr w:type="gramStart"/>
      <w:r w:rsidR="00993CAF">
        <w:t>‘</w:t>
      </w:r>
      <w:r w:rsidR="00CC55D8" w:rsidRPr="0055406F">
        <w:t>Systematic</w:t>
      </w:r>
      <w:r w:rsidRPr="0055406F">
        <w:t xml:space="preserve"> review of the efficacy and safety of colorectal stents</w:t>
      </w:r>
      <w:r w:rsidR="00993CAF">
        <w:t>’</w:t>
      </w:r>
      <w:r w:rsidRPr="00B1508A">
        <w:t xml:space="preserve">, </w:t>
      </w:r>
      <w:r w:rsidRPr="00B1508A">
        <w:rPr>
          <w:i/>
        </w:rPr>
        <w:t>British Journal of Surgery</w:t>
      </w:r>
      <w:r w:rsidRPr="00B1508A">
        <w:t xml:space="preserve">, </w:t>
      </w:r>
      <w:r w:rsidRPr="001949E9">
        <w:t>89</w:t>
      </w:r>
      <w:r w:rsidR="00BC0E24">
        <w:t xml:space="preserve"> (9)</w:t>
      </w:r>
      <w:r w:rsidR="009E60D9">
        <w:t xml:space="preserve">, </w:t>
      </w:r>
      <w:r w:rsidRPr="001949E9">
        <w:t>1096-1102.</w:t>
      </w:r>
      <w:proofErr w:type="gramEnd"/>
      <w:r w:rsidRPr="001949E9">
        <w:t xml:space="preserve"> </w:t>
      </w:r>
    </w:p>
    <w:p w:rsidR="00E772C5" w:rsidRPr="00E772C5" w:rsidRDefault="00E772C5" w:rsidP="00E772C5">
      <w:bookmarkStart w:id="380" w:name="_ENREF_107"/>
      <w:r w:rsidRPr="00E772C5">
        <w:t xml:space="preserve">Kim, J. H., Song, H. Y. et al 2009. ‘Dual-design expandable colorectal stent for malignant colorectal obstruction: comparison of flared ends and bent ends’, </w:t>
      </w:r>
      <w:r w:rsidRPr="00E772C5">
        <w:rPr>
          <w:i/>
          <w:iCs/>
        </w:rPr>
        <w:t>American Journal of Roentgenology</w:t>
      </w:r>
      <w:r w:rsidRPr="00E772C5">
        <w:t>, 193 (1)</w:t>
      </w:r>
      <w:r w:rsidR="00BC0E24">
        <w:t>,</w:t>
      </w:r>
      <w:r w:rsidRPr="00E772C5">
        <w:t xml:space="preserve"> 248-254.</w:t>
      </w:r>
    </w:p>
    <w:p w:rsidR="00E772C5" w:rsidRPr="00E772C5" w:rsidRDefault="00E772C5" w:rsidP="00E772C5">
      <w:proofErr w:type="gramStart"/>
      <w:r w:rsidRPr="00E772C5">
        <w:t>Kim, S. Y., Kwon, S. H. and Oh, J. H. 2010.</w:t>
      </w:r>
      <w:proofErr w:type="gramEnd"/>
      <w:r w:rsidRPr="00E772C5">
        <w:t xml:space="preserve"> </w:t>
      </w:r>
      <w:proofErr w:type="gramStart"/>
      <w:r w:rsidRPr="00E772C5">
        <w:t xml:space="preserve">‘Radiologic placement of uncovered stents for the treatment of malignant colorectal obstruction’, </w:t>
      </w:r>
      <w:r w:rsidRPr="00E772C5">
        <w:rPr>
          <w:i/>
          <w:iCs/>
        </w:rPr>
        <w:t>Journal of Vascular and Interventional Radiology</w:t>
      </w:r>
      <w:r w:rsidRPr="00E772C5">
        <w:t>, 21 (8)</w:t>
      </w:r>
      <w:r w:rsidR="00BC0E24">
        <w:t>,</w:t>
      </w:r>
      <w:r w:rsidRPr="00E772C5">
        <w:t xml:space="preserve"> 1244-1249.</w:t>
      </w:r>
      <w:proofErr w:type="gramEnd"/>
    </w:p>
    <w:p w:rsidR="00B721E2" w:rsidRPr="00CD21F6" w:rsidRDefault="00B721E2" w:rsidP="00B721E2">
      <w:pPr>
        <w:pStyle w:val="References"/>
        <w:ind w:left="709" w:firstLine="11"/>
      </w:pPr>
      <w:proofErr w:type="gramStart"/>
      <w:r w:rsidRPr="00286445">
        <w:t>Kimmey</w:t>
      </w:r>
      <w:r w:rsidR="00967FD1">
        <w:t>,</w:t>
      </w:r>
      <w:r w:rsidRPr="00286445">
        <w:t xml:space="preserve"> M.B. </w:t>
      </w:r>
      <w:r w:rsidR="00993CAF">
        <w:t>2004.</w:t>
      </w:r>
      <w:proofErr w:type="gramEnd"/>
      <w:r w:rsidRPr="00286445">
        <w:t xml:space="preserve"> </w:t>
      </w:r>
      <w:proofErr w:type="gramStart"/>
      <w:r w:rsidR="00993CAF">
        <w:t>‘</w:t>
      </w:r>
      <w:r w:rsidRPr="00286445">
        <w:t>Endoscopic methods (other than stents) for palliation of rectal carcinoma</w:t>
      </w:r>
      <w:r w:rsidR="00993CAF">
        <w:t>’</w:t>
      </w:r>
      <w:r w:rsidRPr="00286445">
        <w:t xml:space="preserve">, </w:t>
      </w:r>
      <w:r w:rsidRPr="00286445">
        <w:rPr>
          <w:i/>
        </w:rPr>
        <w:t>Journal of Gastrointe</w:t>
      </w:r>
      <w:r w:rsidRPr="008C1FFF">
        <w:rPr>
          <w:i/>
        </w:rPr>
        <w:t>stinal Surgery</w:t>
      </w:r>
      <w:r w:rsidRPr="00CD21F6">
        <w:t>, 8</w:t>
      </w:r>
      <w:r w:rsidR="005267B7">
        <w:t xml:space="preserve"> (</w:t>
      </w:r>
      <w:r w:rsidRPr="00CD21F6">
        <w:t>3</w:t>
      </w:r>
      <w:r w:rsidR="005267B7">
        <w:t>)</w:t>
      </w:r>
      <w:r w:rsidR="00BC0E24">
        <w:t>,</w:t>
      </w:r>
      <w:r w:rsidRPr="00CD21F6">
        <w:t xml:space="preserve"> 270-273.</w:t>
      </w:r>
      <w:proofErr w:type="gramEnd"/>
      <w:r w:rsidRPr="00CD21F6">
        <w:t xml:space="preserve">  </w:t>
      </w:r>
    </w:p>
    <w:p w:rsidR="00E772C5" w:rsidRPr="00E772C5" w:rsidRDefault="00E772C5" w:rsidP="00E772C5">
      <w:r w:rsidRPr="00E772C5">
        <w:t xml:space="preserve">Lee, K. M., Shin, S. J. et al 2007. </w:t>
      </w:r>
      <w:proofErr w:type="gramStart"/>
      <w:r w:rsidRPr="00E772C5">
        <w:t xml:space="preserve">‘Comparison of uncovered stent with covered stent for treatment of malignant colorectal obstruction’, </w:t>
      </w:r>
      <w:r w:rsidRPr="00E772C5">
        <w:rPr>
          <w:i/>
          <w:iCs/>
        </w:rPr>
        <w:t>Gastrointestinal Endoscopy</w:t>
      </w:r>
      <w:r w:rsidRPr="00E772C5">
        <w:t>, 66 (5)</w:t>
      </w:r>
      <w:r w:rsidR="00BC0E24">
        <w:t>,</w:t>
      </w:r>
      <w:r w:rsidRPr="00E772C5">
        <w:t xml:space="preserve"> 931-936.</w:t>
      </w:r>
      <w:proofErr w:type="gramEnd"/>
    </w:p>
    <w:p w:rsidR="00E772C5" w:rsidRPr="00E772C5" w:rsidRDefault="00E772C5" w:rsidP="00E772C5">
      <w:r w:rsidRPr="00E772C5">
        <w:t xml:space="preserve">Lee, H. J., Hong, S. P. et al 2011. </w:t>
      </w:r>
      <w:proofErr w:type="gramStart"/>
      <w:r w:rsidRPr="00E772C5">
        <w:t xml:space="preserve">‘Long-term outcome of palliative therapy for malignant colorectal obstruction in patients with unresectable metastatic colorectal cancers: endoscopic stenting versus surgery’, </w:t>
      </w:r>
      <w:r w:rsidRPr="00E772C5">
        <w:rPr>
          <w:i/>
          <w:iCs/>
        </w:rPr>
        <w:t>Gastrointestinal Endoscopy</w:t>
      </w:r>
      <w:r w:rsidRPr="00E772C5">
        <w:t>, 73 (3)</w:t>
      </w:r>
      <w:r w:rsidR="00BC0E24">
        <w:t>,</w:t>
      </w:r>
      <w:r w:rsidRPr="00E772C5">
        <w:t xml:space="preserve"> 535-542.</w:t>
      </w:r>
      <w:proofErr w:type="gramEnd"/>
    </w:p>
    <w:p w:rsidR="00E772C5" w:rsidRPr="00E772C5" w:rsidRDefault="00E772C5" w:rsidP="00E772C5">
      <w:proofErr w:type="gramStart"/>
      <w:r w:rsidRPr="00E772C5">
        <w:t>Lepsenyi, M., Santen, S. et al 2011.</w:t>
      </w:r>
      <w:proofErr w:type="gramEnd"/>
      <w:r w:rsidRPr="00E772C5">
        <w:t xml:space="preserve"> </w:t>
      </w:r>
      <w:proofErr w:type="gramStart"/>
      <w:r w:rsidRPr="00E772C5">
        <w:t xml:space="preserve">‘Self-expanding metal stents in malignant colonic obstruction: experiences from Sweden’, </w:t>
      </w:r>
      <w:r w:rsidRPr="00E772C5">
        <w:rPr>
          <w:i/>
          <w:iCs/>
        </w:rPr>
        <w:t>BMC Research Notes</w:t>
      </w:r>
      <w:r>
        <w:t>, 4</w:t>
      </w:r>
      <w:r w:rsidR="00BC0E24">
        <w:t xml:space="preserve"> (1)</w:t>
      </w:r>
      <w:r>
        <w:t xml:space="preserve">, </w:t>
      </w:r>
      <w:r w:rsidRPr="00E772C5">
        <w:t>274</w:t>
      </w:r>
      <w:r w:rsidR="00BC0E24">
        <w:t>-278</w:t>
      </w:r>
      <w:r w:rsidRPr="00E772C5">
        <w:t>.</w:t>
      </w:r>
      <w:proofErr w:type="gramEnd"/>
    </w:p>
    <w:p w:rsidR="0052796A" w:rsidRDefault="0052796A" w:rsidP="00CC55D8">
      <w:r w:rsidRPr="0098433D">
        <w:t xml:space="preserve">Li, Y. D., Cheng, Y. S. et al 2010. </w:t>
      </w:r>
      <w:proofErr w:type="gramStart"/>
      <w:r w:rsidRPr="0098433D">
        <w:t xml:space="preserve">‘Management of acute malignant colorectal obstruction with a novel self-expanding metallic stent as a bridge to surgery’, </w:t>
      </w:r>
      <w:r w:rsidRPr="0098433D">
        <w:rPr>
          <w:i/>
          <w:iCs/>
        </w:rPr>
        <w:t>European Journal of Radiology</w:t>
      </w:r>
      <w:r w:rsidRPr="0098433D">
        <w:t>, 73 (3)</w:t>
      </w:r>
      <w:r w:rsidR="00BC0E24">
        <w:t>,</w:t>
      </w:r>
      <w:r w:rsidRPr="0098433D">
        <w:t xml:space="preserve"> 566-571.</w:t>
      </w:r>
      <w:proofErr w:type="gramEnd"/>
    </w:p>
    <w:p w:rsidR="00CC55D8" w:rsidRPr="0072092E" w:rsidRDefault="00CC55D8" w:rsidP="00CC55D8">
      <w:pPr>
        <w:rPr>
          <w:noProof/>
        </w:rPr>
      </w:pPr>
      <w:r w:rsidRPr="00361416">
        <w:rPr>
          <w:noProof/>
        </w:rPr>
        <w:t>Liberati, A., Altman, D. G.</w:t>
      </w:r>
      <w:r w:rsidR="00C80127" w:rsidRPr="00BB3C05">
        <w:t xml:space="preserve"> </w:t>
      </w:r>
      <w:r w:rsidR="00C80127">
        <w:t>et al</w:t>
      </w:r>
      <w:r w:rsidR="000C193E" w:rsidRPr="00361416">
        <w:rPr>
          <w:noProof/>
        </w:rPr>
        <w:t xml:space="preserve"> 2009</w:t>
      </w:r>
      <w:r w:rsidR="00E772C5">
        <w:rPr>
          <w:noProof/>
        </w:rPr>
        <w:t>.</w:t>
      </w:r>
      <w:r w:rsidRPr="00361416">
        <w:rPr>
          <w:noProof/>
        </w:rPr>
        <w:t xml:space="preserve"> </w:t>
      </w:r>
      <w:r w:rsidR="00380ED2">
        <w:rPr>
          <w:noProof/>
        </w:rPr>
        <w:t>‘</w:t>
      </w:r>
      <w:r w:rsidRPr="00361416">
        <w:rPr>
          <w:noProof/>
        </w:rPr>
        <w:t>The PRISMA statement for reporting systematic reviews and me</w:t>
      </w:r>
      <w:r w:rsidRPr="0086082D">
        <w:rPr>
          <w:noProof/>
        </w:rPr>
        <w:t>ta-analyses of studies that evaluate health care interventions: explanation and elaboration</w:t>
      </w:r>
      <w:r w:rsidR="00380ED2">
        <w:rPr>
          <w:noProof/>
        </w:rPr>
        <w:t>’</w:t>
      </w:r>
      <w:r w:rsidRPr="0086082D">
        <w:rPr>
          <w:noProof/>
        </w:rPr>
        <w:t xml:space="preserve">, </w:t>
      </w:r>
      <w:r w:rsidRPr="0086082D">
        <w:rPr>
          <w:i/>
          <w:noProof/>
        </w:rPr>
        <w:t xml:space="preserve">Journal of Clinical Epidemiology, </w:t>
      </w:r>
      <w:r w:rsidRPr="0072092E">
        <w:rPr>
          <w:noProof/>
        </w:rPr>
        <w:t>62</w:t>
      </w:r>
      <w:r w:rsidR="00380ED2">
        <w:rPr>
          <w:noProof/>
        </w:rPr>
        <w:t xml:space="preserve"> (10)</w:t>
      </w:r>
      <w:r w:rsidR="009E60D9">
        <w:rPr>
          <w:noProof/>
        </w:rPr>
        <w:t xml:space="preserve">, </w:t>
      </w:r>
      <w:r w:rsidRPr="0072092E">
        <w:rPr>
          <w:noProof/>
        </w:rPr>
        <w:t>1-34.</w:t>
      </w:r>
      <w:bookmarkEnd w:id="380"/>
    </w:p>
    <w:p w:rsidR="007640FB" w:rsidRPr="00C71844" w:rsidRDefault="007640FB" w:rsidP="000C193E">
      <w:pPr>
        <w:pStyle w:val="References"/>
        <w:ind w:left="709" w:firstLine="11"/>
      </w:pPr>
      <w:r w:rsidRPr="0052787F">
        <w:t>Liberman H</w:t>
      </w:r>
      <w:r w:rsidR="000C193E" w:rsidRPr="00A84480">
        <w:t>.</w:t>
      </w:r>
      <w:r w:rsidRPr="00186148">
        <w:t>, Adams D</w:t>
      </w:r>
      <w:r w:rsidR="000C193E" w:rsidRPr="00A32225">
        <w:t>.</w:t>
      </w:r>
      <w:r w:rsidRPr="005C214B">
        <w:t>R</w:t>
      </w:r>
      <w:r w:rsidR="000C193E" w:rsidRPr="00C27C1E">
        <w:t>.</w:t>
      </w:r>
      <w:r w:rsidR="00C80127" w:rsidRPr="00BB3C05">
        <w:t xml:space="preserve"> </w:t>
      </w:r>
      <w:r w:rsidR="00C80127">
        <w:t>et al</w:t>
      </w:r>
      <w:r w:rsidRPr="00177142">
        <w:t xml:space="preserve"> </w:t>
      </w:r>
      <w:r w:rsidR="00993CAF">
        <w:t>2000.</w:t>
      </w:r>
      <w:r w:rsidRPr="00177142">
        <w:t xml:space="preserve"> </w:t>
      </w:r>
      <w:proofErr w:type="gramStart"/>
      <w:r w:rsidR="00993CAF">
        <w:t>‘</w:t>
      </w:r>
      <w:r w:rsidRPr="00177142">
        <w:t xml:space="preserve">Clinical use </w:t>
      </w:r>
      <w:r w:rsidRPr="00083501">
        <w:t>of the self-expanding metallic stent in the management of colorectal cancer</w:t>
      </w:r>
      <w:r w:rsidR="00993CAF">
        <w:t>’</w:t>
      </w:r>
      <w:r w:rsidRPr="004016F9">
        <w:t xml:space="preserve">, </w:t>
      </w:r>
      <w:r w:rsidRPr="00C71844">
        <w:rPr>
          <w:i/>
        </w:rPr>
        <w:t>American Journal of Surgery</w:t>
      </w:r>
      <w:r w:rsidRPr="00C71844">
        <w:t>, 180</w:t>
      </w:r>
      <w:r w:rsidR="009E60D9">
        <w:t xml:space="preserve">, </w:t>
      </w:r>
      <w:r w:rsidRPr="00C71844">
        <w:t>407-411.</w:t>
      </w:r>
      <w:proofErr w:type="gramEnd"/>
      <w:r w:rsidRPr="00C71844">
        <w:t xml:space="preserve">  </w:t>
      </w:r>
    </w:p>
    <w:p w:rsidR="00C71740" w:rsidRPr="00BB3C05" w:rsidRDefault="00C71740" w:rsidP="00F3588B">
      <w:pPr>
        <w:pStyle w:val="References"/>
        <w:ind w:left="709" w:firstLine="11"/>
      </w:pPr>
      <w:r w:rsidRPr="001166E9">
        <w:t>Longmore</w:t>
      </w:r>
      <w:r w:rsidR="00967FD1">
        <w:t>,</w:t>
      </w:r>
      <w:r w:rsidRPr="001166E9">
        <w:t xml:space="preserve"> M</w:t>
      </w:r>
      <w:r w:rsidR="00967FD1">
        <w:t>.</w:t>
      </w:r>
      <w:r w:rsidRPr="001166E9">
        <w:t>, Wilkinson</w:t>
      </w:r>
      <w:r w:rsidR="00967FD1">
        <w:t>,</w:t>
      </w:r>
      <w:r w:rsidRPr="001166E9">
        <w:t xml:space="preserve"> I.B.</w:t>
      </w:r>
      <w:r w:rsidR="00C80127">
        <w:t xml:space="preserve"> and</w:t>
      </w:r>
      <w:r w:rsidRPr="001166E9">
        <w:t xml:space="preserve"> Rajagopalan</w:t>
      </w:r>
      <w:r w:rsidR="00967FD1">
        <w:t>,</w:t>
      </w:r>
      <w:r w:rsidRPr="001166E9">
        <w:t xml:space="preserve"> S. </w:t>
      </w:r>
      <w:r w:rsidR="00993CAF">
        <w:t>2004.</w:t>
      </w:r>
      <w:r w:rsidRPr="001166E9">
        <w:t xml:space="preserve"> ‘Oncology’, Oxford Handbook of Clinical Medicine</w:t>
      </w:r>
      <w:r w:rsidR="00967FD1">
        <w:t xml:space="preserve"> </w:t>
      </w:r>
      <w:r w:rsidRPr="001166E9">
        <w:t>(</w:t>
      </w:r>
      <w:proofErr w:type="gramStart"/>
      <w:r w:rsidRPr="001166E9">
        <w:t>eds</w:t>
      </w:r>
      <w:proofErr w:type="gramEnd"/>
      <w:r w:rsidRPr="001166E9">
        <w:t>), Oxford University Press</w:t>
      </w:r>
      <w:r w:rsidRPr="00BB3C05">
        <w:t>, New York.</w:t>
      </w:r>
    </w:p>
    <w:p w:rsidR="0052796A" w:rsidRPr="0052796A" w:rsidRDefault="0052796A" w:rsidP="0052796A">
      <w:r w:rsidRPr="0052796A">
        <w:t xml:space="preserve">Mackay, C. D., Craig, W. et al 2011. </w:t>
      </w:r>
      <w:proofErr w:type="gramStart"/>
      <w:r w:rsidRPr="0052796A">
        <w:t xml:space="preserve">‘Self-expanding metallic stents for large bowel obstruction’, The </w:t>
      </w:r>
      <w:r w:rsidRPr="0052796A">
        <w:rPr>
          <w:i/>
          <w:iCs/>
        </w:rPr>
        <w:t>British Journal of Surgery</w:t>
      </w:r>
      <w:r w:rsidR="00380ED2">
        <w:t>, 98 (11), 1625</w:t>
      </w:r>
      <w:r w:rsidR="0015496C">
        <w:t>-</w:t>
      </w:r>
      <w:r w:rsidR="00F12B64">
        <w:t>1629.</w:t>
      </w:r>
      <w:proofErr w:type="gramEnd"/>
    </w:p>
    <w:p w:rsidR="0052796A" w:rsidRPr="0052796A" w:rsidRDefault="0052796A" w:rsidP="0052796A">
      <w:r w:rsidRPr="0052796A">
        <w:t xml:space="preserve">Mainar, A., Gregorio Ariza, M. A. et al 1999. ‘Acute colorectal obstruction: treatment with self-expandable metallic stents before scheduled surgery--results of a multicenter study’, </w:t>
      </w:r>
      <w:r w:rsidRPr="0052796A">
        <w:rPr>
          <w:i/>
          <w:iCs/>
        </w:rPr>
        <w:t>Radiology</w:t>
      </w:r>
      <w:r w:rsidRPr="0052796A">
        <w:t>, 210 (1)</w:t>
      </w:r>
      <w:r w:rsidR="00F12B64">
        <w:t>,</w:t>
      </w:r>
      <w:r w:rsidRPr="0052796A">
        <w:t xml:space="preserve"> 65-69.</w:t>
      </w:r>
    </w:p>
    <w:p w:rsidR="007640FB" w:rsidRPr="00BB3C05" w:rsidRDefault="007640FB" w:rsidP="00F3588B">
      <w:pPr>
        <w:pStyle w:val="References"/>
        <w:ind w:left="709" w:firstLine="11"/>
      </w:pPr>
      <w:proofErr w:type="gramStart"/>
      <w:r w:rsidRPr="00BB3C05">
        <w:t>Mandava</w:t>
      </w:r>
      <w:r w:rsidR="00967FD1">
        <w:t>,</w:t>
      </w:r>
      <w:r w:rsidRPr="00BB3C05">
        <w:t xml:space="preserve"> N</w:t>
      </w:r>
      <w:r w:rsidR="00F3588B" w:rsidRPr="00BB3C05">
        <w:t>.</w:t>
      </w:r>
      <w:r w:rsidRPr="00BB3C05">
        <w:t>, Kumar</w:t>
      </w:r>
      <w:r w:rsidR="00967FD1">
        <w:t>,</w:t>
      </w:r>
      <w:r w:rsidRPr="00BB3C05">
        <w:t xml:space="preserve"> S</w:t>
      </w:r>
      <w:r w:rsidR="00F3588B" w:rsidRPr="00BB3C05">
        <w:t>.</w:t>
      </w:r>
      <w:r w:rsidR="00C80127" w:rsidRPr="00BB3C05">
        <w:t xml:space="preserve"> </w:t>
      </w:r>
      <w:r w:rsidR="00C80127">
        <w:t>et al</w:t>
      </w:r>
      <w:r w:rsidRPr="00BB3C05">
        <w:t xml:space="preserve"> 1996, </w:t>
      </w:r>
      <w:r w:rsidR="00993CAF">
        <w:t>‘</w:t>
      </w:r>
      <w:r w:rsidRPr="00BB3C05">
        <w:t>Perforated colorectal carcinomas</w:t>
      </w:r>
      <w:r w:rsidR="00993CAF">
        <w:t>’</w:t>
      </w:r>
      <w:r w:rsidRPr="00BB3C05">
        <w:t xml:space="preserve">, </w:t>
      </w:r>
      <w:r w:rsidRPr="00BB3C05">
        <w:rPr>
          <w:i/>
        </w:rPr>
        <w:t>American Journal of Surgery</w:t>
      </w:r>
      <w:r w:rsidRPr="00BB3C05">
        <w:t>, 172</w:t>
      </w:r>
      <w:r w:rsidR="00F12B64">
        <w:t xml:space="preserve"> (3)</w:t>
      </w:r>
      <w:r w:rsidR="009E60D9">
        <w:t xml:space="preserve">, </w:t>
      </w:r>
      <w:r w:rsidRPr="00BB3C05">
        <w:t>236</w:t>
      </w:r>
      <w:r w:rsidR="009C3E87" w:rsidRPr="009C3E87">
        <w:t>-</w:t>
      </w:r>
      <w:r w:rsidRPr="00BB3C05">
        <w:t>238.</w:t>
      </w:r>
      <w:proofErr w:type="gramEnd"/>
    </w:p>
    <w:p w:rsidR="002B5454" w:rsidRPr="00BB3C05" w:rsidRDefault="002B5454" w:rsidP="00F3588B">
      <w:pPr>
        <w:pStyle w:val="References"/>
        <w:ind w:left="709" w:firstLine="11"/>
      </w:pPr>
      <w:proofErr w:type="gramStart"/>
      <w:r w:rsidRPr="00BB3C05">
        <w:t>Martinez-Santos</w:t>
      </w:r>
      <w:r w:rsidR="00967FD1">
        <w:t>,</w:t>
      </w:r>
      <w:r w:rsidRPr="00BB3C05">
        <w:t xml:space="preserve"> C</w:t>
      </w:r>
      <w:r w:rsidR="00967FD1">
        <w:t>.</w:t>
      </w:r>
      <w:r w:rsidRPr="00BB3C05">
        <w:t>, Lobato</w:t>
      </w:r>
      <w:r w:rsidR="00967FD1">
        <w:t>,</w:t>
      </w:r>
      <w:r w:rsidRPr="00BB3C05">
        <w:t xml:space="preserve"> R.F.</w:t>
      </w:r>
      <w:r w:rsidR="00C80127" w:rsidRPr="00BB3C05">
        <w:t xml:space="preserve"> </w:t>
      </w:r>
      <w:r w:rsidR="00C80127">
        <w:t>et al</w:t>
      </w:r>
      <w:r w:rsidRPr="00BB3C05">
        <w:t xml:space="preserve"> </w:t>
      </w:r>
      <w:r w:rsidR="00993CAF">
        <w:t>2002.</w:t>
      </w:r>
      <w:proofErr w:type="gramEnd"/>
      <w:r w:rsidRPr="00BB3C05">
        <w:t xml:space="preserve"> </w:t>
      </w:r>
      <w:r w:rsidR="00993CAF">
        <w:t>‘</w:t>
      </w:r>
      <w:r w:rsidRPr="00BB3C05">
        <w:t>Self-</w:t>
      </w:r>
      <w:r w:rsidR="00967FD1">
        <w:t>e</w:t>
      </w:r>
      <w:r w:rsidR="00967FD1" w:rsidRPr="00BB3C05">
        <w:t xml:space="preserve">xpandable </w:t>
      </w:r>
      <w:r w:rsidR="00967FD1">
        <w:t>s</w:t>
      </w:r>
      <w:r w:rsidR="00967FD1" w:rsidRPr="00BB3C05">
        <w:t xml:space="preserve">tent </w:t>
      </w:r>
      <w:r w:rsidR="00967FD1">
        <w:t>b</w:t>
      </w:r>
      <w:r w:rsidR="00967FD1" w:rsidRPr="00BB3C05">
        <w:t xml:space="preserve">efore </w:t>
      </w:r>
      <w:r w:rsidR="00967FD1">
        <w:t>e</w:t>
      </w:r>
      <w:r w:rsidR="00967FD1" w:rsidRPr="00BB3C05">
        <w:t xml:space="preserve">lective </w:t>
      </w:r>
      <w:r w:rsidR="00967FD1">
        <w:t>s</w:t>
      </w:r>
      <w:r w:rsidR="00967FD1" w:rsidRPr="00BB3C05">
        <w:t xml:space="preserve">urgery </w:t>
      </w:r>
      <w:r w:rsidRPr="00BB3C05">
        <w:t xml:space="preserve">vs. </w:t>
      </w:r>
      <w:r w:rsidR="00967FD1">
        <w:t>e</w:t>
      </w:r>
      <w:r w:rsidR="00967FD1" w:rsidRPr="00BB3C05">
        <w:t xml:space="preserve">mergency </w:t>
      </w:r>
      <w:r w:rsidR="00967FD1">
        <w:t>s</w:t>
      </w:r>
      <w:r w:rsidR="00967FD1" w:rsidRPr="00BB3C05">
        <w:t xml:space="preserve">urgery </w:t>
      </w:r>
      <w:r w:rsidRPr="00BB3C05">
        <w:t xml:space="preserve">for the </w:t>
      </w:r>
      <w:r w:rsidR="00967FD1">
        <w:t>tr</w:t>
      </w:r>
      <w:r w:rsidR="00967FD1" w:rsidRPr="00BB3C05">
        <w:t xml:space="preserve">eatment </w:t>
      </w:r>
      <w:r w:rsidRPr="00BB3C05">
        <w:t xml:space="preserve">of </w:t>
      </w:r>
      <w:r w:rsidR="00967FD1">
        <w:t>m</w:t>
      </w:r>
      <w:r w:rsidR="00967FD1" w:rsidRPr="00BB3C05">
        <w:t xml:space="preserve">alignant </w:t>
      </w:r>
      <w:r w:rsidR="00967FD1">
        <w:t>c</w:t>
      </w:r>
      <w:r w:rsidR="00967FD1" w:rsidRPr="00BB3C05">
        <w:t xml:space="preserve">olorectal </w:t>
      </w:r>
      <w:r w:rsidR="00967FD1">
        <w:t>o</w:t>
      </w:r>
      <w:r w:rsidR="00967FD1" w:rsidRPr="00BB3C05">
        <w:t>bstructions</w:t>
      </w:r>
      <w:r w:rsidRPr="00BB3C05">
        <w:t xml:space="preserve">: </w:t>
      </w:r>
      <w:r w:rsidR="00967FD1">
        <w:t>c</w:t>
      </w:r>
      <w:r w:rsidR="00967FD1" w:rsidRPr="00BB3C05">
        <w:t xml:space="preserve">omparison </w:t>
      </w:r>
      <w:r w:rsidRPr="00BB3C05">
        <w:t xml:space="preserve">of </w:t>
      </w:r>
      <w:r w:rsidR="00967FD1">
        <w:t>p</w:t>
      </w:r>
      <w:r w:rsidR="00967FD1" w:rsidRPr="00BB3C05">
        <w:t xml:space="preserve">rimary </w:t>
      </w:r>
      <w:r w:rsidR="00967FD1">
        <w:t>a</w:t>
      </w:r>
      <w:r w:rsidR="00967FD1" w:rsidRPr="00BB3C05">
        <w:t xml:space="preserve">nastomosis </w:t>
      </w:r>
      <w:r w:rsidRPr="00BB3C05">
        <w:t xml:space="preserve">and </w:t>
      </w:r>
      <w:r w:rsidR="00967FD1">
        <w:t>m</w:t>
      </w:r>
      <w:r w:rsidR="00967FD1" w:rsidRPr="00BB3C05">
        <w:t xml:space="preserve">orbidity </w:t>
      </w:r>
      <w:r w:rsidR="00967FD1">
        <w:t>r</w:t>
      </w:r>
      <w:r w:rsidR="00967FD1" w:rsidRPr="00BB3C05">
        <w:t>ates</w:t>
      </w:r>
      <w:r w:rsidRPr="00BB3C05">
        <w:t xml:space="preserve">. </w:t>
      </w:r>
      <w:r w:rsidRPr="00BB3C05">
        <w:rPr>
          <w:i/>
        </w:rPr>
        <w:t>Dis</w:t>
      </w:r>
      <w:r w:rsidR="002705AE">
        <w:rPr>
          <w:i/>
        </w:rPr>
        <w:t>eases of the</w:t>
      </w:r>
      <w:r w:rsidRPr="00BB3C05">
        <w:rPr>
          <w:i/>
        </w:rPr>
        <w:t xml:space="preserve"> Colon </w:t>
      </w:r>
      <w:r w:rsidR="002705AE">
        <w:rPr>
          <w:i/>
        </w:rPr>
        <w:t xml:space="preserve">and </w:t>
      </w:r>
      <w:r w:rsidRPr="00BB3C05">
        <w:rPr>
          <w:i/>
        </w:rPr>
        <w:t>Rectum</w:t>
      </w:r>
      <w:r w:rsidRPr="00BB3C05">
        <w:t>, 45</w:t>
      </w:r>
      <w:r w:rsidR="005267B7">
        <w:t xml:space="preserve"> (</w:t>
      </w:r>
      <w:r w:rsidRPr="00BB3C05">
        <w:t>3</w:t>
      </w:r>
      <w:r w:rsidR="005267B7">
        <w:t>)</w:t>
      </w:r>
      <w:r w:rsidR="00F12B64">
        <w:t>,</w:t>
      </w:r>
      <w:r w:rsidRPr="00BB3C05">
        <w:t xml:space="preserve"> 401-406. </w:t>
      </w:r>
    </w:p>
    <w:p w:rsidR="00E772C5" w:rsidRPr="00E772C5" w:rsidRDefault="00E772C5" w:rsidP="00E772C5">
      <w:r w:rsidRPr="00E772C5">
        <w:lastRenderedPageBreak/>
        <w:t xml:space="preserve">Masci, E., Viale, E. et al 2008. ‘Enteral self-expandable metal stent for malignant luminal obstruction of the upper and lower gastrointestinal tract: a prospective multicentric study’, </w:t>
      </w:r>
      <w:r w:rsidRPr="00E772C5">
        <w:rPr>
          <w:i/>
          <w:iCs/>
        </w:rPr>
        <w:t>Journal of Clinical Gastroenterology</w:t>
      </w:r>
      <w:r w:rsidRPr="00E772C5">
        <w:t>, 42 (4)</w:t>
      </w:r>
      <w:r w:rsidR="00F12B64">
        <w:t>,</w:t>
      </w:r>
      <w:r w:rsidRPr="00E772C5">
        <w:t xml:space="preserve"> 389-394.</w:t>
      </w:r>
    </w:p>
    <w:p w:rsidR="007640FB" w:rsidRPr="00BB3C05" w:rsidRDefault="007640FB" w:rsidP="00F3588B">
      <w:pPr>
        <w:pStyle w:val="References"/>
        <w:ind w:left="709" w:firstLine="11"/>
      </w:pPr>
      <w:proofErr w:type="gramStart"/>
      <w:r w:rsidRPr="00BB3C05">
        <w:t>Mauro</w:t>
      </w:r>
      <w:r w:rsidR="00967FD1">
        <w:t>,</w:t>
      </w:r>
      <w:r w:rsidRPr="00BB3C05">
        <w:t xml:space="preserve"> M</w:t>
      </w:r>
      <w:r w:rsidR="00F3588B" w:rsidRPr="00BB3C05">
        <w:t>.</w:t>
      </w:r>
      <w:r w:rsidRPr="00BB3C05">
        <w:t>A</w:t>
      </w:r>
      <w:r w:rsidR="00F3588B" w:rsidRPr="00BB3C05">
        <w:t>.</w:t>
      </w:r>
      <w:r w:rsidRPr="00BB3C05">
        <w:t>, Koehler</w:t>
      </w:r>
      <w:r w:rsidR="00967FD1">
        <w:t>,</w:t>
      </w:r>
      <w:r w:rsidRPr="00BB3C05">
        <w:t xml:space="preserve"> R</w:t>
      </w:r>
      <w:r w:rsidR="00F3588B" w:rsidRPr="00BB3C05">
        <w:t>.</w:t>
      </w:r>
      <w:r w:rsidRPr="00BB3C05">
        <w:t>E</w:t>
      </w:r>
      <w:r w:rsidR="00F3588B" w:rsidRPr="00BB3C05">
        <w:t>.</w:t>
      </w:r>
      <w:r w:rsidR="00C80127">
        <w:t xml:space="preserve"> and</w:t>
      </w:r>
      <w:r w:rsidRPr="00BB3C05">
        <w:t xml:space="preserve"> Baron</w:t>
      </w:r>
      <w:r w:rsidR="00967FD1">
        <w:t>,</w:t>
      </w:r>
      <w:r w:rsidRPr="00BB3C05">
        <w:t xml:space="preserve"> T</w:t>
      </w:r>
      <w:r w:rsidR="00F3588B" w:rsidRPr="00BB3C05">
        <w:t>.</w:t>
      </w:r>
      <w:r w:rsidRPr="00BB3C05">
        <w:t>H</w:t>
      </w:r>
      <w:r w:rsidR="00F3588B" w:rsidRPr="00BB3C05">
        <w:t>.</w:t>
      </w:r>
      <w:r w:rsidRPr="00BB3C05">
        <w:t xml:space="preserve"> </w:t>
      </w:r>
      <w:r w:rsidR="00993CAF">
        <w:t>2000.</w:t>
      </w:r>
      <w:proofErr w:type="gramEnd"/>
      <w:r w:rsidRPr="00BB3C05">
        <w:t xml:space="preserve"> </w:t>
      </w:r>
      <w:r w:rsidR="00993CAF">
        <w:t>‘</w:t>
      </w:r>
      <w:r w:rsidRPr="00BB3C05">
        <w:t>Advances in gastrointestinal intervention: the treatment of gastroduodenal and colorectal obstructions with metallic stents</w:t>
      </w:r>
      <w:r w:rsidR="00993CAF">
        <w:t>’</w:t>
      </w:r>
      <w:r w:rsidRPr="00BB3C05">
        <w:t xml:space="preserve">, </w:t>
      </w:r>
      <w:r w:rsidRPr="00BB3C05">
        <w:rPr>
          <w:i/>
        </w:rPr>
        <w:t>Radiology</w:t>
      </w:r>
      <w:r w:rsidRPr="00BB3C05">
        <w:t>, 215</w:t>
      </w:r>
      <w:r w:rsidR="005267B7">
        <w:t xml:space="preserve"> (</w:t>
      </w:r>
      <w:r w:rsidRPr="00BB3C05">
        <w:t>3</w:t>
      </w:r>
      <w:r w:rsidR="005267B7">
        <w:t>)</w:t>
      </w:r>
      <w:r w:rsidR="00F12B64">
        <w:t>,</w:t>
      </w:r>
      <w:r w:rsidRPr="00BB3C05">
        <w:t xml:space="preserve"> 659-669.</w:t>
      </w:r>
    </w:p>
    <w:p w:rsidR="007640FB" w:rsidRPr="00BB3C05" w:rsidRDefault="007640FB" w:rsidP="00F3588B">
      <w:pPr>
        <w:pStyle w:val="References"/>
        <w:ind w:left="709" w:firstLine="11"/>
      </w:pPr>
      <w:proofErr w:type="gramStart"/>
      <w:r w:rsidRPr="00BB3C05">
        <w:t>McArdle</w:t>
      </w:r>
      <w:r w:rsidR="00967FD1">
        <w:t>,</w:t>
      </w:r>
      <w:r w:rsidRPr="00BB3C05">
        <w:t xml:space="preserve"> </w:t>
      </w:r>
      <w:r w:rsidR="00B81FEC">
        <w:t xml:space="preserve">C.S. </w:t>
      </w:r>
      <w:r w:rsidR="00C80127">
        <w:t>and</w:t>
      </w:r>
      <w:r w:rsidR="00C80127" w:rsidRPr="00BB3C05">
        <w:t xml:space="preserve"> </w:t>
      </w:r>
      <w:r w:rsidRPr="00BB3C05">
        <w:t>Hole</w:t>
      </w:r>
      <w:r w:rsidR="00B81FEC">
        <w:t>, D.J.</w:t>
      </w:r>
      <w:r w:rsidRPr="00BB3C05">
        <w:t xml:space="preserve"> </w:t>
      </w:r>
      <w:r w:rsidR="00993CAF">
        <w:t>2004.</w:t>
      </w:r>
      <w:proofErr w:type="gramEnd"/>
      <w:r w:rsidRPr="00BB3C05">
        <w:t xml:space="preserve"> </w:t>
      </w:r>
      <w:r w:rsidR="00993CAF">
        <w:t>‘</w:t>
      </w:r>
      <w:r w:rsidRPr="00BB3C05">
        <w:t>Emergency presentation of colorectal cancer is associated with poor 5-year surviva</w:t>
      </w:r>
      <w:r w:rsidR="00F3588B" w:rsidRPr="00BB3C05">
        <w:t>l</w:t>
      </w:r>
      <w:r w:rsidR="00993CAF">
        <w:t>’</w:t>
      </w:r>
      <w:r w:rsidRPr="00BB3C05">
        <w:t xml:space="preserve">, </w:t>
      </w:r>
      <w:r w:rsidRPr="00BB3C05">
        <w:rPr>
          <w:i/>
        </w:rPr>
        <w:t>British Journal of Surgery</w:t>
      </w:r>
      <w:r w:rsidRPr="00BB3C05">
        <w:t>, 91</w:t>
      </w:r>
      <w:r w:rsidR="00501DD3">
        <w:t xml:space="preserve"> (</w:t>
      </w:r>
      <w:r w:rsidRPr="00BB3C05">
        <w:t>5</w:t>
      </w:r>
      <w:r w:rsidR="005267B7">
        <w:t>)</w:t>
      </w:r>
      <w:r w:rsidR="00F12B64">
        <w:t>,</w:t>
      </w:r>
      <w:r w:rsidRPr="00BB3C05">
        <w:t xml:space="preserve"> 605-609.</w:t>
      </w:r>
    </w:p>
    <w:p w:rsidR="004003A3" w:rsidRPr="00BB3C05" w:rsidRDefault="004003A3" w:rsidP="004003A3">
      <w:pPr>
        <w:pStyle w:val="References"/>
        <w:ind w:left="709" w:firstLine="11"/>
      </w:pPr>
      <w:r w:rsidRPr="00BB3C05">
        <w:t>McLoughlin</w:t>
      </w:r>
      <w:r w:rsidR="00967FD1">
        <w:t>,</w:t>
      </w:r>
      <w:r w:rsidRPr="00BB3C05">
        <w:t xml:space="preserve"> M.T. and</w:t>
      </w:r>
      <w:r w:rsidR="00967FD1" w:rsidRPr="00BB3C05">
        <w:t xml:space="preserve"> </w:t>
      </w:r>
      <w:r w:rsidRPr="00BB3C05">
        <w:t>Byrne</w:t>
      </w:r>
      <w:r w:rsidR="00967FD1">
        <w:t>,</w:t>
      </w:r>
      <w:r w:rsidRPr="00BB3C05">
        <w:t xml:space="preserve"> M. F. 2008</w:t>
      </w:r>
      <w:r w:rsidR="00967FD1">
        <w:t>,</w:t>
      </w:r>
      <w:r w:rsidR="00967FD1" w:rsidRPr="00BB3C05">
        <w:t xml:space="preserve"> </w:t>
      </w:r>
      <w:r w:rsidR="00993CAF">
        <w:t>‘</w:t>
      </w:r>
      <w:r w:rsidRPr="00BB3C05">
        <w:rPr>
          <w:bCs/>
        </w:rPr>
        <w:t>Endoscopic stenting-Where are we now and where can we go?</w:t>
      </w:r>
      <w:r w:rsidR="00993CAF">
        <w:rPr>
          <w:bCs/>
        </w:rPr>
        <w:t>’</w:t>
      </w:r>
      <w:r w:rsidR="00967FD1" w:rsidRPr="00BB3C05">
        <w:rPr>
          <w:bCs/>
        </w:rPr>
        <w:t xml:space="preserve"> </w:t>
      </w:r>
      <w:r w:rsidRPr="0007443E">
        <w:rPr>
          <w:bCs/>
          <w:i/>
        </w:rPr>
        <w:t>World J</w:t>
      </w:r>
      <w:r w:rsidR="002705AE">
        <w:rPr>
          <w:bCs/>
          <w:i/>
        </w:rPr>
        <w:t>ournal of</w:t>
      </w:r>
      <w:r w:rsidRPr="0007443E">
        <w:rPr>
          <w:bCs/>
          <w:i/>
        </w:rPr>
        <w:t xml:space="preserve"> Gastroenterol</w:t>
      </w:r>
      <w:r w:rsidR="002705AE">
        <w:rPr>
          <w:bCs/>
          <w:i/>
        </w:rPr>
        <w:t>ogy</w:t>
      </w:r>
      <w:r w:rsidRPr="00BB3C05">
        <w:rPr>
          <w:bCs/>
        </w:rPr>
        <w:t>, 14</w:t>
      </w:r>
      <w:r w:rsidR="005267B7">
        <w:rPr>
          <w:bCs/>
        </w:rPr>
        <w:t xml:space="preserve"> (</w:t>
      </w:r>
      <w:r w:rsidRPr="00BB3C05">
        <w:rPr>
          <w:bCs/>
        </w:rPr>
        <w:t>24</w:t>
      </w:r>
      <w:r w:rsidR="00501DD3">
        <w:rPr>
          <w:bCs/>
        </w:rPr>
        <w:t>)</w:t>
      </w:r>
      <w:r w:rsidR="00F12B64">
        <w:rPr>
          <w:bCs/>
        </w:rPr>
        <w:t>,</w:t>
      </w:r>
      <w:r w:rsidRPr="00BB3C05">
        <w:rPr>
          <w:bCs/>
        </w:rPr>
        <w:t xml:space="preserve"> 3798-3803. </w:t>
      </w:r>
    </w:p>
    <w:p w:rsidR="0052796A" w:rsidRPr="0052796A" w:rsidRDefault="0052796A" w:rsidP="0052796A">
      <w:proofErr w:type="gramStart"/>
      <w:r w:rsidRPr="0052796A">
        <w:t>Meisner, S., Gonzalez-Huix, F. et al 2011.</w:t>
      </w:r>
      <w:proofErr w:type="gramEnd"/>
      <w:r w:rsidRPr="0052796A">
        <w:t xml:space="preserve"> </w:t>
      </w:r>
      <w:proofErr w:type="gramStart"/>
      <w:r w:rsidRPr="0052796A">
        <w:t xml:space="preserve">‘Self-expandable metal stents for relieving malignant colorectal obstruction: short-term safety and efficacy within 30 days of stent procedure in 447 patients’, </w:t>
      </w:r>
      <w:r w:rsidRPr="0052796A">
        <w:rPr>
          <w:i/>
          <w:iCs/>
        </w:rPr>
        <w:t>Gastrointestinal Endoscopy</w:t>
      </w:r>
      <w:r w:rsidR="004A556E">
        <w:t>, 74 (4), 876-884.</w:t>
      </w:r>
      <w:proofErr w:type="gramEnd"/>
    </w:p>
    <w:p w:rsidR="00E772C5" w:rsidRPr="00E772C5" w:rsidRDefault="00E772C5" w:rsidP="00E772C5">
      <w:proofErr w:type="gramStart"/>
      <w:r w:rsidRPr="00E772C5">
        <w:t>Moon, C. M., Kim, T. I. et al 2010.</w:t>
      </w:r>
      <w:proofErr w:type="gramEnd"/>
      <w:r w:rsidRPr="00E772C5">
        <w:t xml:space="preserve"> ‘Comparison of a newly designed double-layered combination covered stent and D-weave uncovered stent for decompression of obstructive colorectal cancer: a prospective multicenter study’, </w:t>
      </w:r>
      <w:r w:rsidRPr="00E772C5">
        <w:rPr>
          <w:i/>
          <w:iCs/>
        </w:rPr>
        <w:t>Diseases of the Colon and Rectum</w:t>
      </w:r>
      <w:r w:rsidRPr="00E772C5">
        <w:t>, 53 (8)</w:t>
      </w:r>
      <w:r w:rsidR="004A556E">
        <w:t>,</w:t>
      </w:r>
      <w:r w:rsidRPr="00E772C5">
        <w:t xml:space="preserve"> 1190-1196.</w:t>
      </w:r>
    </w:p>
    <w:p w:rsidR="0052796A" w:rsidRPr="0052796A" w:rsidRDefault="0052796A" w:rsidP="0052796A">
      <w:proofErr w:type="gramStart"/>
      <w:r w:rsidRPr="0052796A">
        <w:t>Mucci-Hennekinne, S., Kervegant, A. G. et al 2007.</w:t>
      </w:r>
      <w:proofErr w:type="gramEnd"/>
      <w:r w:rsidRPr="0052796A">
        <w:t xml:space="preserve"> </w:t>
      </w:r>
      <w:proofErr w:type="gramStart"/>
      <w:r w:rsidRPr="0052796A">
        <w:t xml:space="preserve">‘Management of acute malignant large-bowel obstruction with self-expanding metal stent’, </w:t>
      </w:r>
      <w:r w:rsidRPr="0052796A">
        <w:rPr>
          <w:i/>
          <w:iCs/>
        </w:rPr>
        <w:t>Surgical Endoscopy</w:t>
      </w:r>
      <w:r w:rsidRPr="0052796A">
        <w:t>, 21 (7)</w:t>
      </w:r>
      <w:r w:rsidR="004A556E">
        <w:t>,</w:t>
      </w:r>
      <w:r w:rsidRPr="0052796A">
        <w:t xml:space="preserve"> 1101-1103.</w:t>
      </w:r>
      <w:proofErr w:type="gramEnd"/>
    </w:p>
    <w:p w:rsidR="00A50093" w:rsidRPr="00A50093" w:rsidRDefault="00A50093" w:rsidP="00A50093">
      <w:proofErr w:type="gramStart"/>
      <w:r w:rsidRPr="00A50093">
        <w:t>Nagula, S., Ishill, N. et al 2010.</w:t>
      </w:r>
      <w:proofErr w:type="gramEnd"/>
      <w:r w:rsidRPr="00A50093">
        <w:t xml:space="preserve"> </w:t>
      </w:r>
      <w:proofErr w:type="gramStart"/>
      <w:r w:rsidRPr="00A50093">
        <w:t xml:space="preserve">‘Quality of life and symptom control after stent placement or surgical palliation of malignant colorectal obstruction’, </w:t>
      </w:r>
      <w:r w:rsidRPr="00A50093">
        <w:rPr>
          <w:i/>
          <w:iCs/>
        </w:rPr>
        <w:t>Journal of the American College of Surgeons</w:t>
      </w:r>
      <w:r w:rsidRPr="00A50093">
        <w:t>, 210 (1)</w:t>
      </w:r>
      <w:r w:rsidR="004A556E">
        <w:t>,</w:t>
      </w:r>
      <w:r w:rsidRPr="00A50093">
        <w:t xml:space="preserve"> 45-53.</w:t>
      </w:r>
      <w:proofErr w:type="gramEnd"/>
    </w:p>
    <w:p w:rsidR="007640FB" w:rsidRPr="00BB3C05" w:rsidRDefault="007640FB" w:rsidP="00F3588B">
      <w:pPr>
        <w:pStyle w:val="References"/>
        <w:ind w:left="709" w:firstLine="11"/>
      </w:pPr>
      <w:proofErr w:type="gramStart"/>
      <w:r w:rsidRPr="00BB3C05">
        <w:t xml:space="preserve">NCCN, </w:t>
      </w:r>
      <w:r w:rsidR="00993CAF">
        <w:t>2011.</w:t>
      </w:r>
      <w:proofErr w:type="gramEnd"/>
      <w:r w:rsidRPr="00BB3C05">
        <w:t xml:space="preserve"> </w:t>
      </w:r>
      <w:proofErr w:type="gramStart"/>
      <w:r w:rsidRPr="00BB3C05">
        <w:t xml:space="preserve">National Comprehensive Cancer Network, </w:t>
      </w:r>
      <w:r w:rsidR="00993CAF">
        <w:t>‘</w:t>
      </w:r>
      <w:r w:rsidRPr="00BB3C05">
        <w:t>NCCN Clinical Practice Guidelines in Oncology – Colon Cancer</w:t>
      </w:r>
      <w:r w:rsidR="00993CAF">
        <w:t>’</w:t>
      </w:r>
      <w:r w:rsidRPr="00BB3C05">
        <w:t>, version 3, Fort Washington, USA.</w:t>
      </w:r>
      <w:proofErr w:type="gramEnd"/>
      <w:r w:rsidRPr="00BB3C05">
        <w:t xml:space="preserve"> </w:t>
      </w:r>
    </w:p>
    <w:p w:rsidR="00422ADB" w:rsidRDefault="00422ADB" w:rsidP="000A59A6">
      <w:pPr>
        <w:pStyle w:val="References"/>
        <w:ind w:left="709" w:firstLine="11"/>
      </w:pPr>
      <w:r w:rsidRPr="00422ADB">
        <w:t>Ness</w:t>
      </w:r>
      <w:r w:rsidR="00967FD1">
        <w:t>,</w:t>
      </w:r>
      <w:r w:rsidRPr="00422ADB">
        <w:t xml:space="preserve"> R</w:t>
      </w:r>
      <w:r w:rsidR="00967FD1">
        <w:t>.</w:t>
      </w:r>
      <w:r w:rsidRPr="00422ADB">
        <w:t>M</w:t>
      </w:r>
      <w:r w:rsidR="00967FD1">
        <w:t>.</w:t>
      </w:r>
      <w:r w:rsidRPr="00422ADB">
        <w:t>, Holmes</w:t>
      </w:r>
      <w:r w:rsidR="00967FD1">
        <w:t>,</w:t>
      </w:r>
      <w:r w:rsidRPr="00422ADB">
        <w:t xml:space="preserve"> A</w:t>
      </w:r>
      <w:r w:rsidR="00967FD1">
        <w:t>.</w:t>
      </w:r>
      <w:r w:rsidRPr="00422ADB">
        <w:t>M</w:t>
      </w:r>
      <w:r w:rsidR="00967FD1">
        <w:t>.</w:t>
      </w:r>
      <w:r w:rsidRPr="00422ADB">
        <w:t xml:space="preserve"> et al</w:t>
      </w:r>
      <w:r w:rsidR="00967FD1">
        <w:t xml:space="preserve"> </w:t>
      </w:r>
      <w:r w:rsidR="00993CAF">
        <w:t>1999.</w:t>
      </w:r>
      <w:r w:rsidRPr="00422ADB">
        <w:t xml:space="preserve"> </w:t>
      </w:r>
      <w:proofErr w:type="gramStart"/>
      <w:r w:rsidR="00993CAF">
        <w:t>‘</w:t>
      </w:r>
      <w:r w:rsidRPr="00422ADB">
        <w:t>Utility valuations for outcome states of colorectal cancer</w:t>
      </w:r>
      <w:r w:rsidR="00993CAF">
        <w:t>’</w:t>
      </w:r>
      <w:r w:rsidR="00967FD1">
        <w:t>,</w:t>
      </w:r>
      <w:r w:rsidRPr="00422ADB">
        <w:t xml:space="preserve"> </w:t>
      </w:r>
      <w:r w:rsidRPr="0007443E">
        <w:rPr>
          <w:i/>
        </w:rPr>
        <w:t>Am</w:t>
      </w:r>
      <w:r w:rsidR="002705AE" w:rsidRPr="0007443E">
        <w:rPr>
          <w:i/>
        </w:rPr>
        <w:t>erican</w:t>
      </w:r>
      <w:r w:rsidRPr="0007443E">
        <w:rPr>
          <w:i/>
        </w:rPr>
        <w:t xml:space="preserve"> J</w:t>
      </w:r>
      <w:r w:rsidR="002705AE" w:rsidRPr="0007443E">
        <w:rPr>
          <w:i/>
        </w:rPr>
        <w:t>ournal of</w:t>
      </w:r>
      <w:r w:rsidRPr="0007443E">
        <w:rPr>
          <w:i/>
        </w:rPr>
        <w:t xml:space="preserve"> Gastroenterol</w:t>
      </w:r>
      <w:r w:rsidR="002705AE" w:rsidRPr="0007443E">
        <w:rPr>
          <w:i/>
        </w:rPr>
        <w:t>ogy</w:t>
      </w:r>
      <w:r w:rsidR="00967FD1">
        <w:rPr>
          <w:i/>
        </w:rPr>
        <w:t>,</w:t>
      </w:r>
      <w:r w:rsidRPr="00422ADB">
        <w:t xml:space="preserve"> 94</w:t>
      </w:r>
      <w:r w:rsidR="004A556E">
        <w:t xml:space="preserve"> (6)</w:t>
      </w:r>
      <w:r w:rsidR="00967FD1">
        <w:t>,</w:t>
      </w:r>
      <w:r w:rsidR="00501DD3">
        <w:t xml:space="preserve"> </w:t>
      </w:r>
      <w:r w:rsidRPr="00422ADB">
        <w:t>1650-</w:t>
      </w:r>
      <w:r w:rsidR="00967FD1">
        <w:t>165</w:t>
      </w:r>
      <w:r w:rsidRPr="00422ADB">
        <w:t>7.</w:t>
      </w:r>
      <w:proofErr w:type="gramEnd"/>
    </w:p>
    <w:p w:rsidR="000A59A6" w:rsidRPr="00BB3C05" w:rsidRDefault="000A59A6" w:rsidP="000A59A6">
      <w:pPr>
        <w:pStyle w:val="References"/>
        <w:ind w:left="709" w:firstLine="11"/>
      </w:pPr>
      <w:proofErr w:type="gramStart"/>
      <w:r w:rsidRPr="00BB3C05">
        <w:t xml:space="preserve">NHMRC </w:t>
      </w:r>
      <w:r w:rsidR="00993CAF">
        <w:t>2000.</w:t>
      </w:r>
      <w:proofErr w:type="gramEnd"/>
      <w:r w:rsidRPr="00BB3C05">
        <w:t xml:space="preserve"> </w:t>
      </w:r>
      <w:proofErr w:type="gramStart"/>
      <w:r w:rsidR="00993CAF">
        <w:t>‘</w:t>
      </w:r>
      <w:r w:rsidRPr="00BB3C05">
        <w:t>How to use the evidence: assessment and application of scientific evidence</w:t>
      </w:r>
      <w:r w:rsidR="00993CAF">
        <w:t>’</w:t>
      </w:r>
      <w:r w:rsidRPr="00BB3C05">
        <w:t>, National Health and Medical Research Council, Canberra.</w:t>
      </w:r>
      <w:proofErr w:type="gramEnd"/>
      <w:r w:rsidRPr="00BB3C05">
        <w:t xml:space="preserve"> </w:t>
      </w:r>
    </w:p>
    <w:p w:rsidR="000A59A6" w:rsidRPr="00BB3C05" w:rsidRDefault="000A59A6" w:rsidP="000A59A6">
      <w:pPr>
        <w:pStyle w:val="References"/>
        <w:ind w:left="709" w:firstLine="11"/>
      </w:pPr>
      <w:proofErr w:type="gramStart"/>
      <w:r w:rsidRPr="00BB3C05">
        <w:t xml:space="preserve">NHMRC </w:t>
      </w:r>
      <w:r w:rsidR="00993CAF">
        <w:t>2009.</w:t>
      </w:r>
      <w:proofErr w:type="gramEnd"/>
      <w:r w:rsidRPr="00BB3C05">
        <w:t xml:space="preserve"> </w:t>
      </w:r>
      <w:r w:rsidR="00993CAF">
        <w:t>‘</w:t>
      </w:r>
      <w:r w:rsidRPr="00BB3C05">
        <w:t>NHMRC levels of evidence and grades for recommendations for developers of guidelines</w:t>
      </w:r>
      <w:r w:rsidR="00993CAF">
        <w:t>’</w:t>
      </w:r>
      <w:r w:rsidRPr="00BB3C05">
        <w:t>, National Health and Medical Research Council, Canberra.</w:t>
      </w:r>
    </w:p>
    <w:p w:rsidR="007640FB" w:rsidRPr="00BB3C05" w:rsidRDefault="007640FB" w:rsidP="00F3588B">
      <w:pPr>
        <w:pStyle w:val="References"/>
        <w:ind w:left="709" w:firstLine="11"/>
      </w:pPr>
      <w:r w:rsidRPr="00BB3C05">
        <w:t xml:space="preserve">NICE, </w:t>
      </w:r>
      <w:r w:rsidR="00993CAF">
        <w:t>2004</w:t>
      </w:r>
      <w:r w:rsidR="00601A88">
        <w:t>a</w:t>
      </w:r>
      <w:r w:rsidR="00993CAF">
        <w:t>.</w:t>
      </w:r>
      <w:r w:rsidRPr="00BB3C05">
        <w:t xml:space="preserve"> </w:t>
      </w:r>
      <w:proofErr w:type="gramStart"/>
      <w:r w:rsidR="00993CAF">
        <w:t>‘</w:t>
      </w:r>
      <w:r w:rsidR="00601A88">
        <w:t xml:space="preserve">Guidance on </w:t>
      </w:r>
      <w:r w:rsidR="0069480E">
        <w:t>C</w:t>
      </w:r>
      <w:r w:rsidR="00601A88">
        <w:t xml:space="preserve">ancer </w:t>
      </w:r>
      <w:r w:rsidR="0069480E">
        <w:t>S</w:t>
      </w:r>
      <w:r w:rsidR="00601A88">
        <w:t xml:space="preserve">ervices, </w:t>
      </w:r>
      <w:r w:rsidRPr="00BB3C05">
        <w:t xml:space="preserve">Improving </w:t>
      </w:r>
      <w:r w:rsidR="0069480E">
        <w:t>O</w:t>
      </w:r>
      <w:r w:rsidRPr="00BB3C05">
        <w:t xml:space="preserve">utcomes in </w:t>
      </w:r>
      <w:r w:rsidR="0069480E">
        <w:t>C</w:t>
      </w:r>
      <w:r w:rsidRPr="00BB3C05">
        <w:t xml:space="preserve">olorectal </w:t>
      </w:r>
      <w:r w:rsidR="0069480E">
        <w:t>C</w:t>
      </w:r>
      <w:r w:rsidRPr="00BB3C05">
        <w:t>ancers</w:t>
      </w:r>
      <w:r w:rsidR="00601A88">
        <w:t xml:space="preserve">, Manual </w:t>
      </w:r>
      <w:r w:rsidR="0069480E">
        <w:t>U</w:t>
      </w:r>
      <w:r w:rsidR="00601A88">
        <w:t>pdate</w:t>
      </w:r>
      <w:r w:rsidR="00993CAF">
        <w:t>’</w:t>
      </w:r>
      <w:r w:rsidRPr="00BB3C05">
        <w:t>, National Institute of Clinical Excellence, London</w:t>
      </w:r>
      <w:r w:rsidR="00601A88">
        <w:t xml:space="preserve"> </w:t>
      </w:r>
      <w:r w:rsidR="0069480E" w:rsidRPr="0069480E">
        <w:t>[Internet].</w:t>
      </w:r>
      <w:proofErr w:type="gramEnd"/>
      <w:r w:rsidR="0069480E" w:rsidRPr="0069480E">
        <w:t xml:space="preserve"> Available </w:t>
      </w:r>
      <w:proofErr w:type="gramStart"/>
      <w:r w:rsidR="0069480E" w:rsidRPr="0069480E">
        <w:t>from:</w:t>
      </w:r>
      <w:proofErr w:type="gramEnd"/>
      <w:r w:rsidR="00601A88">
        <w:t>&lt;</w:t>
      </w:r>
      <w:r w:rsidR="00601A88" w:rsidRPr="00601A88">
        <w:t xml:space="preserve">http://www.nice.org.uk/nicemedia/live/10895/28832/28832.pdf&gt; </w:t>
      </w:r>
      <w:r w:rsidR="0069480E" w:rsidRPr="0069480E">
        <w:t>[</w:t>
      </w:r>
      <w:r w:rsidR="0069480E">
        <w:t xml:space="preserve">Accessed 12 July </w:t>
      </w:r>
      <w:r w:rsidR="00601A88" w:rsidRPr="00601A88">
        <w:t>2011</w:t>
      </w:r>
      <w:r w:rsidR="0069480E" w:rsidRPr="0069480E">
        <w:t>]</w:t>
      </w:r>
      <w:r w:rsidR="00601A88" w:rsidRPr="00601A88">
        <w:t>.</w:t>
      </w:r>
      <w:r w:rsidRPr="00BB3C05">
        <w:t xml:space="preserve"> </w:t>
      </w:r>
    </w:p>
    <w:p w:rsidR="007640FB" w:rsidRPr="00BB3C05" w:rsidRDefault="007640FB" w:rsidP="002210C5">
      <w:pPr>
        <w:pStyle w:val="References"/>
        <w:ind w:left="709" w:firstLine="11"/>
      </w:pPr>
      <w:r w:rsidRPr="00BB3C05">
        <w:t xml:space="preserve">NICE, </w:t>
      </w:r>
      <w:r w:rsidR="00993CAF">
        <w:t>2004</w:t>
      </w:r>
      <w:r w:rsidR="00601A88">
        <w:t>b</w:t>
      </w:r>
      <w:r w:rsidR="00993CAF">
        <w:t>.</w:t>
      </w:r>
      <w:r w:rsidRPr="00BB3C05">
        <w:t xml:space="preserve"> </w:t>
      </w:r>
      <w:proofErr w:type="gramStart"/>
      <w:r w:rsidR="00993CAF">
        <w:t>‘</w:t>
      </w:r>
      <w:r w:rsidRPr="00BB3C05">
        <w:t>Guidance on Cancer Services, Improving Supportive and Palliative Care for Adults with Cancer, The Manual</w:t>
      </w:r>
      <w:r w:rsidR="00993CAF">
        <w:t>’</w:t>
      </w:r>
      <w:r w:rsidRPr="00BB3C05">
        <w:t xml:space="preserve">, National Institute for Clinical Excellence, London </w:t>
      </w:r>
      <w:r w:rsidR="0069480E" w:rsidRPr="0069480E">
        <w:t>[Internet].</w:t>
      </w:r>
      <w:proofErr w:type="gramEnd"/>
      <w:r w:rsidR="0069480E" w:rsidRPr="0069480E">
        <w:t xml:space="preserve"> Available </w:t>
      </w:r>
      <w:proofErr w:type="gramStart"/>
      <w:r w:rsidR="0069480E" w:rsidRPr="0069480E">
        <w:t>from:</w:t>
      </w:r>
      <w:proofErr w:type="gramEnd"/>
      <w:r w:rsidRPr="00BB3C05">
        <w:t xml:space="preserve">&lt; </w:t>
      </w:r>
      <w:r w:rsidR="001E196C">
        <w:t xml:space="preserve">http://www.nice.org.uk/nicemedia/live/10893/28816 </w:t>
      </w:r>
      <w:r w:rsidRPr="00BB3C05">
        <w:t xml:space="preserve">/28816.pdf&gt; </w:t>
      </w:r>
      <w:r w:rsidR="0069480E" w:rsidRPr="0069480E">
        <w:t>[</w:t>
      </w:r>
      <w:r w:rsidR="0069480E">
        <w:t>A</w:t>
      </w:r>
      <w:r w:rsidRPr="00BB3C05">
        <w:t>ccessed 12</w:t>
      </w:r>
      <w:r w:rsidR="0069480E">
        <w:t xml:space="preserve"> July</w:t>
      </w:r>
      <w:r w:rsidR="0015496C">
        <w:t xml:space="preserve"> </w:t>
      </w:r>
      <w:r w:rsidRPr="00BB3C05">
        <w:t>2011</w:t>
      </w:r>
      <w:r w:rsidR="0069480E" w:rsidRPr="0069480E">
        <w:t>]</w:t>
      </w:r>
      <w:r w:rsidRPr="00BB3C05">
        <w:t>.</w:t>
      </w:r>
    </w:p>
    <w:p w:rsidR="00422ADB" w:rsidRDefault="00422ADB" w:rsidP="00F7524C">
      <w:r w:rsidRPr="00422ADB">
        <w:lastRenderedPageBreak/>
        <w:t>Osman</w:t>
      </w:r>
      <w:r w:rsidR="00967FD1">
        <w:t>,</w:t>
      </w:r>
      <w:r w:rsidRPr="00422ADB">
        <w:t xml:space="preserve"> H</w:t>
      </w:r>
      <w:r w:rsidR="00967FD1">
        <w:t>.</w:t>
      </w:r>
      <w:r w:rsidRPr="00422ADB">
        <w:t>S</w:t>
      </w:r>
      <w:r w:rsidR="00967FD1">
        <w:t>.</w:t>
      </w:r>
      <w:r w:rsidRPr="00422ADB">
        <w:t>, Rashid</w:t>
      </w:r>
      <w:r w:rsidR="00967FD1">
        <w:t>,</w:t>
      </w:r>
      <w:r w:rsidRPr="00422ADB">
        <w:t xml:space="preserve"> H</w:t>
      </w:r>
      <w:r w:rsidR="00967FD1">
        <w:t>.</w:t>
      </w:r>
      <w:r w:rsidRPr="00422ADB">
        <w:t>I</w:t>
      </w:r>
      <w:r w:rsidR="00967FD1">
        <w:t>.</w:t>
      </w:r>
      <w:r w:rsidRPr="00422ADB">
        <w:t xml:space="preserve"> et al.</w:t>
      </w:r>
      <w:r w:rsidR="00967FD1">
        <w:t xml:space="preserve"> </w:t>
      </w:r>
      <w:r w:rsidR="00993CAF">
        <w:t>2000.</w:t>
      </w:r>
      <w:r w:rsidRPr="00422ADB">
        <w:t xml:space="preserve"> </w:t>
      </w:r>
      <w:proofErr w:type="gramStart"/>
      <w:r w:rsidR="00993CAF">
        <w:t>‘</w:t>
      </w:r>
      <w:r w:rsidRPr="00422ADB">
        <w:t>The cost-effectiveness of self-expanding metal stents in the management of malignant left-sided large bowel obstruction</w:t>
      </w:r>
      <w:r w:rsidR="00993CAF">
        <w:t>’</w:t>
      </w:r>
      <w:r w:rsidR="00967FD1">
        <w:t>,</w:t>
      </w:r>
      <w:r w:rsidRPr="00422ADB">
        <w:t xml:space="preserve"> </w:t>
      </w:r>
      <w:r w:rsidRPr="0007443E">
        <w:rPr>
          <w:i/>
        </w:rPr>
        <w:t>Colorectal Disease</w:t>
      </w:r>
      <w:r w:rsidR="00967FD1">
        <w:rPr>
          <w:i/>
        </w:rPr>
        <w:t>,</w:t>
      </w:r>
      <w:r w:rsidRPr="00422ADB">
        <w:t xml:space="preserve"> </w:t>
      </w:r>
      <w:r w:rsidR="004A556E">
        <w:t>2 (</w:t>
      </w:r>
      <w:r w:rsidR="00A50093">
        <w:t>4</w:t>
      </w:r>
      <w:r w:rsidR="004A556E">
        <w:t>),</w:t>
      </w:r>
      <w:r w:rsidR="00967FD1">
        <w:t xml:space="preserve"> </w:t>
      </w:r>
      <w:r w:rsidRPr="00422ADB">
        <w:t>233-</w:t>
      </w:r>
      <w:r w:rsidR="00967FD1">
        <w:t>23</w:t>
      </w:r>
      <w:r w:rsidRPr="00422ADB">
        <w:t>7.</w:t>
      </w:r>
      <w:proofErr w:type="gramEnd"/>
    </w:p>
    <w:p w:rsidR="0052796A" w:rsidRPr="0052796A" w:rsidRDefault="0052796A" w:rsidP="0052796A">
      <w:proofErr w:type="gramStart"/>
      <w:r w:rsidRPr="0052796A">
        <w:t>Park, S., Cheon, J. H. et al 2010.</w:t>
      </w:r>
      <w:proofErr w:type="gramEnd"/>
      <w:r w:rsidRPr="0052796A">
        <w:t xml:space="preserve"> </w:t>
      </w:r>
      <w:proofErr w:type="gramStart"/>
      <w:r w:rsidRPr="0052796A">
        <w:t xml:space="preserve">‘Comparison of efficacies between stents for malignant colorectal obstruction: a randomized, prospective study’, </w:t>
      </w:r>
      <w:r w:rsidRPr="0052796A">
        <w:rPr>
          <w:i/>
          <w:iCs/>
        </w:rPr>
        <w:t>Gastrointestinal Endoscopy</w:t>
      </w:r>
      <w:r w:rsidRPr="0052796A">
        <w:t>, 72 (2)</w:t>
      </w:r>
      <w:r w:rsidR="004A556E">
        <w:t>,</w:t>
      </w:r>
      <w:r w:rsidRPr="0052796A">
        <w:t xml:space="preserve"> 304-310.</w:t>
      </w:r>
      <w:proofErr w:type="gramEnd"/>
    </w:p>
    <w:p w:rsidR="0052796A" w:rsidRPr="0052796A" w:rsidRDefault="0052796A" w:rsidP="0052796A">
      <w:r w:rsidRPr="0052796A">
        <w:t xml:space="preserve">Park, J. K., Lee, M. S. et al 2011. </w:t>
      </w:r>
      <w:proofErr w:type="gramStart"/>
      <w:r w:rsidRPr="0052796A">
        <w:t xml:space="preserve">‘Outcome of palliative self-expanding metal stent placement in malignant colorectal obstruction according to stent type and manufacturer’, </w:t>
      </w:r>
      <w:r w:rsidRPr="0052796A">
        <w:rPr>
          <w:i/>
          <w:iCs/>
        </w:rPr>
        <w:t>Surgical Endoscopy</w:t>
      </w:r>
      <w:r w:rsidRPr="0052796A">
        <w:t>, 25 (4)</w:t>
      </w:r>
      <w:r w:rsidR="004A556E">
        <w:t>,</w:t>
      </w:r>
      <w:r w:rsidRPr="0052796A">
        <w:t xml:space="preserve"> 1293-1299.</w:t>
      </w:r>
      <w:proofErr w:type="gramEnd"/>
    </w:p>
    <w:p w:rsidR="005435E1" w:rsidRPr="005435E1" w:rsidRDefault="005435E1" w:rsidP="005435E1">
      <w:r w:rsidRPr="005435E1">
        <w:t>Repici, A., Reggio, D.</w:t>
      </w:r>
      <w:r>
        <w:t xml:space="preserve"> et al 2000</w:t>
      </w:r>
      <w:r w:rsidR="00F62DA4">
        <w:t>.</w:t>
      </w:r>
      <w:r>
        <w:t xml:space="preserve"> ‘</w:t>
      </w:r>
      <w:r w:rsidRPr="005435E1">
        <w:t xml:space="preserve">Covered metal stents for management of inoperable </w:t>
      </w:r>
      <w:r>
        <w:t>malignant colorectal strictures’</w:t>
      </w:r>
      <w:r w:rsidRPr="005435E1">
        <w:t xml:space="preserve">, </w:t>
      </w:r>
      <w:r w:rsidRPr="005435E1">
        <w:rPr>
          <w:i/>
          <w:iCs/>
        </w:rPr>
        <w:t>Gastrointestinal Endoscopy</w:t>
      </w:r>
      <w:r>
        <w:t xml:space="preserve">, </w:t>
      </w:r>
      <w:r w:rsidRPr="005435E1">
        <w:t>52</w:t>
      </w:r>
      <w:r>
        <w:t xml:space="preserve"> (</w:t>
      </w:r>
      <w:r w:rsidRPr="005435E1">
        <w:t>6</w:t>
      </w:r>
      <w:r>
        <w:t>)</w:t>
      </w:r>
      <w:r w:rsidR="004A556E">
        <w:t>,</w:t>
      </w:r>
      <w:r>
        <w:t xml:space="preserve"> </w:t>
      </w:r>
      <w:r w:rsidRPr="005435E1">
        <w:t>735-740.</w:t>
      </w:r>
    </w:p>
    <w:p w:rsidR="00F7524C" w:rsidRPr="00BB3C05" w:rsidRDefault="00F7524C" w:rsidP="00F7524C">
      <w:r w:rsidRPr="00BB3C05">
        <w:t>Repici</w:t>
      </w:r>
      <w:r w:rsidR="00967FD1">
        <w:t>,</w:t>
      </w:r>
      <w:r w:rsidRPr="00BB3C05">
        <w:t xml:space="preserve"> A</w:t>
      </w:r>
      <w:r w:rsidR="00967FD1">
        <w:t>.</w:t>
      </w:r>
      <w:r w:rsidRPr="00BB3C05">
        <w:t>, Caro</w:t>
      </w:r>
      <w:r w:rsidR="00967FD1">
        <w:t>,</w:t>
      </w:r>
      <w:r w:rsidRPr="00BB3C05">
        <w:t xml:space="preserve"> G</w:t>
      </w:r>
      <w:r w:rsidR="00967FD1">
        <w:t>.</w:t>
      </w:r>
      <w:r w:rsidRPr="00BB3C05">
        <w:t>D</w:t>
      </w:r>
      <w:r w:rsidR="00967FD1">
        <w:t>.</w:t>
      </w:r>
      <w:r w:rsidR="00C80127" w:rsidRPr="00BB3C05">
        <w:t xml:space="preserve"> </w:t>
      </w:r>
      <w:r w:rsidR="00C80127">
        <w:t>et al</w:t>
      </w:r>
      <w:r w:rsidRPr="00BB3C05">
        <w:t xml:space="preserve"> </w:t>
      </w:r>
      <w:r w:rsidR="00993CAF">
        <w:t>2008.</w:t>
      </w:r>
      <w:r w:rsidRPr="00BB3C05">
        <w:t xml:space="preserve"> </w:t>
      </w:r>
      <w:proofErr w:type="gramStart"/>
      <w:r w:rsidR="00993CAF">
        <w:t>‘</w:t>
      </w:r>
      <w:r w:rsidRPr="00BB3C05">
        <w:t>WallFlex colonic stent placement for management of malignant colonic obstruction: a prospective study at two centers</w:t>
      </w:r>
      <w:r w:rsidR="00993CAF">
        <w:t>’</w:t>
      </w:r>
      <w:r w:rsidRPr="00BB3C05">
        <w:t xml:space="preserve">, </w:t>
      </w:r>
      <w:r w:rsidRPr="00BB3C05">
        <w:rPr>
          <w:i/>
        </w:rPr>
        <w:t>Gastrointest</w:t>
      </w:r>
      <w:r w:rsidR="002705AE">
        <w:rPr>
          <w:i/>
        </w:rPr>
        <w:t>inal</w:t>
      </w:r>
      <w:r w:rsidRPr="00BB3C05">
        <w:rPr>
          <w:i/>
        </w:rPr>
        <w:t xml:space="preserve"> Endosc</w:t>
      </w:r>
      <w:r w:rsidR="002705AE">
        <w:rPr>
          <w:i/>
        </w:rPr>
        <w:t>opy</w:t>
      </w:r>
      <w:r w:rsidRPr="00BB3C05">
        <w:t>, 67</w:t>
      </w:r>
      <w:r w:rsidR="004A556E">
        <w:t xml:space="preserve"> (1)</w:t>
      </w:r>
      <w:r w:rsidR="00501DD3">
        <w:t xml:space="preserve">, </w:t>
      </w:r>
      <w:r w:rsidRPr="00BB3C05">
        <w:t>77-84.</w:t>
      </w:r>
      <w:proofErr w:type="gramEnd"/>
    </w:p>
    <w:p w:rsidR="005E5FFA" w:rsidRPr="00E734FE" w:rsidRDefault="00960FD6" w:rsidP="00E125E1">
      <w:pPr>
        <w:rPr>
          <w:bCs/>
        </w:rPr>
      </w:pPr>
      <w:proofErr w:type="gramStart"/>
      <w:r w:rsidRPr="00BB3C05">
        <w:t>Reza</w:t>
      </w:r>
      <w:r w:rsidR="00967FD1">
        <w:t>,</w:t>
      </w:r>
      <w:r w:rsidRPr="00BB3C05">
        <w:t xml:space="preserve"> F., Amir</w:t>
      </w:r>
      <w:r w:rsidR="00967FD1">
        <w:t>,</w:t>
      </w:r>
      <w:r w:rsidRPr="00BB3C05">
        <w:t xml:space="preserve"> M. A.</w:t>
      </w:r>
      <w:r w:rsidR="00C80127" w:rsidRPr="00BB3C05">
        <w:t xml:space="preserve"> </w:t>
      </w:r>
      <w:r w:rsidR="00C80127">
        <w:t>et al</w:t>
      </w:r>
      <w:r w:rsidRPr="00BB3C05">
        <w:t xml:space="preserve"> </w:t>
      </w:r>
      <w:r w:rsidR="00993CAF">
        <w:t>2009.</w:t>
      </w:r>
      <w:proofErr w:type="gramEnd"/>
      <w:r w:rsidRPr="00BB3C05">
        <w:t xml:space="preserve"> </w:t>
      </w:r>
      <w:r w:rsidR="00993CAF">
        <w:t>‘</w:t>
      </w:r>
      <w:r w:rsidRPr="00E734FE">
        <w:rPr>
          <w:bCs/>
        </w:rPr>
        <w:t xml:space="preserve">Colorectal Stenting for Management of Acute Malignant Bowel Obstruction in Advanced Colorectal Cancer in </w:t>
      </w:r>
      <w:r w:rsidR="00967FD1" w:rsidRPr="00E734FE">
        <w:rPr>
          <w:bCs/>
        </w:rPr>
        <w:t>Iran</w:t>
      </w:r>
      <w:r w:rsidR="00993CAF">
        <w:rPr>
          <w:bCs/>
        </w:rPr>
        <w:t>’</w:t>
      </w:r>
      <w:r w:rsidRPr="00E734FE">
        <w:rPr>
          <w:bCs/>
        </w:rPr>
        <w:t xml:space="preserve">, </w:t>
      </w:r>
      <w:r w:rsidRPr="0007443E">
        <w:rPr>
          <w:bCs/>
          <w:i/>
        </w:rPr>
        <w:t>Asian Pacific Journal of Cancer Prevention</w:t>
      </w:r>
      <w:r w:rsidRPr="00E734FE">
        <w:rPr>
          <w:bCs/>
        </w:rPr>
        <w:t>, 10</w:t>
      </w:r>
      <w:r w:rsidR="009E60D9">
        <w:rPr>
          <w:bCs/>
        </w:rPr>
        <w:t xml:space="preserve">, </w:t>
      </w:r>
      <w:r w:rsidRPr="00E734FE">
        <w:rPr>
          <w:bCs/>
        </w:rPr>
        <w:t xml:space="preserve">739-741. </w:t>
      </w:r>
    </w:p>
    <w:p w:rsidR="00E125E1" w:rsidRPr="008978EE" w:rsidRDefault="00E125E1" w:rsidP="00E125E1">
      <w:r w:rsidRPr="009E5C53">
        <w:t xml:space="preserve">Sagar, J. </w:t>
      </w:r>
      <w:r w:rsidR="00993CAF">
        <w:t>2011.</w:t>
      </w:r>
      <w:r w:rsidRPr="009E5C53">
        <w:t xml:space="preserve"> </w:t>
      </w:r>
      <w:proofErr w:type="gramStart"/>
      <w:r w:rsidR="00993CAF">
        <w:t>‘</w:t>
      </w:r>
      <w:r w:rsidRPr="009E5C53">
        <w:t>Colorectal stents for the management of malignant colonic obstructions</w:t>
      </w:r>
      <w:r w:rsidR="00993CAF">
        <w:t>’</w:t>
      </w:r>
      <w:r w:rsidRPr="009E5C53">
        <w:t xml:space="preserve"> </w:t>
      </w:r>
      <w:r w:rsidRPr="00E2422F">
        <w:rPr>
          <w:i/>
        </w:rPr>
        <w:t>Cochrane Database of Systematic Reviews</w:t>
      </w:r>
      <w:r w:rsidR="006C2D68">
        <w:rPr>
          <w:i/>
        </w:rPr>
        <w:t>,</w:t>
      </w:r>
      <w:r w:rsidRPr="00E2422F">
        <w:rPr>
          <w:i/>
        </w:rPr>
        <w:t xml:space="preserve"> </w:t>
      </w:r>
      <w:r w:rsidRPr="00892811">
        <w:t xml:space="preserve">Issue </w:t>
      </w:r>
      <w:r w:rsidRPr="008978EE">
        <w:t>11.</w:t>
      </w:r>
      <w:proofErr w:type="gramEnd"/>
      <w:r w:rsidRPr="008978EE">
        <w:t xml:space="preserve"> Art. No: CD007378. DOI: 10.1002/14651858.CD007378.pub2.</w:t>
      </w:r>
    </w:p>
    <w:p w:rsidR="007640FB" w:rsidRPr="00E734FE" w:rsidRDefault="007640FB" w:rsidP="007640FB">
      <w:pPr>
        <w:pStyle w:val="References"/>
        <w:ind w:left="709" w:firstLine="11"/>
      </w:pPr>
      <w:proofErr w:type="gramStart"/>
      <w:r w:rsidRPr="008978EE">
        <w:t>Saida</w:t>
      </w:r>
      <w:r w:rsidR="006C2D68">
        <w:t>,</w:t>
      </w:r>
      <w:r w:rsidRPr="008978EE">
        <w:t xml:space="preserve"> Y</w:t>
      </w:r>
      <w:r w:rsidR="002210C5" w:rsidRPr="00A30BA9">
        <w:t>.</w:t>
      </w:r>
      <w:r w:rsidRPr="005646B6">
        <w:t>, Sumiyama</w:t>
      </w:r>
      <w:r w:rsidR="006C2D68">
        <w:t>,</w:t>
      </w:r>
      <w:r w:rsidRPr="005646B6">
        <w:t xml:space="preserve"> Y</w:t>
      </w:r>
      <w:r w:rsidR="002210C5" w:rsidRPr="005646B6">
        <w:t>.</w:t>
      </w:r>
      <w:r w:rsidR="00C80127" w:rsidRPr="00003831" w:rsidDel="00C80127">
        <w:t xml:space="preserve"> </w:t>
      </w:r>
      <w:r w:rsidR="00C80127">
        <w:t xml:space="preserve">et al </w:t>
      </w:r>
      <w:r w:rsidRPr="00DF686C">
        <w:t xml:space="preserve">1996, </w:t>
      </w:r>
      <w:r w:rsidR="00993CAF">
        <w:t>‘</w:t>
      </w:r>
      <w:r w:rsidRPr="00F13A5A">
        <w:t>Stent endoprosthesis for obstructing colorectal cancers</w:t>
      </w:r>
      <w:r w:rsidR="00993CAF">
        <w:t>’</w:t>
      </w:r>
      <w:r w:rsidRPr="00E734FE">
        <w:t xml:space="preserve">, </w:t>
      </w:r>
      <w:r w:rsidRPr="00E734FE">
        <w:rPr>
          <w:i/>
        </w:rPr>
        <w:t>Dis</w:t>
      </w:r>
      <w:r w:rsidR="002705AE">
        <w:rPr>
          <w:i/>
        </w:rPr>
        <w:t>eases of the</w:t>
      </w:r>
      <w:r w:rsidRPr="00E734FE">
        <w:rPr>
          <w:i/>
        </w:rPr>
        <w:t xml:space="preserve"> Colon </w:t>
      </w:r>
      <w:r w:rsidR="002705AE">
        <w:rPr>
          <w:i/>
        </w:rPr>
        <w:t xml:space="preserve">and </w:t>
      </w:r>
      <w:r w:rsidRPr="00E734FE">
        <w:rPr>
          <w:i/>
        </w:rPr>
        <w:t>Rectum</w:t>
      </w:r>
      <w:r w:rsidRPr="00E734FE">
        <w:t>, 39</w:t>
      </w:r>
      <w:r w:rsidR="00AB3DD1">
        <w:t xml:space="preserve"> (5)</w:t>
      </w:r>
      <w:r w:rsidR="009E60D9">
        <w:t xml:space="preserve">, </w:t>
      </w:r>
      <w:r w:rsidRPr="00E734FE">
        <w:t>552-555.</w:t>
      </w:r>
      <w:proofErr w:type="gramEnd"/>
      <w:r w:rsidRPr="00E734FE">
        <w:t xml:space="preserve"> </w:t>
      </w:r>
    </w:p>
    <w:p w:rsidR="007640FB" w:rsidRPr="008F42F9" w:rsidRDefault="00F6775B" w:rsidP="00F6775B">
      <w:pPr>
        <w:pStyle w:val="References"/>
        <w:ind w:left="709" w:firstLine="11"/>
      </w:pPr>
      <w:proofErr w:type="gramStart"/>
      <w:r w:rsidRPr="00BE3EA8">
        <w:t>Sebastian, S., Johnston, S.</w:t>
      </w:r>
      <w:r w:rsidR="00C80127" w:rsidRPr="00BB3C05">
        <w:t xml:space="preserve"> </w:t>
      </w:r>
      <w:r w:rsidR="00C80127">
        <w:t>et al</w:t>
      </w:r>
      <w:r w:rsidRPr="00BE3EA8">
        <w:t xml:space="preserve"> </w:t>
      </w:r>
      <w:r w:rsidR="00993CAF">
        <w:t>2004.</w:t>
      </w:r>
      <w:proofErr w:type="gramEnd"/>
      <w:r w:rsidRPr="00BE3EA8">
        <w:t xml:space="preserve"> </w:t>
      </w:r>
      <w:proofErr w:type="gramStart"/>
      <w:r w:rsidR="00993CAF">
        <w:t>‘</w:t>
      </w:r>
      <w:r w:rsidRPr="00BE3EA8">
        <w:t>Pooled analysis of the efficacy and safety of self-expanding metal stenting in malignant colorectal obstruction</w:t>
      </w:r>
      <w:r w:rsidR="00993CAF">
        <w:t>’</w:t>
      </w:r>
      <w:r w:rsidRPr="00BE3EA8">
        <w:t xml:space="preserve">, </w:t>
      </w:r>
      <w:r w:rsidRPr="003C49DC">
        <w:rPr>
          <w:i/>
          <w:iCs/>
        </w:rPr>
        <w:t>Am</w:t>
      </w:r>
      <w:r w:rsidR="002705AE">
        <w:rPr>
          <w:i/>
          <w:iCs/>
        </w:rPr>
        <w:t>erican</w:t>
      </w:r>
      <w:r w:rsidRPr="003C49DC">
        <w:rPr>
          <w:i/>
          <w:iCs/>
        </w:rPr>
        <w:t xml:space="preserve"> J</w:t>
      </w:r>
      <w:r w:rsidR="002705AE">
        <w:rPr>
          <w:i/>
          <w:iCs/>
        </w:rPr>
        <w:t>ournal of</w:t>
      </w:r>
      <w:r w:rsidRPr="003C49DC">
        <w:rPr>
          <w:i/>
          <w:iCs/>
        </w:rPr>
        <w:t xml:space="preserve"> Gastroenterol</w:t>
      </w:r>
      <w:r w:rsidR="002705AE">
        <w:rPr>
          <w:i/>
          <w:iCs/>
        </w:rPr>
        <w:t>ogy</w:t>
      </w:r>
      <w:r w:rsidRPr="008F42F9">
        <w:t>, 99</w:t>
      </w:r>
      <w:r w:rsidR="005267B7">
        <w:t xml:space="preserve"> (</w:t>
      </w:r>
      <w:r w:rsidRPr="008F42F9">
        <w:t>10</w:t>
      </w:r>
      <w:r w:rsidR="005267B7">
        <w:t>)</w:t>
      </w:r>
      <w:r w:rsidR="00AB3DD1">
        <w:t>,</w:t>
      </w:r>
      <w:r w:rsidRPr="008F42F9">
        <w:t xml:space="preserve"> 2051-2057.</w:t>
      </w:r>
      <w:proofErr w:type="gramEnd"/>
    </w:p>
    <w:p w:rsidR="0052796A" w:rsidRPr="0052796A" w:rsidRDefault="0052796A" w:rsidP="0052796A">
      <w:r w:rsidRPr="0052796A">
        <w:t xml:space="preserve">Selinger, C. P., Ramesh, J. and Martin, D. F. 2011. ‘Long-term success of colonic stent insertion is influenced by indication but not by length of stent or site of obstruction’, </w:t>
      </w:r>
      <w:r w:rsidRPr="0052796A">
        <w:rPr>
          <w:i/>
          <w:iCs/>
        </w:rPr>
        <w:t>International Journal of Colorectal Disease</w:t>
      </w:r>
      <w:r w:rsidRPr="0052796A">
        <w:t>, 26 (2)</w:t>
      </w:r>
      <w:r w:rsidR="00AB3DD1">
        <w:t>,</w:t>
      </w:r>
      <w:r w:rsidRPr="0052796A">
        <w:t xml:space="preserve"> 215-218.</w:t>
      </w:r>
    </w:p>
    <w:p w:rsidR="0052796A" w:rsidRPr="0052796A" w:rsidRDefault="0052796A" w:rsidP="0052796A">
      <w:proofErr w:type="gramStart"/>
      <w:r w:rsidRPr="0052796A">
        <w:t>Shrivastava, V., Tariq, O. et al 2008.</w:t>
      </w:r>
      <w:proofErr w:type="gramEnd"/>
      <w:r w:rsidRPr="0052796A">
        <w:t xml:space="preserve"> </w:t>
      </w:r>
      <w:proofErr w:type="gramStart"/>
      <w:r w:rsidRPr="0052796A">
        <w:t xml:space="preserve">‘Palliation of obstructing malignant colonic lesions using self-expanding metal stents: a single-center experience’, </w:t>
      </w:r>
      <w:r w:rsidRPr="0052796A">
        <w:rPr>
          <w:i/>
          <w:iCs/>
        </w:rPr>
        <w:t>Cardiovascular and Interventional Radiology</w:t>
      </w:r>
      <w:r w:rsidRPr="0052796A">
        <w:t>, 31 (5)</w:t>
      </w:r>
      <w:r w:rsidR="00AB3DD1">
        <w:t>,</w:t>
      </w:r>
      <w:r w:rsidRPr="0052796A">
        <w:t xml:space="preserve"> 931-936.</w:t>
      </w:r>
      <w:proofErr w:type="gramEnd"/>
    </w:p>
    <w:p w:rsidR="00422ADB" w:rsidRDefault="00422ADB" w:rsidP="002210C5">
      <w:pPr>
        <w:pStyle w:val="References"/>
        <w:ind w:left="709" w:firstLine="11"/>
      </w:pPr>
      <w:r w:rsidRPr="00422ADB">
        <w:t>Singh</w:t>
      </w:r>
      <w:r w:rsidR="006C2D68">
        <w:t>,</w:t>
      </w:r>
      <w:r w:rsidRPr="00422ADB">
        <w:t xml:space="preserve"> H</w:t>
      </w:r>
      <w:r w:rsidR="006C2D68">
        <w:t>.</w:t>
      </w:r>
      <w:r w:rsidRPr="00422ADB">
        <w:t>, Latosinsky</w:t>
      </w:r>
      <w:r w:rsidR="006C2D68">
        <w:t>,</w:t>
      </w:r>
      <w:r w:rsidRPr="00422ADB">
        <w:t xml:space="preserve"> S</w:t>
      </w:r>
      <w:r w:rsidR="006C2D68">
        <w:t>.</w:t>
      </w:r>
      <w:r w:rsidR="00C80127" w:rsidRPr="00BB3C05">
        <w:t xml:space="preserve"> </w:t>
      </w:r>
      <w:r w:rsidR="00C80127">
        <w:t>et al</w:t>
      </w:r>
      <w:r w:rsidRPr="00422ADB">
        <w:t xml:space="preserve"> </w:t>
      </w:r>
      <w:r w:rsidR="00993CAF">
        <w:t>2006.</w:t>
      </w:r>
      <w:r w:rsidR="006C2D68">
        <w:t xml:space="preserve"> </w:t>
      </w:r>
      <w:proofErr w:type="gramStart"/>
      <w:r w:rsidR="00993CAF">
        <w:t>‘</w:t>
      </w:r>
      <w:r w:rsidRPr="00422ADB">
        <w:t>The cost-effectiveness of colonic stenting as a bridge to curative surgery in patients with acute left-sided malignant colonic obstruction: A Canadian perspective</w:t>
      </w:r>
      <w:r w:rsidR="00993CAF">
        <w:t>’</w:t>
      </w:r>
      <w:r w:rsidR="006C2D68">
        <w:t>,</w:t>
      </w:r>
      <w:r w:rsidRPr="00422ADB">
        <w:t xml:space="preserve"> </w:t>
      </w:r>
      <w:r w:rsidRPr="0007443E">
        <w:rPr>
          <w:i/>
        </w:rPr>
        <w:t>Can</w:t>
      </w:r>
      <w:r w:rsidR="002705AE" w:rsidRPr="0007443E">
        <w:rPr>
          <w:i/>
        </w:rPr>
        <w:t>adian</w:t>
      </w:r>
      <w:r w:rsidRPr="0007443E">
        <w:rPr>
          <w:i/>
        </w:rPr>
        <w:t xml:space="preserve"> J</w:t>
      </w:r>
      <w:r w:rsidR="002705AE" w:rsidRPr="0007443E">
        <w:rPr>
          <w:i/>
        </w:rPr>
        <w:t>ournal of</w:t>
      </w:r>
      <w:r w:rsidRPr="0007443E">
        <w:rPr>
          <w:i/>
        </w:rPr>
        <w:t xml:space="preserve"> Gastroenterol</w:t>
      </w:r>
      <w:r w:rsidR="002705AE" w:rsidRPr="0007443E">
        <w:rPr>
          <w:i/>
        </w:rPr>
        <w:t>ogy</w:t>
      </w:r>
      <w:r w:rsidR="006C2D68">
        <w:rPr>
          <w:i/>
        </w:rPr>
        <w:t>,</w:t>
      </w:r>
      <w:r w:rsidRPr="00422ADB">
        <w:t xml:space="preserve"> 20</w:t>
      </w:r>
      <w:r w:rsidR="00AB3DD1">
        <w:t xml:space="preserve"> (12)</w:t>
      </w:r>
      <w:r w:rsidR="006C2D68">
        <w:t xml:space="preserve">, </w:t>
      </w:r>
      <w:r w:rsidRPr="00422ADB">
        <w:t>779-</w:t>
      </w:r>
      <w:r w:rsidR="006C2D68">
        <w:t>7</w:t>
      </w:r>
      <w:r w:rsidRPr="00422ADB">
        <w:t>85.</w:t>
      </w:r>
      <w:proofErr w:type="gramEnd"/>
    </w:p>
    <w:p w:rsidR="001E196C" w:rsidRDefault="00943CCE" w:rsidP="006962C4">
      <w:proofErr w:type="gramStart"/>
      <w:r w:rsidRPr="008F42F9">
        <w:t>Small</w:t>
      </w:r>
      <w:r w:rsidR="006C2D68">
        <w:t>,</w:t>
      </w:r>
      <w:r w:rsidRPr="008F42F9">
        <w:t xml:space="preserve"> A.J. and Baron</w:t>
      </w:r>
      <w:r w:rsidR="006C2D68">
        <w:t>,</w:t>
      </w:r>
      <w:r w:rsidRPr="008F42F9">
        <w:t xml:space="preserve"> T.H. </w:t>
      </w:r>
      <w:r w:rsidR="00993CAF">
        <w:t>2008.</w:t>
      </w:r>
      <w:proofErr w:type="gramEnd"/>
      <w:r w:rsidRPr="008F42F9">
        <w:t xml:space="preserve"> </w:t>
      </w:r>
      <w:proofErr w:type="gramStart"/>
      <w:r w:rsidR="00993CAF">
        <w:t>‘</w:t>
      </w:r>
      <w:r w:rsidRPr="008F42F9">
        <w:t xml:space="preserve">Comparison of Wallstent and Ultraflex stents for palliation of malignant left-sided colon obstruction: a retrospective, case-matched </w:t>
      </w:r>
      <w:r w:rsidR="006C2D68" w:rsidRPr="008F42F9">
        <w:t>analysis</w:t>
      </w:r>
      <w:r w:rsidR="00993CAF">
        <w:t>’</w:t>
      </w:r>
      <w:r w:rsidR="006C2D68">
        <w:t>,</w:t>
      </w:r>
      <w:r w:rsidR="006C2D68" w:rsidRPr="008F42F9">
        <w:t xml:space="preserve"> </w:t>
      </w:r>
      <w:r w:rsidRPr="0007443E">
        <w:rPr>
          <w:i/>
        </w:rPr>
        <w:t>Gastrointestinal Endoscopy</w:t>
      </w:r>
      <w:r w:rsidRPr="008F42F9">
        <w:t>, 67</w:t>
      </w:r>
      <w:r w:rsidR="005267B7">
        <w:t xml:space="preserve"> (</w:t>
      </w:r>
      <w:r w:rsidRPr="008F42F9">
        <w:t>3</w:t>
      </w:r>
      <w:r w:rsidR="005267B7">
        <w:t>)</w:t>
      </w:r>
      <w:r w:rsidR="00AB3DD1">
        <w:t>,</w:t>
      </w:r>
      <w:r w:rsidRPr="008F42F9">
        <w:t xml:space="preserve"> 478-488.</w:t>
      </w:r>
      <w:proofErr w:type="gramEnd"/>
      <w:r w:rsidRPr="008F42F9">
        <w:t xml:space="preserve"> </w:t>
      </w:r>
    </w:p>
    <w:p w:rsidR="006962C4" w:rsidRPr="006962C4" w:rsidRDefault="006962C4" w:rsidP="006962C4">
      <w:proofErr w:type="gramStart"/>
      <w:r w:rsidRPr="006962C4">
        <w:t>Small, A. J., Coelho-Prabhu, N. and Baron, T. H. 2010.</w:t>
      </w:r>
      <w:proofErr w:type="gramEnd"/>
      <w:r w:rsidRPr="006962C4">
        <w:t xml:space="preserve"> </w:t>
      </w:r>
      <w:proofErr w:type="gramStart"/>
      <w:r w:rsidRPr="006962C4">
        <w:t xml:space="preserve">‘Endoscopic placement of self-expandable metal stents for malignant colonic obstruction: long-term outcomes and complication factors’, </w:t>
      </w:r>
      <w:r w:rsidRPr="006962C4">
        <w:rPr>
          <w:i/>
          <w:iCs/>
        </w:rPr>
        <w:t>Gastrointestinal Endoscopy</w:t>
      </w:r>
      <w:r w:rsidRPr="006962C4">
        <w:t>, 71 (3)</w:t>
      </w:r>
      <w:r w:rsidR="00AB3DD1">
        <w:t>,</w:t>
      </w:r>
      <w:r w:rsidRPr="006962C4">
        <w:t xml:space="preserve"> 560-572.</w:t>
      </w:r>
      <w:proofErr w:type="gramEnd"/>
    </w:p>
    <w:p w:rsidR="006962C4" w:rsidRPr="006962C4" w:rsidRDefault="006962C4" w:rsidP="006962C4">
      <w:r w:rsidRPr="006962C4">
        <w:lastRenderedPageBreak/>
        <w:t>Stenhouse, A., Page, B. et al 2009. ‘Self expanding wall stents in malignant colorectal cancer: is complete obstruction a contraindication to stent placement?</w:t>
      </w:r>
      <w:proofErr w:type="gramStart"/>
      <w:r w:rsidRPr="006962C4">
        <w:t>’,</w:t>
      </w:r>
      <w:proofErr w:type="gramEnd"/>
      <w:r w:rsidRPr="006962C4">
        <w:t xml:space="preserve"> </w:t>
      </w:r>
      <w:r w:rsidRPr="006962C4">
        <w:rPr>
          <w:i/>
          <w:iCs/>
        </w:rPr>
        <w:t>Colorectal Disease</w:t>
      </w:r>
      <w:r w:rsidRPr="006962C4">
        <w:t>, 11 (8)</w:t>
      </w:r>
      <w:r w:rsidR="00AB3DD1">
        <w:t>,</w:t>
      </w:r>
      <w:r w:rsidRPr="006962C4">
        <w:t xml:space="preserve"> 854-858.</w:t>
      </w:r>
      <w:r w:rsidRPr="006962C4">
        <w:tab/>
      </w:r>
    </w:p>
    <w:p w:rsidR="006962C4" w:rsidRPr="006962C4" w:rsidRDefault="006962C4" w:rsidP="006962C4">
      <w:r w:rsidRPr="006962C4">
        <w:t xml:space="preserve">Suh, J. P., Kim, S. W. et al 2010. </w:t>
      </w:r>
      <w:proofErr w:type="gramStart"/>
      <w:r w:rsidRPr="006962C4">
        <w:t xml:space="preserve">‘Effectiveness of stent placement for palliative treatment in malignant colorectal obstruction and predictive factors for stent occlusion’, </w:t>
      </w:r>
      <w:r w:rsidRPr="006962C4">
        <w:rPr>
          <w:i/>
          <w:iCs/>
        </w:rPr>
        <w:t>Surgical Endoscopy</w:t>
      </w:r>
      <w:r w:rsidRPr="006962C4">
        <w:t>, 24 (2)</w:t>
      </w:r>
      <w:r w:rsidR="00AB3DD1">
        <w:t>,</w:t>
      </w:r>
      <w:r w:rsidRPr="006962C4">
        <w:t xml:space="preserve"> 400-406.</w:t>
      </w:r>
      <w:proofErr w:type="gramEnd"/>
    </w:p>
    <w:p w:rsidR="00222939" w:rsidRPr="009E5C53" w:rsidRDefault="00222939" w:rsidP="00222939">
      <w:pPr>
        <w:pStyle w:val="References"/>
        <w:ind w:left="709" w:firstLine="11"/>
      </w:pPr>
      <w:proofErr w:type="gramStart"/>
      <w:r w:rsidRPr="00325C69">
        <w:t>Tanaka, T., Furukawa, A.</w:t>
      </w:r>
      <w:r w:rsidR="00C80127" w:rsidRPr="00BB3C05">
        <w:t xml:space="preserve"> </w:t>
      </w:r>
      <w:r w:rsidR="00C80127">
        <w:t>et al</w:t>
      </w:r>
      <w:r w:rsidR="006C2D68">
        <w:t xml:space="preserve"> </w:t>
      </w:r>
      <w:r w:rsidR="00993CAF">
        <w:t>2001.</w:t>
      </w:r>
      <w:proofErr w:type="gramEnd"/>
      <w:r w:rsidRPr="00325C69">
        <w:t xml:space="preserve"> </w:t>
      </w:r>
      <w:proofErr w:type="gramStart"/>
      <w:r w:rsidR="00993CAF">
        <w:t>‘</w:t>
      </w:r>
      <w:r w:rsidRPr="00325C69">
        <w:t xml:space="preserve">Endoscopic </w:t>
      </w:r>
      <w:r w:rsidR="006C2D68">
        <w:t>t</w:t>
      </w:r>
      <w:r w:rsidR="006C2D68" w:rsidRPr="00325C69">
        <w:t>ransana</w:t>
      </w:r>
      <w:r w:rsidR="006C2D68" w:rsidRPr="007D5B7C">
        <w:t xml:space="preserve">l </w:t>
      </w:r>
      <w:r w:rsidR="006C2D68">
        <w:t>d</w:t>
      </w:r>
      <w:r w:rsidR="006C2D68" w:rsidRPr="007D5B7C">
        <w:t xml:space="preserve">ecompression </w:t>
      </w:r>
      <w:r w:rsidRPr="007D5B7C">
        <w:t xml:space="preserve">with a </w:t>
      </w:r>
      <w:r w:rsidR="006C2D68">
        <w:t>d</w:t>
      </w:r>
      <w:r w:rsidR="006C2D68" w:rsidRPr="007D5B7C">
        <w:t xml:space="preserve">rainage </w:t>
      </w:r>
      <w:r w:rsidR="006C2D68">
        <w:t>g</w:t>
      </w:r>
      <w:r w:rsidR="006C2D68" w:rsidRPr="007D5B7C">
        <w:t xml:space="preserve">ube </w:t>
      </w:r>
      <w:r w:rsidRPr="007D5B7C">
        <w:t xml:space="preserve">for </w:t>
      </w:r>
      <w:r w:rsidR="006C2D68">
        <w:t>a</w:t>
      </w:r>
      <w:r w:rsidR="006C2D68" w:rsidRPr="007D5B7C">
        <w:t xml:space="preserve">cute </w:t>
      </w:r>
      <w:r w:rsidR="006C2D68">
        <w:t>c</w:t>
      </w:r>
      <w:r w:rsidR="006C2D68" w:rsidRPr="007D5B7C">
        <w:t xml:space="preserve">olonic </w:t>
      </w:r>
      <w:r w:rsidR="006C2D68">
        <w:t>o</w:t>
      </w:r>
      <w:r w:rsidR="006C2D68" w:rsidRPr="007D5B7C">
        <w:t xml:space="preserve">bstruction </w:t>
      </w:r>
      <w:r w:rsidRPr="007D5B7C">
        <w:t xml:space="preserve">- </w:t>
      </w:r>
      <w:r w:rsidR="006C2D68">
        <w:rPr>
          <w:bCs/>
        </w:rPr>
        <w:t>c</w:t>
      </w:r>
      <w:r w:rsidR="006C2D68" w:rsidRPr="00E734FE">
        <w:rPr>
          <w:bCs/>
        </w:rPr>
        <w:t xml:space="preserve">linical </w:t>
      </w:r>
      <w:r w:rsidR="006C2D68">
        <w:rPr>
          <w:bCs/>
        </w:rPr>
        <w:t>a</w:t>
      </w:r>
      <w:r w:rsidR="006C2D68" w:rsidRPr="00E734FE">
        <w:rPr>
          <w:bCs/>
        </w:rPr>
        <w:t xml:space="preserve">spects </w:t>
      </w:r>
      <w:r w:rsidRPr="00E734FE">
        <w:rPr>
          <w:bCs/>
        </w:rPr>
        <w:t xml:space="preserve">of </w:t>
      </w:r>
      <w:r w:rsidR="006C2D68">
        <w:rPr>
          <w:bCs/>
        </w:rPr>
        <w:t>p</w:t>
      </w:r>
      <w:r w:rsidR="006C2D68" w:rsidRPr="00E734FE">
        <w:rPr>
          <w:bCs/>
        </w:rPr>
        <w:t xml:space="preserve">reoperative </w:t>
      </w:r>
      <w:r w:rsidR="006C2D68">
        <w:rPr>
          <w:bCs/>
        </w:rPr>
        <w:t>t</w:t>
      </w:r>
      <w:r w:rsidR="006C2D68" w:rsidRPr="00E734FE">
        <w:rPr>
          <w:bCs/>
        </w:rPr>
        <w:t>reatment</w:t>
      </w:r>
      <w:r w:rsidR="00993CAF">
        <w:rPr>
          <w:bCs/>
        </w:rPr>
        <w:t>’</w:t>
      </w:r>
      <w:r w:rsidRPr="00E734FE">
        <w:rPr>
          <w:bCs/>
        </w:rPr>
        <w:t xml:space="preserve">, </w:t>
      </w:r>
      <w:r w:rsidRPr="0007443E">
        <w:rPr>
          <w:bCs/>
          <w:i/>
        </w:rPr>
        <w:t>Dis</w:t>
      </w:r>
      <w:r w:rsidR="002705AE">
        <w:rPr>
          <w:bCs/>
          <w:i/>
        </w:rPr>
        <w:t>eases of the</w:t>
      </w:r>
      <w:r w:rsidRPr="0007443E">
        <w:rPr>
          <w:bCs/>
          <w:i/>
        </w:rPr>
        <w:t xml:space="preserve"> Colon </w:t>
      </w:r>
      <w:r w:rsidR="002705AE">
        <w:rPr>
          <w:bCs/>
          <w:i/>
        </w:rPr>
        <w:t xml:space="preserve">and </w:t>
      </w:r>
      <w:r w:rsidRPr="0007443E">
        <w:rPr>
          <w:bCs/>
          <w:i/>
        </w:rPr>
        <w:t>Rectum</w:t>
      </w:r>
      <w:r w:rsidR="00AB3DD1">
        <w:rPr>
          <w:bCs/>
          <w:i/>
        </w:rPr>
        <w:t>,</w:t>
      </w:r>
      <w:r w:rsidRPr="00E734FE">
        <w:rPr>
          <w:bCs/>
        </w:rPr>
        <w:t xml:space="preserve"> 44</w:t>
      </w:r>
      <w:r w:rsidR="00AB3DD1">
        <w:rPr>
          <w:bCs/>
        </w:rPr>
        <w:t xml:space="preserve"> (3)</w:t>
      </w:r>
      <w:r w:rsidR="009E60D9">
        <w:rPr>
          <w:bCs/>
        </w:rPr>
        <w:t xml:space="preserve">, </w:t>
      </w:r>
      <w:r w:rsidRPr="00E734FE">
        <w:rPr>
          <w:bCs/>
        </w:rPr>
        <w:t>418-422.</w:t>
      </w:r>
      <w:proofErr w:type="gramEnd"/>
    </w:p>
    <w:p w:rsidR="00422ADB" w:rsidRDefault="00422ADB" w:rsidP="002210C5">
      <w:pPr>
        <w:pStyle w:val="References"/>
        <w:ind w:left="709" w:firstLine="11"/>
      </w:pPr>
      <w:r w:rsidRPr="00422ADB">
        <w:t>Targownik</w:t>
      </w:r>
      <w:r w:rsidR="006C2D68">
        <w:t>,</w:t>
      </w:r>
      <w:r w:rsidRPr="00422ADB">
        <w:t xml:space="preserve"> L</w:t>
      </w:r>
      <w:r w:rsidR="006C2D68">
        <w:t>.</w:t>
      </w:r>
      <w:r w:rsidRPr="00422ADB">
        <w:t>E</w:t>
      </w:r>
      <w:r w:rsidR="006C2D68">
        <w:t>.</w:t>
      </w:r>
      <w:r w:rsidRPr="00422ADB">
        <w:t>, Spiegel</w:t>
      </w:r>
      <w:r w:rsidR="006C2D68">
        <w:t>,</w:t>
      </w:r>
      <w:r w:rsidRPr="00422ADB">
        <w:t xml:space="preserve"> B</w:t>
      </w:r>
      <w:r w:rsidR="006C2D68">
        <w:t>.</w:t>
      </w:r>
      <w:r w:rsidRPr="00422ADB">
        <w:t>M</w:t>
      </w:r>
      <w:r w:rsidR="006C2D68">
        <w:t>.</w:t>
      </w:r>
      <w:r w:rsidR="00C80127" w:rsidRPr="00BB3C05">
        <w:t xml:space="preserve"> </w:t>
      </w:r>
      <w:r w:rsidR="00C80127">
        <w:t>et al</w:t>
      </w:r>
      <w:r w:rsidR="006C2D68">
        <w:t xml:space="preserve"> </w:t>
      </w:r>
      <w:r w:rsidR="00993CAF">
        <w:t>2004.</w:t>
      </w:r>
      <w:r w:rsidRPr="00422ADB">
        <w:t xml:space="preserve"> </w:t>
      </w:r>
      <w:proofErr w:type="gramStart"/>
      <w:r w:rsidR="00993CAF">
        <w:t>‘</w:t>
      </w:r>
      <w:r w:rsidRPr="00422ADB">
        <w:t>Colonic stent vs. emergency surgery for management of acute left-sided malignant colonic obstruction: a decision analysis</w:t>
      </w:r>
      <w:r w:rsidR="00993CAF">
        <w:t>’</w:t>
      </w:r>
      <w:r w:rsidR="006C2D68">
        <w:t>,</w:t>
      </w:r>
      <w:r w:rsidRPr="00422ADB">
        <w:t xml:space="preserve"> </w:t>
      </w:r>
      <w:r w:rsidRPr="0007443E">
        <w:rPr>
          <w:i/>
        </w:rPr>
        <w:t>Gastrointest</w:t>
      </w:r>
      <w:r w:rsidR="002705AE" w:rsidRPr="0007443E">
        <w:rPr>
          <w:i/>
        </w:rPr>
        <w:t>inal</w:t>
      </w:r>
      <w:r w:rsidRPr="0007443E">
        <w:rPr>
          <w:i/>
        </w:rPr>
        <w:t xml:space="preserve"> Endosc</w:t>
      </w:r>
      <w:r w:rsidR="002705AE" w:rsidRPr="0007443E">
        <w:rPr>
          <w:i/>
        </w:rPr>
        <w:t>opy</w:t>
      </w:r>
      <w:r w:rsidR="00AB3DD1">
        <w:rPr>
          <w:i/>
        </w:rPr>
        <w:t>,</w:t>
      </w:r>
      <w:r w:rsidRPr="00422ADB">
        <w:t xml:space="preserve"> 60</w:t>
      </w:r>
      <w:r w:rsidR="00AB3DD1">
        <w:t xml:space="preserve"> (6)</w:t>
      </w:r>
      <w:r w:rsidR="006C2D68">
        <w:t>,</w:t>
      </w:r>
      <w:r w:rsidR="00501DD3">
        <w:t xml:space="preserve"> </w:t>
      </w:r>
      <w:r w:rsidRPr="00422ADB">
        <w:t>865-</w:t>
      </w:r>
      <w:r w:rsidR="00AB3DD1">
        <w:t>8</w:t>
      </w:r>
      <w:r w:rsidRPr="00422ADB">
        <w:t>74.</w:t>
      </w:r>
      <w:proofErr w:type="gramEnd"/>
    </w:p>
    <w:p w:rsidR="007640FB" w:rsidRPr="007D5B7C" w:rsidRDefault="007640FB" w:rsidP="002210C5">
      <w:pPr>
        <w:pStyle w:val="References"/>
        <w:ind w:left="709" w:firstLine="11"/>
      </w:pPr>
      <w:r w:rsidRPr="00E2422F">
        <w:t>Tilney</w:t>
      </w:r>
      <w:r w:rsidR="006C2D68">
        <w:t>,</w:t>
      </w:r>
      <w:r w:rsidRPr="00E2422F">
        <w:t xml:space="preserve"> H</w:t>
      </w:r>
      <w:r w:rsidR="002210C5" w:rsidRPr="00892811">
        <w:t>.</w:t>
      </w:r>
      <w:r w:rsidRPr="008978EE">
        <w:t>S</w:t>
      </w:r>
      <w:r w:rsidR="002210C5" w:rsidRPr="008978EE">
        <w:t>.</w:t>
      </w:r>
      <w:r w:rsidRPr="00A30BA9">
        <w:t>, Lovegrove</w:t>
      </w:r>
      <w:r w:rsidR="006C2D68">
        <w:t>,</w:t>
      </w:r>
      <w:r w:rsidRPr="00A30BA9">
        <w:t xml:space="preserve"> R</w:t>
      </w:r>
      <w:r w:rsidR="002210C5" w:rsidRPr="005646B6">
        <w:t>.</w:t>
      </w:r>
      <w:r w:rsidRPr="005646B6">
        <w:t>E</w:t>
      </w:r>
      <w:r w:rsidR="002210C5" w:rsidRPr="00003831">
        <w:t>.</w:t>
      </w:r>
      <w:r w:rsidR="00C80127" w:rsidRPr="00BB3C05">
        <w:t xml:space="preserve"> </w:t>
      </w:r>
      <w:r w:rsidR="00C80127">
        <w:t>et al</w:t>
      </w:r>
      <w:r w:rsidRPr="008F42F9">
        <w:t xml:space="preserve"> </w:t>
      </w:r>
      <w:r w:rsidR="00993CAF">
        <w:t>2007.</w:t>
      </w:r>
      <w:r w:rsidRPr="008F42F9">
        <w:t xml:space="preserve"> </w:t>
      </w:r>
      <w:proofErr w:type="gramStart"/>
      <w:r w:rsidR="00993CAF">
        <w:t>‘</w:t>
      </w:r>
      <w:r w:rsidRPr="00325C69">
        <w:t>Comparison of colonic stenting and open surgery for malignant large bowel obstruction</w:t>
      </w:r>
      <w:r w:rsidR="00993CAF">
        <w:t>’</w:t>
      </w:r>
      <w:r w:rsidRPr="007D5B7C">
        <w:t xml:space="preserve">, </w:t>
      </w:r>
      <w:r w:rsidRPr="007D5B7C">
        <w:rPr>
          <w:i/>
        </w:rPr>
        <w:t>Surgical Endoscopy</w:t>
      </w:r>
      <w:r w:rsidRPr="007D5B7C">
        <w:t>, 21</w:t>
      </w:r>
      <w:r w:rsidR="00501DD3">
        <w:t xml:space="preserve"> (</w:t>
      </w:r>
      <w:r w:rsidRPr="007D5B7C">
        <w:t>2</w:t>
      </w:r>
      <w:r w:rsidR="005267B7">
        <w:t>)</w:t>
      </w:r>
      <w:r w:rsidR="00AB3DD1">
        <w:t>,</w:t>
      </w:r>
      <w:r w:rsidR="00501DD3">
        <w:t xml:space="preserve"> </w:t>
      </w:r>
      <w:r w:rsidRPr="007D5B7C">
        <w:t>225-233.</w:t>
      </w:r>
      <w:proofErr w:type="gramEnd"/>
      <w:r w:rsidRPr="007D5B7C">
        <w:t xml:space="preserve"> </w:t>
      </w:r>
    </w:p>
    <w:p w:rsidR="00422ADB" w:rsidRDefault="00422ADB" w:rsidP="00DE110C">
      <w:pPr>
        <w:pStyle w:val="References"/>
        <w:ind w:left="709" w:firstLine="11"/>
        <w:rPr>
          <w:bCs/>
        </w:rPr>
      </w:pPr>
      <w:proofErr w:type="gramStart"/>
      <w:r w:rsidRPr="00422ADB">
        <w:rPr>
          <w:bCs/>
        </w:rPr>
        <w:t>Trompetas</w:t>
      </w:r>
      <w:r w:rsidR="006C2D68">
        <w:rPr>
          <w:bCs/>
        </w:rPr>
        <w:t>,</w:t>
      </w:r>
      <w:r w:rsidRPr="00422ADB">
        <w:rPr>
          <w:bCs/>
        </w:rPr>
        <w:t xml:space="preserve"> V. </w:t>
      </w:r>
      <w:r w:rsidR="00993CAF">
        <w:rPr>
          <w:bCs/>
        </w:rPr>
        <w:t>2008.</w:t>
      </w:r>
      <w:proofErr w:type="gramEnd"/>
      <w:r w:rsidR="006C2D68">
        <w:rPr>
          <w:bCs/>
        </w:rPr>
        <w:t xml:space="preserve"> </w:t>
      </w:r>
      <w:proofErr w:type="gramStart"/>
      <w:r w:rsidR="00993CAF">
        <w:rPr>
          <w:bCs/>
        </w:rPr>
        <w:t>‘</w:t>
      </w:r>
      <w:r w:rsidRPr="00422ADB">
        <w:rPr>
          <w:bCs/>
        </w:rPr>
        <w:t>Emergency management of malignant acute left-sided colonic obstruction</w:t>
      </w:r>
      <w:r w:rsidR="00993CAF">
        <w:rPr>
          <w:bCs/>
        </w:rPr>
        <w:t>’</w:t>
      </w:r>
      <w:r w:rsidR="006C2D68">
        <w:rPr>
          <w:bCs/>
        </w:rPr>
        <w:t>,</w:t>
      </w:r>
      <w:r w:rsidRPr="00422ADB">
        <w:rPr>
          <w:bCs/>
        </w:rPr>
        <w:t xml:space="preserve"> </w:t>
      </w:r>
      <w:r w:rsidRPr="0007443E">
        <w:rPr>
          <w:bCs/>
          <w:i/>
        </w:rPr>
        <w:t>Ann</w:t>
      </w:r>
      <w:r w:rsidR="002705AE" w:rsidRPr="0007443E">
        <w:rPr>
          <w:bCs/>
          <w:i/>
        </w:rPr>
        <w:t>als of the</w:t>
      </w:r>
      <w:r w:rsidRPr="0007443E">
        <w:rPr>
          <w:bCs/>
          <w:i/>
        </w:rPr>
        <w:t xml:space="preserve"> R</w:t>
      </w:r>
      <w:r w:rsidR="002705AE" w:rsidRPr="0007443E">
        <w:rPr>
          <w:bCs/>
          <w:i/>
        </w:rPr>
        <w:t>oyal</w:t>
      </w:r>
      <w:r w:rsidRPr="0007443E">
        <w:rPr>
          <w:bCs/>
          <w:i/>
        </w:rPr>
        <w:t xml:space="preserve"> Coll</w:t>
      </w:r>
      <w:r w:rsidR="002705AE" w:rsidRPr="0007443E">
        <w:rPr>
          <w:bCs/>
          <w:i/>
        </w:rPr>
        <w:t>ege of</w:t>
      </w:r>
      <w:r w:rsidRPr="0007443E">
        <w:rPr>
          <w:bCs/>
          <w:i/>
        </w:rPr>
        <w:t xml:space="preserve"> Surg</w:t>
      </w:r>
      <w:r w:rsidR="002705AE" w:rsidRPr="0007443E">
        <w:rPr>
          <w:bCs/>
          <w:i/>
        </w:rPr>
        <w:t>eons of</w:t>
      </w:r>
      <w:r w:rsidRPr="0007443E">
        <w:rPr>
          <w:bCs/>
          <w:i/>
        </w:rPr>
        <w:t xml:space="preserve"> Engl</w:t>
      </w:r>
      <w:r w:rsidR="002705AE" w:rsidRPr="0007443E">
        <w:rPr>
          <w:bCs/>
          <w:i/>
        </w:rPr>
        <w:t>and</w:t>
      </w:r>
      <w:r w:rsidR="006C2D68">
        <w:rPr>
          <w:bCs/>
          <w:i/>
        </w:rPr>
        <w:t>,</w:t>
      </w:r>
      <w:r w:rsidRPr="00422ADB">
        <w:rPr>
          <w:bCs/>
        </w:rPr>
        <w:t xml:space="preserve"> 90</w:t>
      </w:r>
      <w:r w:rsidR="00AB3DD1">
        <w:rPr>
          <w:bCs/>
        </w:rPr>
        <w:t xml:space="preserve"> (3)</w:t>
      </w:r>
      <w:r w:rsidR="006C2D68">
        <w:rPr>
          <w:bCs/>
        </w:rPr>
        <w:t xml:space="preserve">, </w:t>
      </w:r>
      <w:r w:rsidRPr="00422ADB">
        <w:rPr>
          <w:bCs/>
        </w:rPr>
        <w:t>181-</w:t>
      </w:r>
      <w:r w:rsidR="006C2D68">
        <w:rPr>
          <w:bCs/>
        </w:rPr>
        <w:t>18</w:t>
      </w:r>
      <w:r w:rsidRPr="00422ADB">
        <w:rPr>
          <w:bCs/>
        </w:rPr>
        <w:t>6.</w:t>
      </w:r>
      <w:proofErr w:type="gramEnd"/>
    </w:p>
    <w:p w:rsidR="001E196C" w:rsidRDefault="00422ADB" w:rsidP="00DE110C">
      <w:pPr>
        <w:pStyle w:val="References"/>
        <w:ind w:left="709" w:firstLine="11"/>
      </w:pPr>
      <w:proofErr w:type="gramStart"/>
      <w:r w:rsidRPr="00422ADB">
        <w:rPr>
          <w:bCs/>
        </w:rPr>
        <w:t>TTAUT-MUHC.</w:t>
      </w:r>
      <w:proofErr w:type="gramEnd"/>
      <w:r w:rsidRPr="00422ADB">
        <w:rPr>
          <w:bCs/>
        </w:rPr>
        <w:t xml:space="preserve"> </w:t>
      </w:r>
      <w:r w:rsidR="00C146DF">
        <w:rPr>
          <w:bCs/>
        </w:rPr>
        <w:t xml:space="preserve">2003. </w:t>
      </w:r>
      <w:r w:rsidRPr="00422ADB">
        <w:rPr>
          <w:bCs/>
        </w:rPr>
        <w:t>Should the MUHC approve the use of colorectal stents? Repo</w:t>
      </w:r>
      <w:r w:rsidR="00CA05AC">
        <w:rPr>
          <w:bCs/>
        </w:rPr>
        <w:t>r</w:t>
      </w:r>
      <w:r w:rsidRPr="00422ADB">
        <w:rPr>
          <w:bCs/>
        </w:rPr>
        <w:t>t Number 6</w:t>
      </w:r>
      <w:r w:rsidR="00C146DF">
        <w:rPr>
          <w:bCs/>
        </w:rPr>
        <w:t>.</w:t>
      </w:r>
      <w:r w:rsidR="00576FD6" w:rsidRPr="00576FD6">
        <w:rPr>
          <w:rFonts w:ascii="NOJCGA+TimesNewRoman" w:hAnsi="NOJCGA+TimesNewRoman" w:cs="NOJCGA+TimesNewRoman"/>
          <w:color w:val="000000"/>
          <w:sz w:val="23"/>
          <w:szCs w:val="23"/>
          <w:lang w:val="en-US" w:eastAsia="en-US"/>
        </w:rPr>
        <w:t xml:space="preserve"> </w:t>
      </w:r>
      <w:r w:rsidR="00576FD6" w:rsidRPr="00576FD6">
        <w:rPr>
          <w:bCs/>
          <w:lang w:val="en-US"/>
        </w:rPr>
        <w:t xml:space="preserve">McGill University </w:t>
      </w:r>
      <w:r w:rsidR="00576FD6" w:rsidRPr="00576FD6">
        <w:rPr>
          <w:bCs/>
          <w:szCs w:val="24"/>
          <w:lang w:val="en-US"/>
        </w:rPr>
        <w:t xml:space="preserve">Health Center, </w:t>
      </w:r>
      <w:r w:rsidR="00576FD6" w:rsidRPr="00F62DA4">
        <w:rPr>
          <w:color w:val="444444"/>
          <w:spacing w:val="3"/>
          <w:szCs w:val="24"/>
          <w:lang w:val="en"/>
        </w:rPr>
        <w:t>Montreal, Canada</w:t>
      </w:r>
      <w:r w:rsidR="00576FD6">
        <w:rPr>
          <w:rFonts w:ascii="Georgia" w:hAnsi="Georgia"/>
          <w:color w:val="444444"/>
          <w:spacing w:val="3"/>
          <w:sz w:val="23"/>
          <w:szCs w:val="23"/>
          <w:lang w:val="en"/>
        </w:rPr>
        <w:t xml:space="preserve"> </w:t>
      </w:r>
      <w:r w:rsidR="00576FD6" w:rsidRPr="0069480E">
        <w:t>[Internet].</w:t>
      </w:r>
      <w:r w:rsidR="00D51A33" w:rsidRPr="00D51A33">
        <w:t xml:space="preserve"> </w:t>
      </w:r>
      <w:r w:rsidR="00576FD6" w:rsidRPr="0069480E">
        <w:t xml:space="preserve">Available </w:t>
      </w:r>
      <w:r w:rsidR="00576FD6">
        <w:t>from</w:t>
      </w:r>
      <w:r w:rsidR="00576FD6" w:rsidRPr="0069480E">
        <w:t>:</w:t>
      </w:r>
      <w:r w:rsidR="00F62DA4">
        <w:t xml:space="preserve"> </w:t>
      </w:r>
      <w:r w:rsidR="00204DBB">
        <w:rPr>
          <w:bCs/>
        </w:rPr>
        <w:t>&lt;http://www.mcgill.ca/files/tau/Stents_colorectal_Feb_2003.pdf&gt;</w:t>
      </w:r>
      <w:r w:rsidR="00F62DA4">
        <w:rPr>
          <w:bCs/>
        </w:rPr>
        <w:t xml:space="preserve"> </w:t>
      </w:r>
      <w:r w:rsidR="00576FD6" w:rsidRPr="0069480E">
        <w:t>[</w:t>
      </w:r>
      <w:r w:rsidR="00576FD6">
        <w:t xml:space="preserve">Accessed 12 May </w:t>
      </w:r>
      <w:r w:rsidR="00576FD6" w:rsidRPr="00601A88">
        <w:t>2011</w:t>
      </w:r>
      <w:r w:rsidR="00576FD6" w:rsidRPr="0069480E">
        <w:t>]</w:t>
      </w:r>
      <w:r w:rsidR="00576FD6" w:rsidRPr="00601A88">
        <w:t>.</w:t>
      </w:r>
      <w:r w:rsidR="00576FD6">
        <w:t xml:space="preserve"> </w:t>
      </w:r>
    </w:p>
    <w:p w:rsidR="00DE110C" w:rsidRPr="00E734FE" w:rsidRDefault="00DE110C" w:rsidP="00DE110C">
      <w:pPr>
        <w:pStyle w:val="References"/>
        <w:ind w:left="709" w:firstLine="11"/>
      </w:pPr>
      <w:proofErr w:type="gramStart"/>
      <w:r w:rsidRPr="007D5B7C">
        <w:rPr>
          <w:bCs/>
        </w:rPr>
        <w:t>Varadarajulu</w:t>
      </w:r>
      <w:r w:rsidR="006C2D68">
        <w:rPr>
          <w:bCs/>
        </w:rPr>
        <w:t>,</w:t>
      </w:r>
      <w:r w:rsidRPr="007D5B7C">
        <w:rPr>
          <w:bCs/>
        </w:rPr>
        <w:t xml:space="preserve"> S., Banerjee</w:t>
      </w:r>
      <w:r w:rsidR="006C2D68">
        <w:rPr>
          <w:bCs/>
        </w:rPr>
        <w:t>,</w:t>
      </w:r>
      <w:r w:rsidRPr="007D5B7C">
        <w:rPr>
          <w:bCs/>
        </w:rPr>
        <w:t xml:space="preserve"> S.</w:t>
      </w:r>
      <w:r w:rsidR="00C80127" w:rsidRPr="00BB3C05">
        <w:t xml:space="preserve"> </w:t>
      </w:r>
      <w:r w:rsidR="00C80127">
        <w:t>et al</w:t>
      </w:r>
      <w:r w:rsidRPr="00E734FE">
        <w:rPr>
          <w:bCs/>
        </w:rPr>
        <w:t xml:space="preserve"> 2011</w:t>
      </w:r>
      <w:r w:rsidR="006C2D68">
        <w:rPr>
          <w:bCs/>
        </w:rPr>
        <w:t>,</w:t>
      </w:r>
      <w:r w:rsidRPr="00E734FE">
        <w:rPr>
          <w:bCs/>
        </w:rPr>
        <w:t xml:space="preserve"> </w:t>
      </w:r>
      <w:r w:rsidR="00993CAF">
        <w:rPr>
          <w:bCs/>
        </w:rPr>
        <w:t>‘</w:t>
      </w:r>
      <w:r w:rsidRPr="00E734FE">
        <w:rPr>
          <w:bCs/>
        </w:rPr>
        <w:t>Enteral stents</w:t>
      </w:r>
      <w:r w:rsidR="00993CAF">
        <w:rPr>
          <w:bCs/>
        </w:rPr>
        <w:t>’</w:t>
      </w:r>
      <w:r w:rsidRPr="00E734FE">
        <w:rPr>
          <w:bCs/>
        </w:rPr>
        <w:t xml:space="preserve">, </w:t>
      </w:r>
      <w:r w:rsidRPr="0007443E">
        <w:rPr>
          <w:bCs/>
          <w:i/>
        </w:rPr>
        <w:t>Gastrointestinal Endoscopy</w:t>
      </w:r>
      <w:r w:rsidRPr="00E734FE">
        <w:rPr>
          <w:bCs/>
        </w:rPr>
        <w:t>, 74</w:t>
      </w:r>
      <w:r w:rsidR="00501DD3">
        <w:rPr>
          <w:bCs/>
        </w:rPr>
        <w:t xml:space="preserve"> (</w:t>
      </w:r>
      <w:r w:rsidRPr="00E734FE">
        <w:rPr>
          <w:bCs/>
        </w:rPr>
        <w:t>3</w:t>
      </w:r>
      <w:r w:rsidR="00501DD3">
        <w:rPr>
          <w:bCs/>
        </w:rPr>
        <w:t>)</w:t>
      </w:r>
      <w:r w:rsidR="00C146DF">
        <w:rPr>
          <w:bCs/>
        </w:rPr>
        <w:t>,</w:t>
      </w:r>
      <w:r w:rsidRPr="00E734FE">
        <w:rPr>
          <w:bCs/>
        </w:rPr>
        <w:t xml:space="preserve"> 455-464.</w:t>
      </w:r>
      <w:proofErr w:type="gramEnd"/>
      <w:r w:rsidRPr="00E734FE">
        <w:rPr>
          <w:bCs/>
        </w:rPr>
        <w:t xml:space="preserve"> </w:t>
      </w:r>
    </w:p>
    <w:p w:rsidR="00422ADB" w:rsidRDefault="00422ADB" w:rsidP="00C71740">
      <w:pPr>
        <w:pStyle w:val="References"/>
        <w:ind w:left="709" w:firstLine="11"/>
      </w:pPr>
      <w:r w:rsidRPr="00422ADB">
        <w:t>Varadarajulu</w:t>
      </w:r>
      <w:r w:rsidR="006C2D68">
        <w:t>,</w:t>
      </w:r>
      <w:r w:rsidRPr="00422ADB">
        <w:t xml:space="preserve"> S</w:t>
      </w:r>
      <w:r w:rsidR="00C80127">
        <w:t>.</w:t>
      </w:r>
      <w:r w:rsidRPr="00422ADB">
        <w:t>, Roy</w:t>
      </w:r>
      <w:r w:rsidR="006C2D68">
        <w:t>,</w:t>
      </w:r>
      <w:r w:rsidRPr="00422ADB">
        <w:t xml:space="preserve"> A</w:t>
      </w:r>
      <w:r w:rsidR="00C80127">
        <w:t>.</w:t>
      </w:r>
      <w:r w:rsidRPr="00422ADB">
        <w:t>, Lopes</w:t>
      </w:r>
      <w:r w:rsidR="006C2D68">
        <w:t>,</w:t>
      </w:r>
      <w:r w:rsidRPr="00422ADB">
        <w:t xml:space="preserve"> T</w:t>
      </w:r>
      <w:r w:rsidR="00C80127">
        <w:t>.</w:t>
      </w:r>
      <w:r w:rsidRPr="00422ADB">
        <w:t xml:space="preserve"> et al.</w:t>
      </w:r>
      <w:r w:rsidR="006C2D68">
        <w:t xml:space="preserve"> </w:t>
      </w:r>
      <w:r w:rsidR="00993CAF">
        <w:t>2011.</w:t>
      </w:r>
      <w:r w:rsidRPr="00422ADB">
        <w:t xml:space="preserve"> </w:t>
      </w:r>
      <w:proofErr w:type="gramStart"/>
      <w:r w:rsidR="00993CAF">
        <w:t>‘</w:t>
      </w:r>
      <w:r w:rsidRPr="00422ADB">
        <w:t>Endoscopic stenting versus surgical colostomy for the management of malignant colonic obstruction: comparison of hospital costs and clinical outcomes</w:t>
      </w:r>
      <w:r w:rsidR="00993CAF">
        <w:t>’</w:t>
      </w:r>
      <w:r w:rsidR="006C2D68">
        <w:t>,</w:t>
      </w:r>
      <w:r w:rsidRPr="00422ADB">
        <w:t xml:space="preserve"> </w:t>
      </w:r>
      <w:r w:rsidRPr="0007443E">
        <w:rPr>
          <w:i/>
        </w:rPr>
        <w:t>Surg</w:t>
      </w:r>
      <w:r w:rsidR="00CA05AC" w:rsidRPr="0007443E">
        <w:rPr>
          <w:i/>
        </w:rPr>
        <w:t>ical</w:t>
      </w:r>
      <w:r w:rsidRPr="0007443E">
        <w:rPr>
          <w:i/>
        </w:rPr>
        <w:t xml:space="preserve"> Endosc</w:t>
      </w:r>
      <w:r w:rsidR="00CA05AC" w:rsidRPr="0007443E">
        <w:rPr>
          <w:i/>
        </w:rPr>
        <w:t>opy</w:t>
      </w:r>
      <w:r w:rsidR="006C2D68">
        <w:rPr>
          <w:i/>
        </w:rPr>
        <w:t>,</w:t>
      </w:r>
      <w:r w:rsidRPr="00422ADB">
        <w:t xml:space="preserve"> 25</w:t>
      </w:r>
      <w:r w:rsidR="008B6CDC">
        <w:t xml:space="preserve"> (7)</w:t>
      </w:r>
      <w:r w:rsidR="00C146DF">
        <w:t>,</w:t>
      </w:r>
      <w:r w:rsidR="006C2D68">
        <w:t xml:space="preserve"> </w:t>
      </w:r>
      <w:r w:rsidRPr="00422ADB">
        <w:t>2203-</w:t>
      </w:r>
      <w:r w:rsidR="006C2D68">
        <w:t>220</w:t>
      </w:r>
      <w:r w:rsidRPr="00422ADB">
        <w:t>9.</w:t>
      </w:r>
      <w:proofErr w:type="gramEnd"/>
    </w:p>
    <w:p w:rsidR="006962C4" w:rsidRPr="006962C4" w:rsidRDefault="006962C4" w:rsidP="006962C4">
      <w:r w:rsidRPr="006962C4">
        <w:t xml:space="preserve">Vitale, M. A., Villotti, G. et al 2006. </w:t>
      </w:r>
      <w:proofErr w:type="gramStart"/>
      <w:r w:rsidRPr="006962C4">
        <w:t xml:space="preserve">‘Preoperative colonoscopy after self-expandable metallic stent placement in patients with acute neoplastic colon obstruction’, </w:t>
      </w:r>
      <w:r w:rsidRPr="006962C4">
        <w:rPr>
          <w:i/>
          <w:iCs/>
        </w:rPr>
        <w:t>Gastrointestinal Endoscopy</w:t>
      </w:r>
      <w:r w:rsidRPr="006962C4">
        <w:t>, 63 (6)</w:t>
      </w:r>
      <w:r w:rsidR="00C146DF">
        <w:t>,</w:t>
      </w:r>
      <w:r w:rsidRPr="006962C4">
        <w:t xml:space="preserve"> 814-819.</w:t>
      </w:r>
      <w:proofErr w:type="gramEnd"/>
    </w:p>
    <w:p w:rsidR="00C71740" w:rsidRPr="00E2422F" w:rsidRDefault="00C71740" w:rsidP="00C71740">
      <w:pPr>
        <w:pStyle w:val="References"/>
        <w:ind w:left="709" w:firstLine="11"/>
      </w:pPr>
      <w:proofErr w:type="gramStart"/>
      <w:r w:rsidRPr="009E5C53">
        <w:t>von</w:t>
      </w:r>
      <w:proofErr w:type="gramEnd"/>
      <w:r w:rsidRPr="009E5C53">
        <w:t xml:space="preserve"> Roon</w:t>
      </w:r>
      <w:r w:rsidR="006C2D68">
        <w:t>,</w:t>
      </w:r>
      <w:r w:rsidRPr="009E5C53">
        <w:t xml:space="preserve"> A</w:t>
      </w:r>
      <w:r w:rsidR="006C2D68">
        <w:t>.</w:t>
      </w:r>
      <w:r w:rsidRPr="009E5C53">
        <w:t>C</w:t>
      </w:r>
      <w:r w:rsidR="006C2D68">
        <w:t>.</w:t>
      </w:r>
      <w:r w:rsidRPr="009E5C53">
        <w:t>, Reese</w:t>
      </w:r>
      <w:r w:rsidR="006C2D68">
        <w:t>,</w:t>
      </w:r>
      <w:r w:rsidRPr="009E5C53">
        <w:t xml:space="preserve"> G</w:t>
      </w:r>
      <w:r w:rsidR="006C2D68">
        <w:t>.</w:t>
      </w:r>
      <w:r w:rsidR="00C80127" w:rsidRPr="00BB3C05">
        <w:t xml:space="preserve"> </w:t>
      </w:r>
      <w:r w:rsidR="00C80127">
        <w:t>et al</w:t>
      </w:r>
      <w:r w:rsidR="006C2D68">
        <w:t xml:space="preserve"> </w:t>
      </w:r>
      <w:r w:rsidR="00993CAF">
        <w:t>2007.</w:t>
      </w:r>
      <w:r w:rsidR="006C2D68">
        <w:t xml:space="preserve"> </w:t>
      </w:r>
      <w:proofErr w:type="gramStart"/>
      <w:r w:rsidR="00993CAF">
        <w:t>‘</w:t>
      </w:r>
      <w:r w:rsidRPr="009E5C53">
        <w:t>The risk of cancer in patients with Crohn's disease</w:t>
      </w:r>
      <w:r w:rsidR="00993CAF">
        <w:t>’</w:t>
      </w:r>
      <w:r w:rsidR="006C2D68">
        <w:t>,</w:t>
      </w:r>
      <w:r w:rsidRPr="009E5C53">
        <w:t xml:space="preserve"> </w:t>
      </w:r>
      <w:r w:rsidRPr="0007443E">
        <w:rPr>
          <w:i/>
        </w:rPr>
        <w:t>Dis</w:t>
      </w:r>
      <w:r w:rsidR="00CA05AC" w:rsidRPr="0007443E">
        <w:rPr>
          <w:i/>
        </w:rPr>
        <w:t>eases of the</w:t>
      </w:r>
      <w:r w:rsidRPr="0007443E">
        <w:rPr>
          <w:i/>
        </w:rPr>
        <w:t xml:space="preserve"> Colon </w:t>
      </w:r>
      <w:r w:rsidR="00CA05AC" w:rsidRPr="0007443E">
        <w:rPr>
          <w:i/>
        </w:rPr>
        <w:t xml:space="preserve">and </w:t>
      </w:r>
      <w:r w:rsidRPr="0007443E">
        <w:rPr>
          <w:i/>
        </w:rPr>
        <w:t>Rectum</w:t>
      </w:r>
      <w:r w:rsidR="006C2D68">
        <w:rPr>
          <w:i/>
        </w:rPr>
        <w:t>,</w:t>
      </w:r>
      <w:r w:rsidR="006C2D68">
        <w:t xml:space="preserve"> </w:t>
      </w:r>
      <w:r w:rsidRPr="00E2422F">
        <w:t>50</w:t>
      </w:r>
      <w:r w:rsidR="00C146DF">
        <w:t xml:space="preserve"> (6)</w:t>
      </w:r>
      <w:r w:rsidR="006C2D68">
        <w:t>,</w:t>
      </w:r>
      <w:r w:rsidR="00A67D38">
        <w:t xml:space="preserve"> </w:t>
      </w:r>
      <w:r w:rsidRPr="00E2422F">
        <w:t>839-</w:t>
      </w:r>
      <w:r w:rsidR="006C2D68">
        <w:t>8</w:t>
      </w:r>
      <w:r w:rsidRPr="00E2422F">
        <w:t>55.</w:t>
      </w:r>
      <w:proofErr w:type="gramEnd"/>
    </w:p>
    <w:p w:rsidR="007640FB" w:rsidRPr="008F42F9" w:rsidRDefault="007640FB" w:rsidP="002210C5">
      <w:pPr>
        <w:pStyle w:val="References"/>
        <w:ind w:left="709" w:firstLine="11"/>
      </w:pPr>
      <w:r w:rsidRPr="00892811">
        <w:t>Watt</w:t>
      </w:r>
      <w:r w:rsidR="006C2D68">
        <w:t>,</w:t>
      </w:r>
      <w:r w:rsidRPr="00892811">
        <w:t xml:space="preserve"> A</w:t>
      </w:r>
      <w:r w:rsidR="002210C5" w:rsidRPr="008978EE">
        <w:t>.</w:t>
      </w:r>
      <w:r w:rsidRPr="008978EE">
        <w:t>M</w:t>
      </w:r>
      <w:r w:rsidR="002210C5" w:rsidRPr="00A30BA9">
        <w:t>.</w:t>
      </w:r>
      <w:r w:rsidRPr="005646B6">
        <w:t>, Faragher</w:t>
      </w:r>
      <w:r w:rsidR="006C2D68">
        <w:t>,</w:t>
      </w:r>
      <w:r w:rsidRPr="005646B6">
        <w:t xml:space="preserve"> I</w:t>
      </w:r>
      <w:r w:rsidR="002210C5" w:rsidRPr="005646B6">
        <w:t>.</w:t>
      </w:r>
      <w:r w:rsidRPr="00003831">
        <w:t>G</w:t>
      </w:r>
      <w:r w:rsidR="002210C5" w:rsidRPr="00A87C52">
        <w:t>.</w:t>
      </w:r>
      <w:r w:rsidRPr="00BE3EA8">
        <w:t xml:space="preserve"> </w:t>
      </w:r>
      <w:r w:rsidR="00993CAF">
        <w:t>2007.</w:t>
      </w:r>
      <w:r w:rsidRPr="00BE3EA8">
        <w:t xml:space="preserve"> </w:t>
      </w:r>
      <w:proofErr w:type="gramStart"/>
      <w:r w:rsidR="00993CAF">
        <w:t>‘</w:t>
      </w:r>
      <w:r w:rsidRPr="00F2707B">
        <w:t>Self-expanding metallic stents for relieving malignant colorectal obstruction: a systematic review</w:t>
      </w:r>
      <w:r w:rsidR="00993CAF">
        <w:t>’</w:t>
      </w:r>
      <w:r w:rsidRPr="008F42F9">
        <w:t xml:space="preserve">, </w:t>
      </w:r>
      <w:r w:rsidRPr="008F42F9">
        <w:rPr>
          <w:i/>
        </w:rPr>
        <w:t>Annals of Surgery</w:t>
      </w:r>
      <w:r w:rsidRPr="008F42F9">
        <w:t>, 246</w:t>
      </w:r>
      <w:r w:rsidR="005267B7">
        <w:t xml:space="preserve"> (</w:t>
      </w:r>
      <w:r w:rsidRPr="008F42F9">
        <w:t>1</w:t>
      </w:r>
      <w:r w:rsidR="005267B7">
        <w:t>)</w:t>
      </w:r>
      <w:r w:rsidR="00C146DF">
        <w:t>,</w:t>
      </w:r>
      <w:r w:rsidR="00A67D38">
        <w:t xml:space="preserve"> </w:t>
      </w:r>
      <w:r w:rsidRPr="008F42F9">
        <w:t>24-30.</w:t>
      </w:r>
      <w:proofErr w:type="gramEnd"/>
    </w:p>
    <w:p w:rsidR="00E2534D" w:rsidRPr="00D66B6A" w:rsidRDefault="00E2534D" w:rsidP="00E2534D">
      <w:pPr>
        <w:pStyle w:val="References"/>
        <w:ind w:left="709" w:firstLine="11"/>
      </w:pPr>
      <w:r w:rsidRPr="008F42F9">
        <w:t>Williams</w:t>
      </w:r>
      <w:r w:rsidR="00950338">
        <w:t>,</w:t>
      </w:r>
      <w:r w:rsidRPr="008F42F9">
        <w:t xml:space="preserve"> D., Law</w:t>
      </w:r>
      <w:r w:rsidR="00950338">
        <w:t>,</w:t>
      </w:r>
      <w:r w:rsidRPr="008F42F9">
        <w:t xml:space="preserve"> </w:t>
      </w:r>
      <w:r w:rsidRPr="00325C69">
        <w:t>R. and Pullyblank</w:t>
      </w:r>
      <w:r w:rsidR="00950338">
        <w:t>,</w:t>
      </w:r>
      <w:r w:rsidRPr="00325C69">
        <w:t xml:space="preserve"> A.M</w:t>
      </w:r>
      <w:r w:rsidR="00950338">
        <w:t>.</w:t>
      </w:r>
      <w:r w:rsidRPr="00325C69">
        <w:t xml:space="preserve"> </w:t>
      </w:r>
      <w:r w:rsidR="00993CAF">
        <w:t>2010.</w:t>
      </w:r>
      <w:r w:rsidRPr="00325C69">
        <w:t xml:space="preserve"> </w:t>
      </w:r>
      <w:proofErr w:type="gramStart"/>
      <w:r w:rsidR="00993CAF">
        <w:t>‘</w:t>
      </w:r>
      <w:r w:rsidRPr="00325C69">
        <w:t xml:space="preserve">Colorectal </w:t>
      </w:r>
      <w:r w:rsidR="00CA21C5">
        <w:t>s</w:t>
      </w:r>
      <w:r w:rsidR="00CA21C5" w:rsidRPr="00325C69">
        <w:t xml:space="preserve">tenting </w:t>
      </w:r>
      <w:r w:rsidRPr="00325C69">
        <w:t xml:space="preserve">in </w:t>
      </w:r>
      <w:r w:rsidR="00CA21C5">
        <w:t>m</w:t>
      </w:r>
      <w:r w:rsidR="00CA21C5" w:rsidRPr="00325C69">
        <w:t xml:space="preserve">alignant </w:t>
      </w:r>
      <w:r w:rsidR="00CA21C5">
        <w:t>l</w:t>
      </w:r>
      <w:r w:rsidR="00CA21C5" w:rsidRPr="00325C69">
        <w:t xml:space="preserve">arge </w:t>
      </w:r>
      <w:r w:rsidR="00CA21C5">
        <w:t>b</w:t>
      </w:r>
      <w:r w:rsidR="00CA21C5" w:rsidRPr="00325C69">
        <w:t xml:space="preserve">owel </w:t>
      </w:r>
      <w:r w:rsidR="00CA21C5">
        <w:t>o</w:t>
      </w:r>
      <w:r w:rsidR="00CA21C5" w:rsidRPr="00325C69">
        <w:t>bstruction</w:t>
      </w:r>
      <w:r w:rsidRPr="00325C69">
        <w:t xml:space="preserve">: </w:t>
      </w:r>
      <w:r w:rsidR="00CA21C5">
        <w:t>t</w:t>
      </w:r>
      <w:r w:rsidR="00CA21C5" w:rsidRPr="00325C69">
        <w:t xml:space="preserve">he </w:t>
      </w:r>
      <w:r w:rsidR="00CA21C5">
        <w:t>l</w:t>
      </w:r>
      <w:r w:rsidR="00CA21C5" w:rsidRPr="00325C69">
        <w:t xml:space="preserve">earning </w:t>
      </w:r>
      <w:r w:rsidR="00CA21C5">
        <w:t>c</w:t>
      </w:r>
      <w:r w:rsidR="00CA21C5" w:rsidRPr="00325C69">
        <w:t>urve</w:t>
      </w:r>
      <w:r w:rsidR="00993CAF">
        <w:t>’</w:t>
      </w:r>
      <w:r w:rsidRPr="00325C69">
        <w:t xml:space="preserve">, </w:t>
      </w:r>
      <w:r w:rsidRPr="0007443E">
        <w:rPr>
          <w:i/>
        </w:rPr>
        <w:t>International Journal of Surgical Oncology.</w:t>
      </w:r>
      <w:proofErr w:type="gramEnd"/>
      <w:r w:rsidR="00D66B6A">
        <w:rPr>
          <w:i/>
        </w:rPr>
        <w:t xml:space="preserve"> </w:t>
      </w:r>
      <w:r w:rsidR="00D66B6A" w:rsidRPr="00D66B6A">
        <w:t>doi:10.1155/2011/917848.</w:t>
      </w:r>
    </w:p>
    <w:p w:rsidR="00960FD6" w:rsidRPr="007D5B7C" w:rsidRDefault="00960FD6" w:rsidP="00AA774E">
      <w:r w:rsidRPr="007D5B7C">
        <w:t>Winslet</w:t>
      </w:r>
      <w:r w:rsidR="00CA21C5">
        <w:t>,</w:t>
      </w:r>
      <w:r w:rsidRPr="007D5B7C">
        <w:t xml:space="preserve"> M.C</w:t>
      </w:r>
      <w:r w:rsidR="0063610D">
        <w:t>.</w:t>
      </w:r>
      <w:r w:rsidRPr="007D5B7C">
        <w:t xml:space="preserve"> </w:t>
      </w:r>
      <w:r w:rsidR="00993CAF">
        <w:t>2004.</w:t>
      </w:r>
      <w:r w:rsidRPr="007D5B7C">
        <w:t xml:space="preserve"> </w:t>
      </w:r>
      <w:r w:rsidR="00993CAF">
        <w:t>‘</w:t>
      </w:r>
      <w:r w:rsidRPr="007D5B7C">
        <w:t xml:space="preserve">Intestinal </w:t>
      </w:r>
      <w:r w:rsidR="0063610D" w:rsidRPr="007D5B7C">
        <w:t>obstruction</w:t>
      </w:r>
      <w:r w:rsidR="00993CAF">
        <w:t>’</w:t>
      </w:r>
      <w:r w:rsidRPr="007D5B7C">
        <w:t xml:space="preserve">, in Russell RCG, Williams N.S., Bulstrode C.J.K(eds), </w:t>
      </w:r>
      <w:r w:rsidRPr="007D5B7C">
        <w:rPr>
          <w:i/>
        </w:rPr>
        <w:t>Bailey &amp; Love’s Short Practice of Surgery</w:t>
      </w:r>
      <w:r w:rsidRPr="007D5B7C">
        <w:t>, Arnorl publishers, London</w:t>
      </w:r>
      <w:r w:rsidR="009E60D9">
        <w:t xml:space="preserve">, </w:t>
      </w:r>
      <w:r w:rsidRPr="007D5B7C">
        <w:t xml:space="preserve">1186-1202.  </w:t>
      </w:r>
    </w:p>
    <w:p w:rsidR="00484DC3" w:rsidRDefault="007640FB" w:rsidP="007640FB">
      <w:pPr>
        <w:pStyle w:val="References"/>
        <w:ind w:left="709" w:firstLine="11"/>
      </w:pPr>
      <w:proofErr w:type="gramStart"/>
      <w:r w:rsidRPr="007D5B7C">
        <w:t>Xinopoulos</w:t>
      </w:r>
      <w:r w:rsidR="0063610D">
        <w:t>,</w:t>
      </w:r>
      <w:r w:rsidRPr="007D5B7C">
        <w:t xml:space="preserve"> D</w:t>
      </w:r>
      <w:r w:rsidR="002210C5" w:rsidRPr="007D5B7C">
        <w:t>.</w:t>
      </w:r>
      <w:r w:rsidRPr="007D5B7C">
        <w:t>, Dimitroulopoulos</w:t>
      </w:r>
      <w:r w:rsidR="0063610D">
        <w:t>,</w:t>
      </w:r>
      <w:r w:rsidRPr="007D5B7C">
        <w:t xml:space="preserve"> D</w:t>
      </w:r>
      <w:r w:rsidR="002210C5" w:rsidRPr="00960A9E">
        <w:t>.</w:t>
      </w:r>
      <w:r w:rsidR="009911B4" w:rsidRPr="00BB3C05">
        <w:t xml:space="preserve"> </w:t>
      </w:r>
      <w:r w:rsidR="009911B4">
        <w:t>et al</w:t>
      </w:r>
      <w:r w:rsidRPr="00B1508A">
        <w:t xml:space="preserve"> </w:t>
      </w:r>
      <w:r w:rsidR="00993CAF">
        <w:t>2004.</w:t>
      </w:r>
      <w:proofErr w:type="gramEnd"/>
      <w:r w:rsidRPr="001949E9">
        <w:t xml:space="preserve"> </w:t>
      </w:r>
      <w:r w:rsidR="00993CAF">
        <w:t>‘</w:t>
      </w:r>
      <w:r w:rsidRPr="00286445">
        <w:t>Stenting or stoma creation for patients with inoperable malignant colonic obstructions?</w:t>
      </w:r>
      <w:proofErr w:type="gramStart"/>
      <w:r w:rsidR="00993CAF">
        <w:t>’</w:t>
      </w:r>
      <w:r w:rsidRPr="00CD21F6">
        <w:t>,</w:t>
      </w:r>
      <w:proofErr w:type="gramEnd"/>
      <w:r w:rsidRPr="00CD21F6">
        <w:t xml:space="preserve"> </w:t>
      </w:r>
      <w:r w:rsidRPr="00361416">
        <w:rPr>
          <w:i/>
        </w:rPr>
        <w:t>Surg</w:t>
      </w:r>
      <w:r w:rsidR="00CA05AC">
        <w:rPr>
          <w:i/>
        </w:rPr>
        <w:t>ical</w:t>
      </w:r>
      <w:r w:rsidRPr="00361416">
        <w:rPr>
          <w:i/>
        </w:rPr>
        <w:t xml:space="preserve"> Endoscopy</w:t>
      </w:r>
      <w:r w:rsidRPr="00361416">
        <w:t>, 18</w:t>
      </w:r>
      <w:r w:rsidR="00A50093">
        <w:t xml:space="preserve"> (3)</w:t>
      </w:r>
      <w:r w:rsidR="00C146DF">
        <w:t>,</w:t>
      </w:r>
      <w:r w:rsidR="00A67D38">
        <w:t xml:space="preserve"> </w:t>
      </w:r>
      <w:r w:rsidRPr="00361416">
        <w:t>421</w:t>
      </w:r>
      <w:r w:rsidR="009C3E87" w:rsidRPr="009C3E87">
        <w:t>-</w:t>
      </w:r>
      <w:r w:rsidRPr="00361416">
        <w:t>426.</w:t>
      </w:r>
    </w:p>
    <w:p w:rsidR="006962C4" w:rsidRPr="006962C4" w:rsidRDefault="006962C4" w:rsidP="006962C4">
      <w:pPr>
        <w:rPr>
          <w:i/>
          <w:iCs/>
        </w:rPr>
      </w:pPr>
      <w:r w:rsidRPr="006962C4">
        <w:lastRenderedPageBreak/>
        <w:t xml:space="preserve">Yoon, J. Y., Jung, Y. S. et al 2011. </w:t>
      </w:r>
      <w:proofErr w:type="gramStart"/>
      <w:r w:rsidRPr="006962C4">
        <w:t xml:space="preserve">‘Clinical outcomes and risk factors for technical and clinical failures of self-expandable metal stent insertion for malignant colorectal obstruction’, </w:t>
      </w:r>
      <w:r w:rsidRPr="006962C4">
        <w:rPr>
          <w:i/>
          <w:iCs/>
        </w:rPr>
        <w:t>Gastrointestinal Endoscopy</w:t>
      </w:r>
      <w:r w:rsidR="00C146DF">
        <w:rPr>
          <w:i/>
          <w:iCs/>
        </w:rPr>
        <w:t xml:space="preserve">, </w:t>
      </w:r>
      <w:r w:rsidR="00C146DF" w:rsidRPr="00F62DA4">
        <w:rPr>
          <w:iCs/>
        </w:rPr>
        <w:t>74 (4), 858-868.</w:t>
      </w:r>
      <w:proofErr w:type="gramEnd"/>
      <w:r w:rsidR="00C146DF">
        <w:rPr>
          <w:i/>
          <w:iCs/>
        </w:rPr>
        <w:t xml:space="preserve"> </w:t>
      </w:r>
    </w:p>
    <w:p w:rsidR="006962C4" w:rsidRPr="00361416" w:rsidRDefault="006962C4" w:rsidP="0007443E">
      <w:r w:rsidRPr="006962C4">
        <w:t>Young, C. J., Suen, M. K. et al 201</w:t>
      </w:r>
      <w:r w:rsidR="00274F23">
        <w:t>1</w:t>
      </w:r>
      <w:r w:rsidRPr="006962C4">
        <w:t xml:space="preserve">. ‘Stenting </w:t>
      </w:r>
      <w:r w:rsidR="009E6D19">
        <w:t>l</w:t>
      </w:r>
      <w:r w:rsidRPr="006962C4">
        <w:t xml:space="preserve">arge </w:t>
      </w:r>
      <w:r w:rsidR="009E6D19">
        <w:t>b</w:t>
      </w:r>
      <w:r w:rsidRPr="006962C4">
        <w:t xml:space="preserve">owel </w:t>
      </w:r>
      <w:r w:rsidR="009E6D19">
        <w:t>o</w:t>
      </w:r>
      <w:r w:rsidRPr="006962C4">
        <w:t xml:space="preserve">bstruction </w:t>
      </w:r>
      <w:r w:rsidR="009E6D19">
        <w:t>a</w:t>
      </w:r>
      <w:r w:rsidRPr="006962C4">
        <w:t xml:space="preserve">voids a </w:t>
      </w:r>
      <w:r w:rsidR="009E6D19">
        <w:t>s</w:t>
      </w:r>
      <w:r w:rsidRPr="006962C4">
        <w:t xml:space="preserve">toma: </w:t>
      </w:r>
      <w:r w:rsidR="009E6D19">
        <w:t>c</w:t>
      </w:r>
      <w:r w:rsidRPr="006962C4">
        <w:t xml:space="preserve">onsecutive </w:t>
      </w:r>
      <w:r w:rsidR="009E6D19">
        <w:t>s</w:t>
      </w:r>
      <w:r w:rsidRPr="006962C4">
        <w:t xml:space="preserve">eries of 100 </w:t>
      </w:r>
      <w:r w:rsidR="009E6D19">
        <w:t>p</w:t>
      </w:r>
      <w:r w:rsidRPr="006962C4">
        <w:t xml:space="preserve">atients’, </w:t>
      </w:r>
      <w:r w:rsidRPr="006962C4">
        <w:rPr>
          <w:i/>
          <w:iCs/>
        </w:rPr>
        <w:t>Colorectal Disease</w:t>
      </w:r>
      <w:r w:rsidR="00C146DF">
        <w:t>, 13 (10), 1138-1141.</w:t>
      </w:r>
    </w:p>
    <w:sectPr w:rsidR="006962C4" w:rsidRPr="00361416" w:rsidSect="00177142">
      <w:footerReference w:type="even" r:id="rId59"/>
      <w:footerReference w:type="default" r:id="rId60"/>
      <w:pgSz w:w="11906" w:h="16838" w:code="9"/>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2F" w:rsidRDefault="0042762F">
      <w:r>
        <w:separator/>
      </w:r>
    </w:p>
  </w:endnote>
  <w:endnote w:type="continuationSeparator" w:id="0">
    <w:p w:rsidR="0042762F" w:rsidRDefault="0042762F">
      <w:r>
        <w:continuationSeparator/>
      </w:r>
    </w:p>
  </w:endnote>
  <w:endnote w:type="continuationNotice" w:id="1">
    <w:p w:rsidR="0042762F" w:rsidRDefault="00427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OJCGA+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BD7380">
    <w:pPr>
      <w:pStyle w:val="Footer"/>
      <w:pBdr>
        <w:top w:val="single" w:sz="4" w:space="1" w:color="auto"/>
      </w:pBdr>
      <w:tabs>
        <w:tab w:val="clear" w:pos="9000"/>
      </w:tabs>
      <w:spacing w:after="0"/>
      <w:ind w:left="2160" w:hanging="1440"/>
      <w:jc w:val="right"/>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2</w:t>
    </w:r>
    <w:r w:rsidRPr="00713CB7">
      <w:rPr>
        <w:b w:val="0"/>
        <w:noProof/>
      </w:rPr>
      <w:fldChar w:fldCharType="end"/>
    </w:r>
    <w:r w:rsidR="00A75144">
      <w:rPr>
        <w:b w:val="0"/>
        <w:noProof/>
      </w:rPr>
      <w:t xml:space="preserve"> </w:t>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Pr>
        <w:b w:val="0"/>
        <w:noProof/>
      </w:rPr>
      <w:br/>
    </w:r>
    <w:r w:rsidRPr="00602282">
      <w:rPr>
        <w:b w:val="0"/>
        <w:noProof/>
      </w:rPr>
      <w:t xml:space="preserve">malignant </w:t>
    </w:r>
    <w:r>
      <w:rPr>
        <w:b w:val="0"/>
        <w:noProof/>
      </w:rPr>
      <w:t>large bowel obstructions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713CB7" w:rsidRDefault="0042762F" w:rsidP="00EC15B6">
    <w:pPr>
      <w:pStyle w:val="Footer"/>
      <w:rPr>
        <w:rStyle w:val="PageNumber"/>
        <w:rFonts w:ascii="Arial" w:hAnsi="Arial"/>
        <w:b/>
        <w:sz w:val="20"/>
      </w:rPr>
    </w:pPr>
    <w:r w:rsidRPr="00713CB7">
      <w:rPr>
        <w:b w:val="0"/>
      </w:rPr>
      <w:t>MSAC 1150</w:t>
    </w:r>
    <w:r>
      <w:rPr>
        <w:b w:val="0"/>
      </w:rPr>
      <w:t>:</w:t>
    </w:r>
    <w:r w:rsidRPr="00713CB7">
      <w:rPr>
        <w:b w:val="0"/>
      </w:rPr>
      <w:t xml:space="preserve"> Insertion of colonic stents</w:t>
    </w:r>
    <w:r>
      <w:rPr>
        <w:b w:val="0"/>
      </w:rPr>
      <w:t xml:space="preserve"> for the management of </w:t>
    </w:r>
    <w:r>
      <w:rPr>
        <w:b w:val="0"/>
      </w:rPr>
      <w:br/>
      <w:t>malignant large bowel obstructions</w:t>
    </w:r>
    <w:r w:rsidR="00A75144">
      <w:rPr>
        <w:b w:val="0"/>
      </w:rPr>
      <w:tab/>
    </w:r>
    <w:r w:rsidRPr="00AC773F">
      <w:rPr>
        <w:b w:val="0"/>
      </w:rPr>
      <w:fldChar w:fldCharType="begin"/>
    </w:r>
    <w:r w:rsidRPr="00AC773F">
      <w:rPr>
        <w:b w:val="0"/>
      </w:rPr>
      <w:instrText xml:space="preserve"> PAGE   \* MERGEFORMAT </w:instrText>
    </w:r>
    <w:r w:rsidRPr="00AC773F">
      <w:rPr>
        <w:b w:val="0"/>
      </w:rPr>
      <w:fldChar w:fldCharType="separate"/>
    </w:r>
    <w:r w:rsidR="00A75144">
      <w:rPr>
        <w:b w:val="0"/>
        <w:noProof/>
      </w:rPr>
      <w:t>35</w:t>
    </w:r>
    <w:r w:rsidRPr="00AC773F">
      <w:rPr>
        <w:b w:val="0"/>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EE3825">
    <w:pPr>
      <w:pStyle w:val="Footer"/>
      <w:pBdr>
        <w:top w:val="single" w:sz="4" w:space="1" w:color="auto"/>
      </w:pBdr>
      <w:tabs>
        <w:tab w:val="clear" w:pos="9000"/>
      </w:tabs>
      <w:spacing w:after="0"/>
      <w:ind w:left="2160" w:hanging="1440"/>
      <w:jc w:val="right"/>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46</w:t>
    </w:r>
    <w:r w:rsidRPr="00713CB7">
      <w:rPr>
        <w:b w:val="0"/>
        <w:noProof/>
      </w:rPr>
      <w:fldChar w:fldCharType="end"/>
    </w:r>
    <w:r>
      <w:rPr>
        <w:rFonts w:ascii="Garamond" w:hAnsi="Garamond"/>
        <w:sz w:val="24"/>
      </w:rPr>
      <w:tab/>
    </w:r>
    <w:r>
      <w:rPr>
        <w:rFonts w:ascii="Garamond" w:hAnsi="Garamond"/>
        <w:sz w:val="24"/>
      </w:rPr>
      <w:tab/>
    </w:r>
    <w:r>
      <w:rPr>
        <w:rFonts w:ascii="Garamond" w:hAnsi="Garamond"/>
        <w:sz w:val="24"/>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713CB7" w:rsidRDefault="0042762F" w:rsidP="00EE3825">
    <w:pPr>
      <w:pStyle w:val="Footer"/>
      <w:pBdr>
        <w:top w:val="single" w:sz="4" w:space="1" w:color="auto"/>
      </w:pBdr>
      <w:tabs>
        <w:tab w:val="clear" w:pos="9000"/>
        <w:tab w:val="right" w:pos="8505"/>
      </w:tabs>
      <w:spacing w:after="0"/>
      <w:rPr>
        <w:rStyle w:val="PageNumber"/>
        <w:rFonts w:ascii="Arial" w:hAnsi="Arial"/>
        <w:b/>
        <w:sz w:val="20"/>
      </w:rPr>
    </w:pPr>
    <w:r w:rsidRPr="00713CB7">
      <w:rPr>
        <w:b w:val="0"/>
      </w:rPr>
      <w:t>MSAC 1150</w:t>
    </w:r>
    <w:r>
      <w:rPr>
        <w:b w:val="0"/>
      </w:rPr>
      <w:t>:</w:t>
    </w:r>
    <w:r w:rsidRPr="00713CB7">
      <w:rPr>
        <w:b w:val="0"/>
      </w:rPr>
      <w:t xml:space="preserve"> Insertion of colonic stents</w:t>
    </w:r>
    <w:r>
      <w:rPr>
        <w:b w:val="0"/>
      </w:rPr>
      <w:t xml:space="preserve"> for the management of</w:t>
    </w:r>
    <w:r>
      <w:rPr>
        <w:b w:val="0"/>
      </w:rPr>
      <w:tab/>
    </w:r>
    <w:r w:rsidRPr="00AC773F">
      <w:rPr>
        <w:b w:val="0"/>
      </w:rPr>
      <w:fldChar w:fldCharType="begin"/>
    </w:r>
    <w:r w:rsidRPr="00AC773F">
      <w:rPr>
        <w:b w:val="0"/>
      </w:rPr>
      <w:instrText xml:space="preserve"> PAGE   \* MERGEFORMAT </w:instrText>
    </w:r>
    <w:r w:rsidRPr="00AC773F">
      <w:rPr>
        <w:b w:val="0"/>
      </w:rPr>
      <w:fldChar w:fldCharType="separate"/>
    </w:r>
    <w:r w:rsidR="00A75144">
      <w:rPr>
        <w:b w:val="0"/>
        <w:noProof/>
      </w:rPr>
      <w:t>47</w:t>
    </w:r>
    <w:r w:rsidRPr="00AC773F">
      <w:rPr>
        <w:b w:val="0"/>
        <w:noProof/>
      </w:rPr>
      <w:fldChar w:fldCharType="end"/>
    </w:r>
    <w:r>
      <w:rPr>
        <w:b w:val="0"/>
      </w:rPr>
      <w:br/>
      <w:t>malignant large bowel obstructions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0D685C">
    <w:pPr>
      <w:pStyle w:val="Footer"/>
      <w:pBdr>
        <w:top w:val="single" w:sz="4" w:space="1" w:color="auto"/>
      </w:pBdr>
      <w:tabs>
        <w:tab w:val="clear" w:pos="9000"/>
      </w:tabs>
      <w:spacing w:after="0"/>
      <w:ind w:left="2160" w:hanging="1440"/>
      <w:jc w:val="right"/>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48</w:t>
    </w:r>
    <w:r w:rsidRPr="00713CB7">
      <w:rPr>
        <w:b w:val="0"/>
        <w:noProof/>
      </w:rPr>
      <w:fldChar w:fldCharType="end"/>
    </w:r>
    <w:r>
      <w:rPr>
        <w:rFonts w:ascii="Garamond" w:hAnsi="Garamond"/>
        <w:sz w:val="24"/>
      </w:rPr>
      <w:tab/>
    </w:r>
    <w:r>
      <w:rPr>
        <w:rFonts w:ascii="Garamond" w:hAnsi="Garamond"/>
        <w:sz w:val="24"/>
      </w:rPr>
      <w:tab/>
    </w:r>
    <w:r>
      <w:rPr>
        <w:rFonts w:ascii="Garamond" w:hAnsi="Garamond"/>
        <w:sz w:val="24"/>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A621BA">
    <w:pPr>
      <w:pStyle w:val="Footer"/>
      <w:pBdr>
        <w:top w:val="single" w:sz="4" w:space="1" w:color="auto"/>
      </w:pBdr>
      <w:tabs>
        <w:tab w:val="clear" w:pos="9000"/>
      </w:tabs>
      <w:spacing w:after="0"/>
      <w:ind w:left="2160" w:hanging="1440"/>
      <w:jc w:val="right"/>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64</w:t>
    </w:r>
    <w:r w:rsidRPr="00713CB7">
      <w:rPr>
        <w:b w:val="0"/>
        <w:noProof/>
      </w:rPr>
      <w:fldChar w:fldCharType="end"/>
    </w:r>
    <w:r>
      <w:rPr>
        <w:rFonts w:ascii="Garamond" w:hAnsi="Garamond"/>
        <w:sz w:val="24"/>
      </w:rPr>
      <w:tab/>
    </w:r>
    <w:r>
      <w:rPr>
        <w:rFonts w:ascii="Garamond" w:hAnsi="Garamond"/>
        <w:sz w:val="24"/>
      </w:rPr>
      <w:tab/>
    </w:r>
    <w:r>
      <w:rPr>
        <w:rFonts w:ascii="Garamond" w:hAnsi="Garamond"/>
        <w:sz w:val="24"/>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07443E" w:rsidRDefault="0042762F" w:rsidP="0007443E">
    <w:pPr>
      <w:pStyle w:val="Footer"/>
      <w:pBdr>
        <w:top w:val="single" w:sz="4" w:space="1" w:color="auto"/>
      </w:pBdr>
      <w:tabs>
        <w:tab w:val="clear" w:pos="9000"/>
      </w:tabs>
      <w:spacing w:after="0"/>
      <w:ind w:left="2160" w:hanging="1440"/>
      <w:jc w:val="right"/>
      <w:rPr>
        <w:b w:val="0"/>
        <w:noProof/>
      </w:rPr>
    </w:pPr>
    <w:r w:rsidRPr="0007443E">
      <w:rPr>
        <w:b w:val="0"/>
        <w:noProof/>
      </w:rPr>
      <w:t>MSAC 1150: Insertion of colonic stents for the management of malignant large bowel obstructions</w:t>
    </w:r>
    <w:r w:rsidRPr="0007443E">
      <w:rPr>
        <w:b w:val="0"/>
        <w:noProof/>
      </w:rPr>
      <w:tab/>
    </w:r>
    <w:r w:rsidRPr="0007443E">
      <w:rPr>
        <w:b w:val="0"/>
        <w:noProof/>
      </w:rPr>
      <w:tab/>
    </w:r>
    <w:r w:rsidRPr="0007443E">
      <w:rPr>
        <w:b w:val="0"/>
        <w:noProof/>
      </w:rPr>
      <w:tab/>
    </w:r>
    <w:r w:rsidRPr="0007443E">
      <w:rPr>
        <w:b w:val="0"/>
        <w:noProof/>
      </w:rPr>
      <w:tab/>
    </w:r>
    <w:r w:rsidRPr="0007443E">
      <w:rPr>
        <w:b w:val="0"/>
        <w:noProof/>
      </w:rPr>
      <w:tab/>
    </w:r>
    <w:r w:rsidRPr="0007443E">
      <w:rPr>
        <w:b w:val="0"/>
        <w:noProof/>
      </w:rPr>
      <w:tab/>
    </w:r>
    <w:r w:rsidRPr="0007443E">
      <w:rPr>
        <w:b w:val="0"/>
        <w:noProof/>
      </w:rPr>
      <w:tab/>
    </w:r>
    <w:r w:rsidRPr="0007443E">
      <w:rPr>
        <w:b w:val="0"/>
        <w:noProof/>
      </w:rPr>
      <w:tab/>
    </w:r>
    <w:r w:rsidRPr="0007443E">
      <w:rPr>
        <w:b w:val="0"/>
        <w:noProof/>
      </w:rPr>
      <w:fldChar w:fldCharType="begin"/>
    </w:r>
    <w:r w:rsidRPr="0007443E">
      <w:rPr>
        <w:b w:val="0"/>
        <w:noProof/>
      </w:rPr>
      <w:instrText xml:space="preserve"> PAGE   \* MERGEFORMAT </w:instrText>
    </w:r>
    <w:r w:rsidRPr="0007443E">
      <w:rPr>
        <w:b w:val="0"/>
        <w:noProof/>
      </w:rPr>
      <w:fldChar w:fldCharType="separate"/>
    </w:r>
    <w:r w:rsidR="00A75144">
      <w:rPr>
        <w:b w:val="0"/>
        <w:noProof/>
      </w:rPr>
      <w:t>51</w:t>
    </w:r>
    <w:r w:rsidRPr="0007443E">
      <w:rPr>
        <w:b w:val="0"/>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EE3825">
    <w:pPr>
      <w:pStyle w:val="Footer"/>
      <w:pBdr>
        <w:top w:val="single" w:sz="4" w:space="1" w:color="auto"/>
      </w:pBdr>
      <w:tabs>
        <w:tab w:val="clear" w:pos="9000"/>
        <w:tab w:val="right" w:pos="8505"/>
      </w:tabs>
      <w:spacing w:after="0"/>
      <w:rPr>
        <w:rStyle w:val="PageNumber"/>
        <w:rFonts w:ascii="Arial" w:hAnsi="Arial" w:cs="Arial"/>
        <w:sz w:val="20"/>
      </w:rPr>
    </w:pPr>
    <w:r w:rsidRPr="00E2681C">
      <w:rPr>
        <w:b w:val="0"/>
      </w:rPr>
      <w:t>MSAC 1150</w:t>
    </w:r>
    <w:r>
      <w:rPr>
        <w:b w:val="0"/>
      </w:rPr>
      <w:t>:</w:t>
    </w:r>
    <w:r w:rsidRPr="00E2681C">
      <w:rPr>
        <w:b w:val="0"/>
      </w:rPr>
      <w:t xml:space="preserve"> Insertion of colonic stents </w:t>
    </w:r>
    <w:r>
      <w:rPr>
        <w:b w:val="0"/>
      </w:rPr>
      <w:t>for the management of</w:t>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65</w:t>
    </w:r>
    <w:r w:rsidRPr="00E2681C">
      <w:rPr>
        <w:b w:val="0"/>
        <w:noProof/>
      </w:rPr>
      <w:fldChar w:fldCharType="end"/>
    </w:r>
    <w:r>
      <w:rPr>
        <w:b w:val="0"/>
      </w:rPr>
      <w:br/>
      <w:t>malignant large bowel obstructions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636B51">
    <w:pPr>
      <w:pStyle w:val="Footer"/>
      <w:pBdr>
        <w:top w:val="single" w:sz="4" w:space="1" w:color="auto"/>
      </w:pBdr>
      <w:tabs>
        <w:tab w:val="clear" w:pos="9000"/>
      </w:tabs>
      <w:spacing w:after="0"/>
      <w:ind w:left="2160" w:hanging="1440"/>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66</w:t>
    </w:r>
    <w:r w:rsidRPr="00713CB7">
      <w:rPr>
        <w:b w:val="0"/>
        <w:noProof/>
      </w:rPr>
      <w:fldChar w:fldCharType="end"/>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EE3825">
    <w:pPr>
      <w:pStyle w:val="Footer"/>
      <w:pBdr>
        <w:top w:val="single" w:sz="4" w:space="1" w:color="auto"/>
      </w:pBdr>
      <w:tabs>
        <w:tab w:val="clear" w:pos="9000"/>
        <w:tab w:val="right" w:pos="8505"/>
      </w:tabs>
      <w:rPr>
        <w:rStyle w:val="PageNumber"/>
        <w:rFonts w:ascii="Arial" w:hAnsi="Arial" w:cs="Arial"/>
        <w:sz w:val="20"/>
      </w:rPr>
    </w:pPr>
    <w:r w:rsidRPr="00E2681C">
      <w:rPr>
        <w:b w:val="0"/>
      </w:rPr>
      <w:t>MSAC 1150</w:t>
    </w:r>
    <w:r>
      <w:rPr>
        <w:b w:val="0"/>
      </w:rPr>
      <w:t>:</w:t>
    </w:r>
    <w:r w:rsidRPr="00E2681C">
      <w:rPr>
        <w:b w:val="0"/>
      </w:rPr>
      <w:t xml:space="preserve"> Insertion of colonic stents </w:t>
    </w:r>
    <w:r>
      <w:rPr>
        <w:b w:val="0"/>
      </w:rPr>
      <w:t>for the management of malignant large bowel obstructions</w:t>
    </w:r>
    <w:r>
      <w:rPr>
        <w:b w:val="0"/>
      </w:rPr>
      <w:tab/>
    </w:r>
    <w:r>
      <w:rPr>
        <w:b w:val="0"/>
      </w:rPr>
      <w:tab/>
    </w:r>
    <w:r>
      <w:rPr>
        <w:b w:val="0"/>
      </w:rPr>
      <w:tab/>
    </w:r>
    <w:r>
      <w:rPr>
        <w:b w:val="0"/>
      </w:rPr>
      <w:tab/>
    </w:r>
    <w:r>
      <w:rPr>
        <w:b w:val="0"/>
      </w:rPr>
      <w:tab/>
    </w:r>
    <w:r>
      <w:rPr>
        <w:b w:val="0"/>
      </w:rPr>
      <w:tab/>
    </w:r>
    <w:r>
      <w:rPr>
        <w:b w:val="0"/>
      </w:rPr>
      <w:tab/>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67</w:t>
    </w:r>
    <w:r w:rsidRPr="00E2681C">
      <w:rPr>
        <w:b w:val="0"/>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EE3825">
    <w:pPr>
      <w:pStyle w:val="Footer"/>
      <w:pBdr>
        <w:top w:val="single" w:sz="4" w:space="1" w:color="auto"/>
      </w:pBdr>
      <w:tabs>
        <w:tab w:val="clear" w:pos="9000"/>
      </w:tabs>
      <w:spacing w:after="0"/>
      <w:ind w:left="2160" w:hanging="1440"/>
      <w:jc w:val="right"/>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94</w:t>
    </w:r>
    <w:r w:rsidRPr="00713CB7">
      <w:rPr>
        <w:b w:val="0"/>
        <w:noProof/>
      </w:rPr>
      <w:fldChar w:fldCharType="end"/>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C843FF" w:rsidRDefault="0042762F" w:rsidP="006542D1">
    <w:pPr>
      <w:pStyle w:val="Footer"/>
      <w:pBdr>
        <w:top w:val="single" w:sz="4" w:space="1" w:color="auto"/>
      </w:pBdr>
      <w:tabs>
        <w:tab w:val="left" w:pos="3402"/>
        <w:tab w:val="left" w:pos="6804"/>
      </w:tabs>
      <w:spacing w:after="0"/>
      <w:rPr>
        <w:rStyle w:val="PageNumber"/>
        <w:rFonts w:ascii="Arial" w:hAnsi="Arial" w:cs="Arial"/>
        <w:sz w:val="20"/>
      </w:rPr>
    </w:pPr>
    <w:r w:rsidRPr="00713CB7">
      <w:rPr>
        <w:b w:val="0"/>
      </w:rPr>
      <w:t>MSAC 1150</w:t>
    </w:r>
    <w:r>
      <w:rPr>
        <w:b w:val="0"/>
      </w:rPr>
      <w:t>:</w:t>
    </w:r>
    <w:r w:rsidRPr="00713CB7">
      <w:rPr>
        <w:b w:val="0"/>
      </w:rPr>
      <w:t xml:space="preserve"> Insertion of colonic stents</w:t>
    </w:r>
    <w:r>
      <w:rPr>
        <w:rFonts w:cs="Arial"/>
        <w:b w:val="0"/>
      </w:rPr>
      <w:t xml:space="preserve"> for the management of </w:t>
    </w:r>
    <w:r>
      <w:rPr>
        <w:rFonts w:cs="Arial"/>
        <w:b w:val="0"/>
      </w:rPr>
      <w:tab/>
    </w:r>
    <w:r>
      <w:rPr>
        <w:rFonts w:cs="Arial"/>
        <w:b w:val="0"/>
      </w:rPr>
      <w:tab/>
    </w:r>
    <w:r w:rsidRPr="00C843FF">
      <w:rPr>
        <w:rStyle w:val="PageNumber"/>
        <w:rFonts w:ascii="Arial" w:hAnsi="Arial" w:cs="Arial"/>
        <w:sz w:val="20"/>
      </w:rPr>
      <w:fldChar w:fldCharType="begin"/>
    </w:r>
    <w:r w:rsidRPr="00C843FF">
      <w:rPr>
        <w:rStyle w:val="PageNumber"/>
        <w:rFonts w:ascii="Arial" w:hAnsi="Arial" w:cs="Arial"/>
        <w:sz w:val="20"/>
      </w:rPr>
      <w:instrText xml:space="preserve"> PAGE </w:instrText>
    </w:r>
    <w:r w:rsidRPr="00C843FF">
      <w:rPr>
        <w:rStyle w:val="PageNumber"/>
        <w:rFonts w:ascii="Arial" w:hAnsi="Arial" w:cs="Arial"/>
        <w:sz w:val="20"/>
      </w:rPr>
      <w:fldChar w:fldCharType="separate"/>
    </w:r>
    <w:r w:rsidR="00A75144">
      <w:rPr>
        <w:rStyle w:val="PageNumber"/>
        <w:rFonts w:ascii="Arial" w:hAnsi="Arial" w:cs="Arial"/>
        <w:noProof/>
        <w:sz w:val="20"/>
      </w:rPr>
      <w:t>1</w:t>
    </w:r>
    <w:r w:rsidRPr="00C843FF">
      <w:rPr>
        <w:rStyle w:val="PageNumber"/>
        <w:rFonts w:ascii="Arial" w:hAnsi="Arial" w:cs="Arial"/>
        <w:sz w:val="20"/>
      </w:rPr>
      <w:fldChar w:fldCharType="end"/>
    </w:r>
    <w:r>
      <w:rPr>
        <w:rFonts w:cs="Arial"/>
        <w:b w:val="0"/>
      </w:rPr>
      <w:br/>
      <w:t>malignant large bowel obstructions</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EE3825">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 xml:space="preserve">nsertion of colonic stents for the management of </w:t>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93</w:t>
    </w:r>
    <w:r w:rsidRPr="00E2681C">
      <w:rPr>
        <w:b w:val="0"/>
        <w:noProof/>
      </w:rPr>
      <w:fldChar w:fldCharType="end"/>
    </w:r>
    <w:r>
      <w:rPr>
        <w:b w:val="0"/>
      </w:rPr>
      <w:br/>
      <w:t>malignant large bowel obstructions</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430A5E">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nsertion of colonic stents for the management of malignant large bowel obstructions</w:t>
    </w:r>
    <w:r>
      <w:rPr>
        <w:b w:val="0"/>
      </w:rPr>
      <w:tab/>
    </w:r>
    <w:r>
      <w:rPr>
        <w:b w:val="0"/>
      </w:rPr>
      <w:tab/>
    </w:r>
    <w:r>
      <w:rPr>
        <w:b w:val="0"/>
      </w:rPr>
      <w:tab/>
    </w:r>
    <w:r>
      <w:rPr>
        <w:b w:val="0"/>
      </w:rPr>
      <w:tab/>
    </w:r>
    <w:r>
      <w:rPr>
        <w:b w:val="0"/>
      </w:rPr>
      <w:tab/>
    </w:r>
    <w:r>
      <w:rPr>
        <w:b w:val="0"/>
      </w:rPr>
      <w:tab/>
    </w:r>
    <w:r>
      <w:rPr>
        <w:b w:val="0"/>
      </w:rPr>
      <w:tab/>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95</w:t>
    </w:r>
    <w:r w:rsidRPr="00E2681C">
      <w:rPr>
        <w:b w:val="0"/>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F568FA" w:rsidRDefault="0042762F" w:rsidP="00430A5E">
    <w:pPr>
      <w:pStyle w:val="Footer"/>
      <w:pBdr>
        <w:top w:val="single" w:sz="4" w:space="1" w:color="auto"/>
      </w:pBdr>
      <w:tabs>
        <w:tab w:val="clear" w:pos="9000"/>
      </w:tabs>
      <w:spacing w:after="0"/>
      <w:jc w:val="right"/>
      <w:rPr>
        <w:rStyle w:val="PageNumber"/>
        <w:rFonts w:ascii="Arial" w:hAnsi="Arial" w:cs="Arial"/>
        <w:b/>
        <w:sz w:val="20"/>
      </w:rPr>
    </w:pPr>
    <w:r w:rsidRPr="00434B77">
      <w:rPr>
        <w:b w:val="0"/>
      </w:rPr>
      <w:fldChar w:fldCharType="begin"/>
    </w:r>
    <w:r w:rsidRPr="00434B77">
      <w:rPr>
        <w:b w:val="0"/>
      </w:rPr>
      <w:instrText xml:space="preserve"> PAGE   \* MERGEFORMAT </w:instrText>
    </w:r>
    <w:r w:rsidRPr="00434B77">
      <w:rPr>
        <w:b w:val="0"/>
      </w:rPr>
      <w:fldChar w:fldCharType="separate"/>
    </w:r>
    <w:r w:rsidR="00A75144">
      <w:rPr>
        <w:b w:val="0"/>
        <w:noProof/>
      </w:rPr>
      <w:t>100</w:t>
    </w:r>
    <w:r w:rsidRPr="00434B77">
      <w:rPr>
        <w:b w:val="0"/>
        <w:noProof/>
      </w:rPr>
      <w:fldChar w:fldCharType="end"/>
    </w:r>
    <w:r>
      <w:rPr>
        <w:b w:val="0"/>
        <w:noProof/>
      </w:rPr>
      <w:tab/>
    </w:r>
    <w:r>
      <w:rPr>
        <w:b w:val="0"/>
        <w:noProof/>
      </w:rPr>
      <w:tab/>
    </w:r>
    <w:r>
      <w:rPr>
        <w:b w:val="0"/>
        <w:noProof/>
      </w:rPr>
      <w:tab/>
    </w:r>
    <w:r>
      <w:rPr>
        <w:b w:val="0"/>
        <w:noProof/>
      </w:rPr>
      <w:tab/>
    </w:r>
    <w:r>
      <w:rPr>
        <w:b w:val="0"/>
        <w:noProof/>
      </w:rPr>
      <w:tab/>
    </w:r>
    <w:r w:rsidRPr="00434B77">
      <w:rPr>
        <w:b w:val="0"/>
        <w:noProof/>
      </w:rPr>
      <w:t>MSAC 1150</w:t>
    </w:r>
    <w:r>
      <w:rPr>
        <w:b w:val="0"/>
        <w:noProof/>
      </w:rPr>
      <w:t>:</w:t>
    </w:r>
    <w:r w:rsidRPr="00434B77">
      <w:rPr>
        <w:b w:val="0"/>
        <w:noProof/>
      </w:rPr>
      <w:t xml:space="preserve"> Insertion of colonic stents </w:t>
    </w:r>
    <w:r>
      <w:rPr>
        <w:b w:val="0"/>
        <w:noProof/>
      </w:rPr>
      <w:t>for the management of malignant large bowel obstructions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430A5E">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 xml:space="preserve">nsertion of colonic stents for the management of </w:t>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99</w:t>
    </w:r>
    <w:r w:rsidRPr="00E2681C">
      <w:rPr>
        <w:b w:val="0"/>
        <w:noProof/>
      </w:rPr>
      <w:fldChar w:fldCharType="end"/>
    </w:r>
    <w:r>
      <w:rPr>
        <w:b w:val="0"/>
      </w:rPr>
      <w:br/>
      <w:t>malignant large bowel obstructions</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430A5E">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nsertion of colonic stents for the management of malignant large bowel obstructions</w:t>
    </w:r>
    <w:r>
      <w:rPr>
        <w:b w:val="0"/>
      </w:rPr>
      <w:tab/>
    </w:r>
    <w:r>
      <w:rPr>
        <w:b w:val="0"/>
      </w:rPr>
      <w:tab/>
    </w:r>
    <w:r>
      <w:rPr>
        <w:b w:val="0"/>
      </w:rPr>
      <w:tab/>
    </w:r>
    <w:r>
      <w:rPr>
        <w:b w:val="0"/>
      </w:rPr>
      <w:tab/>
    </w:r>
    <w:r>
      <w:rPr>
        <w:b w:val="0"/>
      </w:rPr>
      <w:tab/>
    </w:r>
    <w:r>
      <w:rPr>
        <w:b w:val="0"/>
      </w:rPr>
      <w:tab/>
    </w:r>
    <w:r>
      <w:rPr>
        <w:b w:val="0"/>
      </w:rPr>
      <w:tab/>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101</w:t>
    </w:r>
    <w:r w:rsidRPr="00E2681C">
      <w:rPr>
        <w:b w:val="0"/>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F568FA" w:rsidRDefault="0042762F" w:rsidP="00430A5E">
    <w:pPr>
      <w:pStyle w:val="Footer"/>
      <w:pBdr>
        <w:top w:val="single" w:sz="4" w:space="1" w:color="auto"/>
      </w:pBdr>
      <w:tabs>
        <w:tab w:val="clear" w:pos="9000"/>
      </w:tabs>
      <w:spacing w:after="0"/>
      <w:jc w:val="right"/>
      <w:rPr>
        <w:rStyle w:val="PageNumber"/>
        <w:rFonts w:ascii="Arial" w:hAnsi="Arial" w:cs="Arial"/>
        <w:b/>
        <w:sz w:val="20"/>
      </w:rPr>
    </w:pPr>
    <w:r w:rsidRPr="00434B77">
      <w:rPr>
        <w:b w:val="0"/>
      </w:rPr>
      <w:fldChar w:fldCharType="begin"/>
    </w:r>
    <w:r w:rsidRPr="00434B77">
      <w:rPr>
        <w:b w:val="0"/>
      </w:rPr>
      <w:instrText xml:space="preserve"> PAGE   \* MERGEFORMAT </w:instrText>
    </w:r>
    <w:r w:rsidRPr="00434B77">
      <w:rPr>
        <w:b w:val="0"/>
      </w:rPr>
      <w:fldChar w:fldCharType="separate"/>
    </w:r>
    <w:r w:rsidR="00A75144">
      <w:rPr>
        <w:b w:val="0"/>
        <w:noProof/>
      </w:rPr>
      <w:t>130</w:t>
    </w:r>
    <w:r w:rsidRPr="00434B77">
      <w:rPr>
        <w:b w:val="0"/>
        <w:noProof/>
      </w:rPr>
      <w:fldChar w:fldCharType="end"/>
    </w:r>
    <w:r>
      <w:rPr>
        <w:b w:val="0"/>
        <w:noProof/>
      </w:rPr>
      <w:tab/>
    </w:r>
    <w:r>
      <w:rPr>
        <w:b w:val="0"/>
        <w:noProof/>
      </w:rPr>
      <w:tab/>
    </w:r>
    <w:r>
      <w:rPr>
        <w:b w:val="0"/>
        <w:noProof/>
      </w:rPr>
      <w:tab/>
    </w:r>
    <w:r>
      <w:rPr>
        <w:b w:val="0"/>
        <w:noProof/>
      </w:rPr>
      <w:tab/>
    </w:r>
    <w:r>
      <w:rPr>
        <w:b w:val="0"/>
        <w:noProof/>
      </w:rPr>
      <w:tab/>
    </w:r>
    <w:r w:rsidRPr="00434B77">
      <w:rPr>
        <w:b w:val="0"/>
        <w:noProof/>
      </w:rPr>
      <w:t>MSAC 1150</w:t>
    </w:r>
    <w:r>
      <w:rPr>
        <w:b w:val="0"/>
        <w:noProof/>
      </w:rPr>
      <w:t>:</w:t>
    </w:r>
    <w:r w:rsidRPr="00434B77">
      <w:rPr>
        <w:b w:val="0"/>
        <w:noProof/>
      </w:rPr>
      <w:t xml:space="preserve"> Insertion of colonic stents </w:t>
    </w:r>
    <w:r>
      <w:rPr>
        <w:b w:val="0"/>
        <w:noProof/>
      </w:rPr>
      <w:t>for the management of malignant large bowel obstructions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430A5E">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nsertion of colonic stents for the management of</w:t>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131</w:t>
    </w:r>
    <w:r w:rsidRPr="00E2681C">
      <w:rPr>
        <w:b w:val="0"/>
        <w:noProof/>
      </w:rPr>
      <w:fldChar w:fldCharType="end"/>
    </w:r>
    <w:r>
      <w:rPr>
        <w:b w:val="0"/>
      </w:rPr>
      <w:br/>
      <w:t>malignant large bowel obstructions</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F568FA" w:rsidRDefault="0042762F" w:rsidP="00A75144">
    <w:pPr>
      <w:pStyle w:val="Footer"/>
      <w:pBdr>
        <w:top w:val="single" w:sz="4" w:space="1" w:color="auto"/>
      </w:pBdr>
      <w:tabs>
        <w:tab w:val="clear" w:pos="9000"/>
      </w:tabs>
      <w:spacing w:after="0"/>
      <w:rPr>
        <w:rStyle w:val="PageNumber"/>
        <w:rFonts w:ascii="Arial" w:hAnsi="Arial" w:cs="Arial"/>
        <w:b/>
        <w:sz w:val="20"/>
      </w:rPr>
    </w:pPr>
    <w:r w:rsidRPr="00434B77">
      <w:rPr>
        <w:b w:val="0"/>
      </w:rPr>
      <w:fldChar w:fldCharType="begin"/>
    </w:r>
    <w:r w:rsidRPr="00434B77">
      <w:rPr>
        <w:b w:val="0"/>
      </w:rPr>
      <w:instrText xml:space="preserve"> PAGE   \* MERGEFORMAT </w:instrText>
    </w:r>
    <w:r w:rsidRPr="00434B77">
      <w:rPr>
        <w:b w:val="0"/>
      </w:rPr>
      <w:fldChar w:fldCharType="separate"/>
    </w:r>
    <w:r w:rsidR="00A75144">
      <w:rPr>
        <w:b w:val="0"/>
        <w:noProof/>
      </w:rPr>
      <w:t>138</w:t>
    </w:r>
    <w:r w:rsidRPr="00434B77">
      <w:rPr>
        <w:b w:val="0"/>
        <w:noProof/>
      </w:rPr>
      <w:fldChar w:fldCharType="end"/>
    </w:r>
    <w:r w:rsidR="00A75144">
      <w:rPr>
        <w:b w:val="0"/>
        <w:noProof/>
      </w:rPr>
      <w:tab/>
    </w:r>
    <w:r w:rsidR="00A75144">
      <w:rPr>
        <w:b w:val="0"/>
        <w:noProof/>
      </w:rPr>
      <w:tab/>
    </w:r>
    <w:r w:rsidR="00A75144">
      <w:rPr>
        <w:b w:val="0"/>
        <w:noProof/>
      </w:rPr>
      <w:tab/>
    </w:r>
    <w:r w:rsidRPr="00434B77">
      <w:rPr>
        <w:b w:val="0"/>
        <w:noProof/>
      </w:rPr>
      <w:t>MSAC 1150</w:t>
    </w:r>
    <w:r>
      <w:rPr>
        <w:b w:val="0"/>
        <w:noProof/>
      </w:rPr>
      <w:t>:</w:t>
    </w:r>
    <w:r w:rsidRPr="00434B77">
      <w:rPr>
        <w:b w:val="0"/>
        <w:noProof/>
      </w:rPr>
      <w:t xml:space="preserve"> Insertion of colonic stents </w:t>
    </w:r>
    <w:r>
      <w:rPr>
        <w:b w:val="0"/>
        <w:noProof/>
      </w:rPr>
      <w:t>for the management of malignant large bowel obstructions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430A5E">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nsertion of colonic stents for the management of malignant large bowel obstructions</w:t>
    </w:r>
    <w:r>
      <w:rPr>
        <w:b w:val="0"/>
      </w:rPr>
      <w:tab/>
    </w:r>
    <w:r>
      <w:rPr>
        <w:b w:val="0"/>
      </w:rPr>
      <w:tab/>
    </w:r>
    <w:r>
      <w:rPr>
        <w:b w:val="0"/>
      </w:rPr>
      <w:tab/>
    </w:r>
    <w:r>
      <w:rPr>
        <w:b w:val="0"/>
      </w:rPr>
      <w:tab/>
    </w:r>
    <w:r>
      <w:rPr>
        <w:b w:val="0"/>
      </w:rPr>
      <w:tab/>
    </w:r>
    <w:r>
      <w:rPr>
        <w:b w:val="0"/>
      </w:rPr>
      <w:tab/>
    </w:r>
    <w:r>
      <w:rPr>
        <w:b w:val="0"/>
      </w:rPr>
      <w:tab/>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157</w:t>
    </w:r>
    <w:r w:rsidRPr="00E2681C">
      <w:rPr>
        <w:b w:val="0"/>
        <w:noProof/>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F568FA" w:rsidRDefault="0042762F" w:rsidP="00430A5E">
    <w:pPr>
      <w:pStyle w:val="Footer"/>
      <w:pBdr>
        <w:top w:val="single" w:sz="4" w:space="1" w:color="auto"/>
      </w:pBdr>
      <w:tabs>
        <w:tab w:val="clear" w:pos="9000"/>
      </w:tabs>
      <w:spacing w:after="0"/>
      <w:jc w:val="right"/>
      <w:rPr>
        <w:rStyle w:val="PageNumber"/>
        <w:rFonts w:ascii="Arial" w:hAnsi="Arial" w:cs="Arial"/>
        <w:b/>
        <w:sz w:val="20"/>
      </w:rPr>
    </w:pPr>
    <w:r w:rsidRPr="00434B77">
      <w:rPr>
        <w:b w:val="0"/>
      </w:rPr>
      <w:fldChar w:fldCharType="begin"/>
    </w:r>
    <w:r w:rsidRPr="00434B77">
      <w:rPr>
        <w:b w:val="0"/>
      </w:rPr>
      <w:instrText xml:space="preserve"> PAGE   \* MERGEFORMAT </w:instrText>
    </w:r>
    <w:r w:rsidRPr="00434B77">
      <w:rPr>
        <w:b w:val="0"/>
      </w:rPr>
      <w:fldChar w:fldCharType="separate"/>
    </w:r>
    <w:r w:rsidR="00A75144">
      <w:rPr>
        <w:b w:val="0"/>
        <w:noProof/>
      </w:rPr>
      <w:t>158</w:t>
    </w:r>
    <w:r w:rsidRPr="00434B77">
      <w:rPr>
        <w:b w:val="0"/>
        <w:noProof/>
      </w:rPr>
      <w:fldChar w:fldCharType="end"/>
    </w:r>
    <w:r w:rsidR="00A75144">
      <w:rPr>
        <w:b w:val="0"/>
        <w:noProof/>
      </w:rPr>
      <w:tab/>
    </w:r>
    <w:r w:rsidR="00A75144">
      <w:rPr>
        <w:b w:val="0"/>
        <w:noProof/>
      </w:rPr>
      <w:tab/>
    </w:r>
    <w:r w:rsidRPr="00434B77">
      <w:rPr>
        <w:b w:val="0"/>
        <w:noProof/>
      </w:rPr>
      <w:t>MSAC 1150</w:t>
    </w:r>
    <w:r>
      <w:rPr>
        <w:b w:val="0"/>
        <w:noProof/>
      </w:rPr>
      <w:t>:</w:t>
    </w:r>
    <w:r w:rsidRPr="00434B77">
      <w:rPr>
        <w:b w:val="0"/>
        <w:noProof/>
      </w:rPr>
      <w:t xml:space="preserve"> Insertion of colonic stents </w:t>
    </w:r>
    <w:r>
      <w:rPr>
        <w:b w:val="0"/>
        <w:noProof/>
      </w:rPr>
      <w:t>for the management of malignant large bowel obstructions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636B51">
    <w:pPr>
      <w:pStyle w:val="Footer"/>
      <w:pBdr>
        <w:top w:val="single" w:sz="4" w:space="1" w:color="auto"/>
      </w:pBdr>
      <w:tabs>
        <w:tab w:val="clear" w:pos="9000"/>
      </w:tabs>
      <w:spacing w:after="0"/>
      <w:ind w:left="2160" w:hanging="1440"/>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6</w:t>
    </w:r>
    <w:r w:rsidRPr="00713CB7">
      <w:rPr>
        <w:b w:val="0"/>
        <w:noProof/>
      </w:rPr>
      <w:fldChar w:fldCharType="end"/>
    </w:r>
    <w:r w:rsidR="00A75144">
      <w:rPr>
        <w:b w:val="0"/>
        <w:noProof/>
      </w:rPr>
      <w:tab/>
    </w:r>
    <w:r w:rsidR="00A75144">
      <w:rPr>
        <w:b w:val="0"/>
        <w:noProof/>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430A5E">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nsertion of colonic stents for the management of</w:t>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159</w:t>
    </w:r>
    <w:r w:rsidRPr="00E2681C">
      <w:rPr>
        <w:b w:val="0"/>
        <w:noProof/>
      </w:rPr>
      <w:fldChar w:fldCharType="end"/>
    </w:r>
    <w:r>
      <w:rPr>
        <w:b w:val="0"/>
      </w:rPr>
      <w:br/>
      <w:t>malignant large bowel obstructions</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F568FA" w:rsidRDefault="0042762F" w:rsidP="00A75144">
    <w:pPr>
      <w:pStyle w:val="Footer"/>
      <w:pBdr>
        <w:top w:val="single" w:sz="4" w:space="1" w:color="auto"/>
      </w:pBdr>
      <w:tabs>
        <w:tab w:val="clear" w:pos="9000"/>
      </w:tabs>
      <w:spacing w:after="0"/>
      <w:rPr>
        <w:rStyle w:val="PageNumber"/>
        <w:rFonts w:ascii="Arial" w:hAnsi="Arial" w:cs="Arial"/>
        <w:b/>
        <w:sz w:val="20"/>
      </w:rPr>
    </w:pPr>
    <w:r w:rsidRPr="00434B77">
      <w:rPr>
        <w:b w:val="0"/>
      </w:rPr>
      <w:fldChar w:fldCharType="begin"/>
    </w:r>
    <w:r w:rsidRPr="00434B77">
      <w:rPr>
        <w:b w:val="0"/>
      </w:rPr>
      <w:instrText xml:space="preserve"> PAGE   \* MERGEFORMAT </w:instrText>
    </w:r>
    <w:r w:rsidRPr="00434B77">
      <w:rPr>
        <w:b w:val="0"/>
      </w:rPr>
      <w:fldChar w:fldCharType="separate"/>
    </w:r>
    <w:r w:rsidR="00A75144">
      <w:rPr>
        <w:b w:val="0"/>
        <w:noProof/>
      </w:rPr>
      <w:t>172</w:t>
    </w:r>
    <w:r w:rsidRPr="00434B77">
      <w:rPr>
        <w:b w:val="0"/>
        <w:noProof/>
      </w:rPr>
      <w:fldChar w:fldCharType="end"/>
    </w:r>
    <w:r w:rsidR="00A75144">
      <w:rPr>
        <w:b w:val="0"/>
        <w:noProof/>
      </w:rPr>
      <w:tab/>
    </w:r>
    <w:r w:rsidR="00A75144">
      <w:rPr>
        <w:b w:val="0"/>
        <w:noProof/>
      </w:rPr>
      <w:tab/>
    </w:r>
    <w:r w:rsidR="00A75144">
      <w:rPr>
        <w:b w:val="0"/>
        <w:noProof/>
      </w:rPr>
      <w:tab/>
    </w:r>
    <w:r w:rsidRPr="00434B77">
      <w:rPr>
        <w:b w:val="0"/>
        <w:noProof/>
      </w:rPr>
      <w:t>MSAC 1150</w:t>
    </w:r>
    <w:r>
      <w:rPr>
        <w:b w:val="0"/>
        <w:noProof/>
      </w:rPr>
      <w:t>:</w:t>
    </w:r>
    <w:r w:rsidRPr="00434B77">
      <w:rPr>
        <w:b w:val="0"/>
        <w:noProof/>
      </w:rPr>
      <w:t xml:space="preserve"> Insertion of colonic stents </w:t>
    </w:r>
    <w:r>
      <w:rPr>
        <w:b w:val="0"/>
        <w:noProof/>
      </w:rPr>
      <w:t>for the management of malignant large bowel obstructions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A75144">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nsertion of colonic stents for the management of malignant large bowel obstructions</w:t>
    </w:r>
    <w:r w:rsidR="00A75144">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173</w:t>
    </w:r>
    <w:r w:rsidRPr="00E2681C">
      <w:rPr>
        <w:b w:val="0"/>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F568FA" w:rsidRDefault="0042762F" w:rsidP="00A75144">
    <w:pPr>
      <w:pStyle w:val="Footer"/>
      <w:pBdr>
        <w:top w:val="single" w:sz="4" w:space="1" w:color="auto"/>
      </w:pBdr>
      <w:tabs>
        <w:tab w:val="clear" w:pos="9000"/>
      </w:tabs>
      <w:spacing w:after="0"/>
      <w:ind w:left="2265" w:hanging="1545"/>
      <w:rPr>
        <w:rStyle w:val="PageNumber"/>
        <w:rFonts w:ascii="Arial" w:hAnsi="Arial" w:cs="Arial"/>
        <w:b/>
        <w:sz w:val="20"/>
      </w:rPr>
    </w:pPr>
    <w:r w:rsidRPr="00434B77">
      <w:rPr>
        <w:b w:val="0"/>
      </w:rPr>
      <w:fldChar w:fldCharType="begin"/>
    </w:r>
    <w:r w:rsidRPr="00434B77">
      <w:rPr>
        <w:b w:val="0"/>
      </w:rPr>
      <w:instrText xml:space="preserve"> PAGE   \* MERGEFORMAT </w:instrText>
    </w:r>
    <w:r w:rsidRPr="00434B77">
      <w:rPr>
        <w:b w:val="0"/>
      </w:rPr>
      <w:fldChar w:fldCharType="separate"/>
    </w:r>
    <w:r w:rsidR="00A75144">
      <w:rPr>
        <w:b w:val="0"/>
        <w:noProof/>
      </w:rPr>
      <w:t>174</w:t>
    </w:r>
    <w:r w:rsidRPr="00434B77">
      <w:rPr>
        <w:b w:val="0"/>
        <w:noProof/>
      </w:rPr>
      <w:fldChar w:fldCharType="end"/>
    </w:r>
    <w:r w:rsidR="00A75144">
      <w:rPr>
        <w:b w:val="0"/>
        <w:noProof/>
      </w:rPr>
      <w:tab/>
    </w:r>
    <w:r w:rsidR="00A75144">
      <w:rPr>
        <w:b w:val="0"/>
        <w:noProof/>
      </w:rPr>
      <w:tab/>
    </w:r>
    <w:r w:rsidRPr="00434B77">
      <w:rPr>
        <w:b w:val="0"/>
        <w:noProof/>
      </w:rPr>
      <w:t>MSAC 1150</w:t>
    </w:r>
    <w:r>
      <w:rPr>
        <w:b w:val="0"/>
        <w:noProof/>
      </w:rPr>
      <w:t>:</w:t>
    </w:r>
    <w:r w:rsidRPr="00434B77">
      <w:rPr>
        <w:b w:val="0"/>
        <w:noProof/>
      </w:rPr>
      <w:t xml:space="preserve"> Insertion of colonic stents </w:t>
    </w:r>
    <w:r>
      <w:rPr>
        <w:b w:val="0"/>
        <w:noProof/>
      </w:rPr>
      <w:t>for the management of malignant large bowel obstructions</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9A3655" w:rsidRDefault="0042762F" w:rsidP="00430A5E">
    <w:pPr>
      <w:pStyle w:val="Footer"/>
      <w:pBdr>
        <w:top w:val="single" w:sz="4" w:space="1" w:color="auto"/>
      </w:pBdr>
      <w:spacing w:after="0"/>
      <w:rPr>
        <w:rStyle w:val="PageNumber"/>
        <w:rFonts w:ascii="Arial" w:hAnsi="Arial" w:cs="Arial"/>
        <w:sz w:val="20"/>
      </w:rPr>
    </w:pPr>
    <w:r w:rsidRPr="00E2681C">
      <w:rPr>
        <w:b w:val="0"/>
      </w:rPr>
      <w:t>MSAC 1150</w:t>
    </w:r>
    <w:r>
      <w:rPr>
        <w:b w:val="0"/>
      </w:rPr>
      <w:t>:</w:t>
    </w:r>
    <w:r w:rsidRPr="00E2681C">
      <w:rPr>
        <w:b w:val="0"/>
      </w:rPr>
      <w:t xml:space="preserve"> I</w:t>
    </w:r>
    <w:r>
      <w:rPr>
        <w:b w:val="0"/>
      </w:rPr>
      <w:t>nsertion of colonic stents for the management of</w:t>
    </w:r>
    <w:r>
      <w:rPr>
        <w:b w:val="0"/>
      </w:rPr>
      <w:tab/>
    </w:r>
    <w:r w:rsidRPr="00E2681C">
      <w:rPr>
        <w:b w:val="0"/>
      </w:rPr>
      <w:fldChar w:fldCharType="begin"/>
    </w:r>
    <w:r w:rsidRPr="00E2681C">
      <w:rPr>
        <w:b w:val="0"/>
      </w:rPr>
      <w:instrText xml:space="preserve"> PAGE   \* MERGEFORMAT </w:instrText>
    </w:r>
    <w:r w:rsidRPr="00E2681C">
      <w:rPr>
        <w:b w:val="0"/>
      </w:rPr>
      <w:fldChar w:fldCharType="separate"/>
    </w:r>
    <w:r w:rsidR="00A75144">
      <w:rPr>
        <w:b w:val="0"/>
        <w:noProof/>
      </w:rPr>
      <w:t>175</w:t>
    </w:r>
    <w:r w:rsidRPr="00E2681C">
      <w:rPr>
        <w:b w:val="0"/>
        <w:noProof/>
      </w:rPr>
      <w:fldChar w:fldCharType="end"/>
    </w:r>
    <w:r>
      <w:rPr>
        <w:b w:val="0"/>
      </w:rPr>
      <w:br/>
      <w:t>malignant large bowel obstructions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C843FF" w:rsidRDefault="0042762F" w:rsidP="006542D1">
    <w:pPr>
      <w:pStyle w:val="Footer"/>
      <w:pBdr>
        <w:top w:val="single" w:sz="4" w:space="1" w:color="auto"/>
      </w:pBdr>
      <w:tabs>
        <w:tab w:val="left" w:pos="3402"/>
        <w:tab w:val="left" w:pos="6804"/>
      </w:tabs>
      <w:spacing w:after="0"/>
      <w:rPr>
        <w:rStyle w:val="PageNumber"/>
        <w:rFonts w:ascii="Arial" w:hAnsi="Arial" w:cs="Arial"/>
        <w:sz w:val="20"/>
      </w:rPr>
    </w:pPr>
    <w:r w:rsidRPr="00713CB7">
      <w:rPr>
        <w:b w:val="0"/>
      </w:rPr>
      <w:t>MSAC 1150</w:t>
    </w:r>
    <w:r>
      <w:rPr>
        <w:b w:val="0"/>
      </w:rPr>
      <w:t>:</w:t>
    </w:r>
    <w:r w:rsidRPr="00713CB7">
      <w:rPr>
        <w:b w:val="0"/>
      </w:rPr>
      <w:t xml:space="preserve"> Insertion of colonic stents</w:t>
    </w:r>
    <w:r>
      <w:rPr>
        <w:rFonts w:cs="Arial"/>
        <w:b w:val="0"/>
      </w:rPr>
      <w:t xml:space="preserve"> for the management of malignant large bowel obstructions</w:t>
    </w:r>
    <w:r w:rsidR="00A75144">
      <w:rPr>
        <w:rFonts w:cs="Arial"/>
        <w:b w:val="0"/>
      </w:rPr>
      <w:t xml:space="preserve"> </w:t>
    </w:r>
    <w:r w:rsidRPr="00C843FF">
      <w:rPr>
        <w:rStyle w:val="PageNumber"/>
        <w:rFonts w:ascii="Arial" w:hAnsi="Arial" w:cs="Arial"/>
        <w:sz w:val="20"/>
      </w:rPr>
      <w:fldChar w:fldCharType="begin"/>
    </w:r>
    <w:r w:rsidRPr="00C843FF">
      <w:rPr>
        <w:rStyle w:val="PageNumber"/>
        <w:rFonts w:ascii="Arial" w:hAnsi="Arial" w:cs="Arial"/>
        <w:sz w:val="20"/>
      </w:rPr>
      <w:instrText xml:space="preserve"> PAGE </w:instrText>
    </w:r>
    <w:r w:rsidRPr="00C843FF">
      <w:rPr>
        <w:rStyle w:val="PageNumber"/>
        <w:rFonts w:ascii="Arial" w:hAnsi="Arial" w:cs="Arial"/>
        <w:sz w:val="20"/>
      </w:rPr>
      <w:fldChar w:fldCharType="separate"/>
    </w:r>
    <w:r w:rsidR="00A75144">
      <w:rPr>
        <w:rStyle w:val="PageNumber"/>
        <w:rFonts w:ascii="Arial" w:hAnsi="Arial" w:cs="Arial"/>
        <w:noProof/>
        <w:sz w:val="20"/>
      </w:rPr>
      <w:t>7</w:t>
    </w:r>
    <w:r w:rsidRPr="00C843FF">
      <w:rPr>
        <w:rStyle w:val="PageNumber"/>
        <w:rFonts w:ascii="Arial" w:hAnsi="Arial" w:cs="Arial"/>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636B51" w:rsidRDefault="0042762F" w:rsidP="00A75144">
    <w:pPr>
      <w:pStyle w:val="Footer"/>
      <w:pBdr>
        <w:top w:val="single" w:sz="4" w:space="1" w:color="auto"/>
      </w:pBdr>
      <w:tabs>
        <w:tab w:val="clear" w:pos="9000"/>
      </w:tabs>
      <w:spacing w:after="0"/>
      <w:ind w:left="2835" w:hanging="2115"/>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8</w:t>
    </w:r>
    <w:r w:rsidRPr="00713CB7">
      <w:rPr>
        <w:b w:val="0"/>
        <w:noProof/>
      </w:rPr>
      <w:fldChar w:fldCharType="end"/>
    </w:r>
    <w:r w:rsidR="00A75144">
      <w:rPr>
        <w:b w:val="0"/>
        <w:noProof/>
      </w:rPr>
      <w:t xml:space="preserve"> </w:t>
    </w:r>
    <w:r w:rsidR="00A75144">
      <w:rPr>
        <w:b w:val="0"/>
        <w:noProof/>
      </w:rPr>
      <w:tab/>
    </w:r>
    <w:r w:rsidR="00A75144">
      <w:rPr>
        <w:b w:val="0"/>
        <w:noProof/>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w:t>
    </w:r>
    <w:r>
      <w:rPr>
        <w:b w:val="0"/>
        <w:noProof/>
      </w:rPr>
      <w:br/>
    </w:r>
    <w:r w:rsidRPr="00602282">
      <w:rPr>
        <w:b w:val="0"/>
        <w:noProof/>
      </w:rPr>
      <w:t xml:space="preserve">malignant </w:t>
    </w:r>
    <w:r>
      <w:rPr>
        <w:b w:val="0"/>
        <w:noProof/>
      </w:rPr>
      <w:t>large bowel obstructions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7BBC" w:rsidRDefault="0042762F" w:rsidP="00D87BBC">
    <w:pPr>
      <w:pStyle w:val="Footer"/>
      <w:pBdr>
        <w:top w:val="single" w:sz="4" w:space="1" w:color="auto"/>
      </w:pBdr>
      <w:tabs>
        <w:tab w:val="left" w:pos="3402"/>
        <w:tab w:val="left" w:pos="6804"/>
      </w:tabs>
      <w:spacing w:after="0"/>
      <w:rPr>
        <w:rFonts w:cs="Arial"/>
        <w:b w:val="0"/>
      </w:rPr>
    </w:pPr>
    <w:r w:rsidRPr="00713CB7">
      <w:rPr>
        <w:b w:val="0"/>
      </w:rPr>
      <w:t>MSAC 1150</w:t>
    </w:r>
    <w:r>
      <w:rPr>
        <w:b w:val="0"/>
      </w:rPr>
      <w:t>:</w:t>
    </w:r>
    <w:r w:rsidRPr="00713CB7">
      <w:rPr>
        <w:b w:val="0"/>
      </w:rPr>
      <w:t xml:space="preserve"> Insertion of colonic stents</w:t>
    </w:r>
    <w:r>
      <w:rPr>
        <w:rFonts w:cs="Arial"/>
        <w:b w:val="0"/>
      </w:rPr>
      <w:t xml:space="preserve"> for the management of </w:t>
    </w:r>
    <w:r>
      <w:rPr>
        <w:rFonts w:cs="Arial"/>
        <w:b w:val="0"/>
      </w:rPr>
      <w:tab/>
    </w:r>
    <w:r>
      <w:rPr>
        <w:rFonts w:cs="Arial"/>
        <w:b w:val="0"/>
      </w:rPr>
      <w:tab/>
    </w:r>
    <w:r w:rsidRPr="00C843FF">
      <w:rPr>
        <w:rStyle w:val="PageNumber"/>
        <w:rFonts w:ascii="Arial" w:hAnsi="Arial" w:cs="Arial"/>
        <w:sz w:val="20"/>
      </w:rPr>
      <w:fldChar w:fldCharType="begin"/>
    </w:r>
    <w:r w:rsidRPr="00C843FF">
      <w:rPr>
        <w:rStyle w:val="PageNumber"/>
        <w:rFonts w:ascii="Arial" w:hAnsi="Arial" w:cs="Arial"/>
        <w:sz w:val="20"/>
      </w:rPr>
      <w:instrText xml:space="preserve"> PAGE </w:instrText>
    </w:r>
    <w:r w:rsidRPr="00C843FF">
      <w:rPr>
        <w:rStyle w:val="PageNumber"/>
        <w:rFonts w:ascii="Arial" w:hAnsi="Arial" w:cs="Arial"/>
        <w:sz w:val="20"/>
      </w:rPr>
      <w:fldChar w:fldCharType="separate"/>
    </w:r>
    <w:r w:rsidR="00A75144">
      <w:rPr>
        <w:rStyle w:val="PageNumber"/>
        <w:rFonts w:ascii="Arial" w:hAnsi="Arial" w:cs="Arial"/>
        <w:noProof/>
        <w:sz w:val="20"/>
      </w:rPr>
      <w:t>9</w:t>
    </w:r>
    <w:r w:rsidRPr="00C843FF">
      <w:rPr>
        <w:rStyle w:val="PageNumber"/>
        <w:rFonts w:ascii="Arial" w:hAnsi="Arial" w:cs="Arial"/>
        <w:sz w:val="20"/>
      </w:rPr>
      <w:fldChar w:fldCharType="end"/>
    </w:r>
    <w:r>
      <w:rPr>
        <w:rFonts w:cs="Arial"/>
        <w:b w:val="0"/>
      </w:rPr>
      <w:br/>
      <w:t>malignant large bowel obstructions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A75144">
    <w:pPr>
      <w:pStyle w:val="Footer"/>
      <w:pBdr>
        <w:top w:val="single" w:sz="4" w:space="1" w:color="auto"/>
      </w:pBdr>
      <w:tabs>
        <w:tab w:val="clear" w:pos="9000"/>
      </w:tabs>
      <w:spacing w:after="0"/>
      <w:ind w:left="2160" w:hanging="1440"/>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16</w:t>
    </w:r>
    <w:r w:rsidRPr="00713CB7">
      <w:rPr>
        <w:b w:val="0"/>
        <w:noProof/>
      </w:rPr>
      <w:fldChar w:fldCharType="end"/>
    </w:r>
    <w:r w:rsidR="00A75144">
      <w:rPr>
        <w:b w:val="0"/>
        <w:noProof/>
      </w:rPr>
      <w:tab/>
    </w:r>
    <w:r w:rsidR="00A75144">
      <w:rPr>
        <w:b w:val="0"/>
        <w:noProof/>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713CB7" w:rsidRDefault="0042762F" w:rsidP="00D87BBC">
    <w:pPr>
      <w:pStyle w:val="Footer"/>
      <w:pBdr>
        <w:top w:val="single" w:sz="4" w:space="1" w:color="auto"/>
      </w:pBdr>
      <w:spacing w:after="0"/>
      <w:rPr>
        <w:rStyle w:val="PageNumber"/>
        <w:rFonts w:ascii="Arial" w:hAnsi="Arial"/>
        <w:b/>
        <w:sz w:val="20"/>
      </w:rPr>
    </w:pPr>
    <w:r w:rsidRPr="00713CB7">
      <w:rPr>
        <w:b w:val="0"/>
      </w:rPr>
      <w:t>MSAC 1150</w:t>
    </w:r>
    <w:r>
      <w:rPr>
        <w:b w:val="0"/>
      </w:rPr>
      <w:t>:</w:t>
    </w:r>
    <w:r w:rsidRPr="00713CB7">
      <w:rPr>
        <w:b w:val="0"/>
      </w:rPr>
      <w:t xml:space="preserve"> Insertion of colonic stents</w:t>
    </w:r>
    <w:r>
      <w:rPr>
        <w:b w:val="0"/>
      </w:rPr>
      <w:t xml:space="preserve"> for the management of </w:t>
    </w:r>
    <w:r>
      <w:rPr>
        <w:b w:val="0"/>
      </w:rPr>
      <w:tab/>
    </w:r>
    <w:r w:rsidRPr="00AC773F">
      <w:rPr>
        <w:b w:val="0"/>
      </w:rPr>
      <w:fldChar w:fldCharType="begin"/>
    </w:r>
    <w:r w:rsidRPr="00AC773F">
      <w:rPr>
        <w:b w:val="0"/>
      </w:rPr>
      <w:instrText xml:space="preserve"> PAGE   \* MERGEFORMAT </w:instrText>
    </w:r>
    <w:r w:rsidRPr="00AC773F">
      <w:rPr>
        <w:b w:val="0"/>
      </w:rPr>
      <w:fldChar w:fldCharType="separate"/>
    </w:r>
    <w:r w:rsidR="00A75144">
      <w:rPr>
        <w:b w:val="0"/>
        <w:noProof/>
      </w:rPr>
      <w:t>17</w:t>
    </w:r>
    <w:r w:rsidRPr="00AC773F">
      <w:rPr>
        <w:b w:val="0"/>
        <w:noProof/>
      </w:rPr>
      <w:fldChar w:fldCharType="end"/>
    </w:r>
    <w:r>
      <w:rPr>
        <w:b w:val="0"/>
      </w:rPr>
      <w:br/>
      <w:t>malignant large bowel obstructions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D853E5" w:rsidRDefault="0042762F" w:rsidP="00636B51">
    <w:pPr>
      <w:pStyle w:val="Footer"/>
      <w:pBdr>
        <w:top w:val="single" w:sz="4" w:space="1" w:color="auto"/>
      </w:pBdr>
      <w:tabs>
        <w:tab w:val="clear" w:pos="9000"/>
      </w:tabs>
      <w:spacing w:after="0"/>
      <w:ind w:left="2160" w:hanging="1440"/>
    </w:pPr>
    <w:r w:rsidRPr="00713CB7">
      <w:rPr>
        <w:b w:val="0"/>
        <w:noProof/>
      </w:rPr>
      <w:fldChar w:fldCharType="begin"/>
    </w:r>
    <w:r w:rsidRPr="00713CB7">
      <w:rPr>
        <w:b w:val="0"/>
        <w:noProof/>
      </w:rPr>
      <w:instrText xml:space="preserve"> PAGE   \* MERGEFORMAT </w:instrText>
    </w:r>
    <w:r w:rsidRPr="00713CB7">
      <w:rPr>
        <w:b w:val="0"/>
        <w:noProof/>
      </w:rPr>
      <w:fldChar w:fldCharType="separate"/>
    </w:r>
    <w:r w:rsidR="00A75144">
      <w:rPr>
        <w:b w:val="0"/>
        <w:noProof/>
      </w:rPr>
      <w:t>36</w:t>
    </w:r>
    <w:r w:rsidRPr="00713CB7">
      <w:rPr>
        <w:b w:val="0"/>
        <w:noProof/>
      </w:rPr>
      <w:fldChar w:fldCharType="end"/>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Pr="005A4826">
      <w:rPr>
        <w:b w:val="0"/>
        <w:noProof/>
      </w:rPr>
      <w:t>M</w:t>
    </w:r>
    <w:r w:rsidRPr="00713CB7">
      <w:rPr>
        <w:b w:val="0"/>
        <w:noProof/>
      </w:rPr>
      <w:t>SAC 1150</w:t>
    </w:r>
    <w:r>
      <w:rPr>
        <w:b w:val="0"/>
        <w:noProof/>
      </w:rPr>
      <w:t>:</w:t>
    </w:r>
    <w:r w:rsidRPr="00713CB7">
      <w:rPr>
        <w:b w:val="0"/>
        <w:noProof/>
      </w:rPr>
      <w:t xml:space="preserve"> Insertion of colonic stents</w:t>
    </w:r>
    <w:r>
      <w:rPr>
        <w:b w:val="0"/>
        <w:noProof/>
      </w:rPr>
      <w:t xml:space="preserve"> for the management of </w:t>
    </w:r>
    <w:r w:rsidRPr="00602282">
      <w:rPr>
        <w:b w:val="0"/>
        <w:noProof/>
      </w:rPr>
      <w:t xml:space="preserve">malignant </w:t>
    </w:r>
    <w:r>
      <w:rPr>
        <w:b w:val="0"/>
        <w:noProof/>
      </w:rPr>
      <w:t>large bowel obstructions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2F" w:rsidRDefault="0042762F">
      <w:r>
        <w:separator/>
      </w:r>
    </w:p>
  </w:footnote>
  <w:footnote w:type="continuationSeparator" w:id="0">
    <w:p w:rsidR="0042762F" w:rsidRDefault="0042762F">
      <w:r>
        <w:continuationSeparator/>
      </w:r>
    </w:p>
  </w:footnote>
  <w:footnote w:type="continuationNotice" w:id="1">
    <w:p w:rsidR="0042762F" w:rsidRDefault="0042762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Default="00427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8E7EA0" w:rsidRDefault="0042762F" w:rsidP="008E7E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Default="004276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Default="004276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Pr="00E10F80" w:rsidRDefault="0042762F" w:rsidP="00E10F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Default="004276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2F" w:rsidRDefault="00427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226896"/>
    <w:lvl w:ilvl="0">
      <w:numFmt w:val="bullet"/>
      <w:lvlText w:val="*"/>
      <w:lvlJc w:val="left"/>
    </w:lvl>
  </w:abstractNum>
  <w:abstractNum w:abstractNumId="1">
    <w:nsid w:val="009A5313"/>
    <w:multiLevelType w:val="hybridMultilevel"/>
    <w:tmpl w:val="803ABF40"/>
    <w:lvl w:ilvl="0" w:tplc="DBFA83DC">
      <w:start w:val="1"/>
      <w:numFmt w:val="bullet"/>
      <w:lvlText w:val=""/>
      <w:lvlJc w:val="left"/>
      <w:pPr>
        <w:tabs>
          <w:tab w:val="num" w:pos="360"/>
        </w:tabs>
        <w:ind w:left="360" w:hanging="360"/>
      </w:pPr>
      <w:rPr>
        <w:rFonts w:ascii="Symbol" w:hAnsi="Symbol" w:hint="default"/>
        <w:color w:val="auto"/>
        <w:sz w:val="22"/>
        <w:szCs w:val="22"/>
      </w:rPr>
    </w:lvl>
    <w:lvl w:ilvl="1" w:tplc="6E7AB924">
      <w:start w:val="1"/>
      <w:numFmt w:val="bullet"/>
      <w:lvlText w:val="-"/>
      <w:lvlJc w:val="left"/>
      <w:pPr>
        <w:tabs>
          <w:tab w:val="num" w:pos="1440"/>
        </w:tabs>
        <w:ind w:left="1440" w:hanging="360"/>
      </w:pPr>
      <w:rPr>
        <w:rFonts w:ascii="Courier New" w:hAnsi="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C5267"/>
    <w:multiLevelType w:val="hybridMultilevel"/>
    <w:tmpl w:val="E0DA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0A6AC4"/>
    <w:multiLevelType w:val="hybridMultilevel"/>
    <w:tmpl w:val="3DC2A1CA"/>
    <w:lvl w:ilvl="0" w:tplc="0C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172A8E"/>
    <w:multiLevelType w:val="hybridMultilevel"/>
    <w:tmpl w:val="2C947F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E479D8"/>
    <w:multiLevelType w:val="hybridMultilevel"/>
    <w:tmpl w:val="5B7057D2"/>
    <w:lvl w:ilvl="0" w:tplc="F5E27B94">
      <w:start w:val="1"/>
      <w:numFmt w:val="decimal"/>
      <w:lvlText w:val="%1."/>
      <w:lvlJc w:val="left"/>
      <w:pPr>
        <w:ind w:left="1080" w:hanging="360"/>
      </w:pPr>
      <w:rPr>
        <w:rFonts w:hint="default"/>
      </w:rPr>
    </w:lvl>
    <w:lvl w:ilvl="1" w:tplc="931AE61E">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E48004C"/>
    <w:multiLevelType w:val="hybridMultilevel"/>
    <w:tmpl w:val="8B54A56C"/>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8">
    <w:nsid w:val="145B0C0C"/>
    <w:multiLevelType w:val="hybridMultilevel"/>
    <w:tmpl w:val="C7CA10D6"/>
    <w:lvl w:ilvl="0" w:tplc="0C090001">
      <w:start w:val="1"/>
      <w:numFmt w:val="bullet"/>
      <w:lvlText w:val=""/>
      <w:lvlJc w:val="left"/>
      <w:pPr>
        <w:ind w:left="720" w:hanging="360"/>
      </w:pPr>
      <w:rPr>
        <w:rFonts w:ascii="Symbol" w:hAnsi="Symbol" w:hint="default"/>
      </w:rPr>
    </w:lvl>
    <w:lvl w:ilvl="1" w:tplc="6E7AB92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F642CE"/>
    <w:multiLevelType w:val="hybridMultilevel"/>
    <w:tmpl w:val="27E24B88"/>
    <w:lvl w:ilvl="0" w:tplc="0C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201481"/>
    <w:multiLevelType w:val="hybridMultilevel"/>
    <w:tmpl w:val="B9A46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F80982"/>
    <w:multiLevelType w:val="hybridMultilevel"/>
    <w:tmpl w:val="110C56EE"/>
    <w:lvl w:ilvl="0" w:tplc="CCFA3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187C20"/>
    <w:multiLevelType w:val="hybridMultilevel"/>
    <w:tmpl w:val="E1147CB2"/>
    <w:lvl w:ilvl="0" w:tplc="09E88886">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3E666F1"/>
    <w:multiLevelType w:val="hybridMultilevel"/>
    <w:tmpl w:val="798C6AC6"/>
    <w:lvl w:ilvl="0" w:tplc="A664E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866FFC"/>
    <w:multiLevelType w:val="hybridMultilevel"/>
    <w:tmpl w:val="B9A8D1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5AE421E"/>
    <w:multiLevelType w:val="hybridMultilevel"/>
    <w:tmpl w:val="0630CA5C"/>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6985B82"/>
    <w:multiLevelType w:val="hybridMultilevel"/>
    <w:tmpl w:val="2AE286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7C579D8"/>
    <w:multiLevelType w:val="hybridMultilevel"/>
    <w:tmpl w:val="617C649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88D5E1F"/>
    <w:multiLevelType w:val="hybridMultilevel"/>
    <w:tmpl w:val="169E27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AAE1580"/>
    <w:multiLevelType w:val="hybridMultilevel"/>
    <w:tmpl w:val="E5F8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B06C08"/>
    <w:multiLevelType w:val="hybridMultilevel"/>
    <w:tmpl w:val="83BC5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5A421DC"/>
    <w:multiLevelType w:val="hybridMultilevel"/>
    <w:tmpl w:val="36864178"/>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07651F"/>
    <w:multiLevelType w:val="hybridMultilevel"/>
    <w:tmpl w:val="3794A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76C7BF1"/>
    <w:multiLevelType w:val="hybridMultilevel"/>
    <w:tmpl w:val="AC0CC24A"/>
    <w:lvl w:ilvl="0" w:tplc="77847446">
      <w:start w:val="1"/>
      <w:numFmt w:val="bullet"/>
      <w:lvlText w:val=""/>
      <w:lvlJc w:val="left"/>
      <w:pPr>
        <w:tabs>
          <w:tab w:val="num" w:pos="1440"/>
        </w:tabs>
        <w:ind w:left="1440" w:hanging="360"/>
      </w:pPr>
      <w:rPr>
        <w:rFonts w:ascii="Symbol" w:hAnsi="Symbol" w:hint="default"/>
      </w:rPr>
    </w:lvl>
    <w:lvl w:ilvl="1" w:tplc="24B0E9E8" w:tentative="1">
      <w:start w:val="1"/>
      <w:numFmt w:val="bullet"/>
      <w:lvlText w:val="o"/>
      <w:lvlJc w:val="left"/>
      <w:pPr>
        <w:tabs>
          <w:tab w:val="num" w:pos="2160"/>
        </w:tabs>
        <w:ind w:left="2160" w:hanging="360"/>
      </w:pPr>
      <w:rPr>
        <w:rFonts w:ascii="Courier New" w:hAnsi="Courier New" w:hint="default"/>
      </w:rPr>
    </w:lvl>
    <w:lvl w:ilvl="2" w:tplc="2EF03958" w:tentative="1">
      <w:start w:val="1"/>
      <w:numFmt w:val="bullet"/>
      <w:lvlText w:val=""/>
      <w:lvlJc w:val="left"/>
      <w:pPr>
        <w:tabs>
          <w:tab w:val="num" w:pos="2880"/>
        </w:tabs>
        <w:ind w:left="2880" w:hanging="360"/>
      </w:pPr>
      <w:rPr>
        <w:rFonts w:ascii="Wingdings" w:hAnsi="Wingdings" w:hint="default"/>
      </w:rPr>
    </w:lvl>
    <w:lvl w:ilvl="3" w:tplc="5F32702E" w:tentative="1">
      <w:start w:val="1"/>
      <w:numFmt w:val="bullet"/>
      <w:lvlText w:val=""/>
      <w:lvlJc w:val="left"/>
      <w:pPr>
        <w:tabs>
          <w:tab w:val="num" w:pos="3600"/>
        </w:tabs>
        <w:ind w:left="3600" w:hanging="360"/>
      </w:pPr>
      <w:rPr>
        <w:rFonts w:ascii="Symbol" w:hAnsi="Symbol" w:hint="default"/>
      </w:rPr>
    </w:lvl>
    <w:lvl w:ilvl="4" w:tplc="0686AA28" w:tentative="1">
      <w:start w:val="1"/>
      <w:numFmt w:val="bullet"/>
      <w:lvlText w:val="o"/>
      <w:lvlJc w:val="left"/>
      <w:pPr>
        <w:tabs>
          <w:tab w:val="num" w:pos="4320"/>
        </w:tabs>
        <w:ind w:left="4320" w:hanging="360"/>
      </w:pPr>
      <w:rPr>
        <w:rFonts w:ascii="Courier New" w:hAnsi="Courier New" w:hint="default"/>
      </w:rPr>
    </w:lvl>
    <w:lvl w:ilvl="5" w:tplc="70FCD560" w:tentative="1">
      <w:start w:val="1"/>
      <w:numFmt w:val="bullet"/>
      <w:lvlText w:val=""/>
      <w:lvlJc w:val="left"/>
      <w:pPr>
        <w:tabs>
          <w:tab w:val="num" w:pos="5040"/>
        </w:tabs>
        <w:ind w:left="5040" w:hanging="360"/>
      </w:pPr>
      <w:rPr>
        <w:rFonts w:ascii="Wingdings" w:hAnsi="Wingdings" w:hint="default"/>
      </w:rPr>
    </w:lvl>
    <w:lvl w:ilvl="6" w:tplc="6F743412" w:tentative="1">
      <w:start w:val="1"/>
      <w:numFmt w:val="bullet"/>
      <w:lvlText w:val=""/>
      <w:lvlJc w:val="left"/>
      <w:pPr>
        <w:tabs>
          <w:tab w:val="num" w:pos="5760"/>
        </w:tabs>
        <w:ind w:left="5760" w:hanging="360"/>
      </w:pPr>
      <w:rPr>
        <w:rFonts w:ascii="Symbol" w:hAnsi="Symbol" w:hint="default"/>
      </w:rPr>
    </w:lvl>
    <w:lvl w:ilvl="7" w:tplc="010805C0" w:tentative="1">
      <w:start w:val="1"/>
      <w:numFmt w:val="bullet"/>
      <w:lvlText w:val="o"/>
      <w:lvlJc w:val="left"/>
      <w:pPr>
        <w:tabs>
          <w:tab w:val="num" w:pos="6480"/>
        </w:tabs>
        <w:ind w:left="6480" w:hanging="360"/>
      </w:pPr>
      <w:rPr>
        <w:rFonts w:ascii="Courier New" w:hAnsi="Courier New" w:hint="default"/>
      </w:rPr>
    </w:lvl>
    <w:lvl w:ilvl="8" w:tplc="123A99F0" w:tentative="1">
      <w:start w:val="1"/>
      <w:numFmt w:val="bullet"/>
      <w:lvlText w:val=""/>
      <w:lvlJc w:val="left"/>
      <w:pPr>
        <w:tabs>
          <w:tab w:val="num" w:pos="7200"/>
        </w:tabs>
        <w:ind w:left="7200" w:hanging="360"/>
      </w:pPr>
      <w:rPr>
        <w:rFonts w:ascii="Wingdings" w:hAnsi="Wingdings" w:hint="default"/>
      </w:rPr>
    </w:lvl>
  </w:abstractNum>
  <w:abstractNum w:abstractNumId="24">
    <w:nsid w:val="3A0A51AF"/>
    <w:multiLevelType w:val="hybridMultilevel"/>
    <w:tmpl w:val="C680CD22"/>
    <w:lvl w:ilvl="0" w:tplc="0C090001">
      <w:start w:val="1"/>
      <w:numFmt w:val="bullet"/>
      <w:lvlText w:val=""/>
      <w:lvlJc w:val="left"/>
      <w:pPr>
        <w:ind w:left="720" w:hanging="360"/>
      </w:pPr>
      <w:rPr>
        <w:rFonts w:ascii="Symbol" w:hAnsi="Symbol" w:hint="default"/>
      </w:rPr>
    </w:lvl>
    <w:lvl w:ilvl="1" w:tplc="6E7AB92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C52461"/>
    <w:multiLevelType w:val="hybridMultilevel"/>
    <w:tmpl w:val="A2147C00"/>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CFD6538"/>
    <w:multiLevelType w:val="hybridMultilevel"/>
    <w:tmpl w:val="BE904C6E"/>
    <w:lvl w:ilvl="0" w:tplc="0C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E910C5F"/>
    <w:multiLevelType w:val="hybridMultilevel"/>
    <w:tmpl w:val="9B4C3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1AD504A"/>
    <w:multiLevelType w:val="hybridMultilevel"/>
    <w:tmpl w:val="230E5BDC"/>
    <w:lvl w:ilvl="0" w:tplc="3D16014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41A5EDE"/>
    <w:multiLevelType w:val="hybridMultilevel"/>
    <w:tmpl w:val="5038CC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45BD22E7"/>
    <w:multiLevelType w:val="hybridMultilevel"/>
    <w:tmpl w:val="47948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2990F2B"/>
    <w:multiLevelType w:val="hybridMultilevel"/>
    <w:tmpl w:val="2D2C7A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30B0171"/>
    <w:multiLevelType w:val="hybridMultilevel"/>
    <w:tmpl w:val="CFE62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6473681"/>
    <w:multiLevelType w:val="hybridMultilevel"/>
    <w:tmpl w:val="40C4F14E"/>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6803B36"/>
    <w:multiLevelType w:val="hybridMultilevel"/>
    <w:tmpl w:val="6A1E59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6985C3A"/>
    <w:multiLevelType w:val="hybridMultilevel"/>
    <w:tmpl w:val="CE341FEC"/>
    <w:lvl w:ilvl="0" w:tplc="F4726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F34097"/>
    <w:multiLevelType w:val="hybridMultilevel"/>
    <w:tmpl w:val="21AE5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9DE62CB"/>
    <w:multiLevelType w:val="hybridMultilevel"/>
    <w:tmpl w:val="BA98FA6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A4F6284"/>
    <w:multiLevelType w:val="hybridMultilevel"/>
    <w:tmpl w:val="F52C5B00"/>
    <w:lvl w:ilvl="0" w:tplc="FDCAD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ABC15C4"/>
    <w:multiLevelType w:val="hybridMultilevel"/>
    <w:tmpl w:val="6998635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nsid w:val="5B3A1738"/>
    <w:multiLevelType w:val="hybridMultilevel"/>
    <w:tmpl w:val="DAF45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F84EC4"/>
    <w:multiLevelType w:val="hybridMultilevel"/>
    <w:tmpl w:val="15B4F6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45">
    <w:nsid w:val="5E325CB6"/>
    <w:multiLevelType w:val="hybridMultilevel"/>
    <w:tmpl w:val="133A003E"/>
    <w:lvl w:ilvl="0" w:tplc="0C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EAC3E90"/>
    <w:multiLevelType w:val="hybridMultilevel"/>
    <w:tmpl w:val="D2524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F4658F4"/>
    <w:multiLevelType w:val="hybridMultilevel"/>
    <w:tmpl w:val="D15C2B8C"/>
    <w:lvl w:ilvl="0" w:tplc="F93866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2133452"/>
    <w:multiLevelType w:val="hybridMultilevel"/>
    <w:tmpl w:val="1F2C61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2A0656D"/>
    <w:multiLevelType w:val="hybridMultilevel"/>
    <w:tmpl w:val="A94689F6"/>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3FD3542"/>
    <w:multiLevelType w:val="hybridMultilevel"/>
    <w:tmpl w:val="EC925B1C"/>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BB4F72"/>
    <w:multiLevelType w:val="hybridMultilevel"/>
    <w:tmpl w:val="40323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FD64040"/>
    <w:multiLevelType w:val="hybridMultilevel"/>
    <w:tmpl w:val="34C02F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nsid w:val="727657BF"/>
    <w:multiLevelType w:val="hybridMultilevel"/>
    <w:tmpl w:val="2714B666"/>
    <w:lvl w:ilvl="0" w:tplc="03B4819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nsid w:val="754C3237"/>
    <w:multiLevelType w:val="hybridMultilevel"/>
    <w:tmpl w:val="40CE8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82D2D4A"/>
    <w:multiLevelType w:val="hybridMultilevel"/>
    <w:tmpl w:val="3C669A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nsid w:val="78E82243"/>
    <w:multiLevelType w:val="hybridMultilevel"/>
    <w:tmpl w:val="5B50A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7EBC358B"/>
    <w:multiLevelType w:val="hybridMultilevel"/>
    <w:tmpl w:val="C932250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4"/>
  </w:num>
  <w:num w:numId="2">
    <w:abstractNumId w:val="7"/>
  </w:num>
  <w:num w:numId="3">
    <w:abstractNumId w:val="0"/>
    <w:lvlOverride w:ilvl="0">
      <w:lvl w:ilvl="0">
        <w:numFmt w:val="bullet"/>
        <w:lvlText w:val="•"/>
        <w:legacy w:legacy="1" w:legacySpace="0" w:legacyIndent="0"/>
        <w:lvlJc w:val="left"/>
        <w:rPr>
          <w:rFonts w:ascii="Helv" w:hAnsi="Helv" w:hint="default"/>
        </w:rPr>
      </w:lvl>
    </w:lvlOverride>
  </w:num>
  <w:num w:numId="4">
    <w:abstractNumId w:val="32"/>
  </w:num>
  <w:num w:numId="5">
    <w:abstractNumId w:val="4"/>
  </w:num>
  <w:num w:numId="6">
    <w:abstractNumId w:val="22"/>
  </w:num>
  <w:num w:numId="7">
    <w:abstractNumId w:val="55"/>
  </w:num>
  <w:num w:numId="8">
    <w:abstractNumId w:val="56"/>
  </w:num>
  <w:num w:numId="9">
    <w:abstractNumId w:val="49"/>
  </w:num>
  <w:num w:numId="10">
    <w:abstractNumId w:val="9"/>
  </w:num>
  <w:num w:numId="11">
    <w:abstractNumId w:val="26"/>
  </w:num>
  <w:num w:numId="12">
    <w:abstractNumId w:val="48"/>
  </w:num>
  <w:num w:numId="13">
    <w:abstractNumId w:val="33"/>
  </w:num>
  <w:num w:numId="14">
    <w:abstractNumId w:val="15"/>
  </w:num>
  <w:num w:numId="15">
    <w:abstractNumId w:val="51"/>
  </w:num>
  <w:num w:numId="16">
    <w:abstractNumId w:val="34"/>
  </w:num>
  <w:num w:numId="17">
    <w:abstractNumId w:val="6"/>
  </w:num>
  <w:num w:numId="18">
    <w:abstractNumId w:val="39"/>
  </w:num>
  <w:num w:numId="19">
    <w:abstractNumId w:val="25"/>
  </w:num>
  <w:num w:numId="20">
    <w:abstractNumId w:val="35"/>
  </w:num>
  <w:num w:numId="21">
    <w:abstractNumId w:val="50"/>
  </w:num>
  <w:num w:numId="22">
    <w:abstractNumId w:val="31"/>
  </w:num>
  <w:num w:numId="23">
    <w:abstractNumId w:val="58"/>
  </w:num>
  <w:num w:numId="24">
    <w:abstractNumId w:val="2"/>
  </w:num>
  <w:num w:numId="25">
    <w:abstractNumId w:val="47"/>
  </w:num>
  <w:num w:numId="26">
    <w:abstractNumId w:val="40"/>
  </w:num>
  <w:num w:numId="27">
    <w:abstractNumId w:val="10"/>
  </w:num>
  <w:num w:numId="28">
    <w:abstractNumId w:val="54"/>
  </w:num>
  <w:num w:numId="29">
    <w:abstractNumId w:val="16"/>
  </w:num>
  <w:num w:numId="30">
    <w:abstractNumId w:val="43"/>
  </w:num>
  <w:num w:numId="31">
    <w:abstractNumId w:val="23"/>
  </w:num>
  <w:num w:numId="32">
    <w:abstractNumId w:val="18"/>
  </w:num>
  <w:num w:numId="33">
    <w:abstractNumId w:val="29"/>
  </w:num>
  <w:num w:numId="34">
    <w:abstractNumId w:val="36"/>
  </w:num>
  <w:num w:numId="35">
    <w:abstractNumId w:val="27"/>
  </w:num>
  <w:num w:numId="36">
    <w:abstractNumId w:val="46"/>
  </w:num>
  <w:num w:numId="37">
    <w:abstractNumId w:val="37"/>
  </w:num>
  <w:num w:numId="38">
    <w:abstractNumId w:val="20"/>
  </w:num>
  <w:num w:numId="39">
    <w:abstractNumId w:val="19"/>
  </w:num>
  <w:num w:numId="40">
    <w:abstractNumId w:val="38"/>
  </w:num>
  <w:num w:numId="41">
    <w:abstractNumId w:val="14"/>
  </w:num>
  <w:num w:numId="42">
    <w:abstractNumId w:val="28"/>
  </w:num>
  <w:num w:numId="43">
    <w:abstractNumId w:val="21"/>
  </w:num>
  <w:num w:numId="44">
    <w:abstractNumId w:val="30"/>
  </w:num>
  <w:num w:numId="45">
    <w:abstractNumId w:val="5"/>
  </w:num>
  <w:num w:numId="46">
    <w:abstractNumId w:val="24"/>
  </w:num>
  <w:num w:numId="47">
    <w:abstractNumId w:val="8"/>
  </w:num>
  <w:num w:numId="48">
    <w:abstractNumId w:val="45"/>
  </w:num>
  <w:num w:numId="49">
    <w:abstractNumId w:val="3"/>
  </w:num>
  <w:num w:numId="50">
    <w:abstractNumId w:val="17"/>
  </w:num>
  <w:num w:numId="51">
    <w:abstractNumId w:val="41"/>
  </w:num>
  <w:num w:numId="52">
    <w:abstractNumId w:val="53"/>
  </w:num>
  <w:num w:numId="53">
    <w:abstractNumId w:val="12"/>
  </w:num>
  <w:num w:numId="54">
    <w:abstractNumId w:val="52"/>
  </w:num>
  <w:num w:numId="55">
    <w:abstractNumId w:val="11"/>
  </w:num>
  <w:num w:numId="56">
    <w:abstractNumId w:val="57"/>
  </w:num>
  <w:num w:numId="57">
    <w:abstractNumId w:val="13"/>
  </w:num>
  <w:num w:numId="58">
    <w:abstractNumId w:val="1"/>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fillcolor="white">
      <v:fill color="white"/>
      <v:stroke weight="2.25pt"/>
      <v:textbox inset="2.43839mm,1.2192mm,2.43839mm,1.2192mm"/>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Harvard-MSAC&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port.enl&lt;/item&gt;&lt;/Libraries&gt;&lt;/ENLibraries&gt;"/>
  </w:docVars>
  <w:rsids>
    <w:rsidRoot w:val="007761EB"/>
    <w:rsid w:val="00000326"/>
    <w:rsid w:val="000006B5"/>
    <w:rsid w:val="00000BEB"/>
    <w:rsid w:val="00000F69"/>
    <w:rsid w:val="00000FA9"/>
    <w:rsid w:val="0000136D"/>
    <w:rsid w:val="00001BBA"/>
    <w:rsid w:val="00001C3C"/>
    <w:rsid w:val="00001E31"/>
    <w:rsid w:val="00001F98"/>
    <w:rsid w:val="0000226A"/>
    <w:rsid w:val="0000228D"/>
    <w:rsid w:val="00002552"/>
    <w:rsid w:val="000028E9"/>
    <w:rsid w:val="000029F2"/>
    <w:rsid w:val="00002A36"/>
    <w:rsid w:val="00003287"/>
    <w:rsid w:val="00003831"/>
    <w:rsid w:val="0000430A"/>
    <w:rsid w:val="00004D16"/>
    <w:rsid w:val="00005257"/>
    <w:rsid w:val="000055D4"/>
    <w:rsid w:val="000056FA"/>
    <w:rsid w:val="00006627"/>
    <w:rsid w:val="00006641"/>
    <w:rsid w:val="00006694"/>
    <w:rsid w:val="000069A7"/>
    <w:rsid w:val="00006C74"/>
    <w:rsid w:val="00007456"/>
    <w:rsid w:val="000078F6"/>
    <w:rsid w:val="00007948"/>
    <w:rsid w:val="00007A44"/>
    <w:rsid w:val="00007C74"/>
    <w:rsid w:val="00007F2C"/>
    <w:rsid w:val="000106D2"/>
    <w:rsid w:val="0001085B"/>
    <w:rsid w:val="0001088E"/>
    <w:rsid w:val="000108EE"/>
    <w:rsid w:val="000109F3"/>
    <w:rsid w:val="00010BF8"/>
    <w:rsid w:val="000111D2"/>
    <w:rsid w:val="00011550"/>
    <w:rsid w:val="00011772"/>
    <w:rsid w:val="00011862"/>
    <w:rsid w:val="000118D2"/>
    <w:rsid w:val="00011B70"/>
    <w:rsid w:val="000120C4"/>
    <w:rsid w:val="000120DB"/>
    <w:rsid w:val="00012F35"/>
    <w:rsid w:val="000130D3"/>
    <w:rsid w:val="000133F9"/>
    <w:rsid w:val="000134C1"/>
    <w:rsid w:val="0001357B"/>
    <w:rsid w:val="0001365E"/>
    <w:rsid w:val="0001388D"/>
    <w:rsid w:val="00013934"/>
    <w:rsid w:val="000139D1"/>
    <w:rsid w:val="000139EB"/>
    <w:rsid w:val="00013B18"/>
    <w:rsid w:val="00013B46"/>
    <w:rsid w:val="00013DF6"/>
    <w:rsid w:val="00014736"/>
    <w:rsid w:val="000149C2"/>
    <w:rsid w:val="00014A66"/>
    <w:rsid w:val="00014EC1"/>
    <w:rsid w:val="0001563F"/>
    <w:rsid w:val="00015787"/>
    <w:rsid w:val="00015C26"/>
    <w:rsid w:val="00015E03"/>
    <w:rsid w:val="00016333"/>
    <w:rsid w:val="000165D8"/>
    <w:rsid w:val="0001667E"/>
    <w:rsid w:val="00016792"/>
    <w:rsid w:val="00016FDF"/>
    <w:rsid w:val="000171FD"/>
    <w:rsid w:val="00017327"/>
    <w:rsid w:val="00017B2B"/>
    <w:rsid w:val="00017BD7"/>
    <w:rsid w:val="00017CD0"/>
    <w:rsid w:val="00020C59"/>
    <w:rsid w:val="00020F15"/>
    <w:rsid w:val="00021072"/>
    <w:rsid w:val="000216C0"/>
    <w:rsid w:val="000219A9"/>
    <w:rsid w:val="0002211B"/>
    <w:rsid w:val="000222A1"/>
    <w:rsid w:val="0002230A"/>
    <w:rsid w:val="0002265C"/>
    <w:rsid w:val="000238ED"/>
    <w:rsid w:val="00023F4B"/>
    <w:rsid w:val="0002446C"/>
    <w:rsid w:val="00024813"/>
    <w:rsid w:val="00024819"/>
    <w:rsid w:val="00025187"/>
    <w:rsid w:val="0002581D"/>
    <w:rsid w:val="00025FC1"/>
    <w:rsid w:val="00026017"/>
    <w:rsid w:val="000266AD"/>
    <w:rsid w:val="0002695E"/>
    <w:rsid w:val="00026D6A"/>
    <w:rsid w:val="00027046"/>
    <w:rsid w:val="00027055"/>
    <w:rsid w:val="00027075"/>
    <w:rsid w:val="00027329"/>
    <w:rsid w:val="0002749F"/>
    <w:rsid w:val="00027B53"/>
    <w:rsid w:val="00027DDF"/>
    <w:rsid w:val="00027F1B"/>
    <w:rsid w:val="00030C76"/>
    <w:rsid w:val="00030E6F"/>
    <w:rsid w:val="00030FB4"/>
    <w:rsid w:val="00031005"/>
    <w:rsid w:val="000311A8"/>
    <w:rsid w:val="000313F3"/>
    <w:rsid w:val="00031882"/>
    <w:rsid w:val="00031A2C"/>
    <w:rsid w:val="000321D9"/>
    <w:rsid w:val="0003260D"/>
    <w:rsid w:val="000329AD"/>
    <w:rsid w:val="000332B3"/>
    <w:rsid w:val="00033E27"/>
    <w:rsid w:val="00034008"/>
    <w:rsid w:val="00034275"/>
    <w:rsid w:val="00034AE9"/>
    <w:rsid w:val="00034CFE"/>
    <w:rsid w:val="00035164"/>
    <w:rsid w:val="00035479"/>
    <w:rsid w:val="0003587F"/>
    <w:rsid w:val="0003595E"/>
    <w:rsid w:val="0003639B"/>
    <w:rsid w:val="000368B9"/>
    <w:rsid w:val="00036954"/>
    <w:rsid w:val="00036F0B"/>
    <w:rsid w:val="000373D6"/>
    <w:rsid w:val="000373E8"/>
    <w:rsid w:val="00037729"/>
    <w:rsid w:val="00037B2B"/>
    <w:rsid w:val="000404D4"/>
    <w:rsid w:val="00040640"/>
    <w:rsid w:val="000406B4"/>
    <w:rsid w:val="00040D41"/>
    <w:rsid w:val="0004109F"/>
    <w:rsid w:val="000414A2"/>
    <w:rsid w:val="00041867"/>
    <w:rsid w:val="00041ADB"/>
    <w:rsid w:val="00041B23"/>
    <w:rsid w:val="00041C5E"/>
    <w:rsid w:val="00041D22"/>
    <w:rsid w:val="00041D3D"/>
    <w:rsid w:val="00041D5E"/>
    <w:rsid w:val="0004253D"/>
    <w:rsid w:val="00042CAB"/>
    <w:rsid w:val="00042DBD"/>
    <w:rsid w:val="00042DC0"/>
    <w:rsid w:val="0004372A"/>
    <w:rsid w:val="00043965"/>
    <w:rsid w:val="00043C04"/>
    <w:rsid w:val="0004410B"/>
    <w:rsid w:val="00044B7A"/>
    <w:rsid w:val="00044F4F"/>
    <w:rsid w:val="00044F89"/>
    <w:rsid w:val="0004596C"/>
    <w:rsid w:val="00045C50"/>
    <w:rsid w:val="0004642F"/>
    <w:rsid w:val="00046E1D"/>
    <w:rsid w:val="00047843"/>
    <w:rsid w:val="00047BCC"/>
    <w:rsid w:val="00050563"/>
    <w:rsid w:val="000508A4"/>
    <w:rsid w:val="00050DAA"/>
    <w:rsid w:val="00051060"/>
    <w:rsid w:val="00051062"/>
    <w:rsid w:val="00051085"/>
    <w:rsid w:val="00051666"/>
    <w:rsid w:val="00051A96"/>
    <w:rsid w:val="00052434"/>
    <w:rsid w:val="00052741"/>
    <w:rsid w:val="0005287C"/>
    <w:rsid w:val="00052935"/>
    <w:rsid w:val="00052963"/>
    <w:rsid w:val="00052FBC"/>
    <w:rsid w:val="00053D0E"/>
    <w:rsid w:val="00054200"/>
    <w:rsid w:val="000545BA"/>
    <w:rsid w:val="00054C69"/>
    <w:rsid w:val="00054E18"/>
    <w:rsid w:val="00054EFB"/>
    <w:rsid w:val="000553BD"/>
    <w:rsid w:val="0005595E"/>
    <w:rsid w:val="00055E08"/>
    <w:rsid w:val="00055F12"/>
    <w:rsid w:val="00056684"/>
    <w:rsid w:val="000566E6"/>
    <w:rsid w:val="00056811"/>
    <w:rsid w:val="00056BE2"/>
    <w:rsid w:val="00056D63"/>
    <w:rsid w:val="00056ED1"/>
    <w:rsid w:val="000573AF"/>
    <w:rsid w:val="000600B2"/>
    <w:rsid w:val="00060142"/>
    <w:rsid w:val="000608FD"/>
    <w:rsid w:val="00060B82"/>
    <w:rsid w:val="00060E4F"/>
    <w:rsid w:val="000611A0"/>
    <w:rsid w:val="000613E7"/>
    <w:rsid w:val="00061A1C"/>
    <w:rsid w:val="00061A88"/>
    <w:rsid w:val="00061AF5"/>
    <w:rsid w:val="00061DB6"/>
    <w:rsid w:val="00062064"/>
    <w:rsid w:val="000625F7"/>
    <w:rsid w:val="00063167"/>
    <w:rsid w:val="00063311"/>
    <w:rsid w:val="0006338A"/>
    <w:rsid w:val="000637F0"/>
    <w:rsid w:val="0006384B"/>
    <w:rsid w:val="00063A3A"/>
    <w:rsid w:val="00063C88"/>
    <w:rsid w:val="00063CC4"/>
    <w:rsid w:val="00063F44"/>
    <w:rsid w:val="00063FE3"/>
    <w:rsid w:val="0006406E"/>
    <w:rsid w:val="0006422B"/>
    <w:rsid w:val="00064BF8"/>
    <w:rsid w:val="000650CB"/>
    <w:rsid w:val="0006531D"/>
    <w:rsid w:val="00065DCF"/>
    <w:rsid w:val="00066E7C"/>
    <w:rsid w:val="00067BF6"/>
    <w:rsid w:val="000700D5"/>
    <w:rsid w:val="000702DF"/>
    <w:rsid w:val="00070B1C"/>
    <w:rsid w:val="00070B84"/>
    <w:rsid w:val="00071527"/>
    <w:rsid w:val="000715CB"/>
    <w:rsid w:val="00071B67"/>
    <w:rsid w:val="00071BA0"/>
    <w:rsid w:val="00071D8A"/>
    <w:rsid w:val="00072199"/>
    <w:rsid w:val="0007284B"/>
    <w:rsid w:val="00072DC0"/>
    <w:rsid w:val="00073267"/>
    <w:rsid w:val="00073339"/>
    <w:rsid w:val="00073376"/>
    <w:rsid w:val="00073636"/>
    <w:rsid w:val="0007379A"/>
    <w:rsid w:val="00073882"/>
    <w:rsid w:val="000739E5"/>
    <w:rsid w:val="00073A8D"/>
    <w:rsid w:val="00073EC5"/>
    <w:rsid w:val="0007443E"/>
    <w:rsid w:val="00074ABF"/>
    <w:rsid w:val="00074F92"/>
    <w:rsid w:val="00075A7C"/>
    <w:rsid w:val="00076A45"/>
    <w:rsid w:val="00076A70"/>
    <w:rsid w:val="00076BF0"/>
    <w:rsid w:val="00076F32"/>
    <w:rsid w:val="00077247"/>
    <w:rsid w:val="000774DB"/>
    <w:rsid w:val="00077880"/>
    <w:rsid w:val="0008033F"/>
    <w:rsid w:val="000803B6"/>
    <w:rsid w:val="0008073D"/>
    <w:rsid w:val="000809D5"/>
    <w:rsid w:val="00080C6D"/>
    <w:rsid w:val="0008168D"/>
    <w:rsid w:val="000821BD"/>
    <w:rsid w:val="000822EA"/>
    <w:rsid w:val="0008260B"/>
    <w:rsid w:val="00082712"/>
    <w:rsid w:val="00082716"/>
    <w:rsid w:val="00082A35"/>
    <w:rsid w:val="00082C5A"/>
    <w:rsid w:val="00082CDD"/>
    <w:rsid w:val="00082E66"/>
    <w:rsid w:val="00082EC5"/>
    <w:rsid w:val="00083498"/>
    <w:rsid w:val="00083501"/>
    <w:rsid w:val="0008367E"/>
    <w:rsid w:val="000838C2"/>
    <w:rsid w:val="00083987"/>
    <w:rsid w:val="00083B85"/>
    <w:rsid w:val="0008410E"/>
    <w:rsid w:val="00084521"/>
    <w:rsid w:val="00084699"/>
    <w:rsid w:val="00084C62"/>
    <w:rsid w:val="00084CE9"/>
    <w:rsid w:val="00085282"/>
    <w:rsid w:val="00085314"/>
    <w:rsid w:val="000859EA"/>
    <w:rsid w:val="00085C31"/>
    <w:rsid w:val="0008602A"/>
    <w:rsid w:val="000868BD"/>
    <w:rsid w:val="000869F6"/>
    <w:rsid w:val="00086DB8"/>
    <w:rsid w:val="00087F4E"/>
    <w:rsid w:val="00090330"/>
    <w:rsid w:val="000903F9"/>
    <w:rsid w:val="000905F4"/>
    <w:rsid w:val="00090904"/>
    <w:rsid w:val="00090AA3"/>
    <w:rsid w:val="00090AE4"/>
    <w:rsid w:val="00090BD2"/>
    <w:rsid w:val="00090DDE"/>
    <w:rsid w:val="00090EF8"/>
    <w:rsid w:val="00091296"/>
    <w:rsid w:val="00091667"/>
    <w:rsid w:val="000917C7"/>
    <w:rsid w:val="00091989"/>
    <w:rsid w:val="000919D7"/>
    <w:rsid w:val="00091A2F"/>
    <w:rsid w:val="00091D10"/>
    <w:rsid w:val="00092236"/>
    <w:rsid w:val="000925A4"/>
    <w:rsid w:val="00092825"/>
    <w:rsid w:val="00092A35"/>
    <w:rsid w:val="00092CFA"/>
    <w:rsid w:val="0009327A"/>
    <w:rsid w:val="000933B3"/>
    <w:rsid w:val="000933E6"/>
    <w:rsid w:val="0009362A"/>
    <w:rsid w:val="000937B3"/>
    <w:rsid w:val="000939B9"/>
    <w:rsid w:val="00093C9A"/>
    <w:rsid w:val="00094568"/>
    <w:rsid w:val="00094977"/>
    <w:rsid w:val="00094D06"/>
    <w:rsid w:val="000952FA"/>
    <w:rsid w:val="00096BD5"/>
    <w:rsid w:val="00096C41"/>
    <w:rsid w:val="00096C4D"/>
    <w:rsid w:val="0009782F"/>
    <w:rsid w:val="000979E6"/>
    <w:rsid w:val="00097AAC"/>
    <w:rsid w:val="00097B76"/>
    <w:rsid w:val="000A0146"/>
    <w:rsid w:val="000A051D"/>
    <w:rsid w:val="000A0790"/>
    <w:rsid w:val="000A07CB"/>
    <w:rsid w:val="000A0C9C"/>
    <w:rsid w:val="000A1298"/>
    <w:rsid w:val="000A13F7"/>
    <w:rsid w:val="000A1508"/>
    <w:rsid w:val="000A1D85"/>
    <w:rsid w:val="000A217F"/>
    <w:rsid w:val="000A2278"/>
    <w:rsid w:val="000A3578"/>
    <w:rsid w:val="000A39F4"/>
    <w:rsid w:val="000A3AAF"/>
    <w:rsid w:val="000A3F8D"/>
    <w:rsid w:val="000A463C"/>
    <w:rsid w:val="000A4DF3"/>
    <w:rsid w:val="000A54AD"/>
    <w:rsid w:val="000A55B4"/>
    <w:rsid w:val="000A59A6"/>
    <w:rsid w:val="000A5AEE"/>
    <w:rsid w:val="000A5CE8"/>
    <w:rsid w:val="000A5DB5"/>
    <w:rsid w:val="000A5FE3"/>
    <w:rsid w:val="000A612B"/>
    <w:rsid w:val="000A6C01"/>
    <w:rsid w:val="000A7AEC"/>
    <w:rsid w:val="000B0364"/>
    <w:rsid w:val="000B0522"/>
    <w:rsid w:val="000B0530"/>
    <w:rsid w:val="000B06C4"/>
    <w:rsid w:val="000B1434"/>
    <w:rsid w:val="000B1F56"/>
    <w:rsid w:val="000B23EA"/>
    <w:rsid w:val="000B274D"/>
    <w:rsid w:val="000B2CF2"/>
    <w:rsid w:val="000B2DCA"/>
    <w:rsid w:val="000B2E4B"/>
    <w:rsid w:val="000B30A2"/>
    <w:rsid w:val="000B31EE"/>
    <w:rsid w:val="000B3829"/>
    <w:rsid w:val="000B3CA5"/>
    <w:rsid w:val="000B414C"/>
    <w:rsid w:val="000B4253"/>
    <w:rsid w:val="000B4BDC"/>
    <w:rsid w:val="000B508C"/>
    <w:rsid w:val="000B59FC"/>
    <w:rsid w:val="000B5C7B"/>
    <w:rsid w:val="000B5D81"/>
    <w:rsid w:val="000B5E82"/>
    <w:rsid w:val="000B74E9"/>
    <w:rsid w:val="000B7DFE"/>
    <w:rsid w:val="000B7F5D"/>
    <w:rsid w:val="000C0364"/>
    <w:rsid w:val="000C04C1"/>
    <w:rsid w:val="000C0555"/>
    <w:rsid w:val="000C0684"/>
    <w:rsid w:val="000C06E6"/>
    <w:rsid w:val="000C10BA"/>
    <w:rsid w:val="000C1599"/>
    <w:rsid w:val="000C1747"/>
    <w:rsid w:val="000C193E"/>
    <w:rsid w:val="000C226B"/>
    <w:rsid w:val="000C2548"/>
    <w:rsid w:val="000C32A4"/>
    <w:rsid w:val="000C3B1F"/>
    <w:rsid w:val="000C3CDE"/>
    <w:rsid w:val="000C4137"/>
    <w:rsid w:val="000C44CA"/>
    <w:rsid w:val="000C450D"/>
    <w:rsid w:val="000C4B74"/>
    <w:rsid w:val="000C53B8"/>
    <w:rsid w:val="000C594B"/>
    <w:rsid w:val="000C5A70"/>
    <w:rsid w:val="000C5F36"/>
    <w:rsid w:val="000C5F5E"/>
    <w:rsid w:val="000C5F74"/>
    <w:rsid w:val="000C61C5"/>
    <w:rsid w:val="000C64DE"/>
    <w:rsid w:val="000C7C44"/>
    <w:rsid w:val="000C7F6A"/>
    <w:rsid w:val="000D0128"/>
    <w:rsid w:val="000D04F4"/>
    <w:rsid w:val="000D052D"/>
    <w:rsid w:val="000D0530"/>
    <w:rsid w:val="000D09FA"/>
    <w:rsid w:val="000D0A88"/>
    <w:rsid w:val="000D1026"/>
    <w:rsid w:val="000D12A1"/>
    <w:rsid w:val="000D13CD"/>
    <w:rsid w:val="000D180A"/>
    <w:rsid w:val="000D186C"/>
    <w:rsid w:val="000D18A2"/>
    <w:rsid w:val="000D1C4C"/>
    <w:rsid w:val="000D2B6B"/>
    <w:rsid w:val="000D2D89"/>
    <w:rsid w:val="000D2E96"/>
    <w:rsid w:val="000D2EB6"/>
    <w:rsid w:val="000D34EB"/>
    <w:rsid w:val="000D3AD0"/>
    <w:rsid w:val="000D3E93"/>
    <w:rsid w:val="000D3EF2"/>
    <w:rsid w:val="000D420A"/>
    <w:rsid w:val="000D42A1"/>
    <w:rsid w:val="000D4324"/>
    <w:rsid w:val="000D4AB6"/>
    <w:rsid w:val="000D4AF7"/>
    <w:rsid w:val="000D4D83"/>
    <w:rsid w:val="000D4DFE"/>
    <w:rsid w:val="000D4E88"/>
    <w:rsid w:val="000D4FCE"/>
    <w:rsid w:val="000D50CD"/>
    <w:rsid w:val="000D5A53"/>
    <w:rsid w:val="000D5AF8"/>
    <w:rsid w:val="000D60AA"/>
    <w:rsid w:val="000D63F9"/>
    <w:rsid w:val="000D6684"/>
    <w:rsid w:val="000D6840"/>
    <w:rsid w:val="000D685C"/>
    <w:rsid w:val="000D708E"/>
    <w:rsid w:val="000D7828"/>
    <w:rsid w:val="000E02D8"/>
    <w:rsid w:val="000E073C"/>
    <w:rsid w:val="000E09A4"/>
    <w:rsid w:val="000E0BB6"/>
    <w:rsid w:val="000E0D09"/>
    <w:rsid w:val="000E125E"/>
    <w:rsid w:val="000E1439"/>
    <w:rsid w:val="000E145B"/>
    <w:rsid w:val="000E1520"/>
    <w:rsid w:val="000E1D12"/>
    <w:rsid w:val="000E2864"/>
    <w:rsid w:val="000E28E9"/>
    <w:rsid w:val="000E2E02"/>
    <w:rsid w:val="000E2EDC"/>
    <w:rsid w:val="000E357B"/>
    <w:rsid w:val="000E362B"/>
    <w:rsid w:val="000E398C"/>
    <w:rsid w:val="000E551B"/>
    <w:rsid w:val="000E5C5C"/>
    <w:rsid w:val="000E5DEE"/>
    <w:rsid w:val="000E5E5C"/>
    <w:rsid w:val="000E5EAC"/>
    <w:rsid w:val="000E6179"/>
    <w:rsid w:val="000E6387"/>
    <w:rsid w:val="000E63DD"/>
    <w:rsid w:val="000E6C55"/>
    <w:rsid w:val="000E6D66"/>
    <w:rsid w:val="000E7B84"/>
    <w:rsid w:val="000F0975"/>
    <w:rsid w:val="000F0C54"/>
    <w:rsid w:val="000F0D08"/>
    <w:rsid w:val="000F0FE3"/>
    <w:rsid w:val="000F198D"/>
    <w:rsid w:val="000F1EEA"/>
    <w:rsid w:val="000F1FA8"/>
    <w:rsid w:val="000F21E3"/>
    <w:rsid w:val="000F3C8B"/>
    <w:rsid w:val="000F3D4F"/>
    <w:rsid w:val="000F4454"/>
    <w:rsid w:val="000F4537"/>
    <w:rsid w:val="000F45EE"/>
    <w:rsid w:val="000F4A48"/>
    <w:rsid w:val="000F4CB0"/>
    <w:rsid w:val="000F50C5"/>
    <w:rsid w:val="000F5C4A"/>
    <w:rsid w:val="000F5E71"/>
    <w:rsid w:val="000F5FC9"/>
    <w:rsid w:val="000F640C"/>
    <w:rsid w:val="000F66F8"/>
    <w:rsid w:val="000F67F9"/>
    <w:rsid w:val="000F6D1C"/>
    <w:rsid w:val="000F7416"/>
    <w:rsid w:val="000F76EF"/>
    <w:rsid w:val="000F7AAA"/>
    <w:rsid w:val="000F7BEE"/>
    <w:rsid w:val="000F7C32"/>
    <w:rsid w:val="000F7FD2"/>
    <w:rsid w:val="00100186"/>
    <w:rsid w:val="001001F0"/>
    <w:rsid w:val="00100281"/>
    <w:rsid w:val="001005AA"/>
    <w:rsid w:val="00100719"/>
    <w:rsid w:val="00100BBB"/>
    <w:rsid w:val="00101567"/>
    <w:rsid w:val="00101DAF"/>
    <w:rsid w:val="00101EA6"/>
    <w:rsid w:val="001024C0"/>
    <w:rsid w:val="001024FE"/>
    <w:rsid w:val="0010271E"/>
    <w:rsid w:val="00102752"/>
    <w:rsid w:val="00102ACE"/>
    <w:rsid w:val="00102BF9"/>
    <w:rsid w:val="00102C26"/>
    <w:rsid w:val="00103470"/>
    <w:rsid w:val="0010377A"/>
    <w:rsid w:val="00103FE2"/>
    <w:rsid w:val="0010407C"/>
    <w:rsid w:val="00104433"/>
    <w:rsid w:val="0010473C"/>
    <w:rsid w:val="001053AD"/>
    <w:rsid w:val="001054C6"/>
    <w:rsid w:val="001059C5"/>
    <w:rsid w:val="001061BB"/>
    <w:rsid w:val="001064DF"/>
    <w:rsid w:val="00106CAC"/>
    <w:rsid w:val="00106D5A"/>
    <w:rsid w:val="00107317"/>
    <w:rsid w:val="00107E45"/>
    <w:rsid w:val="00107FAE"/>
    <w:rsid w:val="00110763"/>
    <w:rsid w:val="00110A66"/>
    <w:rsid w:val="00111342"/>
    <w:rsid w:val="00111376"/>
    <w:rsid w:val="00111444"/>
    <w:rsid w:val="00111A9D"/>
    <w:rsid w:val="00111FD8"/>
    <w:rsid w:val="00112396"/>
    <w:rsid w:val="0011256D"/>
    <w:rsid w:val="00112EAA"/>
    <w:rsid w:val="001131C7"/>
    <w:rsid w:val="001140D8"/>
    <w:rsid w:val="00114614"/>
    <w:rsid w:val="00114A80"/>
    <w:rsid w:val="00114A88"/>
    <w:rsid w:val="0011511D"/>
    <w:rsid w:val="0011532F"/>
    <w:rsid w:val="00115FCC"/>
    <w:rsid w:val="0011604E"/>
    <w:rsid w:val="00116480"/>
    <w:rsid w:val="001166BA"/>
    <w:rsid w:val="001166E9"/>
    <w:rsid w:val="00116FF7"/>
    <w:rsid w:val="00117291"/>
    <w:rsid w:val="00117514"/>
    <w:rsid w:val="001176B4"/>
    <w:rsid w:val="001178D8"/>
    <w:rsid w:val="0011795F"/>
    <w:rsid w:val="00117C27"/>
    <w:rsid w:val="00117D72"/>
    <w:rsid w:val="0012075C"/>
    <w:rsid w:val="00120EA6"/>
    <w:rsid w:val="001214B2"/>
    <w:rsid w:val="00121562"/>
    <w:rsid w:val="001217CB"/>
    <w:rsid w:val="00121E37"/>
    <w:rsid w:val="00122253"/>
    <w:rsid w:val="00122BFE"/>
    <w:rsid w:val="00122FB0"/>
    <w:rsid w:val="00123032"/>
    <w:rsid w:val="0012306C"/>
    <w:rsid w:val="001233B6"/>
    <w:rsid w:val="00123707"/>
    <w:rsid w:val="001237B2"/>
    <w:rsid w:val="00123994"/>
    <w:rsid w:val="001246F3"/>
    <w:rsid w:val="00124B78"/>
    <w:rsid w:val="00124D5D"/>
    <w:rsid w:val="00124EA4"/>
    <w:rsid w:val="00125441"/>
    <w:rsid w:val="00125613"/>
    <w:rsid w:val="00125879"/>
    <w:rsid w:val="00125C85"/>
    <w:rsid w:val="00125D53"/>
    <w:rsid w:val="00125D96"/>
    <w:rsid w:val="00125FE7"/>
    <w:rsid w:val="0012607A"/>
    <w:rsid w:val="00126943"/>
    <w:rsid w:val="00126AC6"/>
    <w:rsid w:val="00126DE3"/>
    <w:rsid w:val="00126EBB"/>
    <w:rsid w:val="00126EFA"/>
    <w:rsid w:val="00127363"/>
    <w:rsid w:val="001273B6"/>
    <w:rsid w:val="001302CC"/>
    <w:rsid w:val="0013042C"/>
    <w:rsid w:val="00130648"/>
    <w:rsid w:val="00130AD5"/>
    <w:rsid w:val="00130D24"/>
    <w:rsid w:val="0013111A"/>
    <w:rsid w:val="001320D1"/>
    <w:rsid w:val="00132286"/>
    <w:rsid w:val="001324EC"/>
    <w:rsid w:val="00132CA0"/>
    <w:rsid w:val="00133128"/>
    <w:rsid w:val="0013322A"/>
    <w:rsid w:val="001333E5"/>
    <w:rsid w:val="00133A13"/>
    <w:rsid w:val="00134344"/>
    <w:rsid w:val="001346B4"/>
    <w:rsid w:val="001349E0"/>
    <w:rsid w:val="001353E6"/>
    <w:rsid w:val="00135419"/>
    <w:rsid w:val="001354DE"/>
    <w:rsid w:val="00135585"/>
    <w:rsid w:val="00135741"/>
    <w:rsid w:val="001358F1"/>
    <w:rsid w:val="00135D28"/>
    <w:rsid w:val="00135E02"/>
    <w:rsid w:val="0013630C"/>
    <w:rsid w:val="00136961"/>
    <w:rsid w:val="00136E0D"/>
    <w:rsid w:val="0013708B"/>
    <w:rsid w:val="00137135"/>
    <w:rsid w:val="001372D7"/>
    <w:rsid w:val="00137928"/>
    <w:rsid w:val="00140185"/>
    <w:rsid w:val="00140573"/>
    <w:rsid w:val="00140C12"/>
    <w:rsid w:val="00140F50"/>
    <w:rsid w:val="00141210"/>
    <w:rsid w:val="001412E5"/>
    <w:rsid w:val="001415B8"/>
    <w:rsid w:val="0014188E"/>
    <w:rsid w:val="001419BB"/>
    <w:rsid w:val="00141D60"/>
    <w:rsid w:val="0014254D"/>
    <w:rsid w:val="00142BE7"/>
    <w:rsid w:val="001431A4"/>
    <w:rsid w:val="001433BE"/>
    <w:rsid w:val="001434D4"/>
    <w:rsid w:val="00143A58"/>
    <w:rsid w:val="00143DB1"/>
    <w:rsid w:val="00143DDC"/>
    <w:rsid w:val="001442F1"/>
    <w:rsid w:val="001443D8"/>
    <w:rsid w:val="0014499A"/>
    <w:rsid w:val="00144A0B"/>
    <w:rsid w:val="00144D58"/>
    <w:rsid w:val="0014524F"/>
    <w:rsid w:val="00145259"/>
    <w:rsid w:val="00145798"/>
    <w:rsid w:val="001458BC"/>
    <w:rsid w:val="00145A91"/>
    <w:rsid w:val="00145AE0"/>
    <w:rsid w:val="001461D2"/>
    <w:rsid w:val="001465EA"/>
    <w:rsid w:val="00146C81"/>
    <w:rsid w:val="00146CD6"/>
    <w:rsid w:val="0014710C"/>
    <w:rsid w:val="0014750D"/>
    <w:rsid w:val="001475B4"/>
    <w:rsid w:val="001479B1"/>
    <w:rsid w:val="00147A5E"/>
    <w:rsid w:val="00147BFF"/>
    <w:rsid w:val="00147FB2"/>
    <w:rsid w:val="00150300"/>
    <w:rsid w:val="00150318"/>
    <w:rsid w:val="0015033A"/>
    <w:rsid w:val="001503B1"/>
    <w:rsid w:val="00150675"/>
    <w:rsid w:val="00151D89"/>
    <w:rsid w:val="00152100"/>
    <w:rsid w:val="0015259A"/>
    <w:rsid w:val="001525DB"/>
    <w:rsid w:val="001530D6"/>
    <w:rsid w:val="00153514"/>
    <w:rsid w:val="00153C4D"/>
    <w:rsid w:val="00154283"/>
    <w:rsid w:val="001544FF"/>
    <w:rsid w:val="00154567"/>
    <w:rsid w:val="00154934"/>
    <w:rsid w:val="0015496C"/>
    <w:rsid w:val="00154B49"/>
    <w:rsid w:val="001550E8"/>
    <w:rsid w:val="00155135"/>
    <w:rsid w:val="001555D6"/>
    <w:rsid w:val="00155999"/>
    <w:rsid w:val="00155C87"/>
    <w:rsid w:val="00156859"/>
    <w:rsid w:val="00156D16"/>
    <w:rsid w:val="00157BEF"/>
    <w:rsid w:val="00157DCC"/>
    <w:rsid w:val="00157E3C"/>
    <w:rsid w:val="001600FB"/>
    <w:rsid w:val="00160452"/>
    <w:rsid w:val="00160761"/>
    <w:rsid w:val="00160D13"/>
    <w:rsid w:val="00160E43"/>
    <w:rsid w:val="00161324"/>
    <w:rsid w:val="001614DB"/>
    <w:rsid w:val="00161A0D"/>
    <w:rsid w:val="00162196"/>
    <w:rsid w:val="0016230E"/>
    <w:rsid w:val="0016247E"/>
    <w:rsid w:val="001624A7"/>
    <w:rsid w:val="00162B33"/>
    <w:rsid w:val="00163D85"/>
    <w:rsid w:val="00163F13"/>
    <w:rsid w:val="00163F6F"/>
    <w:rsid w:val="0016433D"/>
    <w:rsid w:val="001643E4"/>
    <w:rsid w:val="001645B3"/>
    <w:rsid w:val="001647C1"/>
    <w:rsid w:val="00164EDF"/>
    <w:rsid w:val="001652C9"/>
    <w:rsid w:val="001654F6"/>
    <w:rsid w:val="00165813"/>
    <w:rsid w:val="0016686F"/>
    <w:rsid w:val="00166D79"/>
    <w:rsid w:val="00167793"/>
    <w:rsid w:val="00167B2A"/>
    <w:rsid w:val="00167E78"/>
    <w:rsid w:val="001705B7"/>
    <w:rsid w:val="0017093A"/>
    <w:rsid w:val="00170CD1"/>
    <w:rsid w:val="00170CEB"/>
    <w:rsid w:val="00170DBB"/>
    <w:rsid w:val="00171806"/>
    <w:rsid w:val="00171A53"/>
    <w:rsid w:val="00171CFA"/>
    <w:rsid w:val="00171FC7"/>
    <w:rsid w:val="00172021"/>
    <w:rsid w:val="001722D3"/>
    <w:rsid w:val="00172ADB"/>
    <w:rsid w:val="00172D3B"/>
    <w:rsid w:val="00172FA1"/>
    <w:rsid w:val="00173048"/>
    <w:rsid w:val="0017367D"/>
    <w:rsid w:val="00174468"/>
    <w:rsid w:val="00174CBB"/>
    <w:rsid w:val="00175429"/>
    <w:rsid w:val="001755CA"/>
    <w:rsid w:val="00175901"/>
    <w:rsid w:val="00175B26"/>
    <w:rsid w:val="00175C88"/>
    <w:rsid w:val="00175E7A"/>
    <w:rsid w:val="00176377"/>
    <w:rsid w:val="0017656A"/>
    <w:rsid w:val="00176716"/>
    <w:rsid w:val="001767FB"/>
    <w:rsid w:val="00176BA6"/>
    <w:rsid w:val="00176C84"/>
    <w:rsid w:val="00177142"/>
    <w:rsid w:val="00177230"/>
    <w:rsid w:val="001774BF"/>
    <w:rsid w:val="00177770"/>
    <w:rsid w:val="00177BE4"/>
    <w:rsid w:val="00177FF7"/>
    <w:rsid w:val="00180295"/>
    <w:rsid w:val="00180A95"/>
    <w:rsid w:val="001810C7"/>
    <w:rsid w:val="001814EC"/>
    <w:rsid w:val="00181725"/>
    <w:rsid w:val="00181942"/>
    <w:rsid w:val="00181AB2"/>
    <w:rsid w:val="00181ADE"/>
    <w:rsid w:val="00181B0D"/>
    <w:rsid w:val="00181B39"/>
    <w:rsid w:val="0018224C"/>
    <w:rsid w:val="001822C4"/>
    <w:rsid w:val="00182D1F"/>
    <w:rsid w:val="00182E64"/>
    <w:rsid w:val="00182ED0"/>
    <w:rsid w:val="0018308E"/>
    <w:rsid w:val="00183A45"/>
    <w:rsid w:val="00183A8F"/>
    <w:rsid w:val="00183B2F"/>
    <w:rsid w:val="00183FF4"/>
    <w:rsid w:val="00184148"/>
    <w:rsid w:val="0018480C"/>
    <w:rsid w:val="00184C7D"/>
    <w:rsid w:val="00184D73"/>
    <w:rsid w:val="001850C0"/>
    <w:rsid w:val="00185497"/>
    <w:rsid w:val="00185966"/>
    <w:rsid w:val="00185A14"/>
    <w:rsid w:val="00185AAE"/>
    <w:rsid w:val="00185DC1"/>
    <w:rsid w:val="00185E19"/>
    <w:rsid w:val="00186148"/>
    <w:rsid w:val="00186246"/>
    <w:rsid w:val="00186AA4"/>
    <w:rsid w:val="00186B6C"/>
    <w:rsid w:val="00186C9F"/>
    <w:rsid w:val="00187020"/>
    <w:rsid w:val="001870D1"/>
    <w:rsid w:val="00187488"/>
    <w:rsid w:val="00187CF5"/>
    <w:rsid w:val="00190C3B"/>
    <w:rsid w:val="00190D6F"/>
    <w:rsid w:val="00190E47"/>
    <w:rsid w:val="00190E57"/>
    <w:rsid w:val="0019101B"/>
    <w:rsid w:val="001913A6"/>
    <w:rsid w:val="00191468"/>
    <w:rsid w:val="00191577"/>
    <w:rsid w:val="00191824"/>
    <w:rsid w:val="00192AA4"/>
    <w:rsid w:val="00192B76"/>
    <w:rsid w:val="001930AF"/>
    <w:rsid w:val="001932BF"/>
    <w:rsid w:val="001937F6"/>
    <w:rsid w:val="00193AB1"/>
    <w:rsid w:val="00193EC8"/>
    <w:rsid w:val="00194025"/>
    <w:rsid w:val="001941FC"/>
    <w:rsid w:val="001949E9"/>
    <w:rsid w:val="0019554C"/>
    <w:rsid w:val="0019593B"/>
    <w:rsid w:val="00196972"/>
    <w:rsid w:val="00196B22"/>
    <w:rsid w:val="00196EED"/>
    <w:rsid w:val="00196F63"/>
    <w:rsid w:val="00197117"/>
    <w:rsid w:val="0019734B"/>
    <w:rsid w:val="001A0148"/>
    <w:rsid w:val="001A025D"/>
    <w:rsid w:val="001A0BAC"/>
    <w:rsid w:val="001A12A4"/>
    <w:rsid w:val="001A140C"/>
    <w:rsid w:val="001A1623"/>
    <w:rsid w:val="001A1C91"/>
    <w:rsid w:val="001A222C"/>
    <w:rsid w:val="001A2CC1"/>
    <w:rsid w:val="001A2FFC"/>
    <w:rsid w:val="001A3113"/>
    <w:rsid w:val="001A3319"/>
    <w:rsid w:val="001A43AC"/>
    <w:rsid w:val="001A444E"/>
    <w:rsid w:val="001A482E"/>
    <w:rsid w:val="001A4FAC"/>
    <w:rsid w:val="001A512F"/>
    <w:rsid w:val="001A532F"/>
    <w:rsid w:val="001A589C"/>
    <w:rsid w:val="001A5C3F"/>
    <w:rsid w:val="001A6B50"/>
    <w:rsid w:val="001A6B5E"/>
    <w:rsid w:val="001A6CD8"/>
    <w:rsid w:val="001A73C9"/>
    <w:rsid w:val="001B1AE3"/>
    <w:rsid w:val="001B20D1"/>
    <w:rsid w:val="001B25F4"/>
    <w:rsid w:val="001B279B"/>
    <w:rsid w:val="001B2A0B"/>
    <w:rsid w:val="001B2A7E"/>
    <w:rsid w:val="001B30E7"/>
    <w:rsid w:val="001B35B1"/>
    <w:rsid w:val="001B3A2C"/>
    <w:rsid w:val="001B3F34"/>
    <w:rsid w:val="001B45BF"/>
    <w:rsid w:val="001B4954"/>
    <w:rsid w:val="001B49EA"/>
    <w:rsid w:val="001B4C72"/>
    <w:rsid w:val="001B4CC7"/>
    <w:rsid w:val="001B4DDE"/>
    <w:rsid w:val="001B4E96"/>
    <w:rsid w:val="001B51C9"/>
    <w:rsid w:val="001B5B82"/>
    <w:rsid w:val="001B5EDE"/>
    <w:rsid w:val="001B7522"/>
    <w:rsid w:val="001C0441"/>
    <w:rsid w:val="001C0771"/>
    <w:rsid w:val="001C0F86"/>
    <w:rsid w:val="001C14DF"/>
    <w:rsid w:val="001C167B"/>
    <w:rsid w:val="001C18C3"/>
    <w:rsid w:val="001C197E"/>
    <w:rsid w:val="001C1A17"/>
    <w:rsid w:val="001C2E1E"/>
    <w:rsid w:val="001C307C"/>
    <w:rsid w:val="001C3A68"/>
    <w:rsid w:val="001C3C5F"/>
    <w:rsid w:val="001C3E29"/>
    <w:rsid w:val="001C4A9A"/>
    <w:rsid w:val="001C51B5"/>
    <w:rsid w:val="001C59D2"/>
    <w:rsid w:val="001C62B6"/>
    <w:rsid w:val="001C69A9"/>
    <w:rsid w:val="001C69AC"/>
    <w:rsid w:val="001C6A22"/>
    <w:rsid w:val="001C6D80"/>
    <w:rsid w:val="001C6FDB"/>
    <w:rsid w:val="001C7B87"/>
    <w:rsid w:val="001C7BB5"/>
    <w:rsid w:val="001C7F80"/>
    <w:rsid w:val="001D0548"/>
    <w:rsid w:val="001D08EE"/>
    <w:rsid w:val="001D102B"/>
    <w:rsid w:val="001D152F"/>
    <w:rsid w:val="001D169C"/>
    <w:rsid w:val="001D1AD6"/>
    <w:rsid w:val="001D1CC7"/>
    <w:rsid w:val="001D22EB"/>
    <w:rsid w:val="001D39D6"/>
    <w:rsid w:val="001D3A9B"/>
    <w:rsid w:val="001D3AA3"/>
    <w:rsid w:val="001D48F3"/>
    <w:rsid w:val="001D5016"/>
    <w:rsid w:val="001D519A"/>
    <w:rsid w:val="001D5263"/>
    <w:rsid w:val="001D5380"/>
    <w:rsid w:val="001D53EB"/>
    <w:rsid w:val="001D5ED3"/>
    <w:rsid w:val="001D62B4"/>
    <w:rsid w:val="001D6423"/>
    <w:rsid w:val="001D646C"/>
    <w:rsid w:val="001D6BA0"/>
    <w:rsid w:val="001D6C21"/>
    <w:rsid w:val="001D72AD"/>
    <w:rsid w:val="001D7564"/>
    <w:rsid w:val="001D77F5"/>
    <w:rsid w:val="001D7A5B"/>
    <w:rsid w:val="001D7CCE"/>
    <w:rsid w:val="001E025C"/>
    <w:rsid w:val="001E0C2D"/>
    <w:rsid w:val="001E0EC5"/>
    <w:rsid w:val="001E170A"/>
    <w:rsid w:val="001E17C1"/>
    <w:rsid w:val="001E196C"/>
    <w:rsid w:val="001E1A4B"/>
    <w:rsid w:val="001E1B6F"/>
    <w:rsid w:val="001E25DF"/>
    <w:rsid w:val="001E28D2"/>
    <w:rsid w:val="001E2DFB"/>
    <w:rsid w:val="001E308A"/>
    <w:rsid w:val="001E30D2"/>
    <w:rsid w:val="001E31F3"/>
    <w:rsid w:val="001E3578"/>
    <w:rsid w:val="001E3645"/>
    <w:rsid w:val="001E384A"/>
    <w:rsid w:val="001E3946"/>
    <w:rsid w:val="001E3963"/>
    <w:rsid w:val="001E3AA0"/>
    <w:rsid w:val="001E3F43"/>
    <w:rsid w:val="001E4722"/>
    <w:rsid w:val="001E4BD6"/>
    <w:rsid w:val="001E4F09"/>
    <w:rsid w:val="001E54C8"/>
    <w:rsid w:val="001E55CD"/>
    <w:rsid w:val="001E5BF0"/>
    <w:rsid w:val="001E5FD0"/>
    <w:rsid w:val="001E62E8"/>
    <w:rsid w:val="001E66FC"/>
    <w:rsid w:val="001E6807"/>
    <w:rsid w:val="001E6B4F"/>
    <w:rsid w:val="001E705F"/>
    <w:rsid w:val="001E709D"/>
    <w:rsid w:val="001E71F5"/>
    <w:rsid w:val="001E797B"/>
    <w:rsid w:val="001F0369"/>
    <w:rsid w:val="001F069E"/>
    <w:rsid w:val="001F0A87"/>
    <w:rsid w:val="001F0B51"/>
    <w:rsid w:val="001F117B"/>
    <w:rsid w:val="001F11EB"/>
    <w:rsid w:val="001F155F"/>
    <w:rsid w:val="001F1651"/>
    <w:rsid w:val="001F18BE"/>
    <w:rsid w:val="001F199A"/>
    <w:rsid w:val="001F1C78"/>
    <w:rsid w:val="001F1ECD"/>
    <w:rsid w:val="001F27B0"/>
    <w:rsid w:val="001F2819"/>
    <w:rsid w:val="001F289A"/>
    <w:rsid w:val="001F3ECF"/>
    <w:rsid w:val="001F5116"/>
    <w:rsid w:val="001F579B"/>
    <w:rsid w:val="001F61E5"/>
    <w:rsid w:val="001F6CF7"/>
    <w:rsid w:val="001F7690"/>
    <w:rsid w:val="001F7C2E"/>
    <w:rsid w:val="001F7E3E"/>
    <w:rsid w:val="001F7F08"/>
    <w:rsid w:val="0020001C"/>
    <w:rsid w:val="002000D5"/>
    <w:rsid w:val="00200166"/>
    <w:rsid w:val="0020018B"/>
    <w:rsid w:val="002002A5"/>
    <w:rsid w:val="00200315"/>
    <w:rsid w:val="002003A2"/>
    <w:rsid w:val="0020044D"/>
    <w:rsid w:val="00200CB4"/>
    <w:rsid w:val="00201A06"/>
    <w:rsid w:val="00201ABE"/>
    <w:rsid w:val="00202302"/>
    <w:rsid w:val="002023A3"/>
    <w:rsid w:val="00203947"/>
    <w:rsid w:val="002040DA"/>
    <w:rsid w:val="0020437A"/>
    <w:rsid w:val="00204DBB"/>
    <w:rsid w:val="00205254"/>
    <w:rsid w:val="00205356"/>
    <w:rsid w:val="002054DD"/>
    <w:rsid w:val="00205C05"/>
    <w:rsid w:val="00205E54"/>
    <w:rsid w:val="00206886"/>
    <w:rsid w:val="002068C1"/>
    <w:rsid w:val="00207278"/>
    <w:rsid w:val="00207AAF"/>
    <w:rsid w:val="00207B1E"/>
    <w:rsid w:val="00207B7F"/>
    <w:rsid w:val="00207C1C"/>
    <w:rsid w:val="00210C5E"/>
    <w:rsid w:val="00210DE3"/>
    <w:rsid w:val="002118A7"/>
    <w:rsid w:val="00211DCE"/>
    <w:rsid w:val="00212330"/>
    <w:rsid w:val="002126E1"/>
    <w:rsid w:val="0021294E"/>
    <w:rsid w:val="00212BD9"/>
    <w:rsid w:val="00212BE7"/>
    <w:rsid w:val="00212E6A"/>
    <w:rsid w:val="00212EE0"/>
    <w:rsid w:val="00212EFC"/>
    <w:rsid w:val="0021311F"/>
    <w:rsid w:val="0021341A"/>
    <w:rsid w:val="0021376A"/>
    <w:rsid w:val="00213EED"/>
    <w:rsid w:val="00214C6A"/>
    <w:rsid w:val="0021510B"/>
    <w:rsid w:val="002161EB"/>
    <w:rsid w:val="0021639E"/>
    <w:rsid w:val="002165BB"/>
    <w:rsid w:val="00216D21"/>
    <w:rsid w:val="00216FE5"/>
    <w:rsid w:val="00217EFC"/>
    <w:rsid w:val="00220029"/>
    <w:rsid w:val="0022031E"/>
    <w:rsid w:val="00220A74"/>
    <w:rsid w:val="00220EA3"/>
    <w:rsid w:val="002210C5"/>
    <w:rsid w:val="0022114B"/>
    <w:rsid w:val="002219B8"/>
    <w:rsid w:val="00221CCE"/>
    <w:rsid w:val="00222104"/>
    <w:rsid w:val="002221F6"/>
    <w:rsid w:val="00222570"/>
    <w:rsid w:val="00222939"/>
    <w:rsid w:val="00222A28"/>
    <w:rsid w:val="00222E1A"/>
    <w:rsid w:val="0022318A"/>
    <w:rsid w:val="00223476"/>
    <w:rsid w:val="0022359D"/>
    <w:rsid w:val="00224EA3"/>
    <w:rsid w:val="0022525A"/>
    <w:rsid w:val="00225B70"/>
    <w:rsid w:val="00225FEC"/>
    <w:rsid w:val="00226063"/>
    <w:rsid w:val="00226192"/>
    <w:rsid w:val="002265DA"/>
    <w:rsid w:val="0022719F"/>
    <w:rsid w:val="0022768B"/>
    <w:rsid w:val="00227788"/>
    <w:rsid w:val="00227DC8"/>
    <w:rsid w:val="0023007B"/>
    <w:rsid w:val="002305C7"/>
    <w:rsid w:val="002305E3"/>
    <w:rsid w:val="00230718"/>
    <w:rsid w:val="002315B8"/>
    <w:rsid w:val="00231B9E"/>
    <w:rsid w:val="00231F74"/>
    <w:rsid w:val="0023205F"/>
    <w:rsid w:val="0023225E"/>
    <w:rsid w:val="00232730"/>
    <w:rsid w:val="00232C74"/>
    <w:rsid w:val="0023432D"/>
    <w:rsid w:val="002349F9"/>
    <w:rsid w:val="00235ECB"/>
    <w:rsid w:val="0023632C"/>
    <w:rsid w:val="0023643C"/>
    <w:rsid w:val="00236A7B"/>
    <w:rsid w:val="00236D26"/>
    <w:rsid w:val="002371C0"/>
    <w:rsid w:val="002401AF"/>
    <w:rsid w:val="00240306"/>
    <w:rsid w:val="00240D9D"/>
    <w:rsid w:val="00240E92"/>
    <w:rsid w:val="002422FA"/>
    <w:rsid w:val="002425EC"/>
    <w:rsid w:val="00242920"/>
    <w:rsid w:val="00242BAC"/>
    <w:rsid w:val="00242D36"/>
    <w:rsid w:val="00242FE6"/>
    <w:rsid w:val="00243503"/>
    <w:rsid w:val="00243530"/>
    <w:rsid w:val="002436E9"/>
    <w:rsid w:val="0024380D"/>
    <w:rsid w:val="00243AC8"/>
    <w:rsid w:val="00243BEC"/>
    <w:rsid w:val="00243C52"/>
    <w:rsid w:val="00243D84"/>
    <w:rsid w:val="00244512"/>
    <w:rsid w:val="00244533"/>
    <w:rsid w:val="002454A1"/>
    <w:rsid w:val="00245CC6"/>
    <w:rsid w:val="002460A9"/>
    <w:rsid w:val="002465C9"/>
    <w:rsid w:val="00247672"/>
    <w:rsid w:val="00247F76"/>
    <w:rsid w:val="002509F3"/>
    <w:rsid w:val="00250E0F"/>
    <w:rsid w:val="00251507"/>
    <w:rsid w:val="0025242F"/>
    <w:rsid w:val="00252527"/>
    <w:rsid w:val="002528E9"/>
    <w:rsid w:val="002530FF"/>
    <w:rsid w:val="002536E5"/>
    <w:rsid w:val="00253941"/>
    <w:rsid w:val="002544E8"/>
    <w:rsid w:val="002546BA"/>
    <w:rsid w:val="00254906"/>
    <w:rsid w:val="00254D43"/>
    <w:rsid w:val="002553F9"/>
    <w:rsid w:val="00255C7C"/>
    <w:rsid w:val="00256A0B"/>
    <w:rsid w:val="00256C93"/>
    <w:rsid w:val="00257377"/>
    <w:rsid w:val="002579A9"/>
    <w:rsid w:val="002579B5"/>
    <w:rsid w:val="00257A4F"/>
    <w:rsid w:val="00260031"/>
    <w:rsid w:val="00260809"/>
    <w:rsid w:val="0026112F"/>
    <w:rsid w:val="002611B2"/>
    <w:rsid w:val="00261CCC"/>
    <w:rsid w:val="00261E92"/>
    <w:rsid w:val="0026206A"/>
    <w:rsid w:val="00262DBC"/>
    <w:rsid w:val="00262FBD"/>
    <w:rsid w:val="00262FC1"/>
    <w:rsid w:val="0026308E"/>
    <w:rsid w:val="0026326C"/>
    <w:rsid w:val="002647BB"/>
    <w:rsid w:val="002648F6"/>
    <w:rsid w:val="00264AAE"/>
    <w:rsid w:val="00264CC5"/>
    <w:rsid w:val="002655A7"/>
    <w:rsid w:val="00265B82"/>
    <w:rsid w:val="00265FA2"/>
    <w:rsid w:val="0026653C"/>
    <w:rsid w:val="00266665"/>
    <w:rsid w:val="002666EA"/>
    <w:rsid w:val="00266B0C"/>
    <w:rsid w:val="002679D5"/>
    <w:rsid w:val="00270339"/>
    <w:rsid w:val="002705AE"/>
    <w:rsid w:val="002707B7"/>
    <w:rsid w:val="002709C7"/>
    <w:rsid w:val="002711DC"/>
    <w:rsid w:val="00271660"/>
    <w:rsid w:val="00271AD3"/>
    <w:rsid w:val="00271AF4"/>
    <w:rsid w:val="00271E8A"/>
    <w:rsid w:val="00271F39"/>
    <w:rsid w:val="00272000"/>
    <w:rsid w:val="002720B6"/>
    <w:rsid w:val="0027243C"/>
    <w:rsid w:val="00272585"/>
    <w:rsid w:val="00272689"/>
    <w:rsid w:val="00272F88"/>
    <w:rsid w:val="00273148"/>
    <w:rsid w:val="002735E7"/>
    <w:rsid w:val="002736ED"/>
    <w:rsid w:val="00273978"/>
    <w:rsid w:val="00273AE5"/>
    <w:rsid w:val="00273B16"/>
    <w:rsid w:val="00273B9D"/>
    <w:rsid w:val="00273DC1"/>
    <w:rsid w:val="00274085"/>
    <w:rsid w:val="002740F9"/>
    <w:rsid w:val="00274733"/>
    <w:rsid w:val="00274872"/>
    <w:rsid w:val="00274F23"/>
    <w:rsid w:val="00274F96"/>
    <w:rsid w:val="0027575A"/>
    <w:rsid w:val="00275DD6"/>
    <w:rsid w:val="00275F6A"/>
    <w:rsid w:val="002767F8"/>
    <w:rsid w:val="00276D3C"/>
    <w:rsid w:val="00276DB1"/>
    <w:rsid w:val="002771A2"/>
    <w:rsid w:val="00277981"/>
    <w:rsid w:val="00277AF6"/>
    <w:rsid w:val="00277D37"/>
    <w:rsid w:val="00277DD8"/>
    <w:rsid w:val="00280826"/>
    <w:rsid w:val="00280A78"/>
    <w:rsid w:val="00280A83"/>
    <w:rsid w:val="00280CDB"/>
    <w:rsid w:val="00280E58"/>
    <w:rsid w:val="00281055"/>
    <w:rsid w:val="00281473"/>
    <w:rsid w:val="00281742"/>
    <w:rsid w:val="00281909"/>
    <w:rsid w:val="00281B7D"/>
    <w:rsid w:val="002821C9"/>
    <w:rsid w:val="002826E9"/>
    <w:rsid w:val="0028281C"/>
    <w:rsid w:val="00282D87"/>
    <w:rsid w:val="002832EB"/>
    <w:rsid w:val="00283F61"/>
    <w:rsid w:val="002845AC"/>
    <w:rsid w:val="00284FDB"/>
    <w:rsid w:val="0028571D"/>
    <w:rsid w:val="0028589B"/>
    <w:rsid w:val="00285BAA"/>
    <w:rsid w:val="0028613C"/>
    <w:rsid w:val="00286445"/>
    <w:rsid w:val="0028652F"/>
    <w:rsid w:val="0028655C"/>
    <w:rsid w:val="00286D2F"/>
    <w:rsid w:val="0028746B"/>
    <w:rsid w:val="00287570"/>
    <w:rsid w:val="00287626"/>
    <w:rsid w:val="00287635"/>
    <w:rsid w:val="00287657"/>
    <w:rsid w:val="0029094D"/>
    <w:rsid w:val="00290A5A"/>
    <w:rsid w:val="00290ADF"/>
    <w:rsid w:val="00290ECA"/>
    <w:rsid w:val="00291322"/>
    <w:rsid w:val="002915CD"/>
    <w:rsid w:val="00291FE5"/>
    <w:rsid w:val="00292039"/>
    <w:rsid w:val="0029235B"/>
    <w:rsid w:val="00292470"/>
    <w:rsid w:val="002925AF"/>
    <w:rsid w:val="00292832"/>
    <w:rsid w:val="002929B8"/>
    <w:rsid w:val="00293364"/>
    <w:rsid w:val="002939E7"/>
    <w:rsid w:val="00293AE8"/>
    <w:rsid w:val="00293DC0"/>
    <w:rsid w:val="00293FDA"/>
    <w:rsid w:val="00294042"/>
    <w:rsid w:val="0029459E"/>
    <w:rsid w:val="0029507C"/>
    <w:rsid w:val="002950E0"/>
    <w:rsid w:val="0029585B"/>
    <w:rsid w:val="00295A18"/>
    <w:rsid w:val="00295A7F"/>
    <w:rsid w:val="002960D5"/>
    <w:rsid w:val="002960E5"/>
    <w:rsid w:val="0029636F"/>
    <w:rsid w:val="00296CD6"/>
    <w:rsid w:val="002977F8"/>
    <w:rsid w:val="00297BE5"/>
    <w:rsid w:val="00297E4B"/>
    <w:rsid w:val="00297EB7"/>
    <w:rsid w:val="002A01F3"/>
    <w:rsid w:val="002A04BE"/>
    <w:rsid w:val="002A0700"/>
    <w:rsid w:val="002A09E1"/>
    <w:rsid w:val="002A0A46"/>
    <w:rsid w:val="002A0AEB"/>
    <w:rsid w:val="002A0C34"/>
    <w:rsid w:val="002A1CFA"/>
    <w:rsid w:val="002A215C"/>
    <w:rsid w:val="002A3293"/>
    <w:rsid w:val="002A38D0"/>
    <w:rsid w:val="002A3C59"/>
    <w:rsid w:val="002A4F3E"/>
    <w:rsid w:val="002A5153"/>
    <w:rsid w:val="002A6730"/>
    <w:rsid w:val="002A69BC"/>
    <w:rsid w:val="002A6B8E"/>
    <w:rsid w:val="002A6CFC"/>
    <w:rsid w:val="002A6D11"/>
    <w:rsid w:val="002A75B6"/>
    <w:rsid w:val="002A7917"/>
    <w:rsid w:val="002B01FE"/>
    <w:rsid w:val="002B0221"/>
    <w:rsid w:val="002B076C"/>
    <w:rsid w:val="002B0853"/>
    <w:rsid w:val="002B0AFB"/>
    <w:rsid w:val="002B0EBA"/>
    <w:rsid w:val="002B0EF3"/>
    <w:rsid w:val="002B0F0C"/>
    <w:rsid w:val="002B1405"/>
    <w:rsid w:val="002B15E2"/>
    <w:rsid w:val="002B28C0"/>
    <w:rsid w:val="002B2CF4"/>
    <w:rsid w:val="002B2E87"/>
    <w:rsid w:val="002B2EF6"/>
    <w:rsid w:val="002B323A"/>
    <w:rsid w:val="002B34BD"/>
    <w:rsid w:val="002B38BC"/>
    <w:rsid w:val="002B3A81"/>
    <w:rsid w:val="002B3C11"/>
    <w:rsid w:val="002B3D13"/>
    <w:rsid w:val="002B45D0"/>
    <w:rsid w:val="002B476D"/>
    <w:rsid w:val="002B481D"/>
    <w:rsid w:val="002B4BC5"/>
    <w:rsid w:val="002B5454"/>
    <w:rsid w:val="002B56F7"/>
    <w:rsid w:val="002B635A"/>
    <w:rsid w:val="002B63F5"/>
    <w:rsid w:val="002B64C4"/>
    <w:rsid w:val="002B6500"/>
    <w:rsid w:val="002B6978"/>
    <w:rsid w:val="002B7219"/>
    <w:rsid w:val="002B791F"/>
    <w:rsid w:val="002C0029"/>
    <w:rsid w:val="002C0095"/>
    <w:rsid w:val="002C04D4"/>
    <w:rsid w:val="002C04E2"/>
    <w:rsid w:val="002C0825"/>
    <w:rsid w:val="002C086E"/>
    <w:rsid w:val="002C0BFF"/>
    <w:rsid w:val="002C0C67"/>
    <w:rsid w:val="002C141C"/>
    <w:rsid w:val="002C14E9"/>
    <w:rsid w:val="002C179B"/>
    <w:rsid w:val="002C222A"/>
    <w:rsid w:val="002C28C7"/>
    <w:rsid w:val="002C2CC5"/>
    <w:rsid w:val="002C2CCE"/>
    <w:rsid w:val="002C2FFB"/>
    <w:rsid w:val="002C40F8"/>
    <w:rsid w:val="002C42C9"/>
    <w:rsid w:val="002C42E8"/>
    <w:rsid w:val="002C47C9"/>
    <w:rsid w:val="002C4970"/>
    <w:rsid w:val="002C4DD9"/>
    <w:rsid w:val="002C5B95"/>
    <w:rsid w:val="002C5FD8"/>
    <w:rsid w:val="002C64B5"/>
    <w:rsid w:val="002C659B"/>
    <w:rsid w:val="002C6AEC"/>
    <w:rsid w:val="002C706C"/>
    <w:rsid w:val="002C739C"/>
    <w:rsid w:val="002C741B"/>
    <w:rsid w:val="002C774A"/>
    <w:rsid w:val="002D05FE"/>
    <w:rsid w:val="002D0782"/>
    <w:rsid w:val="002D0ABC"/>
    <w:rsid w:val="002D0CE9"/>
    <w:rsid w:val="002D1478"/>
    <w:rsid w:val="002D19DB"/>
    <w:rsid w:val="002D1B59"/>
    <w:rsid w:val="002D1D52"/>
    <w:rsid w:val="002D207C"/>
    <w:rsid w:val="002D2319"/>
    <w:rsid w:val="002D2760"/>
    <w:rsid w:val="002D352A"/>
    <w:rsid w:val="002D3EFB"/>
    <w:rsid w:val="002D41D1"/>
    <w:rsid w:val="002D4230"/>
    <w:rsid w:val="002D44DB"/>
    <w:rsid w:val="002D4DBB"/>
    <w:rsid w:val="002D50B5"/>
    <w:rsid w:val="002D557B"/>
    <w:rsid w:val="002D55F8"/>
    <w:rsid w:val="002D5C43"/>
    <w:rsid w:val="002D5C5E"/>
    <w:rsid w:val="002D5ECA"/>
    <w:rsid w:val="002D5F4E"/>
    <w:rsid w:val="002D62D7"/>
    <w:rsid w:val="002D6DF1"/>
    <w:rsid w:val="002D7A50"/>
    <w:rsid w:val="002D7E5F"/>
    <w:rsid w:val="002D7EA3"/>
    <w:rsid w:val="002E0526"/>
    <w:rsid w:val="002E0AC2"/>
    <w:rsid w:val="002E0C15"/>
    <w:rsid w:val="002E12D9"/>
    <w:rsid w:val="002E1B61"/>
    <w:rsid w:val="002E1C5E"/>
    <w:rsid w:val="002E255D"/>
    <w:rsid w:val="002E266A"/>
    <w:rsid w:val="002E2D57"/>
    <w:rsid w:val="002E2F6E"/>
    <w:rsid w:val="002E3524"/>
    <w:rsid w:val="002E3709"/>
    <w:rsid w:val="002E3A30"/>
    <w:rsid w:val="002E3B75"/>
    <w:rsid w:val="002E3E7C"/>
    <w:rsid w:val="002E3F2C"/>
    <w:rsid w:val="002E3F3C"/>
    <w:rsid w:val="002E3FAD"/>
    <w:rsid w:val="002E4562"/>
    <w:rsid w:val="002E4AD1"/>
    <w:rsid w:val="002E4C40"/>
    <w:rsid w:val="002E4D55"/>
    <w:rsid w:val="002E519D"/>
    <w:rsid w:val="002E56E1"/>
    <w:rsid w:val="002E591C"/>
    <w:rsid w:val="002E595C"/>
    <w:rsid w:val="002E5D5F"/>
    <w:rsid w:val="002E5F0C"/>
    <w:rsid w:val="002E6435"/>
    <w:rsid w:val="002E646C"/>
    <w:rsid w:val="002E64A2"/>
    <w:rsid w:val="002E72B0"/>
    <w:rsid w:val="002E74E2"/>
    <w:rsid w:val="002E7842"/>
    <w:rsid w:val="002F1956"/>
    <w:rsid w:val="002F1C32"/>
    <w:rsid w:val="002F1C4F"/>
    <w:rsid w:val="002F22F8"/>
    <w:rsid w:val="002F2314"/>
    <w:rsid w:val="002F2838"/>
    <w:rsid w:val="002F299B"/>
    <w:rsid w:val="002F2AC2"/>
    <w:rsid w:val="002F3930"/>
    <w:rsid w:val="002F3CD5"/>
    <w:rsid w:val="002F3D8D"/>
    <w:rsid w:val="002F3D91"/>
    <w:rsid w:val="002F428F"/>
    <w:rsid w:val="002F440B"/>
    <w:rsid w:val="002F44D3"/>
    <w:rsid w:val="002F47BB"/>
    <w:rsid w:val="002F4A37"/>
    <w:rsid w:val="002F4C6C"/>
    <w:rsid w:val="002F5692"/>
    <w:rsid w:val="002F5CAF"/>
    <w:rsid w:val="002F5F79"/>
    <w:rsid w:val="002F60E7"/>
    <w:rsid w:val="002F6679"/>
    <w:rsid w:val="002F764D"/>
    <w:rsid w:val="002F7924"/>
    <w:rsid w:val="002F7AEA"/>
    <w:rsid w:val="003004ED"/>
    <w:rsid w:val="00300593"/>
    <w:rsid w:val="003006F8"/>
    <w:rsid w:val="003008F7"/>
    <w:rsid w:val="00301078"/>
    <w:rsid w:val="00301230"/>
    <w:rsid w:val="00301265"/>
    <w:rsid w:val="00301282"/>
    <w:rsid w:val="00302AEA"/>
    <w:rsid w:val="00303227"/>
    <w:rsid w:val="00303C9B"/>
    <w:rsid w:val="00304119"/>
    <w:rsid w:val="0030469D"/>
    <w:rsid w:val="00304AB7"/>
    <w:rsid w:val="00304D52"/>
    <w:rsid w:val="003053AF"/>
    <w:rsid w:val="003056F3"/>
    <w:rsid w:val="003057C8"/>
    <w:rsid w:val="003059BD"/>
    <w:rsid w:val="003059CE"/>
    <w:rsid w:val="003060DC"/>
    <w:rsid w:val="0030624A"/>
    <w:rsid w:val="003069A5"/>
    <w:rsid w:val="003069DD"/>
    <w:rsid w:val="00306C3C"/>
    <w:rsid w:val="003070A3"/>
    <w:rsid w:val="003072EF"/>
    <w:rsid w:val="003079EF"/>
    <w:rsid w:val="00310008"/>
    <w:rsid w:val="003101AA"/>
    <w:rsid w:val="00310206"/>
    <w:rsid w:val="003104A6"/>
    <w:rsid w:val="00310A28"/>
    <w:rsid w:val="00310F06"/>
    <w:rsid w:val="003112FE"/>
    <w:rsid w:val="00311F5B"/>
    <w:rsid w:val="00312133"/>
    <w:rsid w:val="003122EE"/>
    <w:rsid w:val="00312327"/>
    <w:rsid w:val="00312AFA"/>
    <w:rsid w:val="0031303D"/>
    <w:rsid w:val="003133C3"/>
    <w:rsid w:val="00313404"/>
    <w:rsid w:val="00313426"/>
    <w:rsid w:val="00313AAB"/>
    <w:rsid w:val="00314C45"/>
    <w:rsid w:val="00314E9E"/>
    <w:rsid w:val="003154E2"/>
    <w:rsid w:val="00315A0A"/>
    <w:rsid w:val="00315EEC"/>
    <w:rsid w:val="00315F37"/>
    <w:rsid w:val="00316049"/>
    <w:rsid w:val="00316219"/>
    <w:rsid w:val="0031687B"/>
    <w:rsid w:val="00316F4B"/>
    <w:rsid w:val="00317666"/>
    <w:rsid w:val="00317898"/>
    <w:rsid w:val="003178D5"/>
    <w:rsid w:val="00320025"/>
    <w:rsid w:val="003200F2"/>
    <w:rsid w:val="00320352"/>
    <w:rsid w:val="00320CBA"/>
    <w:rsid w:val="00320F95"/>
    <w:rsid w:val="00320F9A"/>
    <w:rsid w:val="003213CE"/>
    <w:rsid w:val="003219E1"/>
    <w:rsid w:val="0032213E"/>
    <w:rsid w:val="00322151"/>
    <w:rsid w:val="00322661"/>
    <w:rsid w:val="00323033"/>
    <w:rsid w:val="0032374D"/>
    <w:rsid w:val="00323901"/>
    <w:rsid w:val="00323A1C"/>
    <w:rsid w:val="00323BFA"/>
    <w:rsid w:val="00323D1A"/>
    <w:rsid w:val="00323D36"/>
    <w:rsid w:val="003241B5"/>
    <w:rsid w:val="0032483C"/>
    <w:rsid w:val="00324D3A"/>
    <w:rsid w:val="00325743"/>
    <w:rsid w:val="00325797"/>
    <w:rsid w:val="00325C69"/>
    <w:rsid w:val="00325D51"/>
    <w:rsid w:val="00326AD1"/>
    <w:rsid w:val="00326E4F"/>
    <w:rsid w:val="0032733E"/>
    <w:rsid w:val="00327F60"/>
    <w:rsid w:val="00330069"/>
    <w:rsid w:val="00330C5F"/>
    <w:rsid w:val="00330EB8"/>
    <w:rsid w:val="003313E3"/>
    <w:rsid w:val="003315E3"/>
    <w:rsid w:val="003319D6"/>
    <w:rsid w:val="00332549"/>
    <w:rsid w:val="00333F0E"/>
    <w:rsid w:val="0033418A"/>
    <w:rsid w:val="00334216"/>
    <w:rsid w:val="003349E9"/>
    <w:rsid w:val="00334F6B"/>
    <w:rsid w:val="003359A7"/>
    <w:rsid w:val="00336A6A"/>
    <w:rsid w:val="00336B1A"/>
    <w:rsid w:val="00336BBD"/>
    <w:rsid w:val="00336FDA"/>
    <w:rsid w:val="00337118"/>
    <w:rsid w:val="003371A1"/>
    <w:rsid w:val="00337205"/>
    <w:rsid w:val="003376B2"/>
    <w:rsid w:val="00337A85"/>
    <w:rsid w:val="00337DCA"/>
    <w:rsid w:val="00337DE5"/>
    <w:rsid w:val="00337F75"/>
    <w:rsid w:val="003408F6"/>
    <w:rsid w:val="00341142"/>
    <w:rsid w:val="00341337"/>
    <w:rsid w:val="00341568"/>
    <w:rsid w:val="00341840"/>
    <w:rsid w:val="00341A6A"/>
    <w:rsid w:val="00341D5F"/>
    <w:rsid w:val="0034220A"/>
    <w:rsid w:val="0034225B"/>
    <w:rsid w:val="00342D5D"/>
    <w:rsid w:val="003430E6"/>
    <w:rsid w:val="003431DA"/>
    <w:rsid w:val="00343F86"/>
    <w:rsid w:val="00344547"/>
    <w:rsid w:val="00344A31"/>
    <w:rsid w:val="00344A4B"/>
    <w:rsid w:val="00344ADF"/>
    <w:rsid w:val="00344B62"/>
    <w:rsid w:val="00344F04"/>
    <w:rsid w:val="00345746"/>
    <w:rsid w:val="00345A84"/>
    <w:rsid w:val="00346076"/>
    <w:rsid w:val="0034667F"/>
    <w:rsid w:val="00346ADC"/>
    <w:rsid w:val="00347CF6"/>
    <w:rsid w:val="00347D27"/>
    <w:rsid w:val="00347DAA"/>
    <w:rsid w:val="00347EC2"/>
    <w:rsid w:val="003503AF"/>
    <w:rsid w:val="003503D2"/>
    <w:rsid w:val="003503D7"/>
    <w:rsid w:val="0035043F"/>
    <w:rsid w:val="00350586"/>
    <w:rsid w:val="00350763"/>
    <w:rsid w:val="0035076F"/>
    <w:rsid w:val="00350D63"/>
    <w:rsid w:val="00350E2D"/>
    <w:rsid w:val="003519E4"/>
    <w:rsid w:val="00351CD8"/>
    <w:rsid w:val="00352213"/>
    <w:rsid w:val="00352659"/>
    <w:rsid w:val="00352680"/>
    <w:rsid w:val="003526B6"/>
    <w:rsid w:val="00352D4A"/>
    <w:rsid w:val="0035329D"/>
    <w:rsid w:val="00353348"/>
    <w:rsid w:val="0035375B"/>
    <w:rsid w:val="003544BF"/>
    <w:rsid w:val="003546C7"/>
    <w:rsid w:val="0035553D"/>
    <w:rsid w:val="003558F2"/>
    <w:rsid w:val="00355A63"/>
    <w:rsid w:val="00355AED"/>
    <w:rsid w:val="00355F87"/>
    <w:rsid w:val="0035621F"/>
    <w:rsid w:val="003570CE"/>
    <w:rsid w:val="00357290"/>
    <w:rsid w:val="0036040E"/>
    <w:rsid w:val="003606F9"/>
    <w:rsid w:val="00360A50"/>
    <w:rsid w:val="00360D87"/>
    <w:rsid w:val="00361416"/>
    <w:rsid w:val="003617AD"/>
    <w:rsid w:val="00361825"/>
    <w:rsid w:val="00361C7A"/>
    <w:rsid w:val="00362100"/>
    <w:rsid w:val="0036222F"/>
    <w:rsid w:val="0036281D"/>
    <w:rsid w:val="0036290B"/>
    <w:rsid w:val="00362A9E"/>
    <w:rsid w:val="00363100"/>
    <w:rsid w:val="0036356D"/>
    <w:rsid w:val="00363B21"/>
    <w:rsid w:val="00364640"/>
    <w:rsid w:val="00365279"/>
    <w:rsid w:val="003652EB"/>
    <w:rsid w:val="00365CA3"/>
    <w:rsid w:val="00365D8D"/>
    <w:rsid w:val="00365D9B"/>
    <w:rsid w:val="00366514"/>
    <w:rsid w:val="003666B9"/>
    <w:rsid w:val="00366796"/>
    <w:rsid w:val="00366ACF"/>
    <w:rsid w:val="00366BD2"/>
    <w:rsid w:val="00366CE1"/>
    <w:rsid w:val="003671A5"/>
    <w:rsid w:val="003674B8"/>
    <w:rsid w:val="0036758C"/>
    <w:rsid w:val="003675F2"/>
    <w:rsid w:val="00367985"/>
    <w:rsid w:val="00367A98"/>
    <w:rsid w:val="00367C92"/>
    <w:rsid w:val="00367CBD"/>
    <w:rsid w:val="00367F95"/>
    <w:rsid w:val="00367FF6"/>
    <w:rsid w:val="00370871"/>
    <w:rsid w:val="00370943"/>
    <w:rsid w:val="00370FF5"/>
    <w:rsid w:val="003712E5"/>
    <w:rsid w:val="00371A84"/>
    <w:rsid w:val="00371CD5"/>
    <w:rsid w:val="00371E70"/>
    <w:rsid w:val="003728E3"/>
    <w:rsid w:val="00372D7E"/>
    <w:rsid w:val="00373051"/>
    <w:rsid w:val="003733F6"/>
    <w:rsid w:val="00373408"/>
    <w:rsid w:val="00373E8E"/>
    <w:rsid w:val="00374221"/>
    <w:rsid w:val="00374401"/>
    <w:rsid w:val="003747D4"/>
    <w:rsid w:val="00374D73"/>
    <w:rsid w:val="003756EE"/>
    <w:rsid w:val="00375869"/>
    <w:rsid w:val="003758FD"/>
    <w:rsid w:val="00375AAB"/>
    <w:rsid w:val="00375C6D"/>
    <w:rsid w:val="00375E10"/>
    <w:rsid w:val="00376648"/>
    <w:rsid w:val="0037666E"/>
    <w:rsid w:val="0037672B"/>
    <w:rsid w:val="00376B3C"/>
    <w:rsid w:val="00376BF1"/>
    <w:rsid w:val="00376C4C"/>
    <w:rsid w:val="00376EBE"/>
    <w:rsid w:val="00377334"/>
    <w:rsid w:val="0037738A"/>
    <w:rsid w:val="00377766"/>
    <w:rsid w:val="00377CC2"/>
    <w:rsid w:val="00377E7C"/>
    <w:rsid w:val="00377EC5"/>
    <w:rsid w:val="00380194"/>
    <w:rsid w:val="0038021B"/>
    <w:rsid w:val="00380473"/>
    <w:rsid w:val="003805A2"/>
    <w:rsid w:val="003806EF"/>
    <w:rsid w:val="00380733"/>
    <w:rsid w:val="0038092A"/>
    <w:rsid w:val="00380ED2"/>
    <w:rsid w:val="00381371"/>
    <w:rsid w:val="0038179A"/>
    <w:rsid w:val="00382187"/>
    <w:rsid w:val="00382530"/>
    <w:rsid w:val="0038272D"/>
    <w:rsid w:val="00382BF8"/>
    <w:rsid w:val="003831B4"/>
    <w:rsid w:val="003839CF"/>
    <w:rsid w:val="00383CB5"/>
    <w:rsid w:val="003841A1"/>
    <w:rsid w:val="0038436D"/>
    <w:rsid w:val="00384427"/>
    <w:rsid w:val="0038452C"/>
    <w:rsid w:val="003845CA"/>
    <w:rsid w:val="0038469C"/>
    <w:rsid w:val="0038498E"/>
    <w:rsid w:val="00384A61"/>
    <w:rsid w:val="003854DB"/>
    <w:rsid w:val="00385558"/>
    <w:rsid w:val="0038576A"/>
    <w:rsid w:val="0038596A"/>
    <w:rsid w:val="00385AB7"/>
    <w:rsid w:val="00386979"/>
    <w:rsid w:val="00386F36"/>
    <w:rsid w:val="0038700D"/>
    <w:rsid w:val="00387391"/>
    <w:rsid w:val="0038745F"/>
    <w:rsid w:val="00390077"/>
    <w:rsid w:val="003900BE"/>
    <w:rsid w:val="0039021F"/>
    <w:rsid w:val="003904A3"/>
    <w:rsid w:val="00390528"/>
    <w:rsid w:val="00390555"/>
    <w:rsid w:val="0039081B"/>
    <w:rsid w:val="00390C53"/>
    <w:rsid w:val="00390E49"/>
    <w:rsid w:val="003914B6"/>
    <w:rsid w:val="00391C36"/>
    <w:rsid w:val="00391EA8"/>
    <w:rsid w:val="003920E7"/>
    <w:rsid w:val="003924F1"/>
    <w:rsid w:val="0039266A"/>
    <w:rsid w:val="00392DC7"/>
    <w:rsid w:val="00393061"/>
    <w:rsid w:val="00393367"/>
    <w:rsid w:val="00393371"/>
    <w:rsid w:val="003938BD"/>
    <w:rsid w:val="00393B17"/>
    <w:rsid w:val="003948F3"/>
    <w:rsid w:val="00394D13"/>
    <w:rsid w:val="00396366"/>
    <w:rsid w:val="003964BE"/>
    <w:rsid w:val="003967AC"/>
    <w:rsid w:val="003967E0"/>
    <w:rsid w:val="003968D1"/>
    <w:rsid w:val="00396B7F"/>
    <w:rsid w:val="0039725D"/>
    <w:rsid w:val="00397DEA"/>
    <w:rsid w:val="003A00F3"/>
    <w:rsid w:val="003A033C"/>
    <w:rsid w:val="003A0F28"/>
    <w:rsid w:val="003A118C"/>
    <w:rsid w:val="003A1880"/>
    <w:rsid w:val="003A2147"/>
    <w:rsid w:val="003A22ED"/>
    <w:rsid w:val="003A2357"/>
    <w:rsid w:val="003A26F7"/>
    <w:rsid w:val="003A27AC"/>
    <w:rsid w:val="003A2B28"/>
    <w:rsid w:val="003A2B36"/>
    <w:rsid w:val="003A2FE6"/>
    <w:rsid w:val="003A32F7"/>
    <w:rsid w:val="003A3704"/>
    <w:rsid w:val="003A38AB"/>
    <w:rsid w:val="003A3D98"/>
    <w:rsid w:val="003A3FE9"/>
    <w:rsid w:val="003A445A"/>
    <w:rsid w:val="003A4B01"/>
    <w:rsid w:val="003A4EF1"/>
    <w:rsid w:val="003A4FF2"/>
    <w:rsid w:val="003A53F4"/>
    <w:rsid w:val="003A5436"/>
    <w:rsid w:val="003A54B0"/>
    <w:rsid w:val="003A5603"/>
    <w:rsid w:val="003A57D1"/>
    <w:rsid w:val="003A5820"/>
    <w:rsid w:val="003A5868"/>
    <w:rsid w:val="003A5D05"/>
    <w:rsid w:val="003A5DDD"/>
    <w:rsid w:val="003A5FFD"/>
    <w:rsid w:val="003A62CB"/>
    <w:rsid w:val="003A63CF"/>
    <w:rsid w:val="003A67FE"/>
    <w:rsid w:val="003A6F23"/>
    <w:rsid w:val="003A7673"/>
    <w:rsid w:val="003A7E35"/>
    <w:rsid w:val="003B0625"/>
    <w:rsid w:val="003B0A75"/>
    <w:rsid w:val="003B20DA"/>
    <w:rsid w:val="003B28DB"/>
    <w:rsid w:val="003B29A8"/>
    <w:rsid w:val="003B3003"/>
    <w:rsid w:val="003B3267"/>
    <w:rsid w:val="003B3A2A"/>
    <w:rsid w:val="003B40C2"/>
    <w:rsid w:val="003B4101"/>
    <w:rsid w:val="003B4146"/>
    <w:rsid w:val="003B42FE"/>
    <w:rsid w:val="003B4717"/>
    <w:rsid w:val="003B4A5B"/>
    <w:rsid w:val="003B4B50"/>
    <w:rsid w:val="003B4B69"/>
    <w:rsid w:val="003B5131"/>
    <w:rsid w:val="003B559E"/>
    <w:rsid w:val="003B599D"/>
    <w:rsid w:val="003B5ABD"/>
    <w:rsid w:val="003B5FA9"/>
    <w:rsid w:val="003B67E3"/>
    <w:rsid w:val="003B7BE6"/>
    <w:rsid w:val="003B7FCC"/>
    <w:rsid w:val="003C05D0"/>
    <w:rsid w:val="003C0846"/>
    <w:rsid w:val="003C0C38"/>
    <w:rsid w:val="003C0CB9"/>
    <w:rsid w:val="003C1038"/>
    <w:rsid w:val="003C11EE"/>
    <w:rsid w:val="003C12E2"/>
    <w:rsid w:val="003C1669"/>
    <w:rsid w:val="003C188E"/>
    <w:rsid w:val="003C1A0C"/>
    <w:rsid w:val="003C1D4E"/>
    <w:rsid w:val="003C1EAC"/>
    <w:rsid w:val="003C27F9"/>
    <w:rsid w:val="003C31E6"/>
    <w:rsid w:val="003C36F6"/>
    <w:rsid w:val="003C3F37"/>
    <w:rsid w:val="003C49DC"/>
    <w:rsid w:val="003C4B2C"/>
    <w:rsid w:val="003C4E43"/>
    <w:rsid w:val="003C5130"/>
    <w:rsid w:val="003C5158"/>
    <w:rsid w:val="003C5960"/>
    <w:rsid w:val="003C5B43"/>
    <w:rsid w:val="003C6263"/>
    <w:rsid w:val="003C6937"/>
    <w:rsid w:val="003C6ED6"/>
    <w:rsid w:val="003C6FAF"/>
    <w:rsid w:val="003C7350"/>
    <w:rsid w:val="003C7731"/>
    <w:rsid w:val="003C77BD"/>
    <w:rsid w:val="003C78DB"/>
    <w:rsid w:val="003C7B1D"/>
    <w:rsid w:val="003C7EF3"/>
    <w:rsid w:val="003D02AA"/>
    <w:rsid w:val="003D0452"/>
    <w:rsid w:val="003D0724"/>
    <w:rsid w:val="003D0969"/>
    <w:rsid w:val="003D0F14"/>
    <w:rsid w:val="003D0F5C"/>
    <w:rsid w:val="003D15A5"/>
    <w:rsid w:val="003D1B55"/>
    <w:rsid w:val="003D1B91"/>
    <w:rsid w:val="003D2ABD"/>
    <w:rsid w:val="003D2DA1"/>
    <w:rsid w:val="003D2EE2"/>
    <w:rsid w:val="003D2F41"/>
    <w:rsid w:val="003D3331"/>
    <w:rsid w:val="003D344C"/>
    <w:rsid w:val="003D34FC"/>
    <w:rsid w:val="003D42FB"/>
    <w:rsid w:val="003D435A"/>
    <w:rsid w:val="003D436A"/>
    <w:rsid w:val="003D4774"/>
    <w:rsid w:val="003D47E3"/>
    <w:rsid w:val="003D4872"/>
    <w:rsid w:val="003D4AEC"/>
    <w:rsid w:val="003D4E02"/>
    <w:rsid w:val="003D54CE"/>
    <w:rsid w:val="003D560B"/>
    <w:rsid w:val="003D562E"/>
    <w:rsid w:val="003D5B24"/>
    <w:rsid w:val="003D6180"/>
    <w:rsid w:val="003D745D"/>
    <w:rsid w:val="003D795B"/>
    <w:rsid w:val="003E0125"/>
    <w:rsid w:val="003E03F7"/>
    <w:rsid w:val="003E05EF"/>
    <w:rsid w:val="003E0648"/>
    <w:rsid w:val="003E0D0E"/>
    <w:rsid w:val="003E0D55"/>
    <w:rsid w:val="003E0D7C"/>
    <w:rsid w:val="003E0EE1"/>
    <w:rsid w:val="003E11FF"/>
    <w:rsid w:val="003E14C6"/>
    <w:rsid w:val="003E1A47"/>
    <w:rsid w:val="003E2D79"/>
    <w:rsid w:val="003E2E57"/>
    <w:rsid w:val="003E312F"/>
    <w:rsid w:val="003E31F7"/>
    <w:rsid w:val="003E3736"/>
    <w:rsid w:val="003E391A"/>
    <w:rsid w:val="003E3B03"/>
    <w:rsid w:val="003E3B83"/>
    <w:rsid w:val="003E4A71"/>
    <w:rsid w:val="003E4DA0"/>
    <w:rsid w:val="003E5452"/>
    <w:rsid w:val="003E55C9"/>
    <w:rsid w:val="003E5B3D"/>
    <w:rsid w:val="003E6272"/>
    <w:rsid w:val="003E6476"/>
    <w:rsid w:val="003E6698"/>
    <w:rsid w:val="003E686C"/>
    <w:rsid w:val="003E68BE"/>
    <w:rsid w:val="003E6B29"/>
    <w:rsid w:val="003E6D2B"/>
    <w:rsid w:val="003F0186"/>
    <w:rsid w:val="003F0FE3"/>
    <w:rsid w:val="003F110B"/>
    <w:rsid w:val="003F1391"/>
    <w:rsid w:val="003F1732"/>
    <w:rsid w:val="003F187B"/>
    <w:rsid w:val="003F1C21"/>
    <w:rsid w:val="003F1C64"/>
    <w:rsid w:val="003F1CAD"/>
    <w:rsid w:val="003F263A"/>
    <w:rsid w:val="003F27A5"/>
    <w:rsid w:val="003F27C1"/>
    <w:rsid w:val="003F2811"/>
    <w:rsid w:val="003F2905"/>
    <w:rsid w:val="003F2C1C"/>
    <w:rsid w:val="003F2C2B"/>
    <w:rsid w:val="003F2E17"/>
    <w:rsid w:val="003F3424"/>
    <w:rsid w:val="003F3676"/>
    <w:rsid w:val="003F3CA9"/>
    <w:rsid w:val="003F51D6"/>
    <w:rsid w:val="003F5AE6"/>
    <w:rsid w:val="003F5C1D"/>
    <w:rsid w:val="003F5C8F"/>
    <w:rsid w:val="003F60C2"/>
    <w:rsid w:val="003F61FD"/>
    <w:rsid w:val="003F665D"/>
    <w:rsid w:val="003F693C"/>
    <w:rsid w:val="003F6A88"/>
    <w:rsid w:val="003F6F94"/>
    <w:rsid w:val="003F7372"/>
    <w:rsid w:val="003F742B"/>
    <w:rsid w:val="003F7658"/>
    <w:rsid w:val="003F7727"/>
    <w:rsid w:val="003F7786"/>
    <w:rsid w:val="003F7946"/>
    <w:rsid w:val="003F7E35"/>
    <w:rsid w:val="004000E4"/>
    <w:rsid w:val="004002DE"/>
    <w:rsid w:val="004003A3"/>
    <w:rsid w:val="004009F5"/>
    <w:rsid w:val="00400DB7"/>
    <w:rsid w:val="004010FE"/>
    <w:rsid w:val="004012BA"/>
    <w:rsid w:val="004015BF"/>
    <w:rsid w:val="004016F9"/>
    <w:rsid w:val="00401871"/>
    <w:rsid w:val="004019EA"/>
    <w:rsid w:val="00401BFB"/>
    <w:rsid w:val="00401D5C"/>
    <w:rsid w:val="00401F9E"/>
    <w:rsid w:val="00402028"/>
    <w:rsid w:val="004021CA"/>
    <w:rsid w:val="004023B8"/>
    <w:rsid w:val="00402535"/>
    <w:rsid w:val="00402B7A"/>
    <w:rsid w:val="00402C39"/>
    <w:rsid w:val="00402CE8"/>
    <w:rsid w:val="0040306F"/>
    <w:rsid w:val="004030F1"/>
    <w:rsid w:val="00403204"/>
    <w:rsid w:val="0040389F"/>
    <w:rsid w:val="00403BCE"/>
    <w:rsid w:val="00403C41"/>
    <w:rsid w:val="00404037"/>
    <w:rsid w:val="00404277"/>
    <w:rsid w:val="00404C3F"/>
    <w:rsid w:val="00404E68"/>
    <w:rsid w:val="0040542D"/>
    <w:rsid w:val="00405BE6"/>
    <w:rsid w:val="00405CB4"/>
    <w:rsid w:val="00405E0C"/>
    <w:rsid w:val="00411746"/>
    <w:rsid w:val="00411CA1"/>
    <w:rsid w:val="004122B8"/>
    <w:rsid w:val="004125D9"/>
    <w:rsid w:val="004129FD"/>
    <w:rsid w:val="00412C15"/>
    <w:rsid w:val="00412D83"/>
    <w:rsid w:val="0041313B"/>
    <w:rsid w:val="0041388D"/>
    <w:rsid w:val="00413A22"/>
    <w:rsid w:val="00414AAC"/>
    <w:rsid w:val="00414E37"/>
    <w:rsid w:val="00414E86"/>
    <w:rsid w:val="00414EB8"/>
    <w:rsid w:val="004154F2"/>
    <w:rsid w:val="00415A9A"/>
    <w:rsid w:val="00415ABE"/>
    <w:rsid w:val="00415D14"/>
    <w:rsid w:val="004166D2"/>
    <w:rsid w:val="00416A79"/>
    <w:rsid w:val="00416AE8"/>
    <w:rsid w:val="00416C2B"/>
    <w:rsid w:val="00416DF4"/>
    <w:rsid w:val="00417127"/>
    <w:rsid w:val="0041715E"/>
    <w:rsid w:val="0042014A"/>
    <w:rsid w:val="0042103B"/>
    <w:rsid w:val="00421094"/>
    <w:rsid w:val="00421129"/>
    <w:rsid w:val="0042127A"/>
    <w:rsid w:val="004218D9"/>
    <w:rsid w:val="00422933"/>
    <w:rsid w:val="00422ADB"/>
    <w:rsid w:val="00422B5B"/>
    <w:rsid w:val="0042356F"/>
    <w:rsid w:val="004239FE"/>
    <w:rsid w:val="00423F03"/>
    <w:rsid w:val="00423FF6"/>
    <w:rsid w:val="0042535D"/>
    <w:rsid w:val="00425456"/>
    <w:rsid w:val="00425540"/>
    <w:rsid w:val="00425718"/>
    <w:rsid w:val="00426298"/>
    <w:rsid w:val="0042651B"/>
    <w:rsid w:val="00426A64"/>
    <w:rsid w:val="00426F73"/>
    <w:rsid w:val="00427321"/>
    <w:rsid w:val="0042762F"/>
    <w:rsid w:val="004277E1"/>
    <w:rsid w:val="00427AC6"/>
    <w:rsid w:val="00427C46"/>
    <w:rsid w:val="00427CF0"/>
    <w:rsid w:val="00430005"/>
    <w:rsid w:val="004300C6"/>
    <w:rsid w:val="00430A5E"/>
    <w:rsid w:val="00430AA8"/>
    <w:rsid w:val="00430CE3"/>
    <w:rsid w:val="00430D0C"/>
    <w:rsid w:val="00432638"/>
    <w:rsid w:val="00432B0C"/>
    <w:rsid w:val="00432BF4"/>
    <w:rsid w:val="00433336"/>
    <w:rsid w:val="00433D24"/>
    <w:rsid w:val="00433D8E"/>
    <w:rsid w:val="00434161"/>
    <w:rsid w:val="00434B77"/>
    <w:rsid w:val="00434DF9"/>
    <w:rsid w:val="00434F7E"/>
    <w:rsid w:val="00434F93"/>
    <w:rsid w:val="00435408"/>
    <w:rsid w:val="00435EF3"/>
    <w:rsid w:val="004360A8"/>
    <w:rsid w:val="00437147"/>
    <w:rsid w:val="00437336"/>
    <w:rsid w:val="00437A90"/>
    <w:rsid w:val="00437DE4"/>
    <w:rsid w:val="00440114"/>
    <w:rsid w:val="00440136"/>
    <w:rsid w:val="0044045C"/>
    <w:rsid w:val="004404CD"/>
    <w:rsid w:val="00441845"/>
    <w:rsid w:val="00441959"/>
    <w:rsid w:val="00441B2A"/>
    <w:rsid w:val="00441D63"/>
    <w:rsid w:val="004422F6"/>
    <w:rsid w:val="0044279A"/>
    <w:rsid w:val="00443ADB"/>
    <w:rsid w:val="00443E18"/>
    <w:rsid w:val="00444187"/>
    <w:rsid w:val="004441B5"/>
    <w:rsid w:val="00444444"/>
    <w:rsid w:val="004446C5"/>
    <w:rsid w:val="004449C4"/>
    <w:rsid w:val="004450D5"/>
    <w:rsid w:val="0044517E"/>
    <w:rsid w:val="00446856"/>
    <w:rsid w:val="00447016"/>
    <w:rsid w:val="00447850"/>
    <w:rsid w:val="004479B7"/>
    <w:rsid w:val="00447A1B"/>
    <w:rsid w:val="00447A32"/>
    <w:rsid w:val="00450506"/>
    <w:rsid w:val="00450967"/>
    <w:rsid w:val="00450CB7"/>
    <w:rsid w:val="00450D6E"/>
    <w:rsid w:val="004512F6"/>
    <w:rsid w:val="004514A1"/>
    <w:rsid w:val="00451523"/>
    <w:rsid w:val="00451B2B"/>
    <w:rsid w:val="00451C2A"/>
    <w:rsid w:val="00451FDB"/>
    <w:rsid w:val="00452169"/>
    <w:rsid w:val="0045257E"/>
    <w:rsid w:val="004527D8"/>
    <w:rsid w:val="00452A4A"/>
    <w:rsid w:val="00452AC9"/>
    <w:rsid w:val="00452F32"/>
    <w:rsid w:val="004534F3"/>
    <w:rsid w:val="00453971"/>
    <w:rsid w:val="004539CA"/>
    <w:rsid w:val="00453A9C"/>
    <w:rsid w:val="00453EE4"/>
    <w:rsid w:val="00453F91"/>
    <w:rsid w:val="004543CC"/>
    <w:rsid w:val="004547D9"/>
    <w:rsid w:val="004553C6"/>
    <w:rsid w:val="00456172"/>
    <w:rsid w:val="00456880"/>
    <w:rsid w:val="00456EB7"/>
    <w:rsid w:val="004603ED"/>
    <w:rsid w:val="0046084E"/>
    <w:rsid w:val="00460891"/>
    <w:rsid w:val="00460E43"/>
    <w:rsid w:val="00461747"/>
    <w:rsid w:val="00461B43"/>
    <w:rsid w:val="00461BA6"/>
    <w:rsid w:val="00462004"/>
    <w:rsid w:val="004626DA"/>
    <w:rsid w:val="00462965"/>
    <w:rsid w:val="00462C0E"/>
    <w:rsid w:val="00462D78"/>
    <w:rsid w:val="004630DA"/>
    <w:rsid w:val="004631A5"/>
    <w:rsid w:val="0046335C"/>
    <w:rsid w:val="00463671"/>
    <w:rsid w:val="00463863"/>
    <w:rsid w:val="004639BC"/>
    <w:rsid w:val="00463B74"/>
    <w:rsid w:val="00463B7F"/>
    <w:rsid w:val="004640D7"/>
    <w:rsid w:val="00464189"/>
    <w:rsid w:val="00464FCB"/>
    <w:rsid w:val="00465442"/>
    <w:rsid w:val="0046564C"/>
    <w:rsid w:val="004663D1"/>
    <w:rsid w:val="0046657C"/>
    <w:rsid w:val="00466B37"/>
    <w:rsid w:val="00467252"/>
    <w:rsid w:val="00467586"/>
    <w:rsid w:val="004677A6"/>
    <w:rsid w:val="004679F5"/>
    <w:rsid w:val="00467B9D"/>
    <w:rsid w:val="00470163"/>
    <w:rsid w:val="004705ED"/>
    <w:rsid w:val="00471016"/>
    <w:rsid w:val="00471068"/>
    <w:rsid w:val="004714CE"/>
    <w:rsid w:val="004717D7"/>
    <w:rsid w:val="004717DA"/>
    <w:rsid w:val="004718CA"/>
    <w:rsid w:val="00471E82"/>
    <w:rsid w:val="0047270D"/>
    <w:rsid w:val="00472770"/>
    <w:rsid w:val="004729ED"/>
    <w:rsid w:val="00472BA1"/>
    <w:rsid w:val="004732B4"/>
    <w:rsid w:val="0047367C"/>
    <w:rsid w:val="004738ED"/>
    <w:rsid w:val="004739C7"/>
    <w:rsid w:val="00474515"/>
    <w:rsid w:val="00474639"/>
    <w:rsid w:val="00474C62"/>
    <w:rsid w:val="004753DE"/>
    <w:rsid w:val="0047565D"/>
    <w:rsid w:val="004757AC"/>
    <w:rsid w:val="00475845"/>
    <w:rsid w:val="00475E45"/>
    <w:rsid w:val="00476738"/>
    <w:rsid w:val="00476B3A"/>
    <w:rsid w:val="00476E96"/>
    <w:rsid w:val="00477D37"/>
    <w:rsid w:val="00480942"/>
    <w:rsid w:val="00480D5D"/>
    <w:rsid w:val="00481526"/>
    <w:rsid w:val="00481EA3"/>
    <w:rsid w:val="00482144"/>
    <w:rsid w:val="0048226E"/>
    <w:rsid w:val="0048227C"/>
    <w:rsid w:val="004825DC"/>
    <w:rsid w:val="00482D5C"/>
    <w:rsid w:val="0048320A"/>
    <w:rsid w:val="00483381"/>
    <w:rsid w:val="00483FA8"/>
    <w:rsid w:val="00483FB1"/>
    <w:rsid w:val="004841B6"/>
    <w:rsid w:val="00484381"/>
    <w:rsid w:val="004846BD"/>
    <w:rsid w:val="00484762"/>
    <w:rsid w:val="00484CB3"/>
    <w:rsid w:val="00484DC3"/>
    <w:rsid w:val="00484F13"/>
    <w:rsid w:val="00485AC4"/>
    <w:rsid w:val="00485B21"/>
    <w:rsid w:val="00485FB7"/>
    <w:rsid w:val="0048612A"/>
    <w:rsid w:val="0048618B"/>
    <w:rsid w:val="004864D4"/>
    <w:rsid w:val="00486772"/>
    <w:rsid w:val="00486C36"/>
    <w:rsid w:val="00486D9A"/>
    <w:rsid w:val="00487B53"/>
    <w:rsid w:val="004900F4"/>
    <w:rsid w:val="0049030D"/>
    <w:rsid w:val="004905ED"/>
    <w:rsid w:val="00490DEB"/>
    <w:rsid w:val="0049138A"/>
    <w:rsid w:val="004914B6"/>
    <w:rsid w:val="0049156F"/>
    <w:rsid w:val="004915A3"/>
    <w:rsid w:val="00491AB0"/>
    <w:rsid w:val="0049206E"/>
    <w:rsid w:val="004920E1"/>
    <w:rsid w:val="00492AF5"/>
    <w:rsid w:val="00492C76"/>
    <w:rsid w:val="00492F6D"/>
    <w:rsid w:val="00493145"/>
    <w:rsid w:val="00493183"/>
    <w:rsid w:val="00493ABA"/>
    <w:rsid w:val="00493C60"/>
    <w:rsid w:val="004941DB"/>
    <w:rsid w:val="004941FF"/>
    <w:rsid w:val="0049471B"/>
    <w:rsid w:val="00494F71"/>
    <w:rsid w:val="004950AE"/>
    <w:rsid w:val="00495274"/>
    <w:rsid w:val="0049535A"/>
    <w:rsid w:val="0049558A"/>
    <w:rsid w:val="00495829"/>
    <w:rsid w:val="0049596E"/>
    <w:rsid w:val="00495AB5"/>
    <w:rsid w:val="00495B32"/>
    <w:rsid w:val="00495D86"/>
    <w:rsid w:val="004964E8"/>
    <w:rsid w:val="00496BCA"/>
    <w:rsid w:val="00496D1B"/>
    <w:rsid w:val="0049722F"/>
    <w:rsid w:val="004973CF"/>
    <w:rsid w:val="004A0100"/>
    <w:rsid w:val="004A03DA"/>
    <w:rsid w:val="004A05DA"/>
    <w:rsid w:val="004A12FD"/>
    <w:rsid w:val="004A14A5"/>
    <w:rsid w:val="004A2325"/>
    <w:rsid w:val="004A3193"/>
    <w:rsid w:val="004A31A3"/>
    <w:rsid w:val="004A378E"/>
    <w:rsid w:val="004A391B"/>
    <w:rsid w:val="004A3FD8"/>
    <w:rsid w:val="004A4130"/>
    <w:rsid w:val="004A4259"/>
    <w:rsid w:val="004A4454"/>
    <w:rsid w:val="004A4F7F"/>
    <w:rsid w:val="004A556E"/>
    <w:rsid w:val="004A5770"/>
    <w:rsid w:val="004A57F0"/>
    <w:rsid w:val="004A5927"/>
    <w:rsid w:val="004A5A00"/>
    <w:rsid w:val="004A6664"/>
    <w:rsid w:val="004A66AF"/>
    <w:rsid w:val="004A66EE"/>
    <w:rsid w:val="004A7F00"/>
    <w:rsid w:val="004B0270"/>
    <w:rsid w:val="004B0E71"/>
    <w:rsid w:val="004B132B"/>
    <w:rsid w:val="004B1699"/>
    <w:rsid w:val="004B1DB2"/>
    <w:rsid w:val="004B2036"/>
    <w:rsid w:val="004B2863"/>
    <w:rsid w:val="004B29B9"/>
    <w:rsid w:val="004B2D94"/>
    <w:rsid w:val="004B3AD1"/>
    <w:rsid w:val="004B41D8"/>
    <w:rsid w:val="004B5157"/>
    <w:rsid w:val="004B5264"/>
    <w:rsid w:val="004B5806"/>
    <w:rsid w:val="004B5B32"/>
    <w:rsid w:val="004B67C6"/>
    <w:rsid w:val="004B6876"/>
    <w:rsid w:val="004B69FC"/>
    <w:rsid w:val="004B6AB7"/>
    <w:rsid w:val="004B6B40"/>
    <w:rsid w:val="004B6DAC"/>
    <w:rsid w:val="004B7295"/>
    <w:rsid w:val="004B744D"/>
    <w:rsid w:val="004B79B1"/>
    <w:rsid w:val="004B79F6"/>
    <w:rsid w:val="004B7F31"/>
    <w:rsid w:val="004C0747"/>
    <w:rsid w:val="004C075A"/>
    <w:rsid w:val="004C0C4B"/>
    <w:rsid w:val="004C151D"/>
    <w:rsid w:val="004C1698"/>
    <w:rsid w:val="004C215E"/>
    <w:rsid w:val="004C2A04"/>
    <w:rsid w:val="004C2D5F"/>
    <w:rsid w:val="004C3060"/>
    <w:rsid w:val="004C3219"/>
    <w:rsid w:val="004C39CD"/>
    <w:rsid w:val="004C3E23"/>
    <w:rsid w:val="004C4115"/>
    <w:rsid w:val="004C4164"/>
    <w:rsid w:val="004C454A"/>
    <w:rsid w:val="004C4B96"/>
    <w:rsid w:val="004C4CC8"/>
    <w:rsid w:val="004C4DF1"/>
    <w:rsid w:val="004C4EE6"/>
    <w:rsid w:val="004C4F45"/>
    <w:rsid w:val="004C50A5"/>
    <w:rsid w:val="004C5E9D"/>
    <w:rsid w:val="004C5F58"/>
    <w:rsid w:val="004C617B"/>
    <w:rsid w:val="004C62A9"/>
    <w:rsid w:val="004C658D"/>
    <w:rsid w:val="004C6788"/>
    <w:rsid w:val="004C6B15"/>
    <w:rsid w:val="004C746A"/>
    <w:rsid w:val="004C78EB"/>
    <w:rsid w:val="004C79C7"/>
    <w:rsid w:val="004C7B75"/>
    <w:rsid w:val="004D0134"/>
    <w:rsid w:val="004D01B8"/>
    <w:rsid w:val="004D01D0"/>
    <w:rsid w:val="004D05C5"/>
    <w:rsid w:val="004D09BD"/>
    <w:rsid w:val="004D0C04"/>
    <w:rsid w:val="004D0F4B"/>
    <w:rsid w:val="004D123A"/>
    <w:rsid w:val="004D2074"/>
    <w:rsid w:val="004D2383"/>
    <w:rsid w:val="004D2AF6"/>
    <w:rsid w:val="004D2C2F"/>
    <w:rsid w:val="004D2C77"/>
    <w:rsid w:val="004D2EC0"/>
    <w:rsid w:val="004D3A0B"/>
    <w:rsid w:val="004D408A"/>
    <w:rsid w:val="004D43FA"/>
    <w:rsid w:val="004D45B3"/>
    <w:rsid w:val="004D53A0"/>
    <w:rsid w:val="004D55F8"/>
    <w:rsid w:val="004D5C14"/>
    <w:rsid w:val="004D5DC0"/>
    <w:rsid w:val="004D6276"/>
    <w:rsid w:val="004D64E0"/>
    <w:rsid w:val="004D6C03"/>
    <w:rsid w:val="004D7505"/>
    <w:rsid w:val="004D7A16"/>
    <w:rsid w:val="004D7BB1"/>
    <w:rsid w:val="004D7C52"/>
    <w:rsid w:val="004D7D7E"/>
    <w:rsid w:val="004E089D"/>
    <w:rsid w:val="004E10B7"/>
    <w:rsid w:val="004E15CD"/>
    <w:rsid w:val="004E1607"/>
    <w:rsid w:val="004E162C"/>
    <w:rsid w:val="004E25AE"/>
    <w:rsid w:val="004E2FE2"/>
    <w:rsid w:val="004E32A2"/>
    <w:rsid w:val="004E3411"/>
    <w:rsid w:val="004E3835"/>
    <w:rsid w:val="004E39FE"/>
    <w:rsid w:val="004E579C"/>
    <w:rsid w:val="004E5856"/>
    <w:rsid w:val="004E596C"/>
    <w:rsid w:val="004E5E6B"/>
    <w:rsid w:val="004E5ED2"/>
    <w:rsid w:val="004E63B5"/>
    <w:rsid w:val="004E680E"/>
    <w:rsid w:val="004E6820"/>
    <w:rsid w:val="004E74A0"/>
    <w:rsid w:val="004E75C8"/>
    <w:rsid w:val="004E7766"/>
    <w:rsid w:val="004E79AC"/>
    <w:rsid w:val="004F0182"/>
    <w:rsid w:val="004F0317"/>
    <w:rsid w:val="004F0508"/>
    <w:rsid w:val="004F07BA"/>
    <w:rsid w:val="004F0FE1"/>
    <w:rsid w:val="004F164A"/>
    <w:rsid w:val="004F1C5F"/>
    <w:rsid w:val="004F2D9C"/>
    <w:rsid w:val="004F3970"/>
    <w:rsid w:val="004F3EFC"/>
    <w:rsid w:val="004F4859"/>
    <w:rsid w:val="004F48AA"/>
    <w:rsid w:val="004F4CCD"/>
    <w:rsid w:val="004F565D"/>
    <w:rsid w:val="004F5C6F"/>
    <w:rsid w:val="004F6003"/>
    <w:rsid w:val="004F6159"/>
    <w:rsid w:val="004F61B0"/>
    <w:rsid w:val="004F61DA"/>
    <w:rsid w:val="004F6685"/>
    <w:rsid w:val="004F6756"/>
    <w:rsid w:val="004F67AA"/>
    <w:rsid w:val="004F7692"/>
    <w:rsid w:val="004F7813"/>
    <w:rsid w:val="004F7897"/>
    <w:rsid w:val="004F7AA9"/>
    <w:rsid w:val="004F7BF4"/>
    <w:rsid w:val="004F7E75"/>
    <w:rsid w:val="0050048B"/>
    <w:rsid w:val="0050071E"/>
    <w:rsid w:val="00500FE1"/>
    <w:rsid w:val="00501472"/>
    <w:rsid w:val="005014FD"/>
    <w:rsid w:val="005018CC"/>
    <w:rsid w:val="00501B2A"/>
    <w:rsid w:val="00501D0C"/>
    <w:rsid w:val="00501DD3"/>
    <w:rsid w:val="00501FFC"/>
    <w:rsid w:val="005035C6"/>
    <w:rsid w:val="00503677"/>
    <w:rsid w:val="00503E1F"/>
    <w:rsid w:val="00503E46"/>
    <w:rsid w:val="00503F80"/>
    <w:rsid w:val="005044A8"/>
    <w:rsid w:val="005046EE"/>
    <w:rsid w:val="005049F5"/>
    <w:rsid w:val="005050CE"/>
    <w:rsid w:val="00505641"/>
    <w:rsid w:val="00505EF9"/>
    <w:rsid w:val="005062EA"/>
    <w:rsid w:val="005067ED"/>
    <w:rsid w:val="005068F5"/>
    <w:rsid w:val="0050694B"/>
    <w:rsid w:val="005072E1"/>
    <w:rsid w:val="005073E6"/>
    <w:rsid w:val="00507ABE"/>
    <w:rsid w:val="00507D2C"/>
    <w:rsid w:val="005104D8"/>
    <w:rsid w:val="0051096D"/>
    <w:rsid w:val="00510EF4"/>
    <w:rsid w:val="00511134"/>
    <w:rsid w:val="005112E5"/>
    <w:rsid w:val="00511399"/>
    <w:rsid w:val="0051176B"/>
    <w:rsid w:val="00511D3C"/>
    <w:rsid w:val="005132C3"/>
    <w:rsid w:val="005139BC"/>
    <w:rsid w:val="00514618"/>
    <w:rsid w:val="00514694"/>
    <w:rsid w:val="00514BDE"/>
    <w:rsid w:val="00515330"/>
    <w:rsid w:val="0051533D"/>
    <w:rsid w:val="005158DD"/>
    <w:rsid w:val="00515D3B"/>
    <w:rsid w:val="00516041"/>
    <w:rsid w:val="00516182"/>
    <w:rsid w:val="00516396"/>
    <w:rsid w:val="005164DE"/>
    <w:rsid w:val="00516B5D"/>
    <w:rsid w:val="00516F8C"/>
    <w:rsid w:val="00517CD1"/>
    <w:rsid w:val="00517CF9"/>
    <w:rsid w:val="005200E2"/>
    <w:rsid w:val="00520558"/>
    <w:rsid w:val="005208D7"/>
    <w:rsid w:val="00521587"/>
    <w:rsid w:val="0052165C"/>
    <w:rsid w:val="00521C18"/>
    <w:rsid w:val="00521FAD"/>
    <w:rsid w:val="0052236A"/>
    <w:rsid w:val="005223C6"/>
    <w:rsid w:val="00522417"/>
    <w:rsid w:val="00522A4C"/>
    <w:rsid w:val="00523152"/>
    <w:rsid w:val="00523434"/>
    <w:rsid w:val="005237DF"/>
    <w:rsid w:val="00523BFE"/>
    <w:rsid w:val="00523C99"/>
    <w:rsid w:val="00524485"/>
    <w:rsid w:val="00524AEB"/>
    <w:rsid w:val="00524FC8"/>
    <w:rsid w:val="00525934"/>
    <w:rsid w:val="00525D7F"/>
    <w:rsid w:val="00525F1A"/>
    <w:rsid w:val="0052646E"/>
    <w:rsid w:val="005265C4"/>
    <w:rsid w:val="005267B7"/>
    <w:rsid w:val="00526D25"/>
    <w:rsid w:val="00526F13"/>
    <w:rsid w:val="00526F9A"/>
    <w:rsid w:val="0052731A"/>
    <w:rsid w:val="00527860"/>
    <w:rsid w:val="0052787F"/>
    <w:rsid w:val="00527959"/>
    <w:rsid w:val="0052796A"/>
    <w:rsid w:val="00527D00"/>
    <w:rsid w:val="005303A4"/>
    <w:rsid w:val="00530E94"/>
    <w:rsid w:val="00530FDA"/>
    <w:rsid w:val="00531B57"/>
    <w:rsid w:val="00532070"/>
    <w:rsid w:val="005322D2"/>
    <w:rsid w:val="00532AA8"/>
    <w:rsid w:val="00532B55"/>
    <w:rsid w:val="00533579"/>
    <w:rsid w:val="005336CD"/>
    <w:rsid w:val="00533732"/>
    <w:rsid w:val="00533830"/>
    <w:rsid w:val="00533C18"/>
    <w:rsid w:val="00533E16"/>
    <w:rsid w:val="00534EF8"/>
    <w:rsid w:val="00534F13"/>
    <w:rsid w:val="005350B7"/>
    <w:rsid w:val="00535262"/>
    <w:rsid w:val="0053589D"/>
    <w:rsid w:val="00535D39"/>
    <w:rsid w:val="0053625B"/>
    <w:rsid w:val="0053662D"/>
    <w:rsid w:val="00536D4A"/>
    <w:rsid w:val="005370FC"/>
    <w:rsid w:val="005372EC"/>
    <w:rsid w:val="0054004F"/>
    <w:rsid w:val="0054025C"/>
    <w:rsid w:val="005405E3"/>
    <w:rsid w:val="00540C86"/>
    <w:rsid w:val="005417EB"/>
    <w:rsid w:val="00541D45"/>
    <w:rsid w:val="005420BF"/>
    <w:rsid w:val="00542174"/>
    <w:rsid w:val="00542244"/>
    <w:rsid w:val="00542570"/>
    <w:rsid w:val="00542C3E"/>
    <w:rsid w:val="00542CA4"/>
    <w:rsid w:val="005434C0"/>
    <w:rsid w:val="00543545"/>
    <w:rsid w:val="005435E1"/>
    <w:rsid w:val="00543619"/>
    <w:rsid w:val="00544236"/>
    <w:rsid w:val="0054554A"/>
    <w:rsid w:val="0054574A"/>
    <w:rsid w:val="00545BAA"/>
    <w:rsid w:val="00546321"/>
    <w:rsid w:val="0054648E"/>
    <w:rsid w:val="00546648"/>
    <w:rsid w:val="005475BB"/>
    <w:rsid w:val="0054778B"/>
    <w:rsid w:val="00547BFA"/>
    <w:rsid w:val="005524D4"/>
    <w:rsid w:val="0055323C"/>
    <w:rsid w:val="00553293"/>
    <w:rsid w:val="005538C9"/>
    <w:rsid w:val="0055406F"/>
    <w:rsid w:val="00554112"/>
    <w:rsid w:val="005548C0"/>
    <w:rsid w:val="00554BF6"/>
    <w:rsid w:val="00554C8D"/>
    <w:rsid w:val="00554EF5"/>
    <w:rsid w:val="0055525A"/>
    <w:rsid w:val="00555630"/>
    <w:rsid w:val="0055593A"/>
    <w:rsid w:val="00555DAC"/>
    <w:rsid w:val="00555EDF"/>
    <w:rsid w:val="00555F07"/>
    <w:rsid w:val="005560DB"/>
    <w:rsid w:val="00556235"/>
    <w:rsid w:val="00556319"/>
    <w:rsid w:val="00556459"/>
    <w:rsid w:val="00556472"/>
    <w:rsid w:val="00556D54"/>
    <w:rsid w:val="005570A6"/>
    <w:rsid w:val="00557133"/>
    <w:rsid w:val="00557167"/>
    <w:rsid w:val="005572A7"/>
    <w:rsid w:val="0055757E"/>
    <w:rsid w:val="005601D2"/>
    <w:rsid w:val="00560575"/>
    <w:rsid w:val="005609CB"/>
    <w:rsid w:val="00560C7D"/>
    <w:rsid w:val="00560E52"/>
    <w:rsid w:val="0056144D"/>
    <w:rsid w:val="0056151E"/>
    <w:rsid w:val="00561B63"/>
    <w:rsid w:val="00561EA8"/>
    <w:rsid w:val="005620E2"/>
    <w:rsid w:val="0056225F"/>
    <w:rsid w:val="00562337"/>
    <w:rsid w:val="005625A4"/>
    <w:rsid w:val="005627C8"/>
    <w:rsid w:val="00563043"/>
    <w:rsid w:val="00563502"/>
    <w:rsid w:val="0056466E"/>
    <w:rsid w:val="005646B6"/>
    <w:rsid w:val="005646B8"/>
    <w:rsid w:val="00564DA1"/>
    <w:rsid w:val="00565560"/>
    <w:rsid w:val="00565902"/>
    <w:rsid w:val="00565EDD"/>
    <w:rsid w:val="00566331"/>
    <w:rsid w:val="00566668"/>
    <w:rsid w:val="005666B0"/>
    <w:rsid w:val="00567821"/>
    <w:rsid w:val="005678D0"/>
    <w:rsid w:val="00567AFD"/>
    <w:rsid w:val="00567C20"/>
    <w:rsid w:val="00567CC7"/>
    <w:rsid w:val="00567E1B"/>
    <w:rsid w:val="0057052B"/>
    <w:rsid w:val="00570640"/>
    <w:rsid w:val="0057134E"/>
    <w:rsid w:val="0057194A"/>
    <w:rsid w:val="00571C57"/>
    <w:rsid w:val="00573387"/>
    <w:rsid w:val="005735DE"/>
    <w:rsid w:val="005737B9"/>
    <w:rsid w:val="0057388E"/>
    <w:rsid w:val="0057443A"/>
    <w:rsid w:val="005745B8"/>
    <w:rsid w:val="00574605"/>
    <w:rsid w:val="00574ADC"/>
    <w:rsid w:val="00574DF7"/>
    <w:rsid w:val="0057504B"/>
    <w:rsid w:val="00575377"/>
    <w:rsid w:val="0057541A"/>
    <w:rsid w:val="005754D8"/>
    <w:rsid w:val="00575A2B"/>
    <w:rsid w:val="00575CAE"/>
    <w:rsid w:val="00575EC9"/>
    <w:rsid w:val="00575EFE"/>
    <w:rsid w:val="00576257"/>
    <w:rsid w:val="005769F1"/>
    <w:rsid w:val="00576A26"/>
    <w:rsid w:val="00576B97"/>
    <w:rsid w:val="00576C2E"/>
    <w:rsid w:val="00576C8F"/>
    <w:rsid w:val="00576D65"/>
    <w:rsid w:val="00576FD6"/>
    <w:rsid w:val="00577564"/>
    <w:rsid w:val="00577570"/>
    <w:rsid w:val="0058046C"/>
    <w:rsid w:val="005804C2"/>
    <w:rsid w:val="005804D8"/>
    <w:rsid w:val="00580726"/>
    <w:rsid w:val="005811EC"/>
    <w:rsid w:val="005811F0"/>
    <w:rsid w:val="0058134D"/>
    <w:rsid w:val="005814B7"/>
    <w:rsid w:val="00581514"/>
    <w:rsid w:val="00581517"/>
    <w:rsid w:val="005819DD"/>
    <w:rsid w:val="00581A83"/>
    <w:rsid w:val="00581B24"/>
    <w:rsid w:val="00581E14"/>
    <w:rsid w:val="00581FCA"/>
    <w:rsid w:val="00582613"/>
    <w:rsid w:val="00582650"/>
    <w:rsid w:val="0058272D"/>
    <w:rsid w:val="0058290E"/>
    <w:rsid w:val="0058294C"/>
    <w:rsid w:val="0058297F"/>
    <w:rsid w:val="00582FD0"/>
    <w:rsid w:val="005833DB"/>
    <w:rsid w:val="00583965"/>
    <w:rsid w:val="00583DE0"/>
    <w:rsid w:val="00584196"/>
    <w:rsid w:val="00584679"/>
    <w:rsid w:val="0058480B"/>
    <w:rsid w:val="00584C29"/>
    <w:rsid w:val="00584E7B"/>
    <w:rsid w:val="00585179"/>
    <w:rsid w:val="0058640F"/>
    <w:rsid w:val="00586ADC"/>
    <w:rsid w:val="00586E4A"/>
    <w:rsid w:val="00587031"/>
    <w:rsid w:val="0058726E"/>
    <w:rsid w:val="0058794A"/>
    <w:rsid w:val="005901A9"/>
    <w:rsid w:val="005901D1"/>
    <w:rsid w:val="00590688"/>
    <w:rsid w:val="00590933"/>
    <w:rsid w:val="00590FE7"/>
    <w:rsid w:val="0059117F"/>
    <w:rsid w:val="005913CD"/>
    <w:rsid w:val="00591757"/>
    <w:rsid w:val="0059195F"/>
    <w:rsid w:val="0059199C"/>
    <w:rsid w:val="00591C2C"/>
    <w:rsid w:val="00591DEF"/>
    <w:rsid w:val="005929F3"/>
    <w:rsid w:val="00592D90"/>
    <w:rsid w:val="005932AF"/>
    <w:rsid w:val="0059381D"/>
    <w:rsid w:val="00594BC6"/>
    <w:rsid w:val="00594F35"/>
    <w:rsid w:val="00595003"/>
    <w:rsid w:val="005953B5"/>
    <w:rsid w:val="0059576F"/>
    <w:rsid w:val="00595CD5"/>
    <w:rsid w:val="00595D38"/>
    <w:rsid w:val="00596058"/>
    <w:rsid w:val="005964B1"/>
    <w:rsid w:val="0059665E"/>
    <w:rsid w:val="00596ADE"/>
    <w:rsid w:val="0059743B"/>
    <w:rsid w:val="0059751A"/>
    <w:rsid w:val="00597DFA"/>
    <w:rsid w:val="00597F7E"/>
    <w:rsid w:val="005A064F"/>
    <w:rsid w:val="005A0C9A"/>
    <w:rsid w:val="005A0D91"/>
    <w:rsid w:val="005A1230"/>
    <w:rsid w:val="005A125C"/>
    <w:rsid w:val="005A158B"/>
    <w:rsid w:val="005A1874"/>
    <w:rsid w:val="005A20E0"/>
    <w:rsid w:val="005A2494"/>
    <w:rsid w:val="005A25FD"/>
    <w:rsid w:val="005A2610"/>
    <w:rsid w:val="005A30B5"/>
    <w:rsid w:val="005A3D99"/>
    <w:rsid w:val="005A41F5"/>
    <w:rsid w:val="005A4826"/>
    <w:rsid w:val="005A4B57"/>
    <w:rsid w:val="005A4CA3"/>
    <w:rsid w:val="005A4CF8"/>
    <w:rsid w:val="005A4D60"/>
    <w:rsid w:val="005A4EEB"/>
    <w:rsid w:val="005A5831"/>
    <w:rsid w:val="005A5C2F"/>
    <w:rsid w:val="005A6353"/>
    <w:rsid w:val="005A67B3"/>
    <w:rsid w:val="005A6841"/>
    <w:rsid w:val="005A7065"/>
    <w:rsid w:val="005A7F8F"/>
    <w:rsid w:val="005B00D0"/>
    <w:rsid w:val="005B0287"/>
    <w:rsid w:val="005B0A1D"/>
    <w:rsid w:val="005B0B05"/>
    <w:rsid w:val="005B0BC9"/>
    <w:rsid w:val="005B0CA0"/>
    <w:rsid w:val="005B0D47"/>
    <w:rsid w:val="005B0E0D"/>
    <w:rsid w:val="005B154C"/>
    <w:rsid w:val="005B1AD9"/>
    <w:rsid w:val="005B20D8"/>
    <w:rsid w:val="005B291B"/>
    <w:rsid w:val="005B298D"/>
    <w:rsid w:val="005B2A33"/>
    <w:rsid w:val="005B3045"/>
    <w:rsid w:val="005B35CA"/>
    <w:rsid w:val="005B3957"/>
    <w:rsid w:val="005B4507"/>
    <w:rsid w:val="005B46CA"/>
    <w:rsid w:val="005B475B"/>
    <w:rsid w:val="005B4815"/>
    <w:rsid w:val="005B4B03"/>
    <w:rsid w:val="005B5346"/>
    <w:rsid w:val="005B5359"/>
    <w:rsid w:val="005B591C"/>
    <w:rsid w:val="005B6270"/>
    <w:rsid w:val="005B673A"/>
    <w:rsid w:val="005B7055"/>
    <w:rsid w:val="005B739B"/>
    <w:rsid w:val="005B7AA4"/>
    <w:rsid w:val="005B7C3D"/>
    <w:rsid w:val="005B7C71"/>
    <w:rsid w:val="005B7CC5"/>
    <w:rsid w:val="005B7D4D"/>
    <w:rsid w:val="005B7F00"/>
    <w:rsid w:val="005C03B3"/>
    <w:rsid w:val="005C0874"/>
    <w:rsid w:val="005C08AD"/>
    <w:rsid w:val="005C0949"/>
    <w:rsid w:val="005C099D"/>
    <w:rsid w:val="005C0C30"/>
    <w:rsid w:val="005C0D82"/>
    <w:rsid w:val="005C19AE"/>
    <w:rsid w:val="005C20A8"/>
    <w:rsid w:val="005C214B"/>
    <w:rsid w:val="005C2DF5"/>
    <w:rsid w:val="005C40F3"/>
    <w:rsid w:val="005C4181"/>
    <w:rsid w:val="005C4640"/>
    <w:rsid w:val="005C512F"/>
    <w:rsid w:val="005C55C9"/>
    <w:rsid w:val="005C5790"/>
    <w:rsid w:val="005C59FA"/>
    <w:rsid w:val="005C665A"/>
    <w:rsid w:val="005C7913"/>
    <w:rsid w:val="005D00A2"/>
    <w:rsid w:val="005D0247"/>
    <w:rsid w:val="005D0400"/>
    <w:rsid w:val="005D0795"/>
    <w:rsid w:val="005D08D2"/>
    <w:rsid w:val="005D0A84"/>
    <w:rsid w:val="005D1BEC"/>
    <w:rsid w:val="005D1DF1"/>
    <w:rsid w:val="005D1E42"/>
    <w:rsid w:val="005D1E74"/>
    <w:rsid w:val="005D2375"/>
    <w:rsid w:val="005D29DE"/>
    <w:rsid w:val="005D2AE2"/>
    <w:rsid w:val="005D30D0"/>
    <w:rsid w:val="005D3738"/>
    <w:rsid w:val="005D3DF5"/>
    <w:rsid w:val="005D45E5"/>
    <w:rsid w:val="005D4640"/>
    <w:rsid w:val="005D475E"/>
    <w:rsid w:val="005D4C7D"/>
    <w:rsid w:val="005D563B"/>
    <w:rsid w:val="005D5830"/>
    <w:rsid w:val="005D5AB7"/>
    <w:rsid w:val="005D5C54"/>
    <w:rsid w:val="005D5E96"/>
    <w:rsid w:val="005D5E9E"/>
    <w:rsid w:val="005D65CA"/>
    <w:rsid w:val="005D6696"/>
    <w:rsid w:val="005D7636"/>
    <w:rsid w:val="005D772D"/>
    <w:rsid w:val="005D7835"/>
    <w:rsid w:val="005D7C36"/>
    <w:rsid w:val="005E07E6"/>
    <w:rsid w:val="005E094B"/>
    <w:rsid w:val="005E0A21"/>
    <w:rsid w:val="005E18F8"/>
    <w:rsid w:val="005E198E"/>
    <w:rsid w:val="005E1DA2"/>
    <w:rsid w:val="005E1F83"/>
    <w:rsid w:val="005E20FE"/>
    <w:rsid w:val="005E227B"/>
    <w:rsid w:val="005E236D"/>
    <w:rsid w:val="005E25C0"/>
    <w:rsid w:val="005E38DA"/>
    <w:rsid w:val="005E3C35"/>
    <w:rsid w:val="005E3CEE"/>
    <w:rsid w:val="005E3F0C"/>
    <w:rsid w:val="005E4030"/>
    <w:rsid w:val="005E49CE"/>
    <w:rsid w:val="005E4BB0"/>
    <w:rsid w:val="005E5571"/>
    <w:rsid w:val="005E5B4F"/>
    <w:rsid w:val="005E5FFA"/>
    <w:rsid w:val="005E64C3"/>
    <w:rsid w:val="005E6FF0"/>
    <w:rsid w:val="005E74B6"/>
    <w:rsid w:val="005E75DD"/>
    <w:rsid w:val="005E78A5"/>
    <w:rsid w:val="005E7B71"/>
    <w:rsid w:val="005F0742"/>
    <w:rsid w:val="005F0A12"/>
    <w:rsid w:val="005F14D4"/>
    <w:rsid w:val="005F15F0"/>
    <w:rsid w:val="005F21E7"/>
    <w:rsid w:val="005F2368"/>
    <w:rsid w:val="005F26F8"/>
    <w:rsid w:val="005F2A85"/>
    <w:rsid w:val="005F2B37"/>
    <w:rsid w:val="005F3012"/>
    <w:rsid w:val="005F33E4"/>
    <w:rsid w:val="005F35E7"/>
    <w:rsid w:val="005F4029"/>
    <w:rsid w:val="005F4198"/>
    <w:rsid w:val="005F48FA"/>
    <w:rsid w:val="005F4A40"/>
    <w:rsid w:val="005F4AE6"/>
    <w:rsid w:val="005F4CC5"/>
    <w:rsid w:val="005F502A"/>
    <w:rsid w:val="005F543E"/>
    <w:rsid w:val="005F5963"/>
    <w:rsid w:val="005F5A61"/>
    <w:rsid w:val="005F5D1E"/>
    <w:rsid w:val="005F5D6A"/>
    <w:rsid w:val="005F603D"/>
    <w:rsid w:val="005F624D"/>
    <w:rsid w:val="005F641E"/>
    <w:rsid w:val="005F6753"/>
    <w:rsid w:val="005F6AE2"/>
    <w:rsid w:val="005F715D"/>
    <w:rsid w:val="005F71F6"/>
    <w:rsid w:val="005F7A6D"/>
    <w:rsid w:val="0060006A"/>
    <w:rsid w:val="006000EE"/>
    <w:rsid w:val="006002D6"/>
    <w:rsid w:val="00600DBD"/>
    <w:rsid w:val="00600F35"/>
    <w:rsid w:val="006013CB"/>
    <w:rsid w:val="00601A88"/>
    <w:rsid w:val="00601AD3"/>
    <w:rsid w:val="00602282"/>
    <w:rsid w:val="006022EE"/>
    <w:rsid w:val="00603B2D"/>
    <w:rsid w:val="00603EF9"/>
    <w:rsid w:val="00604026"/>
    <w:rsid w:val="006040D2"/>
    <w:rsid w:val="006041B0"/>
    <w:rsid w:val="0060465F"/>
    <w:rsid w:val="006048CF"/>
    <w:rsid w:val="00604AA8"/>
    <w:rsid w:val="00605330"/>
    <w:rsid w:val="00605A2E"/>
    <w:rsid w:val="00605ECD"/>
    <w:rsid w:val="00606927"/>
    <w:rsid w:val="00606A48"/>
    <w:rsid w:val="00606ADE"/>
    <w:rsid w:val="00607383"/>
    <w:rsid w:val="00607623"/>
    <w:rsid w:val="00607821"/>
    <w:rsid w:val="00607947"/>
    <w:rsid w:val="00607D01"/>
    <w:rsid w:val="00607F64"/>
    <w:rsid w:val="00610286"/>
    <w:rsid w:val="00610D9C"/>
    <w:rsid w:val="00611199"/>
    <w:rsid w:val="00611476"/>
    <w:rsid w:val="0061169D"/>
    <w:rsid w:val="00612290"/>
    <w:rsid w:val="0061237F"/>
    <w:rsid w:val="006123B4"/>
    <w:rsid w:val="00612760"/>
    <w:rsid w:val="0061282A"/>
    <w:rsid w:val="00612ED2"/>
    <w:rsid w:val="006134A5"/>
    <w:rsid w:val="006134AF"/>
    <w:rsid w:val="0061364C"/>
    <w:rsid w:val="006139A8"/>
    <w:rsid w:val="00613CDB"/>
    <w:rsid w:val="006145F1"/>
    <w:rsid w:val="006151D6"/>
    <w:rsid w:val="006156BA"/>
    <w:rsid w:val="00615C8C"/>
    <w:rsid w:val="00616558"/>
    <w:rsid w:val="006167B8"/>
    <w:rsid w:val="00617212"/>
    <w:rsid w:val="00617399"/>
    <w:rsid w:val="006204F5"/>
    <w:rsid w:val="00620518"/>
    <w:rsid w:val="006207AC"/>
    <w:rsid w:val="00620AF2"/>
    <w:rsid w:val="00620E19"/>
    <w:rsid w:val="00621047"/>
    <w:rsid w:val="00621094"/>
    <w:rsid w:val="00621262"/>
    <w:rsid w:val="00621472"/>
    <w:rsid w:val="006214A4"/>
    <w:rsid w:val="00621761"/>
    <w:rsid w:val="006217EA"/>
    <w:rsid w:val="00621855"/>
    <w:rsid w:val="006221DA"/>
    <w:rsid w:val="006225D8"/>
    <w:rsid w:val="00622CDA"/>
    <w:rsid w:val="00623D14"/>
    <w:rsid w:val="0062408A"/>
    <w:rsid w:val="006240C6"/>
    <w:rsid w:val="0062448A"/>
    <w:rsid w:val="0062465B"/>
    <w:rsid w:val="00624C53"/>
    <w:rsid w:val="0062519C"/>
    <w:rsid w:val="0062550F"/>
    <w:rsid w:val="00625B4D"/>
    <w:rsid w:val="00625F92"/>
    <w:rsid w:val="00626478"/>
    <w:rsid w:val="006266D2"/>
    <w:rsid w:val="006267D5"/>
    <w:rsid w:val="00627723"/>
    <w:rsid w:val="00627B1D"/>
    <w:rsid w:val="00632797"/>
    <w:rsid w:val="00633145"/>
    <w:rsid w:val="00633B81"/>
    <w:rsid w:val="00633EAC"/>
    <w:rsid w:val="006357A4"/>
    <w:rsid w:val="00635DD5"/>
    <w:rsid w:val="00635EEE"/>
    <w:rsid w:val="0063610D"/>
    <w:rsid w:val="00636957"/>
    <w:rsid w:val="006369DE"/>
    <w:rsid w:val="00636ACB"/>
    <w:rsid w:val="00636B51"/>
    <w:rsid w:val="00636CE6"/>
    <w:rsid w:val="00636FF4"/>
    <w:rsid w:val="00637704"/>
    <w:rsid w:val="0063777D"/>
    <w:rsid w:val="006378AE"/>
    <w:rsid w:val="006406F9"/>
    <w:rsid w:val="00640B4F"/>
    <w:rsid w:val="00640C27"/>
    <w:rsid w:val="00640EF1"/>
    <w:rsid w:val="006412F2"/>
    <w:rsid w:val="0064162F"/>
    <w:rsid w:val="006416EA"/>
    <w:rsid w:val="00641A7B"/>
    <w:rsid w:val="00641BEC"/>
    <w:rsid w:val="00641D34"/>
    <w:rsid w:val="00641F14"/>
    <w:rsid w:val="006424E8"/>
    <w:rsid w:val="0064262C"/>
    <w:rsid w:val="0064271A"/>
    <w:rsid w:val="00642AFB"/>
    <w:rsid w:val="006430D4"/>
    <w:rsid w:val="00643301"/>
    <w:rsid w:val="00643DB4"/>
    <w:rsid w:val="00643F0E"/>
    <w:rsid w:val="00644099"/>
    <w:rsid w:val="006442DA"/>
    <w:rsid w:val="0064449D"/>
    <w:rsid w:val="006445FB"/>
    <w:rsid w:val="0064476C"/>
    <w:rsid w:val="0064486F"/>
    <w:rsid w:val="00644A81"/>
    <w:rsid w:val="00644B62"/>
    <w:rsid w:val="00644E32"/>
    <w:rsid w:val="00645327"/>
    <w:rsid w:val="00645479"/>
    <w:rsid w:val="006458F9"/>
    <w:rsid w:val="00645E86"/>
    <w:rsid w:val="00646110"/>
    <w:rsid w:val="006463B9"/>
    <w:rsid w:val="00646F34"/>
    <w:rsid w:val="0064704D"/>
    <w:rsid w:val="0064724E"/>
    <w:rsid w:val="006473EB"/>
    <w:rsid w:val="00647A0E"/>
    <w:rsid w:val="00647AC0"/>
    <w:rsid w:val="00647B95"/>
    <w:rsid w:val="00647D38"/>
    <w:rsid w:val="00647EB8"/>
    <w:rsid w:val="006506EA"/>
    <w:rsid w:val="0065076E"/>
    <w:rsid w:val="006507F8"/>
    <w:rsid w:val="00650BDA"/>
    <w:rsid w:val="00651229"/>
    <w:rsid w:val="00651618"/>
    <w:rsid w:val="00651CEE"/>
    <w:rsid w:val="0065227C"/>
    <w:rsid w:val="00652380"/>
    <w:rsid w:val="00652566"/>
    <w:rsid w:val="00652E9C"/>
    <w:rsid w:val="00653E00"/>
    <w:rsid w:val="00653FA8"/>
    <w:rsid w:val="0065424F"/>
    <w:rsid w:val="006542D1"/>
    <w:rsid w:val="006546F0"/>
    <w:rsid w:val="00654AAE"/>
    <w:rsid w:val="00654B30"/>
    <w:rsid w:val="00654C78"/>
    <w:rsid w:val="006553AD"/>
    <w:rsid w:val="006556C7"/>
    <w:rsid w:val="006557C2"/>
    <w:rsid w:val="00655C7E"/>
    <w:rsid w:val="00655CC9"/>
    <w:rsid w:val="00655EC6"/>
    <w:rsid w:val="00656937"/>
    <w:rsid w:val="00656C22"/>
    <w:rsid w:val="00656C4D"/>
    <w:rsid w:val="00656C5F"/>
    <w:rsid w:val="00657B36"/>
    <w:rsid w:val="00657DB6"/>
    <w:rsid w:val="00660454"/>
    <w:rsid w:val="0066056A"/>
    <w:rsid w:val="00660727"/>
    <w:rsid w:val="00661261"/>
    <w:rsid w:val="0066142C"/>
    <w:rsid w:val="00661579"/>
    <w:rsid w:val="0066168F"/>
    <w:rsid w:val="006619FD"/>
    <w:rsid w:val="00661D1C"/>
    <w:rsid w:val="00661DE7"/>
    <w:rsid w:val="00661E80"/>
    <w:rsid w:val="0066214B"/>
    <w:rsid w:val="0066227F"/>
    <w:rsid w:val="006626E4"/>
    <w:rsid w:val="00662A3B"/>
    <w:rsid w:val="00662A53"/>
    <w:rsid w:val="00662BB8"/>
    <w:rsid w:val="00663116"/>
    <w:rsid w:val="00663117"/>
    <w:rsid w:val="00664948"/>
    <w:rsid w:val="00664A0C"/>
    <w:rsid w:val="00664FD1"/>
    <w:rsid w:val="006650A6"/>
    <w:rsid w:val="0066510D"/>
    <w:rsid w:val="00665179"/>
    <w:rsid w:val="00665C2A"/>
    <w:rsid w:val="00665EB1"/>
    <w:rsid w:val="00665EB9"/>
    <w:rsid w:val="00666286"/>
    <w:rsid w:val="00666592"/>
    <w:rsid w:val="00666777"/>
    <w:rsid w:val="00666C42"/>
    <w:rsid w:val="00667482"/>
    <w:rsid w:val="00667777"/>
    <w:rsid w:val="006677FE"/>
    <w:rsid w:val="006679C7"/>
    <w:rsid w:val="0067002D"/>
    <w:rsid w:val="006707B7"/>
    <w:rsid w:val="00671824"/>
    <w:rsid w:val="006722B0"/>
    <w:rsid w:val="00672447"/>
    <w:rsid w:val="00672A82"/>
    <w:rsid w:val="00673001"/>
    <w:rsid w:val="00673061"/>
    <w:rsid w:val="006732C6"/>
    <w:rsid w:val="006734CD"/>
    <w:rsid w:val="00673E35"/>
    <w:rsid w:val="00673F70"/>
    <w:rsid w:val="0067412B"/>
    <w:rsid w:val="006743F5"/>
    <w:rsid w:val="006744CC"/>
    <w:rsid w:val="00674945"/>
    <w:rsid w:val="00674CAB"/>
    <w:rsid w:val="006755E5"/>
    <w:rsid w:val="0067565F"/>
    <w:rsid w:val="00675F14"/>
    <w:rsid w:val="0067660A"/>
    <w:rsid w:val="00676774"/>
    <w:rsid w:val="00676B3F"/>
    <w:rsid w:val="00676F9B"/>
    <w:rsid w:val="0067717C"/>
    <w:rsid w:val="006773E1"/>
    <w:rsid w:val="0067745C"/>
    <w:rsid w:val="0067766E"/>
    <w:rsid w:val="00677E78"/>
    <w:rsid w:val="0068027C"/>
    <w:rsid w:val="0068028A"/>
    <w:rsid w:val="006816C1"/>
    <w:rsid w:val="00681D9C"/>
    <w:rsid w:val="00681E2D"/>
    <w:rsid w:val="00681EB5"/>
    <w:rsid w:val="0068230F"/>
    <w:rsid w:val="00682C7B"/>
    <w:rsid w:val="00682CBC"/>
    <w:rsid w:val="006830BB"/>
    <w:rsid w:val="006830F3"/>
    <w:rsid w:val="00683318"/>
    <w:rsid w:val="00683359"/>
    <w:rsid w:val="0068350A"/>
    <w:rsid w:val="00683CE2"/>
    <w:rsid w:val="00684137"/>
    <w:rsid w:val="006844BB"/>
    <w:rsid w:val="00684EF5"/>
    <w:rsid w:val="00686302"/>
    <w:rsid w:val="006863C5"/>
    <w:rsid w:val="00687106"/>
    <w:rsid w:val="006873F6"/>
    <w:rsid w:val="006876E2"/>
    <w:rsid w:val="0068785A"/>
    <w:rsid w:val="00687C72"/>
    <w:rsid w:val="00687DA4"/>
    <w:rsid w:val="006903B4"/>
    <w:rsid w:val="0069040E"/>
    <w:rsid w:val="006907D5"/>
    <w:rsid w:val="00690F27"/>
    <w:rsid w:val="00690FEE"/>
    <w:rsid w:val="0069111F"/>
    <w:rsid w:val="006914F3"/>
    <w:rsid w:val="006918BF"/>
    <w:rsid w:val="006918F1"/>
    <w:rsid w:val="0069265B"/>
    <w:rsid w:val="00692DB6"/>
    <w:rsid w:val="00692F85"/>
    <w:rsid w:val="00693109"/>
    <w:rsid w:val="006934CD"/>
    <w:rsid w:val="00693581"/>
    <w:rsid w:val="00693636"/>
    <w:rsid w:val="006937BC"/>
    <w:rsid w:val="00693926"/>
    <w:rsid w:val="00693EB9"/>
    <w:rsid w:val="006943FA"/>
    <w:rsid w:val="0069480E"/>
    <w:rsid w:val="00694EEF"/>
    <w:rsid w:val="0069531E"/>
    <w:rsid w:val="006956E1"/>
    <w:rsid w:val="00695928"/>
    <w:rsid w:val="00695DDE"/>
    <w:rsid w:val="00695EE2"/>
    <w:rsid w:val="006962C4"/>
    <w:rsid w:val="00696594"/>
    <w:rsid w:val="00696C06"/>
    <w:rsid w:val="0069723C"/>
    <w:rsid w:val="0069761E"/>
    <w:rsid w:val="00697D1A"/>
    <w:rsid w:val="00697D5F"/>
    <w:rsid w:val="00697F8E"/>
    <w:rsid w:val="006A03A4"/>
    <w:rsid w:val="006A03A9"/>
    <w:rsid w:val="006A0875"/>
    <w:rsid w:val="006A13EB"/>
    <w:rsid w:val="006A1828"/>
    <w:rsid w:val="006A1A69"/>
    <w:rsid w:val="006A1ADE"/>
    <w:rsid w:val="006A1FF0"/>
    <w:rsid w:val="006A2195"/>
    <w:rsid w:val="006A28F3"/>
    <w:rsid w:val="006A29B3"/>
    <w:rsid w:val="006A2B74"/>
    <w:rsid w:val="006A34A7"/>
    <w:rsid w:val="006A3655"/>
    <w:rsid w:val="006A379E"/>
    <w:rsid w:val="006A3AE9"/>
    <w:rsid w:val="006A433F"/>
    <w:rsid w:val="006A4B32"/>
    <w:rsid w:val="006A5177"/>
    <w:rsid w:val="006A5313"/>
    <w:rsid w:val="006A55B2"/>
    <w:rsid w:val="006A5814"/>
    <w:rsid w:val="006A5F72"/>
    <w:rsid w:val="006A61BE"/>
    <w:rsid w:val="006A6542"/>
    <w:rsid w:val="006A6907"/>
    <w:rsid w:val="006A6AEB"/>
    <w:rsid w:val="006A6B9A"/>
    <w:rsid w:val="006A6D61"/>
    <w:rsid w:val="006A717D"/>
    <w:rsid w:val="006A788D"/>
    <w:rsid w:val="006A7BD7"/>
    <w:rsid w:val="006B06E7"/>
    <w:rsid w:val="006B0718"/>
    <w:rsid w:val="006B0A4F"/>
    <w:rsid w:val="006B0D16"/>
    <w:rsid w:val="006B0DFF"/>
    <w:rsid w:val="006B1FD9"/>
    <w:rsid w:val="006B2092"/>
    <w:rsid w:val="006B2645"/>
    <w:rsid w:val="006B267B"/>
    <w:rsid w:val="006B29B2"/>
    <w:rsid w:val="006B2B1E"/>
    <w:rsid w:val="006B2F4A"/>
    <w:rsid w:val="006B2FAD"/>
    <w:rsid w:val="006B37A0"/>
    <w:rsid w:val="006B38FB"/>
    <w:rsid w:val="006B3C28"/>
    <w:rsid w:val="006B4155"/>
    <w:rsid w:val="006B476E"/>
    <w:rsid w:val="006B519B"/>
    <w:rsid w:val="006B52E7"/>
    <w:rsid w:val="006B54AC"/>
    <w:rsid w:val="006B590A"/>
    <w:rsid w:val="006B5ECD"/>
    <w:rsid w:val="006B606B"/>
    <w:rsid w:val="006B696D"/>
    <w:rsid w:val="006B6986"/>
    <w:rsid w:val="006B6B0C"/>
    <w:rsid w:val="006B6BC7"/>
    <w:rsid w:val="006B7AAE"/>
    <w:rsid w:val="006B7C8A"/>
    <w:rsid w:val="006C0016"/>
    <w:rsid w:val="006C0024"/>
    <w:rsid w:val="006C0551"/>
    <w:rsid w:val="006C0851"/>
    <w:rsid w:val="006C0BD6"/>
    <w:rsid w:val="006C0DE1"/>
    <w:rsid w:val="006C12E4"/>
    <w:rsid w:val="006C135F"/>
    <w:rsid w:val="006C148F"/>
    <w:rsid w:val="006C1B1C"/>
    <w:rsid w:val="006C2265"/>
    <w:rsid w:val="006C26E1"/>
    <w:rsid w:val="006C2A5F"/>
    <w:rsid w:val="006C2D68"/>
    <w:rsid w:val="006C30E1"/>
    <w:rsid w:val="006C3878"/>
    <w:rsid w:val="006C3890"/>
    <w:rsid w:val="006C3D19"/>
    <w:rsid w:val="006C4623"/>
    <w:rsid w:val="006C49E6"/>
    <w:rsid w:val="006C4FF1"/>
    <w:rsid w:val="006C549F"/>
    <w:rsid w:val="006C5DEB"/>
    <w:rsid w:val="006C63B0"/>
    <w:rsid w:val="006C64DA"/>
    <w:rsid w:val="006C6785"/>
    <w:rsid w:val="006C6A0C"/>
    <w:rsid w:val="006C75EE"/>
    <w:rsid w:val="006D0012"/>
    <w:rsid w:val="006D06DB"/>
    <w:rsid w:val="006D07D2"/>
    <w:rsid w:val="006D0AF3"/>
    <w:rsid w:val="006D0C13"/>
    <w:rsid w:val="006D2F8E"/>
    <w:rsid w:val="006D377C"/>
    <w:rsid w:val="006D43B0"/>
    <w:rsid w:val="006D455A"/>
    <w:rsid w:val="006D4CFB"/>
    <w:rsid w:val="006D532B"/>
    <w:rsid w:val="006D574D"/>
    <w:rsid w:val="006D613F"/>
    <w:rsid w:val="006D659B"/>
    <w:rsid w:val="006D669C"/>
    <w:rsid w:val="006D6992"/>
    <w:rsid w:val="006D6DFF"/>
    <w:rsid w:val="006D6F2E"/>
    <w:rsid w:val="006D7861"/>
    <w:rsid w:val="006D7A60"/>
    <w:rsid w:val="006D7C45"/>
    <w:rsid w:val="006D7D88"/>
    <w:rsid w:val="006D7FDD"/>
    <w:rsid w:val="006E021D"/>
    <w:rsid w:val="006E0238"/>
    <w:rsid w:val="006E04A8"/>
    <w:rsid w:val="006E0985"/>
    <w:rsid w:val="006E0CB9"/>
    <w:rsid w:val="006E0D78"/>
    <w:rsid w:val="006E0EB6"/>
    <w:rsid w:val="006E1047"/>
    <w:rsid w:val="006E1269"/>
    <w:rsid w:val="006E152C"/>
    <w:rsid w:val="006E15AC"/>
    <w:rsid w:val="006E163F"/>
    <w:rsid w:val="006E16FF"/>
    <w:rsid w:val="006E1BF6"/>
    <w:rsid w:val="006E1F21"/>
    <w:rsid w:val="006E2311"/>
    <w:rsid w:val="006E2496"/>
    <w:rsid w:val="006E277E"/>
    <w:rsid w:val="006E2D55"/>
    <w:rsid w:val="006E2EA3"/>
    <w:rsid w:val="006E34C0"/>
    <w:rsid w:val="006E3562"/>
    <w:rsid w:val="006E3820"/>
    <w:rsid w:val="006E4178"/>
    <w:rsid w:val="006E4241"/>
    <w:rsid w:val="006E429A"/>
    <w:rsid w:val="006E4617"/>
    <w:rsid w:val="006E49C8"/>
    <w:rsid w:val="006E4D5F"/>
    <w:rsid w:val="006E5020"/>
    <w:rsid w:val="006E505D"/>
    <w:rsid w:val="006E5261"/>
    <w:rsid w:val="006E5EA8"/>
    <w:rsid w:val="006E5ED1"/>
    <w:rsid w:val="006E60B9"/>
    <w:rsid w:val="006E6196"/>
    <w:rsid w:val="006E61E0"/>
    <w:rsid w:val="006E6397"/>
    <w:rsid w:val="006E67C4"/>
    <w:rsid w:val="006E6E33"/>
    <w:rsid w:val="006E70A9"/>
    <w:rsid w:val="006E77E8"/>
    <w:rsid w:val="006E78B9"/>
    <w:rsid w:val="006E79F0"/>
    <w:rsid w:val="006F01B1"/>
    <w:rsid w:val="006F07EA"/>
    <w:rsid w:val="006F08DA"/>
    <w:rsid w:val="006F1283"/>
    <w:rsid w:val="006F138C"/>
    <w:rsid w:val="006F1929"/>
    <w:rsid w:val="006F1A58"/>
    <w:rsid w:val="006F1D80"/>
    <w:rsid w:val="006F1F19"/>
    <w:rsid w:val="006F24FD"/>
    <w:rsid w:val="006F258C"/>
    <w:rsid w:val="006F2687"/>
    <w:rsid w:val="006F29EC"/>
    <w:rsid w:val="006F2BEC"/>
    <w:rsid w:val="006F2E70"/>
    <w:rsid w:val="006F2F03"/>
    <w:rsid w:val="006F305F"/>
    <w:rsid w:val="006F36A0"/>
    <w:rsid w:val="006F3B64"/>
    <w:rsid w:val="006F3EB4"/>
    <w:rsid w:val="006F459D"/>
    <w:rsid w:val="006F4E75"/>
    <w:rsid w:val="006F5623"/>
    <w:rsid w:val="006F5B5F"/>
    <w:rsid w:val="006F5BA7"/>
    <w:rsid w:val="006F5E63"/>
    <w:rsid w:val="006F654A"/>
    <w:rsid w:val="006F669F"/>
    <w:rsid w:val="006F6931"/>
    <w:rsid w:val="006F69C6"/>
    <w:rsid w:val="006F6A37"/>
    <w:rsid w:val="006F7156"/>
    <w:rsid w:val="006F729A"/>
    <w:rsid w:val="006F7CB7"/>
    <w:rsid w:val="006F7CC1"/>
    <w:rsid w:val="006F7F1B"/>
    <w:rsid w:val="00700329"/>
    <w:rsid w:val="00700446"/>
    <w:rsid w:val="007005FE"/>
    <w:rsid w:val="00700890"/>
    <w:rsid w:val="00700A3B"/>
    <w:rsid w:val="00700BCE"/>
    <w:rsid w:val="00701DDC"/>
    <w:rsid w:val="00702535"/>
    <w:rsid w:val="0070275B"/>
    <w:rsid w:val="007027C1"/>
    <w:rsid w:val="00703156"/>
    <w:rsid w:val="00703668"/>
    <w:rsid w:val="00703822"/>
    <w:rsid w:val="00703AB2"/>
    <w:rsid w:val="0070413C"/>
    <w:rsid w:val="007041C8"/>
    <w:rsid w:val="00704447"/>
    <w:rsid w:val="007046A6"/>
    <w:rsid w:val="00704B0B"/>
    <w:rsid w:val="00704B5C"/>
    <w:rsid w:val="00704CEC"/>
    <w:rsid w:val="00704E10"/>
    <w:rsid w:val="0070513A"/>
    <w:rsid w:val="00706A35"/>
    <w:rsid w:val="00706BAD"/>
    <w:rsid w:val="007071FC"/>
    <w:rsid w:val="00707294"/>
    <w:rsid w:val="007077E0"/>
    <w:rsid w:val="007077F9"/>
    <w:rsid w:val="007079EF"/>
    <w:rsid w:val="00707B0B"/>
    <w:rsid w:val="00707C25"/>
    <w:rsid w:val="00710832"/>
    <w:rsid w:val="00710844"/>
    <w:rsid w:val="007108D1"/>
    <w:rsid w:val="00710D77"/>
    <w:rsid w:val="00711197"/>
    <w:rsid w:val="00711470"/>
    <w:rsid w:val="00711689"/>
    <w:rsid w:val="007118C1"/>
    <w:rsid w:val="00711ABF"/>
    <w:rsid w:val="0071213B"/>
    <w:rsid w:val="00712431"/>
    <w:rsid w:val="00712A00"/>
    <w:rsid w:val="00712BDC"/>
    <w:rsid w:val="00712F0D"/>
    <w:rsid w:val="00713413"/>
    <w:rsid w:val="007136B7"/>
    <w:rsid w:val="00713C52"/>
    <w:rsid w:val="00713CB7"/>
    <w:rsid w:val="00713EF0"/>
    <w:rsid w:val="00714078"/>
    <w:rsid w:val="007140CB"/>
    <w:rsid w:val="00714BD7"/>
    <w:rsid w:val="00714E49"/>
    <w:rsid w:val="0071538D"/>
    <w:rsid w:val="0071544A"/>
    <w:rsid w:val="00715808"/>
    <w:rsid w:val="00715978"/>
    <w:rsid w:val="00715BF1"/>
    <w:rsid w:val="00715D39"/>
    <w:rsid w:val="00716216"/>
    <w:rsid w:val="00716257"/>
    <w:rsid w:val="007165A0"/>
    <w:rsid w:val="00716715"/>
    <w:rsid w:val="00716955"/>
    <w:rsid w:val="00716A6F"/>
    <w:rsid w:val="00716B49"/>
    <w:rsid w:val="00716B51"/>
    <w:rsid w:val="00716FD2"/>
    <w:rsid w:val="007172B4"/>
    <w:rsid w:val="007176B3"/>
    <w:rsid w:val="00720159"/>
    <w:rsid w:val="007201B1"/>
    <w:rsid w:val="00720277"/>
    <w:rsid w:val="00720876"/>
    <w:rsid w:val="0072092E"/>
    <w:rsid w:val="00720C08"/>
    <w:rsid w:val="00720C09"/>
    <w:rsid w:val="00720DB7"/>
    <w:rsid w:val="0072100A"/>
    <w:rsid w:val="00721BBD"/>
    <w:rsid w:val="00721CDA"/>
    <w:rsid w:val="00722B87"/>
    <w:rsid w:val="00723009"/>
    <w:rsid w:val="00723E6F"/>
    <w:rsid w:val="007242CA"/>
    <w:rsid w:val="007245B4"/>
    <w:rsid w:val="00724670"/>
    <w:rsid w:val="00724983"/>
    <w:rsid w:val="00725B0E"/>
    <w:rsid w:val="00726515"/>
    <w:rsid w:val="00726DDC"/>
    <w:rsid w:val="00727607"/>
    <w:rsid w:val="0072772F"/>
    <w:rsid w:val="00727759"/>
    <w:rsid w:val="007301DF"/>
    <w:rsid w:val="00730894"/>
    <w:rsid w:val="00730C7A"/>
    <w:rsid w:val="0073118F"/>
    <w:rsid w:val="00731674"/>
    <w:rsid w:val="00731A7B"/>
    <w:rsid w:val="00731FFE"/>
    <w:rsid w:val="00732351"/>
    <w:rsid w:val="007326E7"/>
    <w:rsid w:val="00734CAB"/>
    <w:rsid w:val="00735190"/>
    <w:rsid w:val="0073556C"/>
    <w:rsid w:val="007360BD"/>
    <w:rsid w:val="00736494"/>
    <w:rsid w:val="00736C43"/>
    <w:rsid w:val="00737362"/>
    <w:rsid w:val="0073743B"/>
    <w:rsid w:val="00737543"/>
    <w:rsid w:val="00737637"/>
    <w:rsid w:val="00737993"/>
    <w:rsid w:val="00737D4E"/>
    <w:rsid w:val="007400F6"/>
    <w:rsid w:val="00740369"/>
    <w:rsid w:val="0074042B"/>
    <w:rsid w:val="007405FD"/>
    <w:rsid w:val="00740D7C"/>
    <w:rsid w:val="00740E41"/>
    <w:rsid w:val="00740F40"/>
    <w:rsid w:val="00740F4B"/>
    <w:rsid w:val="00741176"/>
    <w:rsid w:val="007415D5"/>
    <w:rsid w:val="007416A8"/>
    <w:rsid w:val="007418FE"/>
    <w:rsid w:val="0074271F"/>
    <w:rsid w:val="007427A1"/>
    <w:rsid w:val="007428AF"/>
    <w:rsid w:val="007428EA"/>
    <w:rsid w:val="00742A96"/>
    <w:rsid w:val="00742E41"/>
    <w:rsid w:val="00743F81"/>
    <w:rsid w:val="0074413E"/>
    <w:rsid w:val="007444DA"/>
    <w:rsid w:val="00744555"/>
    <w:rsid w:val="0074468B"/>
    <w:rsid w:val="007448B4"/>
    <w:rsid w:val="00744C31"/>
    <w:rsid w:val="00744E75"/>
    <w:rsid w:val="0074522C"/>
    <w:rsid w:val="00745843"/>
    <w:rsid w:val="00745A51"/>
    <w:rsid w:val="00745C3A"/>
    <w:rsid w:val="00745EE8"/>
    <w:rsid w:val="0074615F"/>
    <w:rsid w:val="0074685C"/>
    <w:rsid w:val="00746974"/>
    <w:rsid w:val="00746A86"/>
    <w:rsid w:val="00746FEA"/>
    <w:rsid w:val="00747722"/>
    <w:rsid w:val="007478B0"/>
    <w:rsid w:val="00747962"/>
    <w:rsid w:val="00747B2E"/>
    <w:rsid w:val="0075008B"/>
    <w:rsid w:val="00750131"/>
    <w:rsid w:val="00750445"/>
    <w:rsid w:val="00750999"/>
    <w:rsid w:val="007514CB"/>
    <w:rsid w:val="00751A06"/>
    <w:rsid w:val="00751D2F"/>
    <w:rsid w:val="007531F1"/>
    <w:rsid w:val="00753F70"/>
    <w:rsid w:val="00754531"/>
    <w:rsid w:val="00754AAB"/>
    <w:rsid w:val="00754E01"/>
    <w:rsid w:val="00755916"/>
    <w:rsid w:val="00755C3E"/>
    <w:rsid w:val="00755F5C"/>
    <w:rsid w:val="00756166"/>
    <w:rsid w:val="0075630F"/>
    <w:rsid w:val="007563A4"/>
    <w:rsid w:val="007566AA"/>
    <w:rsid w:val="00756824"/>
    <w:rsid w:val="007569E5"/>
    <w:rsid w:val="00756E1F"/>
    <w:rsid w:val="007576C6"/>
    <w:rsid w:val="00757939"/>
    <w:rsid w:val="007605FC"/>
    <w:rsid w:val="00760AA9"/>
    <w:rsid w:val="00760B86"/>
    <w:rsid w:val="00761CAB"/>
    <w:rsid w:val="00761D8C"/>
    <w:rsid w:val="007627F5"/>
    <w:rsid w:val="0076284E"/>
    <w:rsid w:val="00762DA2"/>
    <w:rsid w:val="00762E16"/>
    <w:rsid w:val="0076309D"/>
    <w:rsid w:val="007634CB"/>
    <w:rsid w:val="007638C3"/>
    <w:rsid w:val="007639CA"/>
    <w:rsid w:val="007639DF"/>
    <w:rsid w:val="00764057"/>
    <w:rsid w:val="007640FB"/>
    <w:rsid w:val="00764329"/>
    <w:rsid w:val="007649CB"/>
    <w:rsid w:val="00764BF3"/>
    <w:rsid w:val="00764CE9"/>
    <w:rsid w:val="00764E3D"/>
    <w:rsid w:val="00765927"/>
    <w:rsid w:val="00765D44"/>
    <w:rsid w:val="00765D55"/>
    <w:rsid w:val="00765F50"/>
    <w:rsid w:val="00766014"/>
    <w:rsid w:val="00766606"/>
    <w:rsid w:val="007667B3"/>
    <w:rsid w:val="00766942"/>
    <w:rsid w:val="0076720F"/>
    <w:rsid w:val="00767563"/>
    <w:rsid w:val="0076768E"/>
    <w:rsid w:val="0076778B"/>
    <w:rsid w:val="00767B5B"/>
    <w:rsid w:val="00767D56"/>
    <w:rsid w:val="00767F87"/>
    <w:rsid w:val="00770124"/>
    <w:rsid w:val="007707AA"/>
    <w:rsid w:val="00770F71"/>
    <w:rsid w:val="00770FD1"/>
    <w:rsid w:val="00771454"/>
    <w:rsid w:val="007716BF"/>
    <w:rsid w:val="00772B77"/>
    <w:rsid w:val="00772EE4"/>
    <w:rsid w:val="007733A7"/>
    <w:rsid w:val="00773F7B"/>
    <w:rsid w:val="00774054"/>
    <w:rsid w:val="0077420F"/>
    <w:rsid w:val="00774475"/>
    <w:rsid w:val="007748EC"/>
    <w:rsid w:val="0077506A"/>
    <w:rsid w:val="007752A4"/>
    <w:rsid w:val="00775A26"/>
    <w:rsid w:val="00776038"/>
    <w:rsid w:val="00776092"/>
    <w:rsid w:val="007761EB"/>
    <w:rsid w:val="00776237"/>
    <w:rsid w:val="0077655F"/>
    <w:rsid w:val="00776777"/>
    <w:rsid w:val="00776974"/>
    <w:rsid w:val="0077738B"/>
    <w:rsid w:val="00777842"/>
    <w:rsid w:val="00777FCA"/>
    <w:rsid w:val="00780BDD"/>
    <w:rsid w:val="00780DEE"/>
    <w:rsid w:val="00780FD4"/>
    <w:rsid w:val="0078122F"/>
    <w:rsid w:val="00781691"/>
    <w:rsid w:val="0078181B"/>
    <w:rsid w:val="00781CDC"/>
    <w:rsid w:val="0078270E"/>
    <w:rsid w:val="00782FFB"/>
    <w:rsid w:val="00783178"/>
    <w:rsid w:val="0078331F"/>
    <w:rsid w:val="0078351D"/>
    <w:rsid w:val="007835FD"/>
    <w:rsid w:val="00783896"/>
    <w:rsid w:val="007838AC"/>
    <w:rsid w:val="007839F9"/>
    <w:rsid w:val="00783C3E"/>
    <w:rsid w:val="00783DF7"/>
    <w:rsid w:val="00784A69"/>
    <w:rsid w:val="00784E8E"/>
    <w:rsid w:val="0078502D"/>
    <w:rsid w:val="0078510A"/>
    <w:rsid w:val="0078518F"/>
    <w:rsid w:val="0078589C"/>
    <w:rsid w:val="00785A42"/>
    <w:rsid w:val="00785A74"/>
    <w:rsid w:val="00785AD7"/>
    <w:rsid w:val="007864A3"/>
    <w:rsid w:val="00786B89"/>
    <w:rsid w:val="00786E58"/>
    <w:rsid w:val="007874DE"/>
    <w:rsid w:val="00787A5D"/>
    <w:rsid w:val="00790081"/>
    <w:rsid w:val="0079023C"/>
    <w:rsid w:val="00790F71"/>
    <w:rsid w:val="00791280"/>
    <w:rsid w:val="007913A7"/>
    <w:rsid w:val="007916A0"/>
    <w:rsid w:val="0079295F"/>
    <w:rsid w:val="007929CE"/>
    <w:rsid w:val="00792AC3"/>
    <w:rsid w:val="00792D3F"/>
    <w:rsid w:val="0079315D"/>
    <w:rsid w:val="00793AC3"/>
    <w:rsid w:val="00793D46"/>
    <w:rsid w:val="00793F6A"/>
    <w:rsid w:val="00794001"/>
    <w:rsid w:val="00794716"/>
    <w:rsid w:val="007947E1"/>
    <w:rsid w:val="00794BA2"/>
    <w:rsid w:val="00794FDB"/>
    <w:rsid w:val="00795AB3"/>
    <w:rsid w:val="00795AEA"/>
    <w:rsid w:val="00795B32"/>
    <w:rsid w:val="00795BB2"/>
    <w:rsid w:val="00796207"/>
    <w:rsid w:val="0079670B"/>
    <w:rsid w:val="00796BF4"/>
    <w:rsid w:val="0079772E"/>
    <w:rsid w:val="00797789"/>
    <w:rsid w:val="007A0085"/>
    <w:rsid w:val="007A0392"/>
    <w:rsid w:val="007A0AD5"/>
    <w:rsid w:val="007A0B02"/>
    <w:rsid w:val="007A0FF0"/>
    <w:rsid w:val="007A1C6E"/>
    <w:rsid w:val="007A1DE6"/>
    <w:rsid w:val="007A21E3"/>
    <w:rsid w:val="007A22D9"/>
    <w:rsid w:val="007A2925"/>
    <w:rsid w:val="007A2B96"/>
    <w:rsid w:val="007A30EC"/>
    <w:rsid w:val="007A3C14"/>
    <w:rsid w:val="007A40FA"/>
    <w:rsid w:val="007A48D6"/>
    <w:rsid w:val="007A4A4E"/>
    <w:rsid w:val="007A4AFE"/>
    <w:rsid w:val="007A4D8C"/>
    <w:rsid w:val="007A4DD5"/>
    <w:rsid w:val="007A50B0"/>
    <w:rsid w:val="007A50B8"/>
    <w:rsid w:val="007A5114"/>
    <w:rsid w:val="007A5C4C"/>
    <w:rsid w:val="007A6124"/>
    <w:rsid w:val="007A61A1"/>
    <w:rsid w:val="007A6655"/>
    <w:rsid w:val="007A66F4"/>
    <w:rsid w:val="007A6D11"/>
    <w:rsid w:val="007A6EF7"/>
    <w:rsid w:val="007A71CD"/>
    <w:rsid w:val="007A7436"/>
    <w:rsid w:val="007A764D"/>
    <w:rsid w:val="007A79C3"/>
    <w:rsid w:val="007A7DD8"/>
    <w:rsid w:val="007B004F"/>
    <w:rsid w:val="007B0448"/>
    <w:rsid w:val="007B0527"/>
    <w:rsid w:val="007B05DC"/>
    <w:rsid w:val="007B162D"/>
    <w:rsid w:val="007B16A5"/>
    <w:rsid w:val="007B1A0B"/>
    <w:rsid w:val="007B25A2"/>
    <w:rsid w:val="007B2812"/>
    <w:rsid w:val="007B2A88"/>
    <w:rsid w:val="007B2C4F"/>
    <w:rsid w:val="007B32E8"/>
    <w:rsid w:val="007B3B3C"/>
    <w:rsid w:val="007B4370"/>
    <w:rsid w:val="007B4B44"/>
    <w:rsid w:val="007B54B0"/>
    <w:rsid w:val="007B5518"/>
    <w:rsid w:val="007B5729"/>
    <w:rsid w:val="007B592B"/>
    <w:rsid w:val="007B5C5E"/>
    <w:rsid w:val="007B5CA4"/>
    <w:rsid w:val="007B6016"/>
    <w:rsid w:val="007B631E"/>
    <w:rsid w:val="007B67D6"/>
    <w:rsid w:val="007B6A3B"/>
    <w:rsid w:val="007B6D02"/>
    <w:rsid w:val="007B6E94"/>
    <w:rsid w:val="007B74BB"/>
    <w:rsid w:val="007B7840"/>
    <w:rsid w:val="007B7BCB"/>
    <w:rsid w:val="007C027A"/>
    <w:rsid w:val="007C0437"/>
    <w:rsid w:val="007C0E29"/>
    <w:rsid w:val="007C1053"/>
    <w:rsid w:val="007C10F0"/>
    <w:rsid w:val="007C10F1"/>
    <w:rsid w:val="007C13BC"/>
    <w:rsid w:val="007C1643"/>
    <w:rsid w:val="007C1751"/>
    <w:rsid w:val="007C19D1"/>
    <w:rsid w:val="007C2AA7"/>
    <w:rsid w:val="007C2AE9"/>
    <w:rsid w:val="007C2CDD"/>
    <w:rsid w:val="007C2DBB"/>
    <w:rsid w:val="007C2ED7"/>
    <w:rsid w:val="007C33AB"/>
    <w:rsid w:val="007C354F"/>
    <w:rsid w:val="007C356D"/>
    <w:rsid w:val="007C3682"/>
    <w:rsid w:val="007C3716"/>
    <w:rsid w:val="007C37CF"/>
    <w:rsid w:val="007C3A98"/>
    <w:rsid w:val="007C44E2"/>
    <w:rsid w:val="007C4938"/>
    <w:rsid w:val="007C4BBB"/>
    <w:rsid w:val="007C4EFF"/>
    <w:rsid w:val="007C4F0E"/>
    <w:rsid w:val="007C56B1"/>
    <w:rsid w:val="007C56DF"/>
    <w:rsid w:val="007C5F86"/>
    <w:rsid w:val="007C6003"/>
    <w:rsid w:val="007C62FA"/>
    <w:rsid w:val="007C7038"/>
    <w:rsid w:val="007C75BB"/>
    <w:rsid w:val="007C76DA"/>
    <w:rsid w:val="007C7922"/>
    <w:rsid w:val="007C7978"/>
    <w:rsid w:val="007C7C04"/>
    <w:rsid w:val="007D0235"/>
    <w:rsid w:val="007D0320"/>
    <w:rsid w:val="007D0464"/>
    <w:rsid w:val="007D0B01"/>
    <w:rsid w:val="007D0B68"/>
    <w:rsid w:val="007D0DE3"/>
    <w:rsid w:val="007D0EE3"/>
    <w:rsid w:val="007D127C"/>
    <w:rsid w:val="007D139F"/>
    <w:rsid w:val="007D24A0"/>
    <w:rsid w:val="007D24A5"/>
    <w:rsid w:val="007D2B25"/>
    <w:rsid w:val="007D2D76"/>
    <w:rsid w:val="007D2E21"/>
    <w:rsid w:val="007D31C6"/>
    <w:rsid w:val="007D346C"/>
    <w:rsid w:val="007D3B25"/>
    <w:rsid w:val="007D4B60"/>
    <w:rsid w:val="007D5B7C"/>
    <w:rsid w:val="007D5CD6"/>
    <w:rsid w:val="007D6381"/>
    <w:rsid w:val="007D6FFC"/>
    <w:rsid w:val="007D710F"/>
    <w:rsid w:val="007D746C"/>
    <w:rsid w:val="007D7AEE"/>
    <w:rsid w:val="007E012C"/>
    <w:rsid w:val="007E0648"/>
    <w:rsid w:val="007E0E61"/>
    <w:rsid w:val="007E111B"/>
    <w:rsid w:val="007E1130"/>
    <w:rsid w:val="007E11CB"/>
    <w:rsid w:val="007E153C"/>
    <w:rsid w:val="007E1C3C"/>
    <w:rsid w:val="007E25E1"/>
    <w:rsid w:val="007E2709"/>
    <w:rsid w:val="007E28C5"/>
    <w:rsid w:val="007E28D9"/>
    <w:rsid w:val="007E28EA"/>
    <w:rsid w:val="007E2DA9"/>
    <w:rsid w:val="007E2E38"/>
    <w:rsid w:val="007E2F42"/>
    <w:rsid w:val="007E3168"/>
    <w:rsid w:val="007E3688"/>
    <w:rsid w:val="007E3D35"/>
    <w:rsid w:val="007E4441"/>
    <w:rsid w:val="007E475F"/>
    <w:rsid w:val="007E5398"/>
    <w:rsid w:val="007E55E7"/>
    <w:rsid w:val="007E5B5C"/>
    <w:rsid w:val="007E5F30"/>
    <w:rsid w:val="007E5F88"/>
    <w:rsid w:val="007E6554"/>
    <w:rsid w:val="007E6EAB"/>
    <w:rsid w:val="007E745E"/>
    <w:rsid w:val="007E7679"/>
    <w:rsid w:val="007E78A7"/>
    <w:rsid w:val="007E7D93"/>
    <w:rsid w:val="007F0650"/>
    <w:rsid w:val="007F0849"/>
    <w:rsid w:val="007F08A3"/>
    <w:rsid w:val="007F0B75"/>
    <w:rsid w:val="007F0F8E"/>
    <w:rsid w:val="007F1416"/>
    <w:rsid w:val="007F149D"/>
    <w:rsid w:val="007F1524"/>
    <w:rsid w:val="007F1977"/>
    <w:rsid w:val="007F2221"/>
    <w:rsid w:val="007F26F8"/>
    <w:rsid w:val="007F2797"/>
    <w:rsid w:val="007F28F0"/>
    <w:rsid w:val="007F33A8"/>
    <w:rsid w:val="007F33F1"/>
    <w:rsid w:val="007F361A"/>
    <w:rsid w:val="007F38CA"/>
    <w:rsid w:val="007F3B52"/>
    <w:rsid w:val="007F3B75"/>
    <w:rsid w:val="007F3F48"/>
    <w:rsid w:val="007F3FBF"/>
    <w:rsid w:val="007F452A"/>
    <w:rsid w:val="007F471E"/>
    <w:rsid w:val="007F5411"/>
    <w:rsid w:val="007F5DFD"/>
    <w:rsid w:val="007F6249"/>
    <w:rsid w:val="007F6DD2"/>
    <w:rsid w:val="007F6E1D"/>
    <w:rsid w:val="007F6E54"/>
    <w:rsid w:val="007F6EF6"/>
    <w:rsid w:val="007F7181"/>
    <w:rsid w:val="007F739E"/>
    <w:rsid w:val="007F7B4C"/>
    <w:rsid w:val="007F7BEC"/>
    <w:rsid w:val="007F7DCE"/>
    <w:rsid w:val="008006A6"/>
    <w:rsid w:val="00800950"/>
    <w:rsid w:val="00800B87"/>
    <w:rsid w:val="00800BFA"/>
    <w:rsid w:val="008012FA"/>
    <w:rsid w:val="0080150F"/>
    <w:rsid w:val="00801575"/>
    <w:rsid w:val="00801C9E"/>
    <w:rsid w:val="00801EAC"/>
    <w:rsid w:val="008022B6"/>
    <w:rsid w:val="00802BE7"/>
    <w:rsid w:val="00802CD8"/>
    <w:rsid w:val="00803094"/>
    <w:rsid w:val="0080378E"/>
    <w:rsid w:val="008044F8"/>
    <w:rsid w:val="00804777"/>
    <w:rsid w:val="008050C3"/>
    <w:rsid w:val="00805170"/>
    <w:rsid w:val="00805277"/>
    <w:rsid w:val="0080543C"/>
    <w:rsid w:val="00805DDF"/>
    <w:rsid w:val="00805F35"/>
    <w:rsid w:val="0080609E"/>
    <w:rsid w:val="00806105"/>
    <w:rsid w:val="008069B7"/>
    <w:rsid w:val="00806D42"/>
    <w:rsid w:val="00807246"/>
    <w:rsid w:val="00807405"/>
    <w:rsid w:val="00807665"/>
    <w:rsid w:val="00810ECD"/>
    <w:rsid w:val="00811464"/>
    <w:rsid w:val="0081158A"/>
    <w:rsid w:val="00812226"/>
    <w:rsid w:val="00812BE3"/>
    <w:rsid w:val="00813BB5"/>
    <w:rsid w:val="00813DA4"/>
    <w:rsid w:val="00813ED3"/>
    <w:rsid w:val="008144C7"/>
    <w:rsid w:val="00814536"/>
    <w:rsid w:val="00815579"/>
    <w:rsid w:val="0081586A"/>
    <w:rsid w:val="008159B0"/>
    <w:rsid w:val="00816579"/>
    <w:rsid w:val="00816699"/>
    <w:rsid w:val="00816893"/>
    <w:rsid w:val="00816EDD"/>
    <w:rsid w:val="008170B6"/>
    <w:rsid w:val="00817861"/>
    <w:rsid w:val="0082017C"/>
    <w:rsid w:val="008201FA"/>
    <w:rsid w:val="00821574"/>
    <w:rsid w:val="008216D5"/>
    <w:rsid w:val="0082190D"/>
    <w:rsid w:val="00821BBC"/>
    <w:rsid w:val="008220B1"/>
    <w:rsid w:val="00822176"/>
    <w:rsid w:val="008226EB"/>
    <w:rsid w:val="0082286F"/>
    <w:rsid w:val="00822A7E"/>
    <w:rsid w:val="00822AA7"/>
    <w:rsid w:val="00822B6F"/>
    <w:rsid w:val="00823195"/>
    <w:rsid w:val="0082344B"/>
    <w:rsid w:val="0082375C"/>
    <w:rsid w:val="00823922"/>
    <w:rsid w:val="00823C17"/>
    <w:rsid w:val="00823D71"/>
    <w:rsid w:val="00823F8E"/>
    <w:rsid w:val="008245C2"/>
    <w:rsid w:val="008245E5"/>
    <w:rsid w:val="00824786"/>
    <w:rsid w:val="00824882"/>
    <w:rsid w:val="00825028"/>
    <w:rsid w:val="00826020"/>
    <w:rsid w:val="00826259"/>
    <w:rsid w:val="008270D6"/>
    <w:rsid w:val="0082741F"/>
    <w:rsid w:val="008275A1"/>
    <w:rsid w:val="008275E9"/>
    <w:rsid w:val="00827911"/>
    <w:rsid w:val="00827D37"/>
    <w:rsid w:val="00830F13"/>
    <w:rsid w:val="00830F16"/>
    <w:rsid w:val="008310EF"/>
    <w:rsid w:val="00831526"/>
    <w:rsid w:val="008317EB"/>
    <w:rsid w:val="008317FB"/>
    <w:rsid w:val="008318A2"/>
    <w:rsid w:val="008318C0"/>
    <w:rsid w:val="00831DE1"/>
    <w:rsid w:val="00832436"/>
    <w:rsid w:val="00832450"/>
    <w:rsid w:val="00832830"/>
    <w:rsid w:val="00832BC9"/>
    <w:rsid w:val="00832C0F"/>
    <w:rsid w:val="0083328D"/>
    <w:rsid w:val="00833627"/>
    <w:rsid w:val="00833C6B"/>
    <w:rsid w:val="008344DE"/>
    <w:rsid w:val="008344F3"/>
    <w:rsid w:val="00835031"/>
    <w:rsid w:val="0083564D"/>
    <w:rsid w:val="008359E5"/>
    <w:rsid w:val="008361AE"/>
    <w:rsid w:val="00837530"/>
    <w:rsid w:val="00837532"/>
    <w:rsid w:val="00837E1C"/>
    <w:rsid w:val="008402B3"/>
    <w:rsid w:val="00840347"/>
    <w:rsid w:val="008405D8"/>
    <w:rsid w:val="00840E66"/>
    <w:rsid w:val="00841746"/>
    <w:rsid w:val="00841A6E"/>
    <w:rsid w:val="00841BEA"/>
    <w:rsid w:val="00841D0C"/>
    <w:rsid w:val="00841D97"/>
    <w:rsid w:val="00841F0D"/>
    <w:rsid w:val="008425FC"/>
    <w:rsid w:val="00842971"/>
    <w:rsid w:val="00842989"/>
    <w:rsid w:val="00842B9D"/>
    <w:rsid w:val="00842BF3"/>
    <w:rsid w:val="00842C07"/>
    <w:rsid w:val="008431C2"/>
    <w:rsid w:val="008431E2"/>
    <w:rsid w:val="008435C1"/>
    <w:rsid w:val="00843713"/>
    <w:rsid w:val="008438D3"/>
    <w:rsid w:val="00843D08"/>
    <w:rsid w:val="00844B7C"/>
    <w:rsid w:val="00844D79"/>
    <w:rsid w:val="00844E8D"/>
    <w:rsid w:val="0084518B"/>
    <w:rsid w:val="00845418"/>
    <w:rsid w:val="00845896"/>
    <w:rsid w:val="0084616F"/>
    <w:rsid w:val="00846277"/>
    <w:rsid w:val="008463F5"/>
    <w:rsid w:val="00846F6C"/>
    <w:rsid w:val="008476FA"/>
    <w:rsid w:val="00847E30"/>
    <w:rsid w:val="008501C0"/>
    <w:rsid w:val="008501CC"/>
    <w:rsid w:val="0085037E"/>
    <w:rsid w:val="00850E3A"/>
    <w:rsid w:val="0085190B"/>
    <w:rsid w:val="008519A0"/>
    <w:rsid w:val="00851AA6"/>
    <w:rsid w:val="0085254F"/>
    <w:rsid w:val="008525A8"/>
    <w:rsid w:val="008525F7"/>
    <w:rsid w:val="00852753"/>
    <w:rsid w:val="008527D3"/>
    <w:rsid w:val="00853716"/>
    <w:rsid w:val="0085373B"/>
    <w:rsid w:val="00853D47"/>
    <w:rsid w:val="00854165"/>
    <w:rsid w:val="008547BF"/>
    <w:rsid w:val="0085493E"/>
    <w:rsid w:val="00854E2C"/>
    <w:rsid w:val="00854E8A"/>
    <w:rsid w:val="00855414"/>
    <w:rsid w:val="0085564D"/>
    <w:rsid w:val="00855D5E"/>
    <w:rsid w:val="00855E6A"/>
    <w:rsid w:val="00855E6E"/>
    <w:rsid w:val="00855F2D"/>
    <w:rsid w:val="00855FAC"/>
    <w:rsid w:val="00856764"/>
    <w:rsid w:val="00856D07"/>
    <w:rsid w:val="00856F56"/>
    <w:rsid w:val="008571EC"/>
    <w:rsid w:val="008575D7"/>
    <w:rsid w:val="008576AE"/>
    <w:rsid w:val="00857AC1"/>
    <w:rsid w:val="00857EB7"/>
    <w:rsid w:val="008602E9"/>
    <w:rsid w:val="008604FF"/>
    <w:rsid w:val="0086082D"/>
    <w:rsid w:val="00860E40"/>
    <w:rsid w:val="00860F04"/>
    <w:rsid w:val="008614CF"/>
    <w:rsid w:val="008618E3"/>
    <w:rsid w:val="008619AC"/>
    <w:rsid w:val="00861C76"/>
    <w:rsid w:val="00862425"/>
    <w:rsid w:val="008624F3"/>
    <w:rsid w:val="008627FB"/>
    <w:rsid w:val="008628D5"/>
    <w:rsid w:val="00862A16"/>
    <w:rsid w:val="008633C5"/>
    <w:rsid w:val="008637D5"/>
    <w:rsid w:val="00863AD3"/>
    <w:rsid w:val="00863C1B"/>
    <w:rsid w:val="008641C5"/>
    <w:rsid w:val="008642EA"/>
    <w:rsid w:val="00864659"/>
    <w:rsid w:val="00864E43"/>
    <w:rsid w:val="0086500F"/>
    <w:rsid w:val="00865497"/>
    <w:rsid w:val="008656A2"/>
    <w:rsid w:val="00865A07"/>
    <w:rsid w:val="00865E8B"/>
    <w:rsid w:val="008660C7"/>
    <w:rsid w:val="0086624F"/>
    <w:rsid w:val="0086663B"/>
    <w:rsid w:val="00866677"/>
    <w:rsid w:val="00866FFE"/>
    <w:rsid w:val="00867543"/>
    <w:rsid w:val="00867B01"/>
    <w:rsid w:val="00867F7A"/>
    <w:rsid w:val="0087034F"/>
    <w:rsid w:val="0087083A"/>
    <w:rsid w:val="00870845"/>
    <w:rsid w:val="00870D03"/>
    <w:rsid w:val="00870E07"/>
    <w:rsid w:val="008713DF"/>
    <w:rsid w:val="00871674"/>
    <w:rsid w:val="008716A6"/>
    <w:rsid w:val="00871988"/>
    <w:rsid w:val="00871D20"/>
    <w:rsid w:val="00871F61"/>
    <w:rsid w:val="00872DDD"/>
    <w:rsid w:val="00873463"/>
    <w:rsid w:val="00873907"/>
    <w:rsid w:val="00873909"/>
    <w:rsid w:val="00873AFA"/>
    <w:rsid w:val="00873C70"/>
    <w:rsid w:val="00873DE9"/>
    <w:rsid w:val="00874530"/>
    <w:rsid w:val="008745FB"/>
    <w:rsid w:val="008746FF"/>
    <w:rsid w:val="00874CED"/>
    <w:rsid w:val="0087517A"/>
    <w:rsid w:val="00875389"/>
    <w:rsid w:val="008757DF"/>
    <w:rsid w:val="0087646F"/>
    <w:rsid w:val="0087663B"/>
    <w:rsid w:val="00877700"/>
    <w:rsid w:val="00877823"/>
    <w:rsid w:val="008806FF"/>
    <w:rsid w:val="00880A12"/>
    <w:rsid w:val="00881472"/>
    <w:rsid w:val="008816E0"/>
    <w:rsid w:val="00881DFB"/>
    <w:rsid w:val="0088242D"/>
    <w:rsid w:val="00882446"/>
    <w:rsid w:val="008825AA"/>
    <w:rsid w:val="00883066"/>
    <w:rsid w:val="00883330"/>
    <w:rsid w:val="00884621"/>
    <w:rsid w:val="00884714"/>
    <w:rsid w:val="008848FC"/>
    <w:rsid w:val="00884C4C"/>
    <w:rsid w:val="00884EA1"/>
    <w:rsid w:val="0088563D"/>
    <w:rsid w:val="008857B1"/>
    <w:rsid w:val="00885D1A"/>
    <w:rsid w:val="008866BC"/>
    <w:rsid w:val="008866C4"/>
    <w:rsid w:val="0088698C"/>
    <w:rsid w:val="008869C6"/>
    <w:rsid w:val="00886EBB"/>
    <w:rsid w:val="0088742A"/>
    <w:rsid w:val="0088770A"/>
    <w:rsid w:val="00887DB9"/>
    <w:rsid w:val="00890B35"/>
    <w:rsid w:val="00890D2F"/>
    <w:rsid w:val="00890ED2"/>
    <w:rsid w:val="00890EDC"/>
    <w:rsid w:val="008918AA"/>
    <w:rsid w:val="00891B4F"/>
    <w:rsid w:val="00891BF9"/>
    <w:rsid w:val="00891CBD"/>
    <w:rsid w:val="00892211"/>
    <w:rsid w:val="0089265C"/>
    <w:rsid w:val="00892811"/>
    <w:rsid w:val="0089332B"/>
    <w:rsid w:val="0089337B"/>
    <w:rsid w:val="00893DAE"/>
    <w:rsid w:val="00893ED8"/>
    <w:rsid w:val="00893F9B"/>
    <w:rsid w:val="00894612"/>
    <w:rsid w:val="00894A7B"/>
    <w:rsid w:val="00894AE4"/>
    <w:rsid w:val="00894C0A"/>
    <w:rsid w:val="00894D2B"/>
    <w:rsid w:val="00894E83"/>
    <w:rsid w:val="00894FB1"/>
    <w:rsid w:val="00894FE6"/>
    <w:rsid w:val="0089502D"/>
    <w:rsid w:val="008957FE"/>
    <w:rsid w:val="00896D5F"/>
    <w:rsid w:val="00896FE6"/>
    <w:rsid w:val="00897698"/>
    <w:rsid w:val="00897729"/>
    <w:rsid w:val="008977CE"/>
    <w:rsid w:val="008978EE"/>
    <w:rsid w:val="00897A27"/>
    <w:rsid w:val="00897DD9"/>
    <w:rsid w:val="008A0043"/>
    <w:rsid w:val="008A00E9"/>
    <w:rsid w:val="008A0448"/>
    <w:rsid w:val="008A0C03"/>
    <w:rsid w:val="008A0DAE"/>
    <w:rsid w:val="008A0DFB"/>
    <w:rsid w:val="008A15FA"/>
    <w:rsid w:val="008A1C0F"/>
    <w:rsid w:val="008A2675"/>
    <w:rsid w:val="008A27D6"/>
    <w:rsid w:val="008A2DB1"/>
    <w:rsid w:val="008A31CB"/>
    <w:rsid w:val="008A369C"/>
    <w:rsid w:val="008A387C"/>
    <w:rsid w:val="008A3C61"/>
    <w:rsid w:val="008A3FCE"/>
    <w:rsid w:val="008A406B"/>
    <w:rsid w:val="008A4272"/>
    <w:rsid w:val="008A42D3"/>
    <w:rsid w:val="008A46A4"/>
    <w:rsid w:val="008A4EC7"/>
    <w:rsid w:val="008A6055"/>
    <w:rsid w:val="008A63B6"/>
    <w:rsid w:val="008A6B53"/>
    <w:rsid w:val="008A6D0E"/>
    <w:rsid w:val="008A7177"/>
    <w:rsid w:val="008A74FD"/>
    <w:rsid w:val="008A7FE4"/>
    <w:rsid w:val="008B02F4"/>
    <w:rsid w:val="008B08BC"/>
    <w:rsid w:val="008B128C"/>
    <w:rsid w:val="008B1441"/>
    <w:rsid w:val="008B19B9"/>
    <w:rsid w:val="008B1AF2"/>
    <w:rsid w:val="008B1E69"/>
    <w:rsid w:val="008B20F7"/>
    <w:rsid w:val="008B27F3"/>
    <w:rsid w:val="008B2DCD"/>
    <w:rsid w:val="008B35DC"/>
    <w:rsid w:val="008B4725"/>
    <w:rsid w:val="008B481C"/>
    <w:rsid w:val="008B4889"/>
    <w:rsid w:val="008B4F56"/>
    <w:rsid w:val="008B52FF"/>
    <w:rsid w:val="008B54B6"/>
    <w:rsid w:val="008B59EC"/>
    <w:rsid w:val="008B5BEE"/>
    <w:rsid w:val="008B6700"/>
    <w:rsid w:val="008B67ED"/>
    <w:rsid w:val="008B6A65"/>
    <w:rsid w:val="008B6CDC"/>
    <w:rsid w:val="008B6CEF"/>
    <w:rsid w:val="008B7BA9"/>
    <w:rsid w:val="008B7D94"/>
    <w:rsid w:val="008C02A9"/>
    <w:rsid w:val="008C08B5"/>
    <w:rsid w:val="008C0B48"/>
    <w:rsid w:val="008C0D07"/>
    <w:rsid w:val="008C1D3A"/>
    <w:rsid w:val="008C1FFF"/>
    <w:rsid w:val="008C2178"/>
    <w:rsid w:val="008C22D5"/>
    <w:rsid w:val="008C28FC"/>
    <w:rsid w:val="008C295D"/>
    <w:rsid w:val="008C29E6"/>
    <w:rsid w:val="008C2CCD"/>
    <w:rsid w:val="008C2F60"/>
    <w:rsid w:val="008C39B8"/>
    <w:rsid w:val="008C3AA5"/>
    <w:rsid w:val="008C40BB"/>
    <w:rsid w:val="008C4120"/>
    <w:rsid w:val="008C4345"/>
    <w:rsid w:val="008C486F"/>
    <w:rsid w:val="008C4B97"/>
    <w:rsid w:val="008C4CC5"/>
    <w:rsid w:val="008C4CF0"/>
    <w:rsid w:val="008C5204"/>
    <w:rsid w:val="008C67ED"/>
    <w:rsid w:val="008C69C0"/>
    <w:rsid w:val="008C7346"/>
    <w:rsid w:val="008C76A6"/>
    <w:rsid w:val="008C796F"/>
    <w:rsid w:val="008C7ED1"/>
    <w:rsid w:val="008C7F58"/>
    <w:rsid w:val="008D0055"/>
    <w:rsid w:val="008D03B5"/>
    <w:rsid w:val="008D0C11"/>
    <w:rsid w:val="008D0D22"/>
    <w:rsid w:val="008D0D70"/>
    <w:rsid w:val="008D0F60"/>
    <w:rsid w:val="008D17C3"/>
    <w:rsid w:val="008D17F0"/>
    <w:rsid w:val="008D1C8F"/>
    <w:rsid w:val="008D2180"/>
    <w:rsid w:val="008D2CEA"/>
    <w:rsid w:val="008D3530"/>
    <w:rsid w:val="008D37C8"/>
    <w:rsid w:val="008D3C50"/>
    <w:rsid w:val="008D3C6D"/>
    <w:rsid w:val="008D3E9C"/>
    <w:rsid w:val="008D4376"/>
    <w:rsid w:val="008D47E9"/>
    <w:rsid w:val="008D4D6E"/>
    <w:rsid w:val="008D4FD3"/>
    <w:rsid w:val="008D5FF0"/>
    <w:rsid w:val="008D63C5"/>
    <w:rsid w:val="008D6551"/>
    <w:rsid w:val="008D680F"/>
    <w:rsid w:val="008D78EB"/>
    <w:rsid w:val="008D7AAB"/>
    <w:rsid w:val="008D7C3B"/>
    <w:rsid w:val="008E0058"/>
    <w:rsid w:val="008E04BE"/>
    <w:rsid w:val="008E0528"/>
    <w:rsid w:val="008E0588"/>
    <w:rsid w:val="008E07E7"/>
    <w:rsid w:val="008E1256"/>
    <w:rsid w:val="008E1733"/>
    <w:rsid w:val="008E188F"/>
    <w:rsid w:val="008E20FB"/>
    <w:rsid w:val="008E22DE"/>
    <w:rsid w:val="008E23F5"/>
    <w:rsid w:val="008E25C6"/>
    <w:rsid w:val="008E2631"/>
    <w:rsid w:val="008E2C95"/>
    <w:rsid w:val="008E2E85"/>
    <w:rsid w:val="008E306D"/>
    <w:rsid w:val="008E357B"/>
    <w:rsid w:val="008E3599"/>
    <w:rsid w:val="008E3634"/>
    <w:rsid w:val="008E39A1"/>
    <w:rsid w:val="008E3C93"/>
    <w:rsid w:val="008E3D7E"/>
    <w:rsid w:val="008E3EEA"/>
    <w:rsid w:val="008E43A7"/>
    <w:rsid w:val="008E5884"/>
    <w:rsid w:val="008E5D4D"/>
    <w:rsid w:val="008E634E"/>
    <w:rsid w:val="008E6941"/>
    <w:rsid w:val="008E6D91"/>
    <w:rsid w:val="008E6DA4"/>
    <w:rsid w:val="008E7704"/>
    <w:rsid w:val="008E7D93"/>
    <w:rsid w:val="008E7EA0"/>
    <w:rsid w:val="008E7FE9"/>
    <w:rsid w:val="008F008E"/>
    <w:rsid w:val="008F0170"/>
    <w:rsid w:val="008F034A"/>
    <w:rsid w:val="008F0638"/>
    <w:rsid w:val="008F0835"/>
    <w:rsid w:val="008F087B"/>
    <w:rsid w:val="008F08D8"/>
    <w:rsid w:val="008F0C66"/>
    <w:rsid w:val="008F10FB"/>
    <w:rsid w:val="008F1171"/>
    <w:rsid w:val="008F183A"/>
    <w:rsid w:val="008F1C4F"/>
    <w:rsid w:val="008F1F82"/>
    <w:rsid w:val="008F2BF2"/>
    <w:rsid w:val="008F3030"/>
    <w:rsid w:val="008F33D8"/>
    <w:rsid w:val="008F3819"/>
    <w:rsid w:val="008F38D3"/>
    <w:rsid w:val="008F3D0C"/>
    <w:rsid w:val="008F42F9"/>
    <w:rsid w:val="008F4DDD"/>
    <w:rsid w:val="008F53B5"/>
    <w:rsid w:val="008F59A8"/>
    <w:rsid w:val="008F5C0D"/>
    <w:rsid w:val="008F5DC3"/>
    <w:rsid w:val="008F63DB"/>
    <w:rsid w:val="008F64F5"/>
    <w:rsid w:val="008F6732"/>
    <w:rsid w:val="008F7067"/>
    <w:rsid w:val="008F72B5"/>
    <w:rsid w:val="008F72DA"/>
    <w:rsid w:val="008F734B"/>
    <w:rsid w:val="008F76B2"/>
    <w:rsid w:val="008F7C28"/>
    <w:rsid w:val="008F7C9E"/>
    <w:rsid w:val="0090004B"/>
    <w:rsid w:val="00900077"/>
    <w:rsid w:val="00900432"/>
    <w:rsid w:val="00900479"/>
    <w:rsid w:val="0090047B"/>
    <w:rsid w:val="00900772"/>
    <w:rsid w:val="0090153B"/>
    <w:rsid w:val="009026BC"/>
    <w:rsid w:val="0090273D"/>
    <w:rsid w:val="00902EAE"/>
    <w:rsid w:val="009031EC"/>
    <w:rsid w:val="009039EC"/>
    <w:rsid w:val="00903E7C"/>
    <w:rsid w:val="0090408E"/>
    <w:rsid w:val="009044CC"/>
    <w:rsid w:val="00904757"/>
    <w:rsid w:val="009047DF"/>
    <w:rsid w:val="00904CC2"/>
    <w:rsid w:val="00904E2C"/>
    <w:rsid w:val="009057B8"/>
    <w:rsid w:val="009057F7"/>
    <w:rsid w:val="00905925"/>
    <w:rsid w:val="0090597B"/>
    <w:rsid w:val="009059F8"/>
    <w:rsid w:val="00905BBB"/>
    <w:rsid w:val="00905D0F"/>
    <w:rsid w:val="009068E0"/>
    <w:rsid w:val="00906B04"/>
    <w:rsid w:val="00906E6C"/>
    <w:rsid w:val="00907B2B"/>
    <w:rsid w:val="00907D32"/>
    <w:rsid w:val="00907D7A"/>
    <w:rsid w:val="00907E5B"/>
    <w:rsid w:val="00907E6F"/>
    <w:rsid w:val="0091046D"/>
    <w:rsid w:val="00910724"/>
    <w:rsid w:val="009107AD"/>
    <w:rsid w:val="00911A6B"/>
    <w:rsid w:val="00911AFD"/>
    <w:rsid w:val="00911D4E"/>
    <w:rsid w:val="009125F6"/>
    <w:rsid w:val="00912A72"/>
    <w:rsid w:val="009137B3"/>
    <w:rsid w:val="009142D2"/>
    <w:rsid w:val="00914C6D"/>
    <w:rsid w:val="00914D0F"/>
    <w:rsid w:val="00914EE5"/>
    <w:rsid w:val="00915102"/>
    <w:rsid w:val="00915F0B"/>
    <w:rsid w:val="009169A7"/>
    <w:rsid w:val="00916F72"/>
    <w:rsid w:val="0091728B"/>
    <w:rsid w:val="00917C28"/>
    <w:rsid w:val="00920452"/>
    <w:rsid w:val="0092050E"/>
    <w:rsid w:val="00920CDD"/>
    <w:rsid w:val="00920FC9"/>
    <w:rsid w:val="00920FD8"/>
    <w:rsid w:val="00921632"/>
    <w:rsid w:val="009217F8"/>
    <w:rsid w:val="009223B4"/>
    <w:rsid w:val="009224E1"/>
    <w:rsid w:val="009224FC"/>
    <w:rsid w:val="00922B1B"/>
    <w:rsid w:val="0092378F"/>
    <w:rsid w:val="009237BA"/>
    <w:rsid w:val="009243B8"/>
    <w:rsid w:val="00924562"/>
    <w:rsid w:val="009247C0"/>
    <w:rsid w:val="00924D47"/>
    <w:rsid w:val="00925296"/>
    <w:rsid w:val="0092555D"/>
    <w:rsid w:val="00925928"/>
    <w:rsid w:val="0092595C"/>
    <w:rsid w:val="009259DB"/>
    <w:rsid w:val="00925B5F"/>
    <w:rsid w:val="00925C4B"/>
    <w:rsid w:val="009260E1"/>
    <w:rsid w:val="00926149"/>
    <w:rsid w:val="00926424"/>
    <w:rsid w:val="00926EAB"/>
    <w:rsid w:val="00927514"/>
    <w:rsid w:val="009275DA"/>
    <w:rsid w:val="009279A3"/>
    <w:rsid w:val="00927A2E"/>
    <w:rsid w:val="00927D8B"/>
    <w:rsid w:val="00927E84"/>
    <w:rsid w:val="00927EBA"/>
    <w:rsid w:val="009303B3"/>
    <w:rsid w:val="00930A95"/>
    <w:rsid w:val="00930B6E"/>
    <w:rsid w:val="00930D40"/>
    <w:rsid w:val="00931165"/>
    <w:rsid w:val="0093135D"/>
    <w:rsid w:val="00931929"/>
    <w:rsid w:val="009319BE"/>
    <w:rsid w:val="00931A98"/>
    <w:rsid w:val="00931DB6"/>
    <w:rsid w:val="00931FBD"/>
    <w:rsid w:val="00932174"/>
    <w:rsid w:val="00932536"/>
    <w:rsid w:val="009326A0"/>
    <w:rsid w:val="009326E5"/>
    <w:rsid w:val="0093291D"/>
    <w:rsid w:val="00932D67"/>
    <w:rsid w:val="0093324D"/>
    <w:rsid w:val="00933649"/>
    <w:rsid w:val="0093381F"/>
    <w:rsid w:val="00933D06"/>
    <w:rsid w:val="00933DE2"/>
    <w:rsid w:val="00934037"/>
    <w:rsid w:val="00934564"/>
    <w:rsid w:val="00934E3A"/>
    <w:rsid w:val="0093518C"/>
    <w:rsid w:val="009355AB"/>
    <w:rsid w:val="00935624"/>
    <w:rsid w:val="00935729"/>
    <w:rsid w:val="00935857"/>
    <w:rsid w:val="00935A20"/>
    <w:rsid w:val="00935CEF"/>
    <w:rsid w:val="00935D43"/>
    <w:rsid w:val="00936513"/>
    <w:rsid w:val="00937034"/>
    <w:rsid w:val="009375FC"/>
    <w:rsid w:val="00937640"/>
    <w:rsid w:val="00937A8C"/>
    <w:rsid w:val="0094055E"/>
    <w:rsid w:val="009407D0"/>
    <w:rsid w:val="00940B77"/>
    <w:rsid w:val="00940CD6"/>
    <w:rsid w:val="00940EDE"/>
    <w:rsid w:val="00941B19"/>
    <w:rsid w:val="00941BA9"/>
    <w:rsid w:val="00942394"/>
    <w:rsid w:val="00942548"/>
    <w:rsid w:val="009425EF"/>
    <w:rsid w:val="00942F31"/>
    <w:rsid w:val="009432A5"/>
    <w:rsid w:val="009433DC"/>
    <w:rsid w:val="00943C39"/>
    <w:rsid w:val="00943CCE"/>
    <w:rsid w:val="00943D76"/>
    <w:rsid w:val="00943FD8"/>
    <w:rsid w:val="00944161"/>
    <w:rsid w:val="009441DE"/>
    <w:rsid w:val="009448D7"/>
    <w:rsid w:val="00944E6D"/>
    <w:rsid w:val="00945004"/>
    <w:rsid w:val="00945974"/>
    <w:rsid w:val="00945FA3"/>
    <w:rsid w:val="00946212"/>
    <w:rsid w:val="009466A2"/>
    <w:rsid w:val="00946FEB"/>
    <w:rsid w:val="0094715E"/>
    <w:rsid w:val="009471CF"/>
    <w:rsid w:val="0094758F"/>
    <w:rsid w:val="0095003D"/>
    <w:rsid w:val="009500E4"/>
    <w:rsid w:val="00950338"/>
    <w:rsid w:val="00950556"/>
    <w:rsid w:val="00950828"/>
    <w:rsid w:val="00950C20"/>
    <w:rsid w:val="00951458"/>
    <w:rsid w:val="00951485"/>
    <w:rsid w:val="0095179A"/>
    <w:rsid w:val="009517A5"/>
    <w:rsid w:val="0095189F"/>
    <w:rsid w:val="00951A10"/>
    <w:rsid w:val="00951C3D"/>
    <w:rsid w:val="00951DC0"/>
    <w:rsid w:val="0095258C"/>
    <w:rsid w:val="00952C44"/>
    <w:rsid w:val="00952FB3"/>
    <w:rsid w:val="00953CD3"/>
    <w:rsid w:val="0095412E"/>
    <w:rsid w:val="00954383"/>
    <w:rsid w:val="00954627"/>
    <w:rsid w:val="00954702"/>
    <w:rsid w:val="00954D13"/>
    <w:rsid w:val="00954F27"/>
    <w:rsid w:val="00955021"/>
    <w:rsid w:val="0095627E"/>
    <w:rsid w:val="00956C1B"/>
    <w:rsid w:val="0095705C"/>
    <w:rsid w:val="0095719C"/>
    <w:rsid w:val="009573F8"/>
    <w:rsid w:val="00957817"/>
    <w:rsid w:val="00957A48"/>
    <w:rsid w:val="00957F85"/>
    <w:rsid w:val="00957FC8"/>
    <w:rsid w:val="00960A9E"/>
    <w:rsid w:val="00960CE1"/>
    <w:rsid w:val="00960FD6"/>
    <w:rsid w:val="00961115"/>
    <w:rsid w:val="009613B1"/>
    <w:rsid w:val="00961D54"/>
    <w:rsid w:val="009626ED"/>
    <w:rsid w:val="00962BD7"/>
    <w:rsid w:val="00962D77"/>
    <w:rsid w:val="00963155"/>
    <w:rsid w:val="009633F2"/>
    <w:rsid w:val="00963467"/>
    <w:rsid w:val="009639EA"/>
    <w:rsid w:val="00963B2D"/>
    <w:rsid w:val="00964328"/>
    <w:rsid w:val="00964333"/>
    <w:rsid w:val="009644F6"/>
    <w:rsid w:val="009648F3"/>
    <w:rsid w:val="00965B8C"/>
    <w:rsid w:val="00965DBA"/>
    <w:rsid w:val="009672A9"/>
    <w:rsid w:val="009674C5"/>
    <w:rsid w:val="009675F5"/>
    <w:rsid w:val="009678DE"/>
    <w:rsid w:val="00967B22"/>
    <w:rsid w:val="00967B4C"/>
    <w:rsid w:val="00967FD1"/>
    <w:rsid w:val="0097075E"/>
    <w:rsid w:val="00970C94"/>
    <w:rsid w:val="00970E86"/>
    <w:rsid w:val="00971156"/>
    <w:rsid w:val="00971EB1"/>
    <w:rsid w:val="00971FD6"/>
    <w:rsid w:val="009721C3"/>
    <w:rsid w:val="00972E99"/>
    <w:rsid w:val="00973172"/>
    <w:rsid w:val="009735B1"/>
    <w:rsid w:val="0097461F"/>
    <w:rsid w:val="009747A1"/>
    <w:rsid w:val="009748F5"/>
    <w:rsid w:val="00974DDE"/>
    <w:rsid w:val="00974F80"/>
    <w:rsid w:val="00975056"/>
    <w:rsid w:val="009759EE"/>
    <w:rsid w:val="0097600A"/>
    <w:rsid w:val="0097693B"/>
    <w:rsid w:val="00976A87"/>
    <w:rsid w:val="00976D2D"/>
    <w:rsid w:val="00976DB7"/>
    <w:rsid w:val="00977272"/>
    <w:rsid w:val="009772AF"/>
    <w:rsid w:val="009776DC"/>
    <w:rsid w:val="00977A6D"/>
    <w:rsid w:val="00980032"/>
    <w:rsid w:val="009801FC"/>
    <w:rsid w:val="009805D7"/>
    <w:rsid w:val="00980B59"/>
    <w:rsid w:val="00980F11"/>
    <w:rsid w:val="00981064"/>
    <w:rsid w:val="0098123D"/>
    <w:rsid w:val="00982602"/>
    <w:rsid w:val="00982FEE"/>
    <w:rsid w:val="0098307F"/>
    <w:rsid w:val="00983160"/>
    <w:rsid w:val="0098358A"/>
    <w:rsid w:val="0098394C"/>
    <w:rsid w:val="00984110"/>
    <w:rsid w:val="00984380"/>
    <w:rsid w:val="00984575"/>
    <w:rsid w:val="0098490B"/>
    <w:rsid w:val="009852B0"/>
    <w:rsid w:val="009854D5"/>
    <w:rsid w:val="009855A3"/>
    <w:rsid w:val="0098569F"/>
    <w:rsid w:val="00985BB5"/>
    <w:rsid w:val="00985F8F"/>
    <w:rsid w:val="00986010"/>
    <w:rsid w:val="0098627B"/>
    <w:rsid w:val="009868DE"/>
    <w:rsid w:val="00986B15"/>
    <w:rsid w:val="009876A3"/>
    <w:rsid w:val="00987ADE"/>
    <w:rsid w:val="00987BC6"/>
    <w:rsid w:val="00987F06"/>
    <w:rsid w:val="00990113"/>
    <w:rsid w:val="00990249"/>
    <w:rsid w:val="009904E0"/>
    <w:rsid w:val="00990653"/>
    <w:rsid w:val="00990943"/>
    <w:rsid w:val="00990FA2"/>
    <w:rsid w:val="009911B4"/>
    <w:rsid w:val="0099140C"/>
    <w:rsid w:val="009914A7"/>
    <w:rsid w:val="00991686"/>
    <w:rsid w:val="00991A6E"/>
    <w:rsid w:val="00991AD5"/>
    <w:rsid w:val="00991DA0"/>
    <w:rsid w:val="00991EB1"/>
    <w:rsid w:val="00991F66"/>
    <w:rsid w:val="00992047"/>
    <w:rsid w:val="009921BD"/>
    <w:rsid w:val="0099269E"/>
    <w:rsid w:val="009926BF"/>
    <w:rsid w:val="009929E8"/>
    <w:rsid w:val="009934D2"/>
    <w:rsid w:val="009938C4"/>
    <w:rsid w:val="00993CAF"/>
    <w:rsid w:val="00993D30"/>
    <w:rsid w:val="00993D42"/>
    <w:rsid w:val="0099413B"/>
    <w:rsid w:val="00994296"/>
    <w:rsid w:val="00994F5D"/>
    <w:rsid w:val="00995027"/>
    <w:rsid w:val="00995028"/>
    <w:rsid w:val="0099511A"/>
    <w:rsid w:val="0099516A"/>
    <w:rsid w:val="0099566C"/>
    <w:rsid w:val="00995905"/>
    <w:rsid w:val="009959E3"/>
    <w:rsid w:val="00996007"/>
    <w:rsid w:val="0099603A"/>
    <w:rsid w:val="00996503"/>
    <w:rsid w:val="00996581"/>
    <w:rsid w:val="009967B1"/>
    <w:rsid w:val="009967DE"/>
    <w:rsid w:val="009970BF"/>
    <w:rsid w:val="00997D4C"/>
    <w:rsid w:val="009A05BD"/>
    <w:rsid w:val="009A05C1"/>
    <w:rsid w:val="009A12FE"/>
    <w:rsid w:val="009A177D"/>
    <w:rsid w:val="009A1953"/>
    <w:rsid w:val="009A19DA"/>
    <w:rsid w:val="009A1D43"/>
    <w:rsid w:val="009A2D65"/>
    <w:rsid w:val="009A3234"/>
    <w:rsid w:val="009A3655"/>
    <w:rsid w:val="009A3731"/>
    <w:rsid w:val="009A376B"/>
    <w:rsid w:val="009A3961"/>
    <w:rsid w:val="009A3CF9"/>
    <w:rsid w:val="009A41EE"/>
    <w:rsid w:val="009A43F1"/>
    <w:rsid w:val="009A4CB7"/>
    <w:rsid w:val="009A4FDD"/>
    <w:rsid w:val="009A5804"/>
    <w:rsid w:val="009A5857"/>
    <w:rsid w:val="009A5B4F"/>
    <w:rsid w:val="009A5FA0"/>
    <w:rsid w:val="009A6D55"/>
    <w:rsid w:val="009A6F9B"/>
    <w:rsid w:val="009A7074"/>
    <w:rsid w:val="009A71A5"/>
    <w:rsid w:val="009A733C"/>
    <w:rsid w:val="009A7493"/>
    <w:rsid w:val="009A7AA9"/>
    <w:rsid w:val="009B011B"/>
    <w:rsid w:val="009B075E"/>
    <w:rsid w:val="009B0AAB"/>
    <w:rsid w:val="009B1079"/>
    <w:rsid w:val="009B12F1"/>
    <w:rsid w:val="009B1313"/>
    <w:rsid w:val="009B1D08"/>
    <w:rsid w:val="009B1D79"/>
    <w:rsid w:val="009B2072"/>
    <w:rsid w:val="009B2DF0"/>
    <w:rsid w:val="009B2F12"/>
    <w:rsid w:val="009B37DB"/>
    <w:rsid w:val="009B3948"/>
    <w:rsid w:val="009B4E03"/>
    <w:rsid w:val="009B5175"/>
    <w:rsid w:val="009B52AF"/>
    <w:rsid w:val="009B52D6"/>
    <w:rsid w:val="009B5EF4"/>
    <w:rsid w:val="009B6CBC"/>
    <w:rsid w:val="009B6D4A"/>
    <w:rsid w:val="009B70AD"/>
    <w:rsid w:val="009B71B3"/>
    <w:rsid w:val="009B73DC"/>
    <w:rsid w:val="009B7988"/>
    <w:rsid w:val="009B7D08"/>
    <w:rsid w:val="009B7DCC"/>
    <w:rsid w:val="009B7F96"/>
    <w:rsid w:val="009C0122"/>
    <w:rsid w:val="009C05C7"/>
    <w:rsid w:val="009C1087"/>
    <w:rsid w:val="009C18D2"/>
    <w:rsid w:val="009C244C"/>
    <w:rsid w:val="009C2DAA"/>
    <w:rsid w:val="009C302E"/>
    <w:rsid w:val="009C3433"/>
    <w:rsid w:val="009C3A15"/>
    <w:rsid w:val="009C3DE2"/>
    <w:rsid w:val="009C3E87"/>
    <w:rsid w:val="009C3EBD"/>
    <w:rsid w:val="009C420B"/>
    <w:rsid w:val="009C4A78"/>
    <w:rsid w:val="009C4B21"/>
    <w:rsid w:val="009C57E8"/>
    <w:rsid w:val="009C594D"/>
    <w:rsid w:val="009C5B44"/>
    <w:rsid w:val="009C6134"/>
    <w:rsid w:val="009C652D"/>
    <w:rsid w:val="009C6701"/>
    <w:rsid w:val="009C6791"/>
    <w:rsid w:val="009C6926"/>
    <w:rsid w:val="009C6A40"/>
    <w:rsid w:val="009C6B5E"/>
    <w:rsid w:val="009C6C3E"/>
    <w:rsid w:val="009C78B9"/>
    <w:rsid w:val="009D01BE"/>
    <w:rsid w:val="009D13B1"/>
    <w:rsid w:val="009D1B77"/>
    <w:rsid w:val="009D1E13"/>
    <w:rsid w:val="009D1E29"/>
    <w:rsid w:val="009D1FAC"/>
    <w:rsid w:val="009D2046"/>
    <w:rsid w:val="009D2399"/>
    <w:rsid w:val="009D31C7"/>
    <w:rsid w:val="009D34F5"/>
    <w:rsid w:val="009D395A"/>
    <w:rsid w:val="009D3B7E"/>
    <w:rsid w:val="009D3E3F"/>
    <w:rsid w:val="009D3FA2"/>
    <w:rsid w:val="009D4044"/>
    <w:rsid w:val="009D437D"/>
    <w:rsid w:val="009D497B"/>
    <w:rsid w:val="009D4A35"/>
    <w:rsid w:val="009D5706"/>
    <w:rsid w:val="009D5A61"/>
    <w:rsid w:val="009D5B97"/>
    <w:rsid w:val="009D5BE2"/>
    <w:rsid w:val="009D5D0D"/>
    <w:rsid w:val="009D6DDB"/>
    <w:rsid w:val="009D7065"/>
    <w:rsid w:val="009D7329"/>
    <w:rsid w:val="009D7559"/>
    <w:rsid w:val="009D7874"/>
    <w:rsid w:val="009D78B4"/>
    <w:rsid w:val="009E0179"/>
    <w:rsid w:val="009E05E3"/>
    <w:rsid w:val="009E0694"/>
    <w:rsid w:val="009E08E4"/>
    <w:rsid w:val="009E0D31"/>
    <w:rsid w:val="009E132F"/>
    <w:rsid w:val="009E16A2"/>
    <w:rsid w:val="009E1773"/>
    <w:rsid w:val="009E199D"/>
    <w:rsid w:val="009E1A38"/>
    <w:rsid w:val="009E1D8E"/>
    <w:rsid w:val="009E244F"/>
    <w:rsid w:val="009E36BD"/>
    <w:rsid w:val="009E39FF"/>
    <w:rsid w:val="009E3B9D"/>
    <w:rsid w:val="009E3D15"/>
    <w:rsid w:val="009E3D6E"/>
    <w:rsid w:val="009E4159"/>
    <w:rsid w:val="009E41EC"/>
    <w:rsid w:val="009E46A8"/>
    <w:rsid w:val="009E5227"/>
    <w:rsid w:val="009E5C53"/>
    <w:rsid w:val="009E5C5B"/>
    <w:rsid w:val="009E5DD8"/>
    <w:rsid w:val="009E5EA6"/>
    <w:rsid w:val="009E60D9"/>
    <w:rsid w:val="009E677A"/>
    <w:rsid w:val="009E6D19"/>
    <w:rsid w:val="009E6D62"/>
    <w:rsid w:val="009E7661"/>
    <w:rsid w:val="009E794F"/>
    <w:rsid w:val="009E7E98"/>
    <w:rsid w:val="009F02F7"/>
    <w:rsid w:val="009F085C"/>
    <w:rsid w:val="009F08F1"/>
    <w:rsid w:val="009F115A"/>
    <w:rsid w:val="009F176A"/>
    <w:rsid w:val="009F21F6"/>
    <w:rsid w:val="009F2D7A"/>
    <w:rsid w:val="009F2DEE"/>
    <w:rsid w:val="009F311E"/>
    <w:rsid w:val="009F370A"/>
    <w:rsid w:val="009F3BE5"/>
    <w:rsid w:val="009F3D3D"/>
    <w:rsid w:val="009F3E66"/>
    <w:rsid w:val="009F4421"/>
    <w:rsid w:val="009F5431"/>
    <w:rsid w:val="009F5D13"/>
    <w:rsid w:val="009F5D23"/>
    <w:rsid w:val="009F5F6F"/>
    <w:rsid w:val="009F66D8"/>
    <w:rsid w:val="009F6AB1"/>
    <w:rsid w:val="009F6D8E"/>
    <w:rsid w:val="009F7411"/>
    <w:rsid w:val="009F795D"/>
    <w:rsid w:val="009F79F8"/>
    <w:rsid w:val="009F7A98"/>
    <w:rsid w:val="00A000B3"/>
    <w:rsid w:val="00A00492"/>
    <w:rsid w:val="00A0070D"/>
    <w:rsid w:val="00A00B1F"/>
    <w:rsid w:val="00A00E11"/>
    <w:rsid w:val="00A00FB5"/>
    <w:rsid w:val="00A01120"/>
    <w:rsid w:val="00A01213"/>
    <w:rsid w:val="00A014B0"/>
    <w:rsid w:val="00A017F4"/>
    <w:rsid w:val="00A01F01"/>
    <w:rsid w:val="00A022FB"/>
    <w:rsid w:val="00A023FD"/>
    <w:rsid w:val="00A0246E"/>
    <w:rsid w:val="00A025F7"/>
    <w:rsid w:val="00A02CEB"/>
    <w:rsid w:val="00A02E39"/>
    <w:rsid w:val="00A0302C"/>
    <w:rsid w:val="00A032E9"/>
    <w:rsid w:val="00A03EF1"/>
    <w:rsid w:val="00A049AD"/>
    <w:rsid w:val="00A04C2B"/>
    <w:rsid w:val="00A04D8C"/>
    <w:rsid w:val="00A04E70"/>
    <w:rsid w:val="00A0555D"/>
    <w:rsid w:val="00A05A8D"/>
    <w:rsid w:val="00A05A9C"/>
    <w:rsid w:val="00A05ABF"/>
    <w:rsid w:val="00A05BDC"/>
    <w:rsid w:val="00A06A2C"/>
    <w:rsid w:val="00A06BEC"/>
    <w:rsid w:val="00A07183"/>
    <w:rsid w:val="00A077E3"/>
    <w:rsid w:val="00A07D37"/>
    <w:rsid w:val="00A07FA6"/>
    <w:rsid w:val="00A10666"/>
    <w:rsid w:val="00A106CF"/>
    <w:rsid w:val="00A10A0F"/>
    <w:rsid w:val="00A10A1E"/>
    <w:rsid w:val="00A10BEA"/>
    <w:rsid w:val="00A117D1"/>
    <w:rsid w:val="00A11A9B"/>
    <w:rsid w:val="00A11AD6"/>
    <w:rsid w:val="00A11E56"/>
    <w:rsid w:val="00A11ECD"/>
    <w:rsid w:val="00A12311"/>
    <w:rsid w:val="00A1270C"/>
    <w:rsid w:val="00A12E71"/>
    <w:rsid w:val="00A135D9"/>
    <w:rsid w:val="00A1377D"/>
    <w:rsid w:val="00A13AE4"/>
    <w:rsid w:val="00A148C0"/>
    <w:rsid w:val="00A14D65"/>
    <w:rsid w:val="00A14F24"/>
    <w:rsid w:val="00A1506F"/>
    <w:rsid w:val="00A158A7"/>
    <w:rsid w:val="00A15B24"/>
    <w:rsid w:val="00A15BAF"/>
    <w:rsid w:val="00A15C79"/>
    <w:rsid w:val="00A15FC1"/>
    <w:rsid w:val="00A16316"/>
    <w:rsid w:val="00A16851"/>
    <w:rsid w:val="00A1694E"/>
    <w:rsid w:val="00A16ABE"/>
    <w:rsid w:val="00A16CDA"/>
    <w:rsid w:val="00A17461"/>
    <w:rsid w:val="00A17A30"/>
    <w:rsid w:val="00A17A39"/>
    <w:rsid w:val="00A17CB0"/>
    <w:rsid w:val="00A205B6"/>
    <w:rsid w:val="00A20790"/>
    <w:rsid w:val="00A20892"/>
    <w:rsid w:val="00A20AD0"/>
    <w:rsid w:val="00A20D15"/>
    <w:rsid w:val="00A211EC"/>
    <w:rsid w:val="00A213B3"/>
    <w:rsid w:val="00A216C4"/>
    <w:rsid w:val="00A21826"/>
    <w:rsid w:val="00A21840"/>
    <w:rsid w:val="00A218A0"/>
    <w:rsid w:val="00A21DB3"/>
    <w:rsid w:val="00A225F8"/>
    <w:rsid w:val="00A240D6"/>
    <w:rsid w:val="00A24750"/>
    <w:rsid w:val="00A24790"/>
    <w:rsid w:val="00A24A9D"/>
    <w:rsid w:val="00A2532C"/>
    <w:rsid w:val="00A25AB2"/>
    <w:rsid w:val="00A26082"/>
    <w:rsid w:val="00A263EA"/>
    <w:rsid w:val="00A27383"/>
    <w:rsid w:val="00A2742F"/>
    <w:rsid w:val="00A277E4"/>
    <w:rsid w:val="00A3023B"/>
    <w:rsid w:val="00A305AA"/>
    <w:rsid w:val="00A308FE"/>
    <w:rsid w:val="00A30B4A"/>
    <w:rsid w:val="00A30BA9"/>
    <w:rsid w:val="00A3108C"/>
    <w:rsid w:val="00A31511"/>
    <w:rsid w:val="00A318A7"/>
    <w:rsid w:val="00A31D1F"/>
    <w:rsid w:val="00A31E22"/>
    <w:rsid w:val="00A31E6F"/>
    <w:rsid w:val="00A32225"/>
    <w:rsid w:val="00A3249D"/>
    <w:rsid w:val="00A32593"/>
    <w:rsid w:val="00A32943"/>
    <w:rsid w:val="00A329EC"/>
    <w:rsid w:val="00A32C4C"/>
    <w:rsid w:val="00A33FDC"/>
    <w:rsid w:val="00A34A56"/>
    <w:rsid w:val="00A34B92"/>
    <w:rsid w:val="00A34EF9"/>
    <w:rsid w:val="00A35134"/>
    <w:rsid w:val="00A35CF0"/>
    <w:rsid w:val="00A35E1C"/>
    <w:rsid w:val="00A35E41"/>
    <w:rsid w:val="00A36136"/>
    <w:rsid w:val="00A37083"/>
    <w:rsid w:val="00A3741F"/>
    <w:rsid w:val="00A375FE"/>
    <w:rsid w:val="00A37C4B"/>
    <w:rsid w:val="00A37D64"/>
    <w:rsid w:val="00A37FFA"/>
    <w:rsid w:val="00A40011"/>
    <w:rsid w:val="00A40038"/>
    <w:rsid w:val="00A40920"/>
    <w:rsid w:val="00A40A1B"/>
    <w:rsid w:val="00A419CE"/>
    <w:rsid w:val="00A41DD2"/>
    <w:rsid w:val="00A4241F"/>
    <w:rsid w:val="00A42B64"/>
    <w:rsid w:val="00A42C0C"/>
    <w:rsid w:val="00A43630"/>
    <w:rsid w:val="00A437AE"/>
    <w:rsid w:val="00A438FA"/>
    <w:rsid w:val="00A44302"/>
    <w:rsid w:val="00A447C1"/>
    <w:rsid w:val="00A447D3"/>
    <w:rsid w:val="00A4521F"/>
    <w:rsid w:val="00A45316"/>
    <w:rsid w:val="00A45CC1"/>
    <w:rsid w:val="00A45D02"/>
    <w:rsid w:val="00A46428"/>
    <w:rsid w:val="00A469F0"/>
    <w:rsid w:val="00A46F6C"/>
    <w:rsid w:val="00A47352"/>
    <w:rsid w:val="00A47497"/>
    <w:rsid w:val="00A4798B"/>
    <w:rsid w:val="00A50050"/>
    <w:rsid w:val="00A50093"/>
    <w:rsid w:val="00A50197"/>
    <w:rsid w:val="00A5048C"/>
    <w:rsid w:val="00A5073F"/>
    <w:rsid w:val="00A50AF9"/>
    <w:rsid w:val="00A50DEE"/>
    <w:rsid w:val="00A510A1"/>
    <w:rsid w:val="00A517F7"/>
    <w:rsid w:val="00A51898"/>
    <w:rsid w:val="00A51B30"/>
    <w:rsid w:val="00A51D3A"/>
    <w:rsid w:val="00A52D2D"/>
    <w:rsid w:val="00A52D81"/>
    <w:rsid w:val="00A537E0"/>
    <w:rsid w:val="00A53839"/>
    <w:rsid w:val="00A53963"/>
    <w:rsid w:val="00A53AFE"/>
    <w:rsid w:val="00A53E7C"/>
    <w:rsid w:val="00A54185"/>
    <w:rsid w:val="00A544C2"/>
    <w:rsid w:val="00A54935"/>
    <w:rsid w:val="00A550ED"/>
    <w:rsid w:val="00A5569A"/>
    <w:rsid w:val="00A55AFB"/>
    <w:rsid w:val="00A569D8"/>
    <w:rsid w:val="00A57081"/>
    <w:rsid w:val="00A570FC"/>
    <w:rsid w:val="00A57A05"/>
    <w:rsid w:val="00A57BC5"/>
    <w:rsid w:val="00A60C14"/>
    <w:rsid w:val="00A617FD"/>
    <w:rsid w:val="00A61F2C"/>
    <w:rsid w:val="00A621BA"/>
    <w:rsid w:val="00A622C0"/>
    <w:rsid w:val="00A62530"/>
    <w:rsid w:val="00A62D2D"/>
    <w:rsid w:val="00A63295"/>
    <w:rsid w:val="00A6391F"/>
    <w:rsid w:val="00A63948"/>
    <w:rsid w:val="00A639AA"/>
    <w:rsid w:val="00A63A56"/>
    <w:rsid w:val="00A63ED4"/>
    <w:rsid w:val="00A6400C"/>
    <w:rsid w:val="00A64232"/>
    <w:rsid w:val="00A644A1"/>
    <w:rsid w:val="00A65152"/>
    <w:rsid w:val="00A651A1"/>
    <w:rsid w:val="00A65B80"/>
    <w:rsid w:val="00A65EF0"/>
    <w:rsid w:val="00A65F08"/>
    <w:rsid w:val="00A662A0"/>
    <w:rsid w:val="00A662AF"/>
    <w:rsid w:val="00A66661"/>
    <w:rsid w:val="00A669C4"/>
    <w:rsid w:val="00A66E6B"/>
    <w:rsid w:val="00A66FE6"/>
    <w:rsid w:val="00A67016"/>
    <w:rsid w:val="00A6709C"/>
    <w:rsid w:val="00A67204"/>
    <w:rsid w:val="00A672BA"/>
    <w:rsid w:val="00A676EA"/>
    <w:rsid w:val="00A67943"/>
    <w:rsid w:val="00A67C74"/>
    <w:rsid w:val="00A67D38"/>
    <w:rsid w:val="00A7018F"/>
    <w:rsid w:val="00A70403"/>
    <w:rsid w:val="00A70555"/>
    <w:rsid w:val="00A70815"/>
    <w:rsid w:val="00A71307"/>
    <w:rsid w:val="00A71B16"/>
    <w:rsid w:val="00A71CB8"/>
    <w:rsid w:val="00A720BC"/>
    <w:rsid w:val="00A720CB"/>
    <w:rsid w:val="00A721DB"/>
    <w:rsid w:val="00A7233E"/>
    <w:rsid w:val="00A723EF"/>
    <w:rsid w:val="00A72605"/>
    <w:rsid w:val="00A726BF"/>
    <w:rsid w:val="00A72CBA"/>
    <w:rsid w:val="00A73057"/>
    <w:rsid w:val="00A730EE"/>
    <w:rsid w:val="00A73102"/>
    <w:rsid w:val="00A733C9"/>
    <w:rsid w:val="00A73401"/>
    <w:rsid w:val="00A7359A"/>
    <w:rsid w:val="00A73C3F"/>
    <w:rsid w:val="00A74304"/>
    <w:rsid w:val="00A7488D"/>
    <w:rsid w:val="00A74EA8"/>
    <w:rsid w:val="00A75007"/>
    <w:rsid w:val="00A75144"/>
    <w:rsid w:val="00A752FB"/>
    <w:rsid w:val="00A756FC"/>
    <w:rsid w:val="00A75CCD"/>
    <w:rsid w:val="00A76018"/>
    <w:rsid w:val="00A7623E"/>
    <w:rsid w:val="00A762BD"/>
    <w:rsid w:val="00A7633F"/>
    <w:rsid w:val="00A770E6"/>
    <w:rsid w:val="00A7746C"/>
    <w:rsid w:val="00A7755C"/>
    <w:rsid w:val="00A80247"/>
    <w:rsid w:val="00A80931"/>
    <w:rsid w:val="00A80F93"/>
    <w:rsid w:val="00A81C88"/>
    <w:rsid w:val="00A82A6F"/>
    <w:rsid w:val="00A82FB7"/>
    <w:rsid w:val="00A82FC6"/>
    <w:rsid w:val="00A83032"/>
    <w:rsid w:val="00A83135"/>
    <w:rsid w:val="00A83472"/>
    <w:rsid w:val="00A8360A"/>
    <w:rsid w:val="00A83818"/>
    <w:rsid w:val="00A83BDD"/>
    <w:rsid w:val="00A83FA6"/>
    <w:rsid w:val="00A842C4"/>
    <w:rsid w:val="00A84480"/>
    <w:rsid w:val="00A848A0"/>
    <w:rsid w:val="00A84E0F"/>
    <w:rsid w:val="00A84ED3"/>
    <w:rsid w:val="00A85389"/>
    <w:rsid w:val="00A85576"/>
    <w:rsid w:val="00A855CF"/>
    <w:rsid w:val="00A858D1"/>
    <w:rsid w:val="00A85BE9"/>
    <w:rsid w:val="00A85F6C"/>
    <w:rsid w:val="00A8604F"/>
    <w:rsid w:val="00A86082"/>
    <w:rsid w:val="00A8608A"/>
    <w:rsid w:val="00A869E6"/>
    <w:rsid w:val="00A86CCB"/>
    <w:rsid w:val="00A870E3"/>
    <w:rsid w:val="00A87209"/>
    <w:rsid w:val="00A87771"/>
    <w:rsid w:val="00A877EF"/>
    <w:rsid w:val="00A878D5"/>
    <w:rsid w:val="00A87C52"/>
    <w:rsid w:val="00A87C93"/>
    <w:rsid w:val="00A9012C"/>
    <w:rsid w:val="00A90409"/>
    <w:rsid w:val="00A90770"/>
    <w:rsid w:val="00A90ADB"/>
    <w:rsid w:val="00A91528"/>
    <w:rsid w:val="00A91B0E"/>
    <w:rsid w:val="00A91D93"/>
    <w:rsid w:val="00A91DAD"/>
    <w:rsid w:val="00A92016"/>
    <w:rsid w:val="00A923D3"/>
    <w:rsid w:val="00A92B6F"/>
    <w:rsid w:val="00A92C25"/>
    <w:rsid w:val="00A932D0"/>
    <w:rsid w:val="00A9337A"/>
    <w:rsid w:val="00A93800"/>
    <w:rsid w:val="00A93EB6"/>
    <w:rsid w:val="00A942D2"/>
    <w:rsid w:val="00A94582"/>
    <w:rsid w:val="00A94775"/>
    <w:rsid w:val="00A947D1"/>
    <w:rsid w:val="00A94CD7"/>
    <w:rsid w:val="00A94FC0"/>
    <w:rsid w:val="00A95BFC"/>
    <w:rsid w:val="00A96029"/>
    <w:rsid w:val="00A96099"/>
    <w:rsid w:val="00A96134"/>
    <w:rsid w:val="00A963E8"/>
    <w:rsid w:val="00A9651B"/>
    <w:rsid w:val="00A967A5"/>
    <w:rsid w:val="00A96E6C"/>
    <w:rsid w:val="00A96EA1"/>
    <w:rsid w:val="00A975CB"/>
    <w:rsid w:val="00A97908"/>
    <w:rsid w:val="00A97A93"/>
    <w:rsid w:val="00AA08C6"/>
    <w:rsid w:val="00AA100F"/>
    <w:rsid w:val="00AA147B"/>
    <w:rsid w:val="00AA1BBA"/>
    <w:rsid w:val="00AA29A0"/>
    <w:rsid w:val="00AA2E2F"/>
    <w:rsid w:val="00AA3139"/>
    <w:rsid w:val="00AA3564"/>
    <w:rsid w:val="00AA3950"/>
    <w:rsid w:val="00AA3963"/>
    <w:rsid w:val="00AA3A81"/>
    <w:rsid w:val="00AA42BE"/>
    <w:rsid w:val="00AA5CFD"/>
    <w:rsid w:val="00AA5D21"/>
    <w:rsid w:val="00AA6410"/>
    <w:rsid w:val="00AA6647"/>
    <w:rsid w:val="00AA69D5"/>
    <w:rsid w:val="00AA6AD9"/>
    <w:rsid w:val="00AA75A4"/>
    <w:rsid w:val="00AA774E"/>
    <w:rsid w:val="00AB04A6"/>
    <w:rsid w:val="00AB06E2"/>
    <w:rsid w:val="00AB08E9"/>
    <w:rsid w:val="00AB0AA9"/>
    <w:rsid w:val="00AB0D12"/>
    <w:rsid w:val="00AB11A7"/>
    <w:rsid w:val="00AB13D9"/>
    <w:rsid w:val="00AB1CF4"/>
    <w:rsid w:val="00AB1E67"/>
    <w:rsid w:val="00AB2401"/>
    <w:rsid w:val="00AB2764"/>
    <w:rsid w:val="00AB27D8"/>
    <w:rsid w:val="00AB2A91"/>
    <w:rsid w:val="00AB2E41"/>
    <w:rsid w:val="00AB2F38"/>
    <w:rsid w:val="00AB31EF"/>
    <w:rsid w:val="00AB3315"/>
    <w:rsid w:val="00AB3795"/>
    <w:rsid w:val="00AB3DD1"/>
    <w:rsid w:val="00AB3F76"/>
    <w:rsid w:val="00AB3F83"/>
    <w:rsid w:val="00AB40C6"/>
    <w:rsid w:val="00AB4900"/>
    <w:rsid w:val="00AB4D16"/>
    <w:rsid w:val="00AB5797"/>
    <w:rsid w:val="00AB68D3"/>
    <w:rsid w:val="00AB6B67"/>
    <w:rsid w:val="00AB74D8"/>
    <w:rsid w:val="00AB760F"/>
    <w:rsid w:val="00AB7CFF"/>
    <w:rsid w:val="00AC05EA"/>
    <w:rsid w:val="00AC0BF7"/>
    <w:rsid w:val="00AC0D6A"/>
    <w:rsid w:val="00AC0E85"/>
    <w:rsid w:val="00AC0FD0"/>
    <w:rsid w:val="00AC1300"/>
    <w:rsid w:val="00AC142F"/>
    <w:rsid w:val="00AC1A4C"/>
    <w:rsid w:val="00AC1F3E"/>
    <w:rsid w:val="00AC208D"/>
    <w:rsid w:val="00AC2179"/>
    <w:rsid w:val="00AC23A1"/>
    <w:rsid w:val="00AC2842"/>
    <w:rsid w:val="00AC2D4B"/>
    <w:rsid w:val="00AC313E"/>
    <w:rsid w:val="00AC3933"/>
    <w:rsid w:val="00AC3BF3"/>
    <w:rsid w:val="00AC3F54"/>
    <w:rsid w:val="00AC415F"/>
    <w:rsid w:val="00AC417A"/>
    <w:rsid w:val="00AC4410"/>
    <w:rsid w:val="00AC448A"/>
    <w:rsid w:val="00AC4581"/>
    <w:rsid w:val="00AC4811"/>
    <w:rsid w:val="00AC516C"/>
    <w:rsid w:val="00AC51EA"/>
    <w:rsid w:val="00AC5759"/>
    <w:rsid w:val="00AC5F58"/>
    <w:rsid w:val="00AC5FBA"/>
    <w:rsid w:val="00AC6012"/>
    <w:rsid w:val="00AC632B"/>
    <w:rsid w:val="00AC6B31"/>
    <w:rsid w:val="00AC6C1A"/>
    <w:rsid w:val="00AC6DAE"/>
    <w:rsid w:val="00AC73FB"/>
    <w:rsid w:val="00AC773F"/>
    <w:rsid w:val="00AC7915"/>
    <w:rsid w:val="00AD01FA"/>
    <w:rsid w:val="00AD06B1"/>
    <w:rsid w:val="00AD0895"/>
    <w:rsid w:val="00AD0B11"/>
    <w:rsid w:val="00AD12F6"/>
    <w:rsid w:val="00AD1654"/>
    <w:rsid w:val="00AD1BCF"/>
    <w:rsid w:val="00AD1E3F"/>
    <w:rsid w:val="00AD287A"/>
    <w:rsid w:val="00AD2A88"/>
    <w:rsid w:val="00AD3232"/>
    <w:rsid w:val="00AD32C1"/>
    <w:rsid w:val="00AD38A5"/>
    <w:rsid w:val="00AD3CA6"/>
    <w:rsid w:val="00AD4771"/>
    <w:rsid w:val="00AD4805"/>
    <w:rsid w:val="00AD48FE"/>
    <w:rsid w:val="00AD4D44"/>
    <w:rsid w:val="00AD57B8"/>
    <w:rsid w:val="00AD5CC0"/>
    <w:rsid w:val="00AD5E01"/>
    <w:rsid w:val="00AD602F"/>
    <w:rsid w:val="00AD68A3"/>
    <w:rsid w:val="00AD7052"/>
    <w:rsid w:val="00AD7494"/>
    <w:rsid w:val="00AD75CC"/>
    <w:rsid w:val="00AE077E"/>
    <w:rsid w:val="00AE0A8A"/>
    <w:rsid w:val="00AE0FEC"/>
    <w:rsid w:val="00AE129D"/>
    <w:rsid w:val="00AE19AA"/>
    <w:rsid w:val="00AE2A59"/>
    <w:rsid w:val="00AE2F26"/>
    <w:rsid w:val="00AE32DD"/>
    <w:rsid w:val="00AE36DE"/>
    <w:rsid w:val="00AE37E2"/>
    <w:rsid w:val="00AE3DCA"/>
    <w:rsid w:val="00AE3EBC"/>
    <w:rsid w:val="00AE3F3C"/>
    <w:rsid w:val="00AE40E2"/>
    <w:rsid w:val="00AE40EE"/>
    <w:rsid w:val="00AE4291"/>
    <w:rsid w:val="00AE4408"/>
    <w:rsid w:val="00AE4483"/>
    <w:rsid w:val="00AE46B1"/>
    <w:rsid w:val="00AE4E0F"/>
    <w:rsid w:val="00AE501D"/>
    <w:rsid w:val="00AE559D"/>
    <w:rsid w:val="00AE584A"/>
    <w:rsid w:val="00AE5E64"/>
    <w:rsid w:val="00AE6041"/>
    <w:rsid w:val="00AE6F2F"/>
    <w:rsid w:val="00AE6FD9"/>
    <w:rsid w:val="00AE7127"/>
    <w:rsid w:val="00AE718E"/>
    <w:rsid w:val="00AE71CD"/>
    <w:rsid w:val="00AE741B"/>
    <w:rsid w:val="00AE78DE"/>
    <w:rsid w:val="00AE7A7D"/>
    <w:rsid w:val="00AE7A83"/>
    <w:rsid w:val="00AF057D"/>
    <w:rsid w:val="00AF068B"/>
    <w:rsid w:val="00AF06B8"/>
    <w:rsid w:val="00AF06D8"/>
    <w:rsid w:val="00AF0AC4"/>
    <w:rsid w:val="00AF16F1"/>
    <w:rsid w:val="00AF176E"/>
    <w:rsid w:val="00AF1794"/>
    <w:rsid w:val="00AF185C"/>
    <w:rsid w:val="00AF1CFE"/>
    <w:rsid w:val="00AF2017"/>
    <w:rsid w:val="00AF310A"/>
    <w:rsid w:val="00AF36F5"/>
    <w:rsid w:val="00AF3CBA"/>
    <w:rsid w:val="00AF3DAB"/>
    <w:rsid w:val="00AF400B"/>
    <w:rsid w:val="00AF4631"/>
    <w:rsid w:val="00AF4949"/>
    <w:rsid w:val="00AF4B5C"/>
    <w:rsid w:val="00AF4C96"/>
    <w:rsid w:val="00AF4F99"/>
    <w:rsid w:val="00AF5012"/>
    <w:rsid w:val="00AF53AA"/>
    <w:rsid w:val="00AF5A1B"/>
    <w:rsid w:val="00AF5AC8"/>
    <w:rsid w:val="00AF5B46"/>
    <w:rsid w:val="00AF5F7B"/>
    <w:rsid w:val="00AF640D"/>
    <w:rsid w:val="00AF661A"/>
    <w:rsid w:val="00AF676D"/>
    <w:rsid w:val="00AF6ABE"/>
    <w:rsid w:val="00AF6CA8"/>
    <w:rsid w:val="00AF6DAB"/>
    <w:rsid w:val="00AF6FAD"/>
    <w:rsid w:val="00AF70BD"/>
    <w:rsid w:val="00AF7468"/>
    <w:rsid w:val="00B002CF"/>
    <w:rsid w:val="00B00586"/>
    <w:rsid w:val="00B0080A"/>
    <w:rsid w:val="00B00CFF"/>
    <w:rsid w:val="00B01390"/>
    <w:rsid w:val="00B01611"/>
    <w:rsid w:val="00B01B95"/>
    <w:rsid w:val="00B01C16"/>
    <w:rsid w:val="00B01E21"/>
    <w:rsid w:val="00B01E6F"/>
    <w:rsid w:val="00B01FAD"/>
    <w:rsid w:val="00B02575"/>
    <w:rsid w:val="00B02932"/>
    <w:rsid w:val="00B02AE1"/>
    <w:rsid w:val="00B02DE2"/>
    <w:rsid w:val="00B02F34"/>
    <w:rsid w:val="00B039FA"/>
    <w:rsid w:val="00B03ABA"/>
    <w:rsid w:val="00B0422C"/>
    <w:rsid w:val="00B0533E"/>
    <w:rsid w:val="00B05D1F"/>
    <w:rsid w:val="00B069E0"/>
    <w:rsid w:val="00B06CC8"/>
    <w:rsid w:val="00B07040"/>
    <w:rsid w:val="00B07373"/>
    <w:rsid w:val="00B07A38"/>
    <w:rsid w:val="00B07F50"/>
    <w:rsid w:val="00B10765"/>
    <w:rsid w:val="00B10B68"/>
    <w:rsid w:val="00B11459"/>
    <w:rsid w:val="00B11F22"/>
    <w:rsid w:val="00B12F30"/>
    <w:rsid w:val="00B12FFF"/>
    <w:rsid w:val="00B132DA"/>
    <w:rsid w:val="00B13488"/>
    <w:rsid w:val="00B136FE"/>
    <w:rsid w:val="00B13715"/>
    <w:rsid w:val="00B138D7"/>
    <w:rsid w:val="00B13C0D"/>
    <w:rsid w:val="00B141B8"/>
    <w:rsid w:val="00B141EB"/>
    <w:rsid w:val="00B145CA"/>
    <w:rsid w:val="00B1508A"/>
    <w:rsid w:val="00B150AE"/>
    <w:rsid w:val="00B15175"/>
    <w:rsid w:val="00B1562B"/>
    <w:rsid w:val="00B15653"/>
    <w:rsid w:val="00B15B3C"/>
    <w:rsid w:val="00B15B89"/>
    <w:rsid w:val="00B16316"/>
    <w:rsid w:val="00B167C7"/>
    <w:rsid w:val="00B17028"/>
    <w:rsid w:val="00B172E3"/>
    <w:rsid w:val="00B17A83"/>
    <w:rsid w:val="00B17EF2"/>
    <w:rsid w:val="00B2070A"/>
    <w:rsid w:val="00B207B8"/>
    <w:rsid w:val="00B20DCF"/>
    <w:rsid w:val="00B21211"/>
    <w:rsid w:val="00B2138B"/>
    <w:rsid w:val="00B219AC"/>
    <w:rsid w:val="00B21ACC"/>
    <w:rsid w:val="00B22548"/>
    <w:rsid w:val="00B225CC"/>
    <w:rsid w:val="00B22B51"/>
    <w:rsid w:val="00B22EC5"/>
    <w:rsid w:val="00B23880"/>
    <w:rsid w:val="00B23883"/>
    <w:rsid w:val="00B23B63"/>
    <w:rsid w:val="00B241F9"/>
    <w:rsid w:val="00B24207"/>
    <w:rsid w:val="00B246CF"/>
    <w:rsid w:val="00B246E5"/>
    <w:rsid w:val="00B24BEA"/>
    <w:rsid w:val="00B25032"/>
    <w:rsid w:val="00B259A0"/>
    <w:rsid w:val="00B2613F"/>
    <w:rsid w:val="00B264B9"/>
    <w:rsid w:val="00B269DF"/>
    <w:rsid w:val="00B27757"/>
    <w:rsid w:val="00B27B1A"/>
    <w:rsid w:val="00B27C71"/>
    <w:rsid w:val="00B27DB2"/>
    <w:rsid w:val="00B305B6"/>
    <w:rsid w:val="00B3096F"/>
    <w:rsid w:val="00B30BC5"/>
    <w:rsid w:val="00B312E0"/>
    <w:rsid w:val="00B314DC"/>
    <w:rsid w:val="00B31E21"/>
    <w:rsid w:val="00B31FEF"/>
    <w:rsid w:val="00B322B5"/>
    <w:rsid w:val="00B32569"/>
    <w:rsid w:val="00B32846"/>
    <w:rsid w:val="00B337A6"/>
    <w:rsid w:val="00B33CB7"/>
    <w:rsid w:val="00B3467F"/>
    <w:rsid w:val="00B34747"/>
    <w:rsid w:val="00B34CC7"/>
    <w:rsid w:val="00B3532B"/>
    <w:rsid w:val="00B357E2"/>
    <w:rsid w:val="00B35D2D"/>
    <w:rsid w:val="00B35D30"/>
    <w:rsid w:val="00B36DA7"/>
    <w:rsid w:val="00B370C9"/>
    <w:rsid w:val="00B37247"/>
    <w:rsid w:val="00B379BD"/>
    <w:rsid w:val="00B37A43"/>
    <w:rsid w:val="00B37A75"/>
    <w:rsid w:val="00B37B25"/>
    <w:rsid w:val="00B40206"/>
    <w:rsid w:val="00B40710"/>
    <w:rsid w:val="00B40879"/>
    <w:rsid w:val="00B4093F"/>
    <w:rsid w:val="00B40EEE"/>
    <w:rsid w:val="00B4181E"/>
    <w:rsid w:val="00B41F07"/>
    <w:rsid w:val="00B42238"/>
    <w:rsid w:val="00B42638"/>
    <w:rsid w:val="00B42C05"/>
    <w:rsid w:val="00B431B0"/>
    <w:rsid w:val="00B431E2"/>
    <w:rsid w:val="00B4320A"/>
    <w:rsid w:val="00B43462"/>
    <w:rsid w:val="00B43BB4"/>
    <w:rsid w:val="00B43BD7"/>
    <w:rsid w:val="00B445A7"/>
    <w:rsid w:val="00B44C43"/>
    <w:rsid w:val="00B45265"/>
    <w:rsid w:val="00B453EC"/>
    <w:rsid w:val="00B455F0"/>
    <w:rsid w:val="00B45C63"/>
    <w:rsid w:val="00B45E1D"/>
    <w:rsid w:val="00B463D8"/>
    <w:rsid w:val="00B465A0"/>
    <w:rsid w:val="00B468D4"/>
    <w:rsid w:val="00B46BA7"/>
    <w:rsid w:val="00B47107"/>
    <w:rsid w:val="00B476E6"/>
    <w:rsid w:val="00B47973"/>
    <w:rsid w:val="00B479B0"/>
    <w:rsid w:val="00B506CA"/>
    <w:rsid w:val="00B5080D"/>
    <w:rsid w:val="00B5097F"/>
    <w:rsid w:val="00B50A0E"/>
    <w:rsid w:val="00B50EE0"/>
    <w:rsid w:val="00B5114E"/>
    <w:rsid w:val="00B514F1"/>
    <w:rsid w:val="00B518A1"/>
    <w:rsid w:val="00B51BBA"/>
    <w:rsid w:val="00B5230E"/>
    <w:rsid w:val="00B52983"/>
    <w:rsid w:val="00B52997"/>
    <w:rsid w:val="00B52DA8"/>
    <w:rsid w:val="00B534E0"/>
    <w:rsid w:val="00B538D3"/>
    <w:rsid w:val="00B541E7"/>
    <w:rsid w:val="00B5447B"/>
    <w:rsid w:val="00B54A0B"/>
    <w:rsid w:val="00B550B8"/>
    <w:rsid w:val="00B55A52"/>
    <w:rsid w:val="00B55BB8"/>
    <w:rsid w:val="00B55DBC"/>
    <w:rsid w:val="00B55E18"/>
    <w:rsid w:val="00B55E20"/>
    <w:rsid w:val="00B560D5"/>
    <w:rsid w:val="00B5610F"/>
    <w:rsid w:val="00B5645E"/>
    <w:rsid w:val="00B568B4"/>
    <w:rsid w:val="00B568FA"/>
    <w:rsid w:val="00B569AD"/>
    <w:rsid w:val="00B56A8C"/>
    <w:rsid w:val="00B573CB"/>
    <w:rsid w:val="00B600D1"/>
    <w:rsid w:val="00B605B1"/>
    <w:rsid w:val="00B60693"/>
    <w:rsid w:val="00B610BD"/>
    <w:rsid w:val="00B618D9"/>
    <w:rsid w:val="00B6223C"/>
    <w:rsid w:val="00B6237C"/>
    <w:rsid w:val="00B627B4"/>
    <w:rsid w:val="00B62C50"/>
    <w:rsid w:val="00B62EC1"/>
    <w:rsid w:val="00B630C4"/>
    <w:rsid w:val="00B63437"/>
    <w:rsid w:val="00B634E0"/>
    <w:rsid w:val="00B6355A"/>
    <w:rsid w:val="00B639BA"/>
    <w:rsid w:val="00B64578"/>
    <w:rsid w:val="00B64880"/>
    <w:rsid w:val="00B6489A"/>
    <w:rsid w:val="00B64C00"/>
    <w:rsid w:val="00B64F8B"/>
    <w:rsid w:val="00B6548D"/>
    <w:rsid w:val="00B655F5"/>
    <w:rsid w:val="00B65818"/>
    <w:rsid w:val="00B658C8"/>
    <w:rsid w:val="00B661D5"/>
    <w:rsid w:val="00B66BAB"/>
    <w:rsid w:val="00B66BB2"/>
    <w:rsid w:val="00B66DC6"/>
    <w:rsid w:val="00B66E2A"/>
    <w:rsid w:val="00B670FC"/>
    <w:rsid w:val="00B67108"/>
    <w:rsid w:val="00B671C2"/>
    <w:rsid w:val="00B67349"/>
    <w:rsid w:val="00B673C2"/>
    <w:rsid w:val="00B6743B"/>
    <w:rsid w:val="00B676A2"/>
    <w:rsid w:val="00B67B46"/>
    <w:rsid w:val="00B67D34"/>
    <w:rsid w:val="00B7020A"/>
    <w:rsid w:val="00B70A30"/>
    <w:rsid w:val="00B71236"/>
    <w:rsid w:val="00B71CEC"/>
    <w:rsid w:val="00B71E44"/>
    <w:rsid w:val="00B71F7E"/>
    <w:rsid w:val="00B71FE7"/>
    <w:rsid w:val="00B7206C"/>
    <w:rsid w:val="00B721E2"/>
    <w:rsid w:val="00B7256B"/>
    <w:rsid w:val="00B726E0"/>
    <w:rsid w:val="00B72722"/>
    <w:rsid w:val="00B732E8"/>
    <w:rsid w:val="00B73437"/>
    <w:rsid w:val="00B73C77"/>
    <w:rsid w:val="00B748B7"/>
    <w:rsid w:val="00B750C1"/>
    <w:rsid w:val="00B751C7"/>
    <w:rsid w:val="00B753B6"/>
    <w:rsid w:val="00B7545D"/>
    <w:rsid w:val="00B75C01"/>
    <w:rsid w:val="00B75EBC"/>
    <w:rsid w:val="00B7634F"/>
    <w:rsid w:val="00B768AD"/>
    <w:rsid w:val="00B76D38"/>
    <w:rsid w:val="00B7795C"/>
    <w:rsid w:val="00B77C85"/>
    <w:rsid w:val="00B77EC6"/>
    <w:rsid w:val="00B77F79"/>
    <w:rsid w:val="00B80256"/>
    <w:rsid w:val="00B80425"/>
    <w:rsid w:val="00B806BE"/>
    <w:rsid w:val="00B80A48"/>
    <w:rsid w:val="00B80F0E"/>
    <w:rsid w:val="00B810C6"/>
    <w:rsid w:val="00B81FEC"/>
    <w:rsid w:val="00B8261B"/>
    <w:rsid w:val="00B82E57"/>
    <w:rsid w:val="00B82F4E"/>
    <w:rsid w:val="00B82FB9"/>
    <w:rsid w:val="00B8355D"/>
    <w:rsid w:val="00B83957"/>
    <w:rsid w:val="00B83E15"/>
    <w:rsid w:val="00B84788"/>
    <w:rsid w:val="00B8548E"/>
    <w:rsid w:val="00B8550D"/>
    <w:rsid w:val="00B85C39"/>
    <w:rsid w:val="00B86606"/>
    <w:rsid w:val="00B868F1"/>
    <w:rsid w:val="00B86EB6"/>
    <w:rsid w:val="00B86F66"/>
    <w:rsid w:val="00B874BC"/>
    <w:rsid w:val="00B876F7"/>
    <w:rsid w:val="00B87B2B"/>
    <w:rsid w:val="00B87CB0"/>
    <w:rsid w:val="00B901AB"/>
    <w:rsid w:val="00B91306"/>
    <w:rsid w:val="00B913FF"/>
    <w:rsid w:val="00B91507"/>
    <w:rsid w:val="00B91704"/>
    <w:rsid w:val="00B917FE"/>
    <w:rsid w:val="00B91915"/>
    <w:rsid w:val="00B91E15"/>
    <w:rsid w:val="00B92038"/>
    <w:rsid w:val="00B921F4"/>
    <w:rsid w:val="00B92548"/>
    <w:rsid w:val="00B92EE6"/>
    <w:rsid w:val="00B9311C"/>
    <w:rsid w:val="00B93674"/>
    <w:rsid w:val="00B93854"/>
    <w:rsid w:val="00B939F0"/>
    <w:rsid w:val="00B93B4D"/>
    <w:rsid w:val="00B94BCD"/>
    <w:rsid w:val="00B94BE3"/>
    <w:rsid w:val="00B94CBB"/>
    <w:rsid w:val="00B9506E"/>
    <w:rsid w:val="00B95B5A"/>
    <w:rsid w:val="00B95C33"/>
    <w:rsid w:val="00B9606C"/>
    <w:rsid w:val="00B96DB8"/>
    <w:rsid w:val="00B970BA"/>
    <w:rsid w:val="00B974D5"/>
    <w:rsid w:val="00B978FE"/>
    <w:rsid w:val="00B97CC7"/>
    <w:rsid w:val="00B97F1C"/>
    <w:rsid w:val="00BA01BE"/>
    <w:rsid w:val="00BA0A30"/>
    <w:rsid w:val="00BA0F23"/>
    <w:rsid w:val="00BA0FA6"/>
    <w:rsid w:val="00BA14F6"/>
    <w:rsid w:val="00BA22B8"/>
    <w:rsid w:val="00BA262F"/>
    <w:rsid w:val="00BA2758"/>
    <w:rsid w:val="00BA2BF4"/>
    <w:rsid w:val="00BA31A5"/>
    <w:rsid w:val="00BA3201"/>
    <w:rsid w:val="00BA4863"/>
    <w:rsid w:val="00BA4971"/>
    <w:rsid w:val="00BA5F92"/>
    <w:rsid w:val="00BA6CE7"/>
    <w:rsid w:val="00BA6E87"/>
    <w:rsid w:val="00BA6FCC"/>
    <w:rsid w:val="00BA75C4"/>
    <w:rsid w:val="00BA7CEC"/>
    <w:rsid w:val="00BA7D0A"/>
    <w:rsid w:val="00BA7D2F"/>
    <w:rsid w:val="00BB0C8C"/>
    <w:rsid w:val="00BB1D99"/>
    <w:rsid w:val="00BB1DDB"/>
    <w:rsid w:val="00BB1E16"/>
    <w:rsid w:val="00BB2063"/>
    <w:rsid w:val="00BB2112"/>
    <w:rsid w:val="00BB2F53"/>
    <w:rsid w:val="00BB33FF"/>
    <w:rsid w:val="00BB3432"/>
    <w:rsid w:val="00BB3A85"/>
    <w:rsid w:val="00BB3C05"/>
    <w:rsid w:val="00BB42D9"/>
    <w:rsid w:val="00BB4859"/>
    <w:rsid w:val="00BB49DC"/>
    <w:rsid w:val="00BB4C0D"/>
    <w:rsid w:val="00BB50BD"/>
    <w:rsid w:val="00BB51C2"/>
    <w:rsid w:val="00BB52D9"/>
    <w:rsid w:val="00BB557E"/>
    <w:rsid w:val="00BB55E4"/>
    <w:rsid w:val="00BB5B41"/>
    <w:rsid w:val="00BB5C67"/>
    <w:rsid w:val="00BB5F6E"/>
    <w:rsid w:val="00BB5F8C"/>
    <w:rsid w:val="00BB6BDA"/>
    <w:rsid w:val="00BB71D2"/>
    <w:rsid w:val="00BB75F4"/>
    <w:rsid w:val="00BB7915"/>
    <w:rsid w:val="00BB7A9C"/>
    <w:rsid w:val="00BC0801"/>
    <w:rsid w:val="00BC0AA1"/>
    <w:rsid w:val="00BC0E24"/>
    <w:rsid w:val="00BC1528"/>
    <w:rsid w:val="00BC1CF9"/>
    <w:rsid w:val="00BC229D"/>
    <w:rsid w:val="00BC2708"/>
    <w:rsid w:val="00BC2E95"/>
    <w:rsid w:val="00BC312C"/>
    <w:rsid w:val="00BC33AC"/>
    <w:rsid w:val="00BC3B55"/>
    <w:rsid w:val="00BC3E21"/>
    <w:rsid w:val="00BC467E"/>
    <w:rsid w:val="00BC47ED"/>
    <w:rsid w:val="00BC48BD"/>
    <w:rsid w:val="00BC4966"/>
    <w:rsid w:val="00BC4AED"/>
    <w:rsid w:val="00BC51B0"/>
    <w:rsid w:val="00BC5802"/>
    <w:rsid w:val="00BC5F52"/>
    <w:rsid w:val="00BC61E6"/>
    <w:rsid w:val="00BC706A"/>
    <w:rsid w:val="00BC7116"/>
    <w:rsid w:val="00BC743A"/>
    <w:rsid w:val="00BC765A"/>
    <w:rsid w:val="00BC792C"/>
    <w:rsid w:val="00BD08A5"/>
    <w:rsid w:val="00BD0FCA"/>
    <w:rsid w:val="00BD0FD1"/>
    <w:rsid w:val="00BD1037"/>
    <w:rsid w:val="00BD144C"/>
    <w:rsid w:val="00BD1F6C"/>
    <w:rsid w:val="00BD2003"/>
    <w:rsid w:val="00BD2618"/>
    <w:rsid w:val="00BD2CBB"/>
    <w:rsid w:val="00BD3641"/>
    <w:rsid w:val="00BD3E3A"/>
    <w:rsid w:val="00BD486D"/>
    <w:rsid w:val="00BD4E98"/>
    <w:rsid w:val="00BD5A85"/>
    <w:rsid w:val="00BD5BC6"/>
    <w:rsid w:val="00BD63B2"/>
    <w:rsid w:val="00BD6470"/>
    <w:rsid w:val="00BD676F"/>
    <w:rsid w:val="00BD6910"/>
    <w:rsid w:val="00BD6F74"/>
    <w:rsid w:val="00BD6F91"/>
    <w:rsid w:val="00BD71B5"/>
    <w:rsid w:val="00BD7380"/>
    <w:rsid w:val="00BD76FD"/>
    <w:rsid w:val="00BD7D42"/>
    <w:rsid w:val="00BD7D49"/>
    <w:rsid w:val="00BD7D56"/>
    <w:rsid w:val="00BD7EDC"/>
    <w:rsid w:val="00BE043D"/>
    <w:rsid w:val="00BE0856"/>
    <w:rsid w:val="00BE1323"/>
    <w:rsid w:val="00BE2128"/>
    <w:rsid w:val="00BE387B"/>
    <w:rsid w:val="00BE3EA8"/>
    <w:rsid w:val="00BE416C"/>
    <w:rsid w:val="00BE4554"/>
    <w:rsid w:val="00BE4784"/>
    <w:rsid w:val="00BE4D5C"/>
    <w:rsid w:val="00BE4FC7"/>
    <w:rsid w:val="00BE51CC"/>
    <w:rsid w:val="00BE5227"/>
    <w:rsid w:val="00BE5377"/>
    <w:rsid w:val="00BE54CE"/>
    <w:rsid w:val="00BE5507"/>
    <w:rsid w:val="00BE59FB"/>
    <w:rsid w:val="00BE6913"/>
    <w:rsid w:val="00BE6AA9"/>
    <w:rsid w:val="00BE6F31"/>
    <w:rsid w:val="00BE74F1"/>
    <w:rsid w:val="00BE7541"/>
    <w:rsid w:val="00BE76F4"/>
    <w:rsid w:val="00BE77AD"/>
    <w:rsid w:val="00BE7977"/>
    <w:rsid w:val="00BE7CAA"/>
    <w:rsid w:val="00BE7E6B"/>
    <w:rsid w:val="00BF05D1"/>
    <w:rsid w:val="00BF0967"/>
    <w:rsid w:val="00BF09E2"/>
    <w:rsid w:val="00BF1066"/>
    <w:rsid w:val="00BF1142"/>
    <w:rsid w:val="00BF1670"/>
    <w:rsid w:val="00BF260E"/>
    <w:rsid w:val="00BF2C67"/>
    <w:rsid w:val="00BF38D5"/>
    <w:rsid w:val="00BF39A2"/>
    <w:rsid w:val="00BF40F9"/>
    <w:rsid w:val="00BF4B3F"/>
    <w:rsid w:val="00BF513E"/>
    <w:rsid w:val="00BF53B4"/>
    <w:rsid w:val="00BF53D5"/>
    <w:rsid w:val="00BF56AA"/>
    <w:rsid w:val="00BF59F8"/>
    <w:rsid w:val="00BF5A18"/>
    <w:rsid w:val="00BF5C8B"/>
    <w:rsid w:val="00BF63C3"/>
    <w:rsid w:val="00BF69CD"/>
    <w:rsid w:val="00BF6AB2"/>
    <w:rsid w:val="00BF7090"/>
    <w:rsid w:val="00BF7199"/>
    <w:rsid w:val="00BF7806"/>
    <w:rsid w:val="00BF798A"/>
    <w:rsid w:val="00BF79B2"/>
    <w:rsid w:val="00C00BF7"/>
    <w:rsid w:val="00C00DC4"/>
    <w:rsid w:val="00C01014"/>
    <w:rsid w:val="00C011D6"/>
    <w:rsid w:val="00C017CD"/>
    <w:rsid w:val="00C01AEB"/>
    <w:rsid w:val="00C01C8D"/>
    <w:rsid w:val="00C01EF2"/>
    <w:rsid w:val="00C02355"/>
    <w:rsid w:val="00C0257F"/>
    <w:rsid w:val="00C02CAD"/>
    <w:rsid w:val="00C02E57"/>
    <w:rsid w:val="00C02F05"/>
    <w:rsid w:val="00C03997"/>
    <w:rsid w:val="00C03AE1"/>
    <w:rsid w:val="00C043AC"/>
    <w:rsid w:val="00C0491B"/>
    <w:rsid w:val="00C04D39"/>
    <w:rsid w:val="00C04E7A"/>
    <w:rsid w:val="00C051BE"/>
    <w:rsid w:val="00C05345"/>
    <w:rsid w:val="00C057AA"/>
    <w:rsid w:val="00C05850"/>
    <w:rsid w:val="00C06106"/>
    <w:rsid w:val="00C0689C"/>
    <w:rsid w:val="00C07566"/>
    <w:rsid w:val="00C1076C"/>
    <w:rsid w:val="00C1088D"/>
    <w:rsid w:val="00C108BE"/>
    <w:rsid w:val="00C10EE6"/>
    <w:rsid w:val="00C10FE0"/>
    <w:rsid w:val="00C112A2"/>
    <w:rsid w:val="00C11C44"/>
    <w:rsid w:val="00C11E9C"/>
    <w:rsid w:val="00C1287F"/>
    <w:rsid w:val="00C12C44"/>
    <w:rsid w:val="00C12CF0"/>
    <w:rsid w:val="00C12FC0"/>
    <w:rsid w:val="00C13553"/>
    <w:rsid w:val="00C14119"/>
    <w:rsid w:val="00C141DB"/>
    <w:rsid w:val="00C14672"/>
    <w:rsid w:val="00C146DF"/>
    <w:rsid w:val="00C147CF"/>
    <w:rsid w:val="00C1505A"/>
    <w:rsid w:val="00C162F1"/>
    <w:rsid w:val="00C16F27"/>
    <w:rsid w:val="00C17252"/>
    <w:rsid w:val="00C1779E"/>
    <w:rsid w:val="00C17970"/>
    <w:rsid w:val="00C17C0B"/>
    <w:rsid w:val="00C201CE"/>
    <w:rsid w:val="00C20CA0"/>
    <w:rsid w:val="00C22456"/>
    <w:rsid w:val="00C225CC"/>
    <w:rsid w:val="00C22814"/>
    <w:rsid w:val="00C22863"/>
    <w:rsid w:val="00C23A26"/>
    <w:rsid w:val="00C23C98"/>
    <w:rsid w:val="00C23EBC"/>
    <w:rsid w:val="00C23FD8"/>
    <w:rsid w:val="00C2414A"/>
    <w:rsid w:val="00C24474"/>
    <w:rsid w:val="00C24B9B"/>
    <w:rsid w:val="00C25154"/>
    <w:rsid w:val="00C251EE"/>
    <w:rsid w:val="00C255FA"/>
    <w:rsid w:val="00C2693F"/>
    <w:rsid w:val="00C26F7A"/>
    <w:rsid w:val="00C2727E"/>
    <w:rsid w:val="00C2752A"/>
    <w:rsid w:val="00C2799F"/>
    <w:rsid w:val="00C279A4"/>
    <w:rsid w:val="00C27C1E"/>
    <w:rsid w:val="00C30671"/>
    <w:rsid w:val="00C307B7"/>
    <w:rsid w:val="00C30950"/>
    <w:rsid w:val="00C30D51"/>
    <w:rsid w:val="00C31751"/>
    <w:rsid w:val="00C317EB"/>
    <w:rsid w:val="00C3193F"/>
    <w:rsid w:val="00C3233C"/>
    <w:rsid w:val="00C324CD"/>
    <w:rsid w:val="00C32B18"/>
    <w:rsid w:val="00C330F2"/>
    <w:rsid w:val="00C33268"/>
    <w:rsid w:val="00C33C19"/>
    <w:rsid w:val="00C33DE2"/>
    <w:rsid w:val="00C3431E"/>
    <w:rsid w:val="00C343FA"/>
    <w:rsid w:val="00C34962"/>
    <w:rsid w:val="00C34E93"/>
    <w:rsid w:val="00C34ECB"/>
    <w:rsid w:val="00C3507F"/>
    <w:rsid w:val="00C3563F"/>
    <w:rsid w:val="00C35A27"/>
    <w:rsid w:val="00C35DF9"/>
    <w:rsid w:val="00C361F0"/>
    <w:rsid w:val="00C36D63"/>
    <w:rsid w:val="00C36E3C"/>
    <w:rsid w:val="00C36EC0"/>
    <w:rsid w:val="00C36F23"/>
    <w:rsid w:val="00C3705E"/>
    <w:rsid w:val="00C37445"/>
    <w:rsid w:val="00C374D1"/>
    <w:rsid w:val="00C3777F"/>
    <w:rsid w:val="00C3782D"/>
    <w:rsid w:val="00C37F28"/>
    <w:rsid w:val="00C40577"/>
    <w:rsid w:val="00C4071F"/>
    <w:rsid w:val="00C40B33"/>
    <w:rsid w:val="00C414CC"/>
    <w:rsid w:val="00C41575"/>
    <w:rsid w:val="00C41B5B"/>
    <w:rsid w:val="00C41C8A"/>
    <w:rsid w:val="00C42217"/>
    <w:rsid w:val="00C424D7"/>
    <w:rsid w:val="00C4257E"/>
    <w:rsid w:val="00C427E8"/>
    <w:rsid w:val="00C4343A"/>
    <w:rsid w:val="00C43758"/>
    <w:rsid w:val="00C43B99"/>
    <w:rsid w:val="00C43BFF"/>
    <w:rsid w:val="00C43EE8"/>
    <w:rsid w:val="00C44211"/>
    <w:rsid w:val="00C442D3"/>
    <w:rsid w:val="00C449C5"/>
    <w:rsid w:val="00C44C65"/>
    <w:rsid w:val="00C45094"/>
    <w:rsid w:val="00C45152"/>
    <w:rsid w:val="00C45675"/>
    <w:rsid w:val="00C45F8C"/>
    <w:rsid w:val="00C4624A"/>
    <w:rsid w:val="00C46294"/>
    <w:rsid w:val="00C4664B"/>
    <w:rsid w:val="00C4665C"/>
    <w:rsid w:val="00C477DA"/>
    <w:rsid w:val="00C479BB"/>
    <w:rsid w:val="00C479EE"/>
    <w:rsid w:val="00C47A37"/>
    <w:rsid w:val="00C47B7F"/>
    <w:rsid w:val="00C5031F"/>
    <w:rsid w:val="00C503B7"/>
    <w:rsid w:val="00C50888"/>
    <w:rsid w:val="00C50AA3"/>
    <w:rsid w:val="00C50AC9"/>
    <w:rsid w:val="00C50ECF"/>
    <w:rsid w:val="00C50F39"/>
    <w:rsid w:val="00C516B5"/>
    <w:rsid w:val="00C51CF1"/>
    <w:rsid w:val="00C52393"/>
    <w:rsid w:val="00C53400"/>
    <w:rsid w:val="00C535E4"/>
    <w:rsid w:val="00C53B4B"/>
    <w:rsid w:val="00C53E14"/>
    <w:rsid w:val="00C53F20"/>
    <w:rsid w:val="00C54716"/>
    <w:rsid w:val="00C54CCE"/>
    <w:rsid w:val="00C5538A"/>
    <w:rsid w:val="00C5591F"/>
    <w:rsid w:val="00C55EDB"/>
    <w:rsid w:val="00C55EEC"/>
    <w:rsid w:val="00C55F81"/>
    <w:rsid w:val="00C561A9"/>
    <w:rsid w:val="00C56C35"/>
    <w:rsid w:val="00C56D1E"/>
    <w:rsid w:val="00C56E13"/>
    <w:rsid w:val="00C57958"/>
    <w:rsid w:val="00C57B37"/>
    <w:rsid w:val="00C57E31"/>
    <w:rsid w:val="00C603E1"/>
    <w:rsid w:val="00C604CD"/>
    <w:rsid w:val="00C60657"/>
    <w:rsid w:val="00C60CCA"/>
    <w:rsid w:val="00C60FE1"/>
    <w:rsid w:val="00C6108C"/>
    <w:rsid w:val="00C613BB"/>
    <w:rsid w:val="00C617B8"/>
    <w:rsid w:val="00C618E4"/>
    <w:rsid w:val="00C61A11"/>
    <w:rsid w:val="00C61E8D"/>
    <w:rsid w:val="00C61FD6"/>
    <w:rsid w:val="00C62F05"/>
    <w:rsid w:val="00C63172"/>
    <w:rsid w:val="00C63284"/>
    <w:rsid w:val="00C6330C"/>
    <w:rsid w:val="00C641CB"/>
    <w:rsid w:val="00C644C5"/>
    <w:rsid w:val="00C647A7"/>
    <w:rsid w:val="00C64BE2"/>
    <w:rsid w:val="00C64D21"/>
    <w:rsid w:val="00C64FA4"/>
    <w:rsid w:val="00C65090"/>
    <w:rsid w:val="00C65430"/>
    <w:rsid w:val="00C655C9"/>
    <w:rsid w:val="00C66122"/>
    <w:rsid w:val="00C6675B"/>
    <w:rsid w:val="00C669E3"/>
    <w:rsid w:val="00C67307"/>
    <w:rsid w:val="00C676D3"/>
    <w:rsid w:val="00C678B2"/>
    <w:rsid w:val="00C67AD4"/>
    <w:rsid w:val="00C67C08"/>
    <w:rsid w:val="00C67D30"/>
    <w:rsid w:val="00C70031"/>
    <w:rsid w:val="00C70054"/>
    <w:rsid w:val="00C70531"/>
    <w:rsid w:val="00C70646"/>
    <w:rsid w:val="00C707E1"/>
    <w:rsid w:val="00C70C3C"/>
    <w:rsid w:val="00C70DA2"/>
    <w:rsid w:val="00C7139A"/>
    <w:rsid w:val="00C7167E"/>
    <w:rsid w:val="00C71740"/>
    <w:rsid w:val="00C71844"/>
    <w:rsid w:val="00C71919"/>
    <w:rsid w:val="00C71A00"/>
    <w:rsid w:val="00C71AD4"/>
    <w:rsid w:val="00C71BE3"/>
    <w:rsid w:val="00C7214E"/>
    <w:rsid w:val="00C723FE"/>
    <w:rsid w:val="00C72B95"/>
    <w:rsid w:val="00C72DA3"/>
    <w:rsid w:val="00C73406"/>
    <w:rsid w:val="00C7386B"/>
    <w:rsid w:val="00C73C4D"/>
    <w:rsid w:val="00C73D62"/>
    <w:rsid w:val="00C73D8E"/>
    <w:rsid w:val="00C7465C"/>
    <w:rsid w:val="00C747BA"/>
    <w:rsid w:val="00C7480F"/>
    <w:rsid w:val="00C74C8C"/>
    <w:rsid w:val="00C74FFE"/>
    <w:rsid w:val="00C75183"/>
    <w:rsid w:val="00C7547B"/>
    <w:rsid w:val="00C75543"/>
    <w:rsid w:val="00C75835"/>
    <w:rsid w:val="00C75FBE"/>
    <w:rsid w:val="00C765D0"/>
    <w:rsid w:val="00C766C6"/>
    <w:rsid w:val="00C768AC"/>
    <w:rsid w:val="00C76F69"/>
    <w:rsid w:val="00C770B9"/>
    <w:rsid w:val="00C77665"/>
    <w:rsid w:val="00C77A7B"/>
    <w:rsid w:val="00C77E82"/>
    <w:rsid w:val="00C80127"/>
    <w:rsid w:val="00C8077A"/>
    <w:rsid w:val="00C80B75"/>
    <w:rsid w:val="00C80D09"/>
    <w:rsid w:val="00C80FE2"/>
    <w:rsid w:val="00C812CF"/>
    <w:rsid w:val="00C8152E"/>
    <w:rsid w:val="00C8185E"/>
    <w:rsid w:val="00C819A5"/>
    <w:rsid w:val="00C81CE0"/>
    <w:rsid w:val="00C81D67"/>
    <w:rsid w:val="00C82364"/>
    <w:rsid w:val="00C828B6"/>
    <w:rsid w:val="00C83309"/>
    <w:rsid w:val="00C837A4"/>
    <w:rsid w:val="00C83BE8"/>
    <w:rsid w:val="00C8405E"/>
    <w:rsid w:val="00C843FF"/>
    <w:rsid w:val="00C84690"/>
    <w:rsid w:val="00C84DEE"/>
    <w:rsid w:val="00C84E5F"/>
    <w:rsid w:val="00C84EEE"/>
    <w:rsid w:val="00C85685"/>
    <w:rsid w:val="00C860BB"/>
    <w:rsid w:val="00C86D05"/>
    <w:rsid w:val="00C8736E"/>
    <w:rsid w:val="00C874BE"/>
    <w:rsid w:val="00C8752B"/>
    <w:rsid w:val="00C87601"/>
    <w:rsid w:val="00C87A18"/>
    <w:rsid w:val="00C87B36"/>
    <w:rsid w:val="00C87F22"/>
    <w:rsid w:val="00C87F94"/>
    <w:rsid w:val="00C9014F"/>
    <w:rsid w:val="00C901B1"/>
    <w:rsid w:val="00C90309"/>
    <w:rsid w:val="00C91086"/>
    <w:rsid w:val="00C911CE"/>
    <w:rsid w:val="00C914F9"/>
    <w:rsid w:val="00C91D4D"/>
    <w:rsid w:val="00C92015"/>
    <w:rsid w:val="00C925C4"/>
    <w:rsid w:val="00C9298D"/>
    <w:rsid w:val="00C92A57"/>
    <w:rsid w:val="00C92DD2"/>
    <w:rsid w:val="00C93003"/>
    <w:rsid w:val="00C9330D"/>
    <w:rsid w:val="00C934D4"/>
    <w:rsid w:val="00C936BB"/>
    <w:rsid w:val="00C936FF"/>
    <w:rsid w:val="00C93C3B"/>
    <w:rsid w:val="00C93E70"/>
    <w:rsid w:val="00C93FED"/>
    <w:rsid w:val="00C94448"/>
    <w:rsid w:val="00C9484A"/>
    <w:rsid w:val="00C94927"/>
    <w:rsid w:val="00C94EAE"/>
    <w:rsid w:val="00C94EFB"/>
    <w:rsid w:val="00C95023"/>
    <w:rsid w:val="00C955AA"/>
    <w:rsid w:val="00C95DE0"/>
    <w:rsid w:val="00C95F15"/>
    <w:rsid w:val="00C9697B"/>
    <w:rsid w:val="00C970A5"/>
    <w:rsid w:val="00C97169"/>
    <w:rsid w:val="00C972F2"/>
    <w:rsid w:val="00C97316"/>
    <w:rsid w:val="00C9746E"/>
    <w:rsid w:val="00C97C6A"/>
    <w:rsid w:val="00CA04FA"/>
    <w:rsid w:val="00CA05AC"/>
    <w:rsid w:val="00CA05E2"/>
    <w:rsid w:val="00CA0CBF"/>
    <w:rsid w:val="00CA0E78"/>
    <w:rsid w:val="00CA146B"/>
    <w:rsid w:val="00CA1B5A"/>
    <w:rsid w:val="00CA1C94"/>
    <w:rsid w:val="00CA20DB"/>
    <w:rsid w:val="00CA2115"/>
    <w:rsid w:val="00CA21C5"/>
    <w:rsid w:val="00CA22CA"/>
    <w:rsid w:val="00CA29A4"/>
    <w:rsid w:val="00CA2B4C"/>
    <w:rsid w:val="00CA2C56"/>
    <w:rsid w:val="00CA3A79"/>
    <w:rsid w:val="00CA3C6B"/>
    <w:rsid w:val="00CA3E22"/>
    <w:rsid w:val="00CA3FB9"/>
    <w:rsid w:val="00CA4332"/>
    <w:rsid w:val="00CA48B7"/>
    <w:rsid w:val="00CA4C60"/>
    <w:rsid w:val="00CA537D"/>
    <w:rsid w:val="00CA57E3"/>
    <w:rsid w:val="00CA62C5"/>
    <w:rsid w:val="00CA6312"/>
    <w:rsid w:val="00CA66E8"/>
    <w:rsid w:val="00CA6A54"/>
    <w:rsid w:val="00CA72AC"/>
    <w:rsid w:val="00CA7B17"/>
    <w:rsid w:val="00CA7C3F"/>
    <w:rsid w:val="00CA7C51"/>
    <w:rsid w:val="00CB0890"/>
    <w:rsid w:val="00CB0EBB"/>
    <w:rsid w:val="00CB14B5"/>
    <w:rsid w:val="00CB19B7"/>
    <w:rsid w:val="00CB19DB"/>
    <w:rsid w:val="00CB20DE"/>
    <w:rsid w:val="00CB211D"/>
    <w:rsid w:val="00CB2500"/>
    <w:rsid w:val="00CB2923"/>
    <w:rsid w:val="00CB2DDF"/>
    <w:rsid w:val="00CB2EA2"/>
    <w:rsid w:val="00CB2EE9"/>
    <w:rsid w:val="00CB3729"/>
    <w:rsid w:val="00CB390A"/>
    <w:rsid w:val="00CB3B33"/>
    <w:rsid w:val="00CB432A"/>
    <w:rsid w:val="00CB4727"/>
    <w:rsid w:val="00CB4740"/>
    <w:rsid w:val="00CB4A64"/>
    <w:rsid w:val="00CB4B60"/>
    <w:rsid w:val="00CB4C49"/>
    <w:rsid w:val="00CB4DF5"/>
    <w:rsid w:val="00CB5216"/>
    <w:rsid w:val="00CB5677"/>
    <w:rsid w:val="00CB58FA"/>
    <w:rsid w:val="00CB59AE"/>
    <w:rsid w:val="00CB6461"/>
    <w:rsid w:val="00CB6766"/>
    <w:rsid w:val="00CB6B51"/>
    <w:rsid w:val="00CC0223"/>
    <w:rsid w:val="00CC06E2"/>
    <w:rsid w:val="00CC0A59"/>
    <w:rsid w:val="00CC0B1F"/>
    <w:rsid w:val="00CC1884"/>
    <w:rsid w:val="00CC197E"/>
    <w:rsid w:val="00CC1EF7"/>
    <w:rsid w:val="00CC3186"/>
    <w:rsid w:val="00CC33F0"/>
    <w:rsid w:val="00CC3482"/>
    <w:rsid w:val="00CC35B5"/>
    <w:rsid w:val="00CC362A"/>
    <w:rsid w:val="00CC4009"/>
    <w:rsid w:val="00CC4190"/>
    <w:rsid w:val="00CC436B"/>
    <w:rsid w:val="00CC43B8"/>
    <w:rsid w:val="00CC45B3"/>
    <w:rsid w:val="00CC4A6D"/>
    <w:rsid w:val="00CC521E"/>
    <w:rsid w:val="00CC5563"/>
    <w:rsid w:val="00CC558C"/>
    <w:rsid w:val="00CC55D8"/>
    <w:rsid w:val="00CC57C1"/>
    <w:rsid w:val="00CC6479"/>
    <w:rsid w:val="00CC69A4"/>
    <w:rsid w:val="00CC6DC6"/>
    <w:rsid w:val="00CC6F7A"/>
    <w:rsid w:val="00CC745C"/>
    <w:rsid w:val="00CC75A4"/>
    <w:rsid w:val="00CD041A"/>
    <w:rsid w:val="00CD0680"/>
    <w:rsid w:val="00CD06A2"/>
    <w:rsid w:val="00CD0995"/>
    <w:rsid w:val="00CD0CA5"/>
    <w:rsid w:val="00CD0EB9"/>
    <w:rsid w:val="00CD1638"/>
    <w:rsid w:val="00CD1833"/>
    <w:rsid w:val="00CD18CD"/>
    <w:rsid w:val="00CD1A35"/>
    <w:rsid w:val="00CD204F"/>
    <w:rsid w:val="00CD2119"/>
    <w:rsid w:val="00CD21F6"/>
    <w:rsid w:val="00CD25D9"/>
    <w:rsid w:val="00CD2B67"/>
    <w:rsid w:val="00CD2F06"/>
    <w:rsid w:val="00CD2FEC"/>
    <w:rsid w:val="00CD30A1"/>
    <w:rsid w:val="00CD39AE"/>
    <w:rsid w:val="00CD3A22"/>
    <w:rsid w:val="00CD3E7A"/>
    <w:rsid w:val="00CD4844"/>
    <w:rsid w:val="00CD4E94"/>
    <w:rsid w:val="00CD5000"/>
    <w:rsid w:val="00CD5378"/>
    <w:rsid w:val="00CD56A0"/>
    <w:rsid w:val="00CD5A81"/>
    <w:rsid w:val="00CD619A"/>
    <w:rsid w:val="00CD6763"/>
    <w:rsid w:val="00CD7170"/>
    <w:rsid w:val="00CD727A"/>
    <w:rsid w:val="00CD74B4"/>
    <w:rsid w:val="00CD75F9"/>
    <w:rsid w:val="00CD781A"/>
    <w:rsid w:val="00CD7AA7"/>
    <w:rsid w:val="00CD7B3F"/>
    <w:rsid w:val="00CD7B8C"/>
    <w:rsid w:val="00CE02F6"/>
    <w:rsid w:val="00CE042C"/>
    <w:rsid w:val="00CE0459"/>
    <w:rsid w:val="00CE045A"/>
    <w:rsid w:val="00CE0865"/>
    <w:rsid w:val="00CE09D9"/>
    <w:rsid w:val="00CE0CA6"/>
    <w:rsid w:val="00CE0D06"/>
    <w:rsid w:val="00CE12B4"/>
    <w:rsid w:val="00CE1E9A"/>
    <w:rsid w:val="00CE2DED"/>
    <w:rsid w:val="00CE413D"/>
    <w:rsid w:val="00CE4734"/>
    <w:rsid w:val="00CE4B32"/>
    <w:rsid w:val="00CE500F"/>
    <w:rsid w:val="00CE543C"/>
    <w:rsid w:val="00CE566B"/>
    <w:rsid w:val="00CE5917"/>
    <w:rsid w:val="00CE5D5D"/>
    <w:rsid w:val="00CE5D9B"/>
    <w:rsid w:val="00CE68A4"/>
    <w:rsid w:val="00CE6D5E"/>
    <w:rsid w:val="00CE6D81"/>
    <w:rsid w:val="00CE71EE"/>
    <w:rsid w:val="00CE727B"/>
    <w:rsid w:val="00CE784A"/>
    <w:rsid w:val="00CF0B81"/>
    <w:rsid w:val="00CF0D50"/>
    <w:rsid w:val="00CF100A"/>
    <w:rsid w:val="00CF1353"/>
    <w:rsid w:val="00CF1356"/>
    <w:rsid w:val="00CF1FED"/>
    <w:rsid w:val="00CF2A8F"/>
    <w:rsid w:val="00CF2C2C"/>
    <w:rsid w:val="00CF31D5"/>
    <w:rsid w:val="00CF36FA"/>
    <w:rsid w:val="00CF3C54"/>
    <w:rsid w:val="00CF3C94"/>
    <w:rsid w:val="00CF423E"/>
    <w:rsid w:val="00CF4C0B"/>
    <w:rsid w:val="00CF505A"/>
    <w:rsid w:val="00CF50E9"/>
    <w:rsid w:val="00CF51EA"/>
    <w:rsid w:val="00CF531A"/>
    <w:rsid w:val="00CF6128"/>
    <w:rsid w:val="00CF654C"/>
    <w:rsid w:val="00CF735F"/>
    <w:rsid w:val="00D003DE"/>
    <w:rsid w:val="00D00653"/>
    <w:rsid w:val="00D008BD"/>
    <w:rsid w:val="00D0098A"/>
    <w:rsid w:val="00D00CC5"/>
    <w:rsid w:val="00D013F2"/>
    <w:rsid w:val="00D015C3"/>
    <w:rsid w:val="00D0198E"/>
    <w:rsid w:val="00D019F6"/>
    <w:rsid w:val="00D01B95"/>
    <w:rsid w:val="00D021E9"/>
    <w:rsid w:val="00D02240"/>
    <w:rsid w:val="00D02313"/>
    <w:rsid w:val="00D0240B"/>
    <w:rsid w:val="00D02ACD"/>
    <w:rsid w:val="00D03196"/>
    <w:rsid w:val="00D0346B"/>
    <w:rsid w:val="00D035F8"/>
    <w:rsid w:val="00D03AD7"/>
    <w:rsid w:val="00D03D11"/>
    <w:rsid w:val="00D03E5D"/>
    <w:rsid w:val="00D04375"/>
    <w:rsid w:val="00D0445B"/>
    <w:rsid w:val="00D0456F"/>
    <w:rsid w:val="00D049DE"/>
    <w:rsid w:val="00D04B5B"/>
    <w:rsid w:val="00D04E34"/>
    <w:rsid w:val="00D04F6F"/>
    <w:rsid w:val="00D057C8"/>
    <w:rsid w:val="00D05847"/>
    <w:rsid w:val="00D058FE"/>
    <w:rsid w:val="00D05D18"/>
    <w:rsid w:val="00D05E9A"/>
    <w:rsid w:val="00D06303"/>
    <w:rsid w:val="00D06414"/>
    <w:rsid w:val="00D068C8"/>
    <w:rsid w:val="00D06AF9"/>
    <w:rsid w:val="00D075BD"/>
    <w:rsid w:val="00D0791C"/>
    <w:rsid w:val="00D10AF7"/>
    <w:rsid w:val="00D10C18"/>
    <w:rsid w:val="00D10DEA"/>
    <w:rsid w:val="00D11053"/>
    <w:rsid w:val="00D11BE3"/>
    <w:rsid w:val="00D11C49"/>
    <w:rsid w:val="00D12427"/>
    <w:rsid w:val="00D124EA"/>
    <w:rsid w:val="00D125E3"/>
    <w:rsid w:val="00D12BE1"/>
    <w:rsid w:val="00D1354A"/>
    <w:rsid w:val="00D13778"/>
    <w:rsid w:val="00D14011"/>
    <w:rsid w:val="00D14210"/>
    <w:rsid w:val="00D1474E"/>
    <w:rsid w:val="00D14A9C"/>
    <w:rsid w:val="00D14AC6"/>
    <w:rsid w:val="00D14D3E"/>
    <w:rsid w:val="00D14DD7"/>
    <w:rsid w:val="00D14F91"/>
    <w:rsid w:val="00D14FFF"/>
    <w:rsid w:val="00D157BD"/>
    <w:rsid w:val="00D1586E"/>
    <w:rsid w:val="00D15B49"/>
    <w:rsid w:val="00D15C05"/>
    <w:rsid w:val="00D166B7"/>
    <w:rsid w:val="00D16990"/>
    <w:rsid w:val="00D17076"/>
    <w:rsid w:val="00D170BC"/>
    <w:rsid w:val="00D179E6"/>
    <w:rsid w:val="00D17C34"/>
    <w:rsid w:val="00D202A0"/>
    <w:rsid w:val="00D20B1B"/>
    <w:rsid w:val="00D20C4B"/>
    <w:rsid w:val="00D20ECD"/>
    <w:rsid w:val="00D21671"/>
    <w:rsid w:val="00D21DCE"/>
    <w:rsid w:val="00D220F5"/>
    <w:rsid w:val="00D222A1"/>
    <w:rsid w:val="00D2264F"/>
    <w:rsid w:val="00D22EBB"/>
    <w:rsid w:val="00D23480"/>
    <w:rsid w:val="00D235D2"/>
    <w:rsid w:val="00D236A5"/>
    <w:rsid w:val="00D238F1"/>
    <w:rsid w:val="00D24407"/>
    <w:rsid w:val="00D24576"/>
    <w:rsid w:val="00D2490F"/>
    <w:rsid w:val="00D24B67"/>
    <w:rsid w:val="00D24C77"/>
    <w:rsid w:val="00D26468"/>
    <w:rsid w:val="00D2651B"/>
    <w:rsid w:val="00D26544"/>
    <w:rsid w:val="00D26BE7"/>
    <w:rsid w:val="00D26CD0"/>
    <w:rsid w:val="00D27079"/>
    <w:rsid w:val="00D2748F"/>
    <w:rsid w:val="00D27AD7"/>
    <w:rsid w:val="00D3013F"/>
    <w:rsid w:val="00D301DD"/>
    <w:rsid w:val="00D30359"/>
    <w:rsid w:val="00D3056C"/>
    <w:rsid w:val="00D305F8"/>
    <w:rsid w:val="00D30684"/>
    <w:rsid w:val="00D30D24"/>
    <w:rsid w:val="00D311A0"/>
    <w:rsid w:val="00D31433"/>
    <w:rsid w:val="00D3185A"/>
    <w:rsid w:val="00D319F6"/>
    <w:rsid w:val="00D31CED"/>
    <w:rsid w:val="00D31ED8"/>
    <w:rsid w:val="00D3237D"/>
    <w:rsid w:val="00D32517"/>
    <w:rsid w:val="00D32F3C"/>
    <w:rsid w:val="00D330C3"/>
    <w:rsid w:val="00D3332B"/>
    <w:rsid w:val="00D33429"/>
    <w:rsid w:val="00D334BA"/>
    <w:rsid w:val="00D3398A"/>
    <w:rsid w:val="00D33FEA"/>
    <w:rsid w:val="00D34BAF"/>
    <w:rsid w:val="00D34C3C"/>
    <w:rsid w:val="00D35010"/>
    <w:rsid w:val="00D36238"/>
    <w:rsid w:val="00D364B7"/>
    <w:rsid w:val="00D3705D"/>
    <w:rsid w:val="00D376C8"/>
    <w:rsid w:val="00D37744"/>
    <w:rsid w:val="00D3778F"/>
    <w:rsid w:val="00D37F5F"/>
    <w:rsid w:val="00D40F1A"/>
    <w:rsid w:val="00D412C5"/>
    <w:rsid w:val="00D4165A"/>
    <w:rsid w:val="00D416B5"/>
    <w:rsid w:val="00D4176E"/>
    <w:rsid w:val="00D41891"/>
    <w:rsid w:val="00D41F71"/>
    <w:rsid w:val="00D42333"/>
    <w:rsid w:val="00D426DA"/>
    <w:rsid w:val="00D428C9"/>
    <w:rsid w:val="00D42914"/>
    <w:rsid w:val="00D42A66"/>
    <w:rsid w:val="00D43089"/>
    <w:rsid w:val="00D43287"/>
    <w:rsid w:val="00D43340"/>
    <w:rsid w:val="00D4374C"/>
    <w:rsid w:val="00D438EE"/>
    <w:rsid w:val="00D43D68"/>
    <w:rsid w:val="00D43DE6"/>
    <w:rsid w:val="00D43E79"/>
    <w:rsid w:val="00D44189"/>
    <w:rsid w:val="00D441D7"/>
    <w:rsid w:val="00D448F8"/>
    <w:rsid w:val="00D44CBD"/>
    <w:rsid w:val="00D452E0"/>
    <w:rsid w:val="00D456C2"/>
    <w:rsid w:val="00D45A00"/>
    <w:rsid w:val="00D45AA1"/>
    <w:rsid w:val="00D45FBB"/>
    <w:rsid w:val="00D463C8"/>
    <w:rsid w:val="00D4640F"/>
    <w:rsid w:val="00D46DCA"/>
    <w:rsid w:val="00D4724F"/>
    <w:rsid w:val="00D477ED"/>
    <w:rsid w:val="00D47814"/>
    <w:rsid w:val="00D47F9A"/>
    <w:rsid w:val="00D50014"/>
    <w:rsid w:val="00D50123"/>
    <w:rsid w:val="00D50C39"/>
    <w:rsid w:val="00D50D7E"/>
    <w:rsid w:val="00D5122F"/>
    <w:rsid w:val="00D5149E"/>
    <w:rsid w:val="00D5158E"/>
    <w:rsid w:val="00D51A33"/>
    <w:rsid w:val="00D51A9F"/>
    <w:rsid w:val="00D52CD6"/>
    <w:rsid w:val="00D542E6"/>
    <w:rsid w:val="00D54E7D"/>
    <w:rsid w:val="00D54EEF"/>
    <w:rsid w:val="00D55367"/>
    <w:rsid w:val="00D55444"/>
    <w:rsid w:val="00D55886"/>
    <w:rsid w:val="00D55E49"/>
    <w:rsid w:val="00D5638A"/>
    <w:rsid w:val="00D56B1E"/>
    <w:rsid w:val="00D56DCA"/>
    <w:rsid w:val="00D570EB"/>
    <w:rsid w:val="00D57292"/>
    <w:rsid w:val="00D5748A"/>
    <w:rsid w:val="00D57E2D"/>
    <w:rsid w:val="00D60D29"/>
    <w:rsid w:val="00D60ECC"/>
    <w:rsid w:val="00D60FB7"/>
    <w:rsid w:val="00D61F13"/>
    <w:rsid w:val="00D620B7"/>
    <w:rsid w:val="00D6214F"/>
    <w:rsid w:val="00D62918"/>
    <w:rsid w:val="00D63819"/>
    <w:rsid w:val="00D639C1"/>
    <w:rsid w:val="00D63E10"/>
    <w:rsid w:val="00D63E2B"/>
    <w:rsid w:val="00D65005"/>
    <w:rsid w:val="00D65134"/>
    <w:rsid w:val="00D656EE"/>
    <w:rsid w:val="00D65DBF"/>
    <w:rsid w:val="00D66256"/>
    <w:rsid w:val="00D66B6A"/>
    <w:rsid w:val="00D66E0F"/>
    <w:rsid w:val="00D66FDE"/>
    <w:rsid w:val="00D67221"/>
    <w:rsid w:val="00D67436"/>
    <w:rsid w:val="00D67B86"/>
    <w:rsid w:val="00D67D60"/>
    <w:rsid w:val="00D67F1E"/>
    <w:rsid w:val="00D700AE"/>
    <w:rsid w:val="00D70292"/>
    <w:rsid w:val="00D702B3"/>
    <w:rsid w:val="00D704AC"/>
    <w:rsid w:val="00D70D64"/>
    <w:rsid w:val="00D715BD"/>
    <w:rsid w:val="00D71948"/>
    <w:rsid w:val="00D719B6"/>
    <w:rsid w:val="00D71BDC"/>
    <w:rsid w:val="00D71E2E"/>
    <w:rsid w:val="00D71F97"/>
    <w:rsid w:val="00D7250C"/>
    <w:rsid w:val="00D728C7"/>
    <w:rsid w:val="00D74033"/>
    <w:rsid w:val="00D7423F"/>
    <w:rsid w:val="00D744B7"/>
    <w:rsid w:val="00D748E0"/>
    <w:rsid w:val="00D74963"/>
    <w:rsid w:val="00D74B04"/>
    <w:rsid w:val="00D74C12"/>
    <w:rsid w:val="00D7540E"/>
    <w:rsid w:val="00D760BB"/>
    <w:rsid w:val="00D771A4"/>
    <w:rsid w:val="00D772CC"/>
    <w:rsid w:val="00D77B05"/>
    <w:rsid w:val="00D77D63"/>
    <w:rsid w:val="00D77E15"/>
    <w:rsid w:val="00D80048"/>
    <w:rsid w:val="00D802EB"/>
    <w:rsid w:val="00D806E0"/>
    <w:rsid w:val="00D80903"/>
    <w:rsid w:val="00D81179"/>
    <w:rsid w:val="00D81228"/>
    <w:rsid w:val="00D816C3"/>
    <w:rsid w:val="00D82ACD"/>
    <w:rsid w:val="00D82C40"/>
    <w:rsid w:val="00D82CB1"/>
    <w:rsid w:val="00D8323D"/>
    <w:rsid w:val="00D83329"/>
    <w:rsid w:val="00D833B0"/>
    <w:rsid w:val="00D83542"/>
    <w:rsid w:val="00D83D5E"/>
    <w:rsid w:val="00D83E3F"/>
    <w:rsid w:val="00D84412"/>
    <w:rsid w:val="00D845FD"/>
    <w:rsid w:val="00D84BEA"/>
    <w:rsid w:val="00D84FE0"/>
    <w:rsid w:val="00D853E5"/>
    <w:rsid w:val="00D8544F"/>
    <w:rsid w:val="00D857D0"/>
    <w:rsid w:val="00D85F0B"/>
    <w:rsid w:val="00D8661C"/>
    <w:rsid w:val="00D867C4"/>
    <w:rsid w:val="00D86EAB"/>
    <w:rsid w:val="00D86FF8"/>
    <w:rsid w:val="00D87429"/>
    <w:rsid w:val="00D87BBC"/>
    <w:rsid w:val="00D87D4F"/>
    <w:rsid w:val="00D87EA4"/>
    <w:rsid w:val="00D90371"/>
    <w:rsid w:val="00D90598"/>
    <w:rsid w:val="00D9076C"/>
    <w:rsid w:val="00D90A26"/>
    <w:rsid w:val="00D90BC4"/>
    <w:rsid w:val="00D90E1F"/>
    <w:rsid w:val="00D912E7"/>
    <w:rsid w:val="00D91652"/>
    <w:rsid w:val="00D918B6"/>
    <w:rsid w:val="00D918EC"/>
    <w:rsid w:val="00D91C97"/>
    <w:rsid w:val="00D920EB"/>
    <w:rsid w:val="00D922A8"/>
    <w:rsid w:val="00D925C1"/>
    <w:rsid w:val="00D92854"/>
    <w:rsid w:val="00D934B1"/>
    <w:rsid w:val="00D93657"/>
    <w:rsid w:val="00D93943"/>
    <w:rsid w:val="00D93961"/>
    <w:rsid w:val="00D940DB"/>
    <w:rsid w:val="00D940F6"/>
    <w:rsid w:val="00D94462"/>
    <w:rsid w:val="00D94764"/>
    <w:rsid w:val="00D94FCE"/>
    <w:rsid w:val="00D950A6"/>
    <w:rsid w:val="00D952F7"/>
    <w:rsid w:val="00D95477"/>
    <w:rsid w:val="00D95914"/>
    <w:rsid w:val="00D959C4"/>
    <w:rsid w:val="00D95AD0"/>
    <w:rsid w:val="00D95C9C"/>
    <w:rsid w:val="00D96335"/>
    <w:rsid w:val="00D96CA8"/>
    <w:rsid w:val="00D96E5D"/>
    <w:rsid w:val="00D970D3"/>
    <w:rsid w:val="00D9711F"/>
    <w:rsid w:val="00D97638"/>
    <w:rsid w:val="00D978C6"/>
    <w:rsid w:val="00D97DEF"/>
    <w:rsid w:val="00DA0155"/>
    <w:rsid w:val="00DA0437"/>
    <w:rsid w:val="00DA087F"/>
    <w:rsid w:val="00DA1220"/>
    <w:rsid w:val="00DA1A21"/>
    <w:rsid w:val="00DA1AAB"/>
    <w:rsid w:val="00DA1B28"/>
    <w:rsid w:val="00DA1CBC"/>
    <w:rsid w:val="00DA1D64"/>
    <w:rsid w:val="00DA1EA1"/>
    <w:rsid w:val="00DA23D9"/>
    <w:rsid w:val="00DA2660"/>
    <w:rsid w:val="00DA2AFE"/>
    <w:rsid w:val="00DA2BF5"/>
    <w:rsid w:val="00DA2DE9"/>
    <w:rsid w:val="00DA2EA3"/>
    <w:rsid w:val="00DA2FA4"/>
    <w:rsid w:val="00DA35E4"/>
    <w:rsid w:val="00DA3820"/>
    <w:rsid w:val="00DA3A0C"/>
    <w:rsid w:val="00DA3C5D"/>
    <w:rsid w:val="00DA3E4E"/>
    <w:rsid w:val="00DA3FAD"/>
    <w:rsid w:val="00DA45BB"/>
    <w:rsid w:val="00DA46F5"/>
    <w:rsid w:val="00DA4EE9"/>
    <w:rsid w:val="00DA4FC8"/>
    <w:rsid w:val="00DA50C7"/>
    <w:rsid w:val="00DA514D"/>
    <w:rsid w:val="00DA56F0"/>
    <w:rsid w:val="00DA57A2"/>
    <w:rsid w:val="00DA6167"/>
    <w:rsid w:val="00DA6726"/>
    <w:rsid w:val="00DA68CF"/>
    <w:rsid w:val="00DA6D56"/>
    <w:rsid w:val="00DA71D1"/>
    <w:rsid w:val="00DA739C"/>
    <w:rsid w:val="00DA7E74"/>
    <w:rsid w:val="00DB012E"/>
    <w:rsid w:val="00DB0B37"/>
    <w:rsid w:val="00DB12CB"/>
    <w:rsid w:val="00DB14CE"/>
    <w:rsid w:val="00DB1657"/>
    <w:rsid w:val="00DB2035"/>
    <w:rsid w:val="00DB298D"/>
    <w:rsid w:val="00DB2B2C"/>
    <w:rsid w:val="00DB2B3C"/>
    <w:rsid w:val="00DB3604"/>
    <w:rsid w:val="00DB3878"/>
    <w:rsid w:val="00DB3D01"/>
    <w:rsid w:val="00DB40CE"/>
    <w:rsid w:val="00DB48E4"/>
    <w:rsid w:val="00DB4BBD"/>
    <w:rsid w:val="00DB5608"/>
    <w:rsid w:val="00DB5C71"/>
    <w:rsid w:val="00DB5DD4"/>
    <w:rsid w:val="00DB6A0B"/>
    <w:rsid w:val="00DB6D5F"/>
    <w:rsid w:val="00DB6EA4"/>
    <w:rsid w:val="00DB7664"/>
    <w:rsid w:val="00DB7F18"/>
    <w:rsid w:val="00DC03B4"/>
    <w:rsid w:val="00DC053D"/>
    <w:rsid w:val="00DC1807"/>
    <w:rsid w:val="00DC191C"/>
    <w:rsid w:val="00DC1A99"/>
    <w:rsid w:val="00DC234F"/>
    <w:rsid w:val="00DC2463"/>
    <w:rsid w:val="00DC2D56"/>
    <w:rsid w:val="00DC2F52"/>
    <w:rsid w:val="00DC3519"/>
    <w:rsid w:val="00DC433D"/>
    <w:rsid w:val="00DC466F"/>
    <w:rsid w:val="00DC4DB1"/>
    <w:rsid w:val="00DC4E15"/>
    <w:rsid w:val="00DC5126"/>
    <w:rsid w:val="00DC5FE3"/>
    <w:rsid w:val="00DC6BC1"/>
    <w:rsid w:val="00DC6CE3"/>
    <w:rsid w:val="00DC6E10"/>
    <w:rsid w:val="00DC6E8E"/>
    <w:rsid w:val="00DC7539"/>
    <w:rsid w:val="00DC7907"/>
    <w:rsid w:val="00DC7A4A"/>
    <w:rsid w:val="00DC7B1F"/>
    <w:rsid w:val="00DD06FA"/>
    <w:rsid w:val="00DD1168"/>
    <w:rsid w:val="00DD1557"/>
    <w:rsid w:val="00DD1921"/>
    <w:rsid w:val="00DD1949"/>
    <w:rsid w:val="00DD1C92"/>
    <w:rsid w:val="00DD221D"/>
    <w:rsid w:val="00DD2362"/>
    <w:rsid w:val="00DD2397"/>
    <w:rsid w:val="00DD2795"/>
    <w:rsid w:val="00DD2C23"/>
    <w:rsid w:val="00DD30E9"/>
    <w:rsid w:val="00DD3856"/>
    <w:rsid w:val="00DD3BB3"/>
    <w:rsid w:val="00DD41A3"/>
    <w:rsid w:val="00DD42A3"/>
    <w:rsid w:val="00DD447D"/>
    <w:rsid w:val="00DD4D68"/>
    <w:rsid w:val="00DD5449"/>
    <w:rsid w:val="00DD5934"/>
    <w:rsid w:val="00DD5B1C"/>
    <w:rsid w:val="00DD612F"/>
    <w:rsid w:val="00DD6215"/>
    <w:rsid w:val="00DD70AA"/>
    <w:rsid w:val="00DD73BE"/>
    <w:rsid w:val="00DD758A"/>
    <w:rsid w:val="00DD77E7"/>
    <w:rsid w:val="00DD7924"/>
    <w:rsid w:val="00DD7C48"/>
    <w:rsid w:val="00DE0726"/>
    <w:rsid w:val="00DE0872"/>
    <w:rsid w:val="00DE088B"/>
    <w:rsid w:val="00DE08D4"/>
    <w:rsid w:val="00DE0B6B"/>
    <w:rsid w:val="00DE10A3"/>
    <w:rsid w:val="00DE110C"/>
    <w:rsid w:val="00DE1243"/>
    <w:rsid w:val="00DE1345"/>
    <w:rsid w:val="00DE17AD"/>
    <w:rsid w:val="00DE1A64"/>
    <w:rsid w:val="00DE1B30"/>
    <w:rsid w:val="00DE1B7F"/>
    <w:rsid w:val="00DE2782"/>
    <w:rsid w:val="00DE2799"/>
    <w:rsid w:val="00DE29C7"/>
    <w:rsid w:val="00DE2BE5"/>
    <w:rsid w:val="00DE34E8"/>
    <w:rsid w:val="00DE36B8"/>
    <w:rsid w:val="00DE3758"/>
    <w:rsid w:val="00DE41C3"/>
    <w:rsid w:val="00DE480B"/>
    <w:rsid w:val="00DE483B"/>
    <w:rsid w:val="00DE49F2"/>
    <w:rsid w:val="00DE4B3D"/>
    <w:rsid w:val="00DE5324"/>
    <w:rsid w:val="00DE5332"/>
    <w:rsid w:val="00DE5380"/>
    <w:rsid w:val="00DE5474"/>
    <w:rsid w:val="00DE5540"/>
    <w:rsid w:val="00DE5655"/>
    <w:rsid w:val="00DE56DF"/>
    <w:rsid w:val="00DE56FB"/>
    <w:rsid w:val="00DE589A"/>
    <w:rsid w:val="00DE598E"/>
    <w:rsid w:val="00DE5EE5"/>
    <w:rsid w:val="00DE5F4D"/>
    <w:rsid w:val="00DE62DE"/>
    <w:rsid w:val="00DE6A9E"/>
    <w:rsid w:val="00DE75C6"/>
    <w:rsid w:val="00DE788C"/>
    <w:rsid w:val="00DE7B4D"/>
    <w:rsid w:val="00DE7F6C"/>
    <w:rsid w:val="00DF03BF"/>
    <w:rsid w:val="00DF03CC"/>
    <w:rsid w:val="00DF048B"/>
    <w:rsid w:val="00DF06D4"/>
    <w:rsid w:val="00DF0BE0"/>
    <w:rsid w:val="00DF0C0A"/>
    <w:rsid w:val="00DF0F69"/>
    <w:rsid w:val="00DF100F"/>
    <w:rsid w:val="00DF11EF"/>
    <w:rsid w:val="00DF22C9"/>
    <w:rsid w:val="00DF4030"/>
    <w:rsid w:val="00DF410F"/>
    <w:rsid w:val="00DF42C6"/>
    <w:rsid w:val="00DF43B1"/>
    <w:rsid w:val="00DF47AA"/>
    <w:rsid w:val="00DF48A3"/>
    <w:rsid w:val="00DF48F1"/>
    <w:rsid w:val="00DF4C31"/>
    <w:rsid w:val="00DF4D9B"/>
    <w:rsid w:val="00DF522A"/>
    <w:rsid w:val="00DF53E5"/>
    <w:rsid w:val="00DF686C"/>
    <w:rsid w:val="00DF6D5A"/>
    <w:rsid w:val="00DF70B3"/>
    <w:rsid w:val="00DF75AA"/>
    <w:rsid w:val="00E00392"/>
    <w:rsid w:val="00E0064A"/>
    <w:rsid w:val="00E00764"/>
    <w:rsid w:val="00E0093B"/>
    <w:rsid w:val="00E00E62"/>
    <w:rsid w:val="00E01B03"/>
    <w:rsid w:val="00E02051"/>
    <w:rsid w:val="00E020DE"/>
    <w:rsid w:val="00E023E3"/>
    <w:rsid w:val="00E02941"/>
    <w:rsid w:val="00E02AF6"/>
    <w:rsid w:val="00E02DCB"/>
    <w:rsid w:val="00E02F6F"/>
    <w:rsid w:val="00E03346"/>
    <w:rsid w:val="00E03AB8"/>
    <w:rsid w:val="00E03C9F"/>
    <w:rsid w:val="00E03D12"/>
    <w:rsid w:val="00E04007"/>
    <w:rsid w:val="00E043AB"/>
    <w:rsid w:val="00E043BC"/>
    <w:rsid w:val="00E049A1"/>
    <w:rsid w:val="00E04EF5"/>
    <w:rsid w:val="00E050CF"/>
    <w:rsid w:val="00E051C5"/>
    <w:rsid w:val="00E06073"/>
    <w:rsid w:val="00E06524"/>
    <w:rsid w:val="00E06631"/>
    <w:rsid w:val="00E06FE0"/>
    <w:rsid w:val="00E07242"/>
    <w:rsid w:val="00E07320"/>
    <w:rsid w:val="00E0734F"/>
    <w:rsid w:val="00E07B3B"/>
    <w:rsid w:val="00E07FC0"/>
    <w:rsid w:val="00E100E6"/>
    <w:rsid w:val="00E100F9"/>
    <w:rsid w:val="00E1087D"/>
    <w:rsid w:val="00E10F1B"/>
    <w:rsid w:val="00E10F80"/>
    <w:rsid w:val="00E11612"/>
    <w:rsid w:val="00E116AA"/>
    <w:rsid w:val="00E1180E"/>
    <w:rsid w:val="00E12362"/>
    <w:rsid w:val="00E125E1"/>
    <w:rsid w:val="00E13052"/>
    <w:rsid w:val="00E14338"/>
    <w:rsid w:val="00E14483"/>
    <w:rsid w:val="00E14699"/>
    <w:rsid w:val="00E146C5"/>
    <w:rsid w:val="00E14857"/>
    <w:rsid w:val="00E14A8B"/>
    <w:rsid w:val="00E14E63"/>
    <w:rsid w:val="00E157BA"/>
    <w:rsid w:val="00E15917"/>
    <w:rsid w:val="00E164CE"/>
    <w:rsid w:val="00E16806"/>
    <w:rsid w:val="00E168E6"/>
    <w:rsid w:val="00E16A93"/>
    <w:rsid w:val="00E16FF9"/>
    <w:rsid w:val="00E17447"/>
    <w:rsid w:val="00E1762F"/>
    <w:rsid w:val="00E1776A"/>
    <w:rsid w:val="00E177A2"/>
    <w:rsid w:val="00E17911"/>
    <w:rsid w:val="00E17CDA"/>
    <w:rsid w:val="00E17EF8"/>
    <w:rsid w:val="00E17F5D"/>
    <w:rsid w:val="00E2017B"/>
    <w:rsid w:val="00E204BF"/>
    <w:rsid w:val="00E20580"/>
    <w:rsid w:val="00E20B4E"/>
    <w:rsid w:val="00E20BDF"/>
    <w:rsid w:val="00E213B3"/>
    <w:rsid w:val="00E219CB"/>
    <w:rsid w:val="00E21AB0"/>
    <w:rsid w:val="00E21E86"/>
    <w:rsid w:val="00E2212A"/>
    <w:rsid w:val="00E221BD"/>
    <w:rsid w:val="00E22758"/>
    <w:rsid w:val="00E2318D"/>
    <w:rsid w:val="00E231D0"/>
    <w:rsid w:val="00E2328B"/>
    <w:rsid w:val="00E2375A"/>
    <w:rsid w:val="00E239AB"/>
    <w:rsid w:val="00E23CEC"/>
    <w:rsid w:val="00E23E4D"/>
    <w:rsid w:val="00E2422F"/>
    <w:rsid w:val="00E2433D"/>
    <w:rsid w:val="00E243E1"/>
    <w:rsid w:val="00E2534D"/>
    <w:rsid w:val="00E25964"/>
    <w:rsid w:val="00E264B2"/>
    <w:rsid w:val="00E26735"/>
    <w:rsid w:val="00E2681C"/>
    <w:rsid w:val="00E2719F"/>
    <w:rsid w:val="00E279D4"/>
    <w:rsid w:val="00E27FCD"/>
    <w:rsid w:val="00E3070B"/>
    <w:rsid w:val="00E307D6"/>
    <w:rsid w:val="00E31127"/>
    <w:rsid w:val="00E3133C"/>
    <w:rsid w:val="00E3198F"/>
    <w:rsid w:val="00E31C68"/>
    <w:rsid w:val="00E31D97"/>
    <w:rsid w:val="00E32954"/>
    <w:rsid w:val="00E32AFE"/>
    <w:rsid w:val="00E32BEE"/>
    <w:rsid w:val="00E33901"/>
    <w:rsid w:val="00E34412"/>
    <w:rsid w:val="00E345C1"/>
    <w:rsid w:val="00E34653"/>
    <w:rsid w:val="00E34CB0"/>
    <w:rsid w:val="00E3500C"/>
    <w:rsid w:val="00E35312"/>
    <w:rsid w:val="00E354DE"/>
    <w:rsid w:val="00E3565E"/>
    <w:rsid w:val="00E356DC"/>
    <w:rsid w:val="00E3574B"/>
    <w:rsid w:val="00E35FBE"/>
    <w:rsid w:val="00E360B1"/>
    <w:rsid w:val="00E360FE"/>
    <w:rsid w:val="00E36F7F"/>
    <w:rsid w:val="00E376F1"/>
    <w:rsid w:val="00E37A5B"/>
    <w:rsid w:val="00E37A8B"/>
    <w:rsid w:val="00E40420"/>
    <w:rsid w:val="00E407EC"/>
    <w:rsid w:val="00E408A9"/>
    <w:rsid w:val="00E40EEB"/>
    <w:rsid w:val="00E40FC9"/>
    <w:rsid w:val="00E4130B"/>
    <w:rsid w:val="00E4152F"/>
    <w:rsid w:val="00E4214B"/>
    <w:rsid w:val="00E425F2"/>
    <w:rsid w:val="00E4285E"/>
    <w:rsid w:val="00E4309E"/>
    <w:rsid w:val="00E43185"/>
    <w:rsid w:val="00E43525"/>
    <w:rsid w:val="00E43674"/>
    <w:rsid w:val="00E444B1"/>
    <w:rsid w:val="00E446E5"/>
    <w:rsid w:val="00E448C4"/>
    <w:rsid w:val="00E449C8"/>
    <w:rsid w:val="00E44BC7"/>
    <w:rsid w:val="00E44C34"/>
    <w:rsid w:val="00E44F80"/>
    <w:rsid w:val="00E45008"/>
    <w:rsid w:val="00E458F6"/>
    <w:rsid w:val="00E46729"/>
    <w:rsid w:val="00E4673B"/>
    <w:rsid w:val="00E46C34"/>
    <w:rsid w:val="00E47067"/>
    <w:rsid w:val="00E47279"/>
    <w:rsid w:val="00E472C7"/>
    <w:rsid w:val="00E47968"/>
    <w:rsid w:val="00E47993"/>
    <w:rsid w:val="00E47E28"/>
    <w:rsid w:val="00E50548"/>
    <w:rsid w:val="00E507CF"/>
    <w:rsid w:val="00E50987"/>
    <w:rsid w:val="00E50D8A"/>
    <w:rsid w:val="00E51200"/>
    <w:rsid w:val="00E51B5D"/>
    <w:rsid w:val="00E51BB1"/>
    <w:rsid w:val="00E52638"/>
    <w:rsid w:val="00E52A5B"/>
    <w:rsid w:val="00E52B8B"/>
    <w:rsid w:val="00E52FB3"/>
    <w:rsid w:val="00E52FEE"/>
    <w:rsid w:val="00E53291"/>
    <w:rsid w:val="00E53627"/>
    <w:rsid w:val="00E53DE6"/>
    <w:rsid w:val="00E5496E"/>
    <w:rsid w:val="00E54DCF"/>
    <w:rsid w:val="00E54EDD"/>
    <w:rsid w:val="00E54F10"/>
    <w:rsid w:val="00E55985"/>
    <w:rsid w:val="00E56353"/>
    <w:rsid w:val="00E5669D"/>
    <w:rsid w:val="00E56A97"/>
    <w:rsid w:val="00E56B04"/>
    <w:rsid w:val="00E56B21"/>
    <w:rsid w:val="00E56F25"/>
    <w:rsid w:val="00E57756"/>
    <w:rsid w:val="00E57B18"/>
    <w:rsid w:val="00E57B34"/>
    <w:rsid w:val="00E601CB"/>
    <w:rsid w:val="00E60E3A"/>
    <w:rsid w:val="00E611E0"/>
    <w:rsid w:val="00E61237"/>
    <w:rsid w:val="00E61297"/>
    <w:rsid w:val="00E6176B"/>
    <w:rsid w:val="00E617F5"/>
    <w:rsid w:val="00E61A1D"/>
    <w:rsid w:val="00E61FB3"/>
    <w:rsid w:val="00E62462"/>
    <w:rsid w:val="00E62A6B"/>
    <w:rsid w:val="00E62E0F"/>
    <w:rsid w:val="00E6314D"/>
    <w:rsid w:val="00E63261"/>
    <w:rsid w:val="00E63637"/>
    <w:rsid w:val="00E639C0"/>
    <w:rsid w:val="00E63DE1"/>
    <w:rsid w:val="00E64039"/>
    <w:rsid w:val="00E64157"/>
    <w:rsid w:val="00E642A3"/>
    <w:rsid w:val="00E644EE"/>
    <w:rsid w:val="00E6470C"/>
    <w:rsid w:val="00E6476B"/>
    <w:rsid w:val="00E654C2"/>
    <w:rsid w:val="00E65510"/>
    <w:rsid w:val="00E65ADE"/>
    <w:rsid w:val="00E65B38"/>
    <w:rsid w:val="00E65E29"/>
    <w:rsid w:val="00E6617E"/>
    <w:rsid w:val="00E668E7"/>
    <w:rsid w:val="00E67106"/>
    <w:rsid w:val="00E675AA"/>
    <w:rsid w:val="00E67A4C"/>
    <w:rsid w:val="00E67A8B"/>
    <w:rsid w:val="00E67AE4"/>
    <w:rsid w:val="00E67F8D"/>
    <w:rsid w:val="00E70B41"/>
    <w:rsid w:val="00E70D87"/>
    <w:rsid w:val="00E70D89"/>
    <w:rsid w:val="00E70E70"/>
    <w:rsid w:val="00E71511"/>
    <w:rsid w:val="00E718BA"/>
    <w:rsid w:val="00E71FC8"/>
    <w:rsid w:val="00E722F4"/>
    <w:rsid w:val="00E7231F"/>
    <w:rsid w:val="00E72609"/>
    <w:rsid w:val="00E727BD"/>
    <w:rsid w:val="00E72887"/>
    <w:rsid w:val="00E72A06"/>
    <w:rsid w:val="00E72B70"/>
    <w:rsid w:val="00E72C38"/>
    <w:rsid w:val="00E72FBC"/>
    <w:rsid w:val="00E734FE"/>
    <w:rsid w:val="00E736C9"/>
    <w:rsid w:val="00E737A6"/>
    <w:rsid w:val="00E73C56"/>
    <w:rsid w:val="00E7408B"/>
    <w:rsid w:val="00E74441"/>
    <w:rsid w:val="00E744CB"/>
    <w:rsid w:val="00E74AEC"/>
    <w:rsid w:val="00E74BA0"/>
    <w:rsid w:val="00E74F6E"/>
    <w:rsid w:val="00E75442"/>
    <w:rsid w:val="00E75529"/>
    <w:rsid w:val="00E75998"/>
    <w:rsid w:val="00E75BCD"/>
    <w:rsid w:val="00E75FF2"/>
    <w:rsid w:val="00E767D0"/>
    <w:rsid w:val="00E76987"/>
    <w:rsid w:val="00E76CA2"/>
    <w:rsid w:val="00E76D1E"/>
    <w:rsid w:val="00E772C5"/>
    <w:rsid w:val="00E77318"/>
    <w:rsid w:val="00E77387"/>
    <w:rsid w:val="00E77BC5"/>
    <w:rsid w:val="00E77CE8"/>
    <w:rsid w:val="00E80287"/>
    <w:rsid w:val="00E806AE"/>
    <w:rsid w:val="00E808ED"/>
    <w:rsid w:val="00E80977"/>
    <w:rsid w:val="00E8120D"/>
    <w:rsid w:val="00E8144E"/>
    <w:rsid w:val="00E81A4A"/>
    <w:rsid w:val="00E81A4D"/>
    <w:rsid w:val="00E81BA6"/>
    <w:rsid w:val="00E81D6C"/>
    <w:rsid w:val="00E820F6"/>
    <w:rsid w:val="00E8220E"/>
    <w:rsid w:val="00E824F2"/>
    <w:rsid w:val="00E826FD"/>
    <w:rsid w:val="00E82849"/>
    <w:rsid w:val="00E82992"/>
    <w:rsid w:val="00E82A8F"/>
    <w:rsid w:val="00E82BE9"/>
    <w:rsid w:val="00E82CC2"/>
    <w:rsid w:val="00E83136"/>
    <w:rsid w:val="00E832A4"/>
    <w:rsid w:val="00E83748"/>
    <w:rsid w:val="00E83995"/>
    <w:rsid w:val="00E83A05"/>
    <w:rsid w:val="00E83C3E"/>
    <w:rsid w:val="00E84025"/>
    <w:rsid w:val="00E840D5"/>
    <w:rsid w:val="00E842CC"/>
    <w:rsid w:val="00E84C03"/>
    <w:rsid w:val="00E84CC6"/>
    <w:rsid w:val="00E85757"/>
    <w:rsid w:val="00E8577D"/>
    <w:rsid w:val="00E85810"/>
    <w:rsid w:val="00E85DDE"/>
    <w:rsid w:val="00E85F5C"/>
    <w:rsid w:val="00E8622F"/>
    <w:rsid w:val="00E86246"/>
    <w:rsid w:val="00E8648E"/>
    <w:rsid w:val="00E86540"/>
    <w:rsid w:val="00E86AB9"/>
    <w:rsid w:val="00E86D7C"/>
    <w:rsid w:val="00E872AA"/>
    <w:rsid w:val="00E87541"/>
    <w:rsid w:val="00E87673"/>
    <w:rsid w:val="00E8785A"/>
    <w:rsid w:val="00E87B6F"/>
    <w:rsid w:val="00E87E9E"/>
    <w:rsid w:val="00E90246"/>
    <w:rsid w:val="00E9077F"/>
    <w:rsid w:val="00E907BB"/>
    <w:rsid w:val="00E907C8"/>
    <w:rsid w:val="00E90894"/>
    <w:rsid w:val="00E90F9E"/>
    <w:rsid w:val="00E91EF7"/>
    <w:rsid w:val="00E925A1"/>
    <w:rsid w:val="00E927C2"/>
    <w:rsid w:val="00E92E50"/>
    <w:rsid w:val="00E938AC"/>
    <w:rsid w:val="00E939E2"/>
    <w:rsid w:val="00E95869"/>
    <w:rsid w:val="00E95BD5"/>
    <w:rsid w:val="00E95E3B"/>
    <w:rsid w:val="00E96028"/>
    <w:rsid w:val="00E96261"/>
    <w:rsid w:val="00E96996"/>
    <w:rsid w:val="00E96C6C"/>
    <w:rsid w:val="00E97000"/>
    <w:rsid w:val="00E97208"/>
    <w:rsid w:val="00E973D0"/>
    <w:rsid w:val="00E97600"/>
    <w:rsid w:val="00E9772E"/>
    <w:rsid w:val="00E97A4D"/>
    <w:rsid w:val="00E97BD8"/>
    <w:rsid w:val="00E97E8E"/>
    <w:rsid w:val="00EA0391"/>
    <w:rsid w:val="00EA03D8"/>
    <w:rsid w:val="00EA09BB"/>
    <w:rsid w:val="00EA0A3C"/>
    <w:rsid w:val="00EA0AB0"/>
    <w:rsid w:val="00EA1201"/>
    <w:rsid w:val="00EA1AED"/>
    <w:rsid w:val="00EA1D66"/>
    <w:rsid w:val="00EA1F74"/>
    <w:rsid w:val="00EA2600"/>
    <w:rsid w:val="00EA291C"/>
    <w:rsid w:val="00EA307A"/>
    <w:rsid w:val="00EA32F3"/>
    <w:rsid w:val="00EA3BFB"/>
    <w:rsid w:val="00EA409E"/>
    <w:rsid w:val="00EA4433"/>
    <w:rsid w:val="00EA4EAF"/>
    <w:rsid w:val="00EA51C1"/>
    <w:rsid w:val="00EA59C9"/>
    <w:rsid w:val="00EA5A32"/>
    <w:rsid w:val="00EA5C3B"/>
    <w:rsid w:val="00EA6ED6"/>
    <w:rsid w:val="00EA6FDE"/>
    <w:rsid w:val="00EA705B"/>
    <w:rsid w:val="00EA7A15"/>
    <w:rsid w:val="00EB0404"/>
    <w:rsid w:val="00EB0406"/>
    <w:rsid w:val="00EB0984"/>
    <w:rsid w:val="00EB09A7"/>
    <w:rsid w:val="00EB0CA8"/>
    <w:rsid w:val="00EB0EB0"/>
    <w:rsid w:val="00EB0F07"/>
    <w:rsid w:val="00EB11D6"/>
    <w:rsid w:val="00EB17F7"/>
    <w:rsid w:val="00EB1930"/>
    <w:rsid w:val="00EB1A8A"/>
    <w:rsid w:val="00EB1E09"/>
    <w:rsid w:val="00EB1E83"/>
    <w:rsid w:val="00EB1E9B"/>
    <w:rsid w:val="00EB2708"/>
    <w:rsid w:val="00EB2830"/>
    <w:rsid w:val="00EB3694"/>
    <w:rsid w:val="00EB3700"/>
    <w:rsid w:val="00EB375B"/>
    <w:rsid w:val="00EB3BA4"/>
    <w:rsid w:val="00EB3DCF"/>
    <w:rsid w:val="00EB3E12"/>
    <w:rsid w:val="00EB42E4"/>
    <w:rsid w:val="00EB449E"/>
    <w:rsid w:val="00EB4F33"/>
    <w:rsid w:val="00EB51A7"/>
    <w:rsid w:val="00EB58F3"/>
    <w:rsid w:val="00EB5A47"/>
    <w:rsid w:val="00EB5B99"/>
    <w:rsid w:val="00EB5D2C"/>
    <w:rsid w:val="00EB610D"/>
    <w:rsid w:val="00EB64B1"/>
    <w:rsid w:val="00EB6717"/>
    <w:rsid w:val="00EB69CF"/>
    <w:rsid w:val="00EB6E24"/>
    <w:rsid w:val="00EB78CD"/>
    <w:rsid w:val="00EB7B26"/>
    <w:rsid w:val="00EB7C54"/>
    <w:rsid w:val="00EB7E50"/>
    <w:rsid w:val="00EC0374"/>
    <w:rsid w:val="00EC05E8"/>
    <w:rsid w:val="00EC0C67"/>
    <w:rsid w:val="00EC0DC6"/>
    <w:rsid w:val="00EC10B6"/>
    <w:rsid w:val="00EC14FE"/>
    <w:rsid w:val="00EC15B6"/>
    <w:rsid w:val="00EC173F"/>
    <w:rsid w:val="00EC1865"/>
    <w:rsid w:val="00EC1CC4"/>
    <w:rsid w:val="00EC1CCD"/>
    <w:rsid w:val="00EC1D8E"/>
    <w:rsid w:val="00EC1E0C"/>
    <w:rsid w:val="00EC23FC"/>
    <w:rsid w:val="00EC36B7"/>
    <w:rsid w:val="00EC3925"/>
    <w:rsid w:val="00EC3DC3"/>
    <w:rsid w:val="00EC406F"/>
    <w:rsid w:val="00EC44D7"/>
    <w:rsid w:val="00EC4C17"/>
    <w:rsid w:val="00EC4C9D"/>
    <w:rsid w:val="00EC4FDC"/>
    <w:rsid w:val="00EC5168"/>
    <w:rsid w:val="00EC5187"/>
    <w:rsid w:val="00EC55FA"/>
    <w:rsid w:val="00EC58CC"/>
    <w:rsid w:val="00EC591E"/>
    <w:rsid w:val="00EC5BB1"/>
    <w:rsid w:val="00EC5DA0"/>
    <w:rsid w:val="00EC5FC0"/>
    <w:rsid w:val="00EC6299"/>
    <w:rsid w:val="00EC6711"/>
    <w:rsid w:val="00EC719B"/>
    <w:rsid w:val="00EC7676"/>
    <w:rsid w:val="00EC7CEB"/>
    <w:rsid w:val="00ED010A"/>
    <w:rsid w:val="00ED017E"/>
    <w:rsid w:val="00ED0962"/>
    <w:rsid w:val="00ED0963"/>
    <w:rsid w:val="00ED134C"/>
    <w:rsid w:val="00ED1367"/>
    <w:rsid w:val="00ED1714"/>
    <w:rsid w:val="00ED1A98"/>
    <w:rsid w:val="00ED2162"/>
    <w:rsid w:val="00ED25F4"/>
    <w:rsid w:val="00ED271F"/>
    <w:rsid w:val="00ED2CE2"/>
    <w:rsid w:val="00ED3246"/>
    <w:rsid w:val="00ED3857"/>
    <w:rsid w:val="00ED3929"/>
    <w:rsid w:val="00ED3C73"/>
    <w:rsid w:val="00ED3CAE"/>
    <w:rsid w:val="00ED4215"/>
    <w:rsid w:val="00ED4333"/>
    <w:rsid w:val="00ED5196"/>
    <w:rsid w:val="00ED52A9"/>
    <w:rsid w:val="00ED58BC"/>
    <w:rsid w:val="00ED5BCF"/>
    <w:rsid w:val="00ED5FD4"/>
    <w:rsid w:val="00ED61AA"/>
    <w:rsid w:val="00ED6295"/>
    <w:rsid w:val="00ED6599"/>
    <w:rsid w:val="00ED7364"/>
    <w:rsid w:val="00ED73EA"/>
    <w:rsid w:val="00ED77ED"/>
    <w:rsid w:val="00ED7957"/>
    <w:rsid w:val="00ED7B96"/>
    <w:rsid w:val="00ED7BC4"/>
    <w:rsid w:val="00ED7E6C"/>
    <w:rsid w:val="00EE04F4"/>
    <w:rsid w:val="00EE092B"/>
    <w:rsid w:val="00EE1098"/>
    <w:rsid w:val="00EE2262"/>
    <w:rsid w:val="00EE239E"/>
    <w:rsid w:val="00EE2477"/>
    <w:rsid w:val="00EE248B"/>
    <w:rsid w:val="00EE24E7"/>
    <w:rsid w:val="00EE2995"/>
    <w:rsid w:val="00EE3099"/>
    <w:rsid w:val="00EE35E4"/>
    <w:rsid w:val="00EE3825"/>
    <w:rsid w:val="00EE3AF9"/>
    <w:rsid w:val="00EE3C31"/>
    <w:rsid w:val="00EE3C91"/>
    <w:rsid w:val="00EE43DF"/>
    <w:rsid w:val="00EE44A1"/>
    <w:rsid w:val="00EE4ADF"/>
    <w:rsid w:val="00EE5535"/>
    <w:rsid w:val="00EE58CA"/>
    <w:rsid w:val="00EE63A5"/>
    <w:rsid w:val="00EE6850"/>
    <w:rsid w:val="00EE7241"/>
    <w:rsid w:val="00EE730D"/>
    <w:rsid w:val="00EE7410"/>
    <w:rsid w:val="00EF00E3"/>
    <w:rsid w:val="00EF04ED"/>
    <w:rsid w:val="00EF1122"/>
    <w:rsid w:val="00EF12CE"/>
    <w:rsid w:val="00EF1617"/>
    <w:rsid w:val="00EF2373"/>
    <w:rsid w:val="00EF23A9"/>
    <w:rsid w:val="00EF28B7"/>
    <w:rsid w:val="00EF2EA2"/>
    <w:rsid w:val="00EF3A65"/>
    <w:rsid w:val="00EF3A86"/>
    <w:rsid w:val="00EF3BFB"/>
    <w:rsid w:val="00EF4071"/>
    <w:rsid w:val="00EF411B"/>
    <w:rsid w:val="00EF429D"/>
    <w:rsid w:val="00EF433F"/>
    <w:rsid w:val="00EF446C"/>
    <w:rsid w:val="00EF4978"/>
    <w:rsid w:val="00EF4ED7"/>
    <w:rsid w:val="00EF5024"/>
    <w:rsid w:val="00EF5027"/>
    <w:rsid w:val="00EF5363"/>
    <w:rsid w:val="00EF5642"/>
    <w:rsid w:val="00EF5798"/>
    <w:rsid w:val="00EF589F"/>
    <w:rsid w:val="00EF5B75"/>
    <w:rsid w:val="00EF5CA4"/>
    <w:rsid w:val="00EF626C"/>
    <w:rsid w:val="00EF6390"/>
    <w:rsid w:val="00EF68E2"/>
    <w:rsid w:val="00EF6946"/>
    <w:rsid w:val="00EF736F"/>
    <w:rsid w:val="00EF789A"/>
    <w:rsid w:val="00F00496"/>
    <w:rsid w:val="00F00C6B"/>
    <w:rsid w:val="00F00CFE"/>
    <w:rsid w:val="00F00EB0"/>
    <w:rsid w:val="00F013B5"/>
    <w:rsid w:val="00F013CB"/>
    <w:rsid w:val="00F017D2"/>
    <w:rsid w:val="00F01B1A"/>
    <w:rsid w:val="00F01BC7"/>
    <w:rsid w:val="00F01E2D"/>
    <w:rsid w:val="00F02DAA"/>
    <w:rsid w:val="00F02E56"/>
    <w:rsid w:val="00F02F7A"/>
    <w:rsid w:val="00F03024"/>
    <w:rsid w:val="00F03564"/>
    <w:rsid w:val="00F0384C"/>
    <w:rsid w:val="00F03E41"/>
    <w:rsid w:val="00F03EA7"/>
    <w:rsid w:val="00F0411F"/>
    <w:rsid w:val="00F043AC"/>
    <w:rsid w:val="00F048E5"/>
    <w:rsid w:val="00F049E4"/>
    <w:rsid w:val="00F04C8F"/>
    <w:rsid w:val="00F058F7"/>
    <w:rsid w:val="00F05AD8"/>
    <w:rsid w:val="00F06217"/>
    <w:rsid w:val="00F0655E"/>
    <w:rsid w:val="00F06A36"/>
    <w:rsid w:val="00F06A70"/>
    <w:rsid w:val="00F06F74"/>
    <w:rsid w:val="00F077FD"/>
    <w:rsid w:val="00F078C7"/>
    <w:rsid w:val="00F07E85"/>
    <w:rsid w:val="00F100A4"/>
    <w:rsid w:val="00F10170"/>
    <w:rsid w:val="00F109D3"/>
    <w:rsid w:val="00F11128"/>
    <w:rsid w:val="00F11377"/>
    <w:rsid w:val="00F1151D"/>
    <w:rsid w:val="00F11980"/>
    <w:rsid w:val="00F12623"/>
    <w:rsid w:val="00F12A41"/>
    <w:rsid w:val="00F12B64"/>
    <w:rsid w:val="00F12C52"/>
    <w:rsid w:val="00F1334F"/>
    <w:rsid w:val="00F13A5A"/>
    <w:rsid w:val="00F13A79"/>
    <w:rsid w:val="00F13DA3"/>
    <w:rsid w:val="00F13E59"/>
    <w:rsid w:val="00F13E81"/>
    <w:rsid w:val="00F13FB6"/>
    <w:rsid w:val="00F14439"/>
    <w:rsid w:val="00F14557"/>
    <w:rsid w:val="00F14A25"/>
    <w:rsid w:val="00F150A4"/>
    <w:rsid w:val="00F15357"/>
    <w:rsid w:val="00F154E9"/>
    <w:rsid w:val="00F16628"/>
    <w:rsid w:val="00F171E7"/>
    <w:rsid w:val="00F17B97"/>
    <w:rsid w:val="00F17D20"/>
    <w:rsid w:val="00F17D33"/>
    <w:rsid w:val="00F2053C"/>
    <w:rsid w:val="00F20945"/>
    <w:rsid w:val="00F215E6"/>
    <w:rsid w:val="00F216B8"/>
    <w:rsid w:val="00F2191A"/>
    <w:rsid w:val="00F21B4C"/>
    <w:rsid w:val="00F21E4B"/>
    <w:rsid w:val="00F23040"/>
    <w:rsid w:val="00F23376"/>
    <w:rsid w:val="00F23EEC"/>
    <w:rsid w:val="00F24021"/>
    <w:rsid w:val="00F242E2"/>
    <w:rsid w:val="00F244A7"/>
    <w:rsid w:val="00F2464E"/>
    <w:rsid w:val="00F2481D"/>
    <w:rsid w:val="00F24B75"/>
    <w:rsid w:val="00F24C56"/>
    <w:rsid w:val="00F25284"/>
    <w:rsid w:val="00F25632"/>
    <w:rsid w:val="00F257FD"/>
    <w:rsid w:val="00F2587E"/>
    <w:rsid w:val="00F259E4"/>
    <w:rsid w:val="00F25B95"/>
    <w:rsid w:val="00F25BA0"/>
    <w:rsid w:val="00F25DCB"/>
    <w:rsid w:val="00F266D6"/>
    <w:rsid w:val="00F26F7F"/>
    <w:rsid w:val="00F2707B"/>
    <w:rsid w:val="00F27656"/>
    <w:rsid w:val="00F27CD2"/>
    <w:rsid w:val="00F27E36"/>
    <w:rsid w:val="00F3070A"/>
    <w:rsid w:val="00F309A7"/>
    <w:rsid w:val="00F30AB8"/>
    <w:rsid w:val="00F3176A"/>
    <w:rsid w:val="00F3177C"/>
    <w:rsid w:val="00F31BB9"/>
    <w:rsid w:val="00F321D0"/>
    <w:rsid w:val="00F32735"/>
    <w:rsid w:val="00F32A47"/>
    <w:rsid w:val="00F32D7D"/>
    <w:rsid w:val="00F332E9"/>
    <w:rsid w:val="00F33464"/>
    <w:rsid w:val="00F33576"/>
    <w:rsid w:val="00F33871"/>
    <w:rsid w:val="00F33E3C"/>
    <w:rsid w:val="00F34564"/>
    <w:rsid w:val="00F34D31"/>
    <w:rsid w:val="00F34D3A"/>
    <w:rsid w:val="00F34DBA"/>
    <w:rsid w:val="00F352CC"/>
    <w:rsid w:val="00F354B5"/>
    <w:rsid w:val="00F355B1"/>
    <w:rsid w:val="00F3588B"/>
    <w:rsid w:val="00F35DC9"/>
    <w:rsid w:val="00F360FF"/>
    <w:rsid w:val="00F36588"/>
    <w:rsid w:val="00F36711"/>
    <w:rsid w:val="00F36BC2"/>
    <w:rsid w:val="00F37008"/>
    <w:rsid w:val="00F3783A"/>
    <w:rsid w:val="00F37B48"/>
    <w:rsid w:val="00F37BBF"/>
    <w:rsid w:val="00F4058B"/>
    <w:rsid w:val="00F41970"/>
    <w:rsid w:val="00F42331"/>
    <w:rsid w:val="00F423B7"/>
    <w:rsid w:val="00F4370C"/>
    <w:rsid w:val="00F43C7C"/>
    <w:rsid w:val="00F444BD"/>
    <w:rsid w:val="00F446C5"/>
    <w:rsid w:val="00F44787"/>
    <w:rsid w:val="00F44DBA"/>
    <w:rsid w:val="00F451FD"/>
    <w:rsid w:val="00F45870"/>
    <w:rsid w:val="00F45DCF"/>
    <w:rsid w:val="00F45E5B"/>
    <w:rsid w:val="00F4618F"/>
    <w:rsid w:val="00F469AB"/>
    <w:rsid w:val="00F46A07"/>
    <w:rsid w:val="00F46B2F"/>
    <w:rsid w:val="00F46B37"/>
    <w:rsid w:val="00F46CC5"/>
    <w:rsid w:val="00F4705C"/>
    <w:rsid w:val="00F47358"/>
    <w:rsid w:val="00F47BC3"/>
    <w:rsid w:val="00F47F7C"/>
    <w:rsid w:val="00F50252"/>
    <w:rsid w:val="00F5036C"/>
    <w:rsid w:val="00F5051D"/>
    <w:rsid w:val="00F50772"/>
    <w:rsid w:val="00F50F40"/>
    <w:rsid w:val="00F51270"/>
    <w:rsid w:val="00F5127A"/>
    <w:rsid w:val="00F5127D"/>
    <w:rsid w:val="00F5168F"/>
    <w:rsid w:val="00F519A7"/>
    <w:rsid w:val="00F51A09"/>
    <w:rsid w:val="00F51CF1"/>
    <w:rsid w:val="00F521B2"/>
    <w:rsid w:val="00F524F8"/>
    <w:rsid w:val="00F5266A"/>
    <w:rsid w:val="00F53059"/>
    <w:rsid w:val="00F5307C"/>
    <w:rsid w:val="00F53507"/>
    <w:rsid w:val="00F537C0"/>
    <w:rsid w:val="00F538AA"/>
    <w:rsid w:val="00F53CD3"/>
    <w:rsid w:val="00F54EAA"/>
    <w:rsid w:val="00F5532C"/>
    <w:rsid w:val="00F55C4F"/>
    <w:rsid w:val="00F55FBA"/>
    <w:rsid w:val="00F56412"/>
    <w:rsid w:val="00F568FA"/>
    <w:rsid w:val="00F56DA6"/>
    <w:rsid w:val="00F56DEC"/>
    <w:rsid w:val="00F56EE8"/>
    <w:rsid w:val="00F5707E"/>
    <w:rsid w:val="00F5727F"/>
    <w:rsid w:val="00F57498"/>
    <w:rsid w:val="00F57779"/>
    <w:rsid w:val="00F57B81"/>
    <w:rsid w:val="00F602BB"/>
    <w:rsid w:val="00F60422"/>
    <w:rsid w:val="00F615C3"/>
    <w:rsid w:val="00F61CCA"/>
    <w:rsid w:val="00F623A1"/>
    <w:rsid w:val="00F624AF"/>
    <w:rsid w:val="00F627C4"/>
    <w:rsid w:val="00F62943"/>
    <w:rsid w:val="00F62DA4"/>
    <w:rsid w:val="00F62F0F"/>
    <w:rsid w:val="00F63382"/>
    <w:rsid w:val="00F63528"/>
    <w:rsid w:val="00F63590"/>
    <w:rsid w:val="00F639AA"/>
    <w:rsid w:val="00F63BA6"/>
    <w:rsid w:val="00F63C8F"/>
    <w:rsid w:val="00F64A32"/>
    <w:rsid w:val="00F650D6"/>
    <w:rsid w:val="00F65951"/>
    <w:rsid w:val="00F65CF4"/>
    <w:rsid w:val="00F65D59"/>
    <w:rsid w:val="00F65E6D"/>
    <w:rsid w:val="00F66AD5"/>
    <w:rsid w:val="00F66BA3"/>
    <w:rsid w:val="00F66DC0"/>
    <w:rsid w:val="00F66F6B"/>
    <w:rsid w:val="00F671F3"/>
    <w:rsid w:val="00F6774F"/>
    <w:rsid w:val="00F6775B"/>
    <w:rsid w:val="00F67A25"/>
    <w:rsid w:val="00F70351"/>
    <w:rsid w:val="00F705A3"/>
    <w:rsid w:val="00F70871"/>
    <w:rsid w:val="00F708D2"/>
    <w:rsid w:val="00F70D62"/>
    <w:rsid w:val="00F7131B"/>
    <w:rsid w:val="00F713EA"/>
    <w:rsid w:val="00F71B25"/>
    <w:rsid w:val="00F71D89"/>
    <w:rsid w:val="00F72086"/>
    <w:rsid w:val="00F725BB"/>
    <w:rsid w:val="00F72913"/>
    <w:rsid w:val="00F72CBC"/>
    <w:rsid w:val="00F72FDF"/>
    <w:rsid w:val="00F732C2"/>
    <w:rsid w:val="00F73388"/>
    <w:rsid w:val="00F73500"/>
    <w:rsid w:val="00F73872"/>
    <w:rsid w:val="00F73A7A"/>
    <w:rsid w:val="00F73BE1"/>
    <w:rsid w:val="00F73D59"/>
    <w:rsid w:val="00F747FA"/>
    <w:rsid w:val="00F7482B"/>
    <w:rsid w:val="00F74F94"/>
    <w:rsid w:val="00F7524C"/>
    <w:rsid w:val="00F754A6"/>
    <w:rsid w:val="00F76AB9"/>
    <w:rsid w:val="00F76B65"/>
    <w:rsid w:val="00F76E70"/>
    <w:rsid w:val="00F76F8E"/>
    <w:rsid w:val="00F77418"/>
    <w:rsid w:val="00F779A9"/>
    <w:rsid w:val="00F77C39"/>
    <w:rsid w:val="00F77CF3"/>
    <w:rsid w:val="00F8013D"/>
    <w:rsid w:val="00F80161"/>
    <w:rsid w:val="00F803CD"/>
    <w:rsid w:val="00F80793"/>
    <w:rsid w:val="00F81666"/>
    <w:rsid w:val="00F818AF"/>
    <w:rsid w:val="00F81E60"/>
    <w:rsid w:val="00F824D5"/>
    <w:rsid w:val="00F8279F"/>
    <w:rsid w:val="00F82D29"/>
    <w:rsid w:val="00F830CC"/>
    <w:rsid w:val="00F834B0"/>
    <w:rsid w:val="00F83750"/>
    <w:rsid w:val="00F8453D"/>
    <w:rsid w:val="00F84750"/>
    <w:rsid w:val="00F84949"/>
    <w:rsid w:val="00F8557F"/>
    <w:rsid w:val="00F85E97"/>
    <w:rsid w:val="00F86AFD"/>
    <w:rsid w:val="00F86CC4"/>
    <w:rsid w:val="00F8701C"/>
    <w:rsid w:val="00F870F9"/>
    <w:rsid w:val="00F8777F"/>
    <w:rsid w:val="00F87F06"/>
    <w:rsid w:val="00F9037F"/>
    <w:rsid w:val="00F90ADD"/>
    <w:rsid w:val="00F91CCF"/>
    <w:rsid w:val="00F92006"/>
    <w:rsid w:val="00F9208F"/>
    <w:rsid w:val="00F920B7"/>
    <w:rsid w:val="00F92500"/>
    <w:rsid w:val="00F9291A"/>
    <w:rsid w:val="00F9306B"/>
    <w:rsid w:val="00F93195"/>
    <w:rsid w:val="00F9319A"/>
    <w:rsid w:val="00F93901"/>
    <w:rsid w:val="00F93FCB"/>
    <w:rsid w:val="00F94339"/>
    <w:rsid w:val="00F953F0"/>
    <w:rsid w:val="00F95BB3"/>
    <w:rsid w:val="00F95C1D"/>
    <w:rsid w:val="00F9653D"/>
    <w:rsid w:val="00F965A7"/>
    <w:rsid w:val="00F97232"/>
    <w:rsid w:val="00F977BB"/>
    <w:rsid w:val="00F97E1F"/>
    <w:rsid w:val="00FA027E"/>
    <w:rsid w:val="00FA02C5"/>
    <w:rsid w:val="00FA04F1"/>
    <w:rsid w:val="00FA15D7"/>
    <w:rsid w:val="00FA1627"/>
    <w:rsid w:val="00FA168B"/>
    <w:rsid w:val="00FA200D"/>
    <w:rsid w:val="00FA21E6"/>
    <w:rsid w:val="00FA2C3D"/>
    <w:rsid w:val="00FA2DD9"/>
    <w:rsid w:val="00FA31FC"/>
    <w:rsid w:val="00FA34AF"/>
    <w:rsid w:val="00FA3577"/>
    <w:rsid w:val="00FA3633"/>
    <w:rsid w:val="00FA39F7"/>
    <w:rsid w:val="00FA438D"/>
    <w:rsid w:val="00FA4F83"/>
    <w:rsid w:val="00FA53B3"/>
    <w:rsid w:val="00FA584E"/>
    <w:rsid w:val="00FA5C4F"/>
    <w:rsid w:val="00FA614E"/>
    <w:rsid w:val="00FA637C"/>
    <w:rsid w:val="00FA6A55"/>
    <w:rsid w:val="00FA7087"/>
    <w:rsid w:val="00FA728E"/>
    <w:rsid w:val="00FA767D"/>
    <w:rsid w:val="00FB018A"/>
    <w:rsid w:val="00FB0907"/>
    <w:rsid w:val="00FB165B"/>
    <w:rsid w:val="00FB2105"/>
    <w:rsid w:val="00FB2297"/>
    <w:rsid w:val="00FB22E3"/>
    <w:rsid w:val="00FB2691"/>
    <w:rsid w:val="00FB2CFB"/>
    <w:rsid w:val="00FB322E"/>
    <w:rsid w:val="00FB36CB"/>
    <w:rsid w:val="00FB3DD3"/>
    <w:rsid w:val="00FB3F07"/>
    <w:rsid w:val="00FB42FA"/>
    <w:rsid w:val="00FB49A1"/>
    <w:rsid w:val="00FB4D4E"/>
    <w:rsid w:val="00FB531B"/>
    <w:rsid w:val="00FB55DE"/>
    <w:rsid w:val="00FB5809"/>
    <w:rsid w:val="00FB5863"/>
    <w:rsid w:val="00FB5C87"/>
    <w:rsid w:val="00FB5D61"/>
    <w:rsid w:val="00FB5F5C"/>
    <w:rsid w:val="00FB5FE7"/>
    <w:rsid w:val="00FB6A55"/>
    <w:rsid w:val="00FB6F8B"/>
    <w:rsid w:val="00FB7039"/>
    <w:rsid w:val="00FB7229"/>
    <w:rsid w:val="00FB7CEE"/>
    <w:rsid w:val="00FB7D43"/>
    <w:rsid w:val="00FB7FEF"/>
    <w:rsid w:val="00FC0454"/>
    <w:rsid w:val="00FC1212"/>
    <w:rsid w:val="00FC147D"/>
    <w:rsid w:val="00FC1660"/>
    <w:rsid w:val="00FC16FF"/>
    <w:rsid w:val="00FC22FF"/>
    <w:rsid w:val="00FC3181"/>
    <w:rsid w:val="00FC35F9"/>
    <w:rsid w:val="00FC372F"/>
    <w:rsid w:val="00FC432A"/>
    <w:rsid w:val="00FC44D7"/>
    <w:rsid w:val="00FC4DBA"/>
    <w:rsid w:val="00FC502D"/>
    <w:rsid w:val="00FC531E"/>
    <w:rsid w:val="00FC56A8"/>
    <w:rsid w:val="00FC581A"/>
    <w:rsid w:val="00FC618F"/>
    <w:rsid w:val="00FC641A"/>
    <w:rsid w:val="00FC65B4"/>
    <w:rsid w:val="00FC6C0A"/>
    <w:rsid w:val="00FC738B"/>
    <w:rsid w:val="00FC73B8"/>
    <w:rsid w:val="00FC75C5"/>
    <w:rsid w:val="00FC764B"/>
    <w:rsid w:val="00FC7B80"/>
    <w:rsid w:val="00FC7F9A"/>
    <w:rsid w:val="00FD042B"/>
    <w:rsid w:val="00FD0925"/>
    <w:rsid w:val="00FD0B04"/>
    <w:rsid w:val="00FD0D7D"/>
    <w:rsid w:val="00FD107C"/>
    <w:rsid w:val="00FD15CB"/>
    <w:rsid w:val="00FD1B56"/>
    <w:rsid w:val="00FD1C59"/>
    <w:rsid w:val="00FD20CF"/>
    <w:rsid w:val="00FD2683"/>
    <w:rsid w:val="00FD26D1"/>
    <w:rsid w:val="00FD2A77"/>
    <w:rsid w:val="00FD2BBD"/>
    <w:rsid w:val="00FD3123"/>
    <w:rsid w:val="00FD3401"/>
    <w:rsid w:val="00FD352B"/>
    <w:rsid w:val="00FD3A86"/>
    <w:rsid w:val="00FD465A"/>
    <w:rsid w:val="00FD47C8"/>
    <w:rsid w:val="00FD48E2"/>
    <w:rsid w:val="00FD5031"/>
    <w:rsid w:val="00FD5107"/>
    <w:rsid w:val="00FD524F"/>
    <w:rsid w:val="00FD5638"/>
    <w:rsid w:val="00FD5FE0"/>
    <w:rsid w:val="00FD6488"/>
    <w:rsid w:val="00FD66E4"/>
    <w:rsid w:val="00FD6727"/>
    <w:rsid w:val="00FD6ED8"/>
    <w:rsid w:val="00FD6EEF"/>
    <w:rsid w:val="00FD6F51"/>
    <w:rsid w:val="00FD755E"/>
    <w:rsid w:val="00FD7861"/>
    <w:rsid w:val="00FD786F"/>
    <w:rsid w:val="00FD7C0C"/>
    <w:rsid w:val="00FE0349"/>
    <w:rsid w:val="00FE0A0D"/>
    <w:rsid w:val="00FE0A25"/>
    <w:rsid w:val="00FE0A88"/>
    <w:rsid w:val="00FE0CA1"/>
    <w:rsid w:val="00FE0E7C"/>
    <w:rsid w:val="00FE0F43"/>
    <w:rsid w:val="00FE1044"/>
    <w:rsid w:val="00FE120E"/>
    <w:rsid w:val="00FE12AA"/>
    <w:rsid w:val="00FE1BD2"/>
    <w:rsid w:val="00FE1C2A"/>
    <w:rsid w:val="00FE21F6"/>
    <w:rsid w:val="00FE2851"/>
    <w:rsid w:val="00FE2AC8"/>
    <w:rsid w:val="00FE2BF7"/>
    <w:rsid w:val="00FE2DAA"/>
    <w:rsid w:val="00FE30E6"/>
    <w:rsid w:val="00FE339A"/>
    <w:rsid w:val="00FE3704"/>
    <w:rsid w:val="00FE39F6"/>
    <w:rsid w:val="00FE3ADC"/>
    <w:rsid w:val="00FE3F1C"/>
    <w:rsid w:val="00FE4C34"/>
    <w:rsid w:val="00FE4C45"/>
    <w:rsid w:val="00FE4CC3"/>
    <w:rsid w:val="00FE4CF1"/>
    <w:rsid w:val="00FE4CFE"/>
    <w:rsid w:val="00FE50B8"/>
    <w:rsid w:val="00FE56EF"/>
    <w:rsid w:val="00FE5DAD"/>
    <w:rsid w:val="00FE5DE6"/>
    <w:rsid w:val="00FE5EA2"/>
    <w:rsid w:val="00FE5FDC"/>
    <w:rsid w:val="00FE6302"/>
    <w:rsid w:val="00FE64E6"/>
    <w:rsid w:val="00FE72A0"/>
    <w:rsid w:val="00FF0282"/>
    <w:rsid w:val="00FF07B7"/>
    <w:rsid w:val="00FF0C96"/>
    <w:rsid w:val="00FF1154"/>
    <w:rsid w:val="00FF130D"/>
    <w:rsid w:val="00FF1B93"/>
    <w:rsid w:val="00FF21B2"/>
    <w:rsid w:val="00FF2C8C"/>
    <w:rsid w:val="00FF332E"/>
    <w:rsid w:val="00FF38D0"/>
    <w:rsid w:val="00FF451D"/>
    <w:rsid w:val="00FF4E66"/>
    <w:rsid w:val="00FF531A"/>
    <w:rsid w:val="00FF5765"/>
    <w:rsid w:val="00FF6019"/>
    <w:rsid w:val="00FF6154"/>
    <w:rsid w:val="00FF6525"/>
    <w:rsid w:val="00FF6683"/>
    <w:rsid w:val="00FF66BF"/>
    <w:rsid w:val="00FF682A"/>
    <w:rsid w:val="00FF6966"/>
    <w:rsid w:val="00FF7778"/>
    <w:rsid w:val="00FF7857"/>
    <w:rsid w:val="00FF7D1F"/>
    <w:rsid w:val="00FF7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stroke weight="2.25pt"/>
      <v:textbox inset="2.43839mm,1.2192mm,2.43839mm,1.2192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5B8"/>
    <w:pPr>
      <w:spacing w:after="240"/>
      <w:ind w:left="720"/>
    </w:pPr>
    <w:rPr>
      <w:rFonts w:ascii="Garamond" w:hAnsi="Garamond"/>
      <w:sz w:val="24"/>
    </w:rPr>
  </w:style>
  <w:style w:type="paragraph" w:styleId="Heading1">
    <w:name w:val="heading 1"/>
    <w:basedOn w:val="Normal"/>
    <w:next w:val="Normal"/>
    <w:link w:val="Heading1Char"/>
    <w:qFormat/>
    <w:rsid w:val="00715D39"/>
    <w:pPr>
      <w:keepNext/>
      <w:pageBreakBefore/>
      <w:pBdr>
        <w:bottom w:val="single" w:sz="4" w:space="1" w:color="auto"/>
      </w:pBdr>
      <w:spacing w:after="360"/>
      <w:ind w:left="3402" w:hanging="3402"/>
      <w:outlineLvl w:val="0"/>
    </w:pPr>
    <w:rPr>
      <w:rFonts w:ascii="Tahoma" w:hAnsi="Tahoma"/>
      <w:b/>
      <w:sz w:val="40"/>
      <w:lang w:val="x-none" w:eastAsia="x-none"/>
    </w:rPr>
  </w:style>
  <w:style w:type="paragraph" w:styleId="Heading2">
    <w:name w:val="heading 2"/>
    <w:basedOn w:val="Normal"/>
    <w:next w:val="Normal"/>
    <w:link w:val="Heading2Char"/>
    <w:qFormat/>
    <w:rsid w:val="000A3AAF"/>
    <w:pPr>
      <w:keepNext/>
      <w:spacing w:before="240"/>
      <w:ind w:left="0"/>
      <w:outlineLvl w:val="1"/>
    </w:pPr>
    <w:rPr>
      <w:rFonts w:ascii="Tahoma" w:hAnsi="Tahoma"/>
      <w:b/>
      <w:sz w:val="28"/>
    </w:rPr>
  </w:style>
  <w:style w:type="paragraph" w:styleId="Heading3">
    <w:name w:val="heading 3"/>
    <w:basedOn w:val="Normal"/>
    <w:next w:val="Normal"/>
    <w:link w:val="Heading3Char"/>
    <w:qFormat/>
    <w:rsid w:val="00341337"/>
    <w:pPr>
      <w:keepNext/>
      <w:spacing w:before="240"/>
      <w:ind w:left="0"/>
      <w:outlineLvl w:val="2"/>
    </w:pPr>
    <w:rPr>
      <w:rFonts w:ascii="Tahoma" w:hAnsi="Tahoma"/>
      <w:b/>
      <w:sz w:val="22"/>
      <w:lang w:val="x-none" w:eastAsia="x-none"/>
    </w:rPr>
  </w:style>
  <w:style w:type="paragraph" w:styleId="Heading4">
    <w:name w:val="heading 4"/>
    <w:basedOn w:val="Normal"/>
    <w:next w:val="Normal"/>
    <w:link w:val="Heading4Char"/>
    <w:autoRedefine/>
    <w:qFormat/>
    <w:rsid w:val="004F6003"/>
    <w:pPr>
      <w:keepNext/>
      <w:spacing w:before="120" w:after="120"/>
      <w:outlineLvl w:val="3"/>
    </w:pPr>
    <w:rPr>
      <w:rFonts w:ascii="Tahoma" w:hAnsi="Tahoma"/>
      <w:b/>
      <w:sz w:val="20"/>
      <w:lang w:val="x-none" w:eastAsia="x-none"/>
    </w:rPr>
  </w:style>
  <w:style w:type="paragraph" w:styleId="Heading5">
    <w:name w:val="heading 5"/>
    <w:basedOn w:val="Normal"/>
    <w:next w:val="Normal"/>
    <w:qFormat/>
    <w:pPr>
      <w:keepNext/>
      <w:spacing w:after="60"/>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A3AAF"/>
    <w:rPr>
      <w:rFonts w:ascii="Tahoma" w:hAnsi="Tahoma"/>
      <w:b/>
      <w:sz w:val="28"/>
      <w:lang w:val="en-AU" w:eastAsia="en-AU" w:bidi="ar-SA"/>
    </w:rPr>
  </w:style>
  <w:style w:type="paragraph" w:customStyle="1" w:styleId="Bullet">
    <w:name w:val="Bullet"/>
    <w:basedOn w:val="Normal"/>
    <w:rsid w:val="00065DCF"/>
    <w:pPr>
      <w:numPr>
        <w:numId w:val="1"/>
      </w:numPr>
      <w:tabs>
        <w:tab w:val="clear" w:pos="1440"/>
        <w:tab w:val="left" w:pos="1134"/>
      </w:tabs>
    </w:p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Date">
    <w:name w:val="Date"/>
    <w:basedOn w:val="Normal"/>
    <w:next w:val="Normal"/>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link w:val="FooterChar"/>
    <w:uiPriority w:val="99"/>
    <w:pPr>
      <w:pBdr>
        <w:top w:val="single" w:sz="4" w:space="9" w:color="auto"/>
      </w:pBdr>
      <w:tabs>
        <w:tab w:val="right" w:pos="9000"/>
      </w:tabs>
    </w:pPr>
    <w:rPr>
      <w:rFonts w:ascii="Arial" w:hAnsi="Arial"/>
      <w:b/>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D50014"/>
    <w:pPr>
      <w:outlineLvl w:val="9"/>
    </w:pPr>
  </w:style>
  <w:style w:type="character" w:styleId="PageNumber">
    <w:name w:val="page number"/>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References">
    <w:name w:val="References"/>
    <w:basedOn w:val="Normal"/>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uiPriority w:val="99"/>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rsid w:val="00862A16"/>
    <w:rPr>
      <w:b/>
    </w:rPr>
  </w:style>
  <w:style w:type="character" w:customStyle="1" w:styleId="TableHeadingChar">
    <w:name w:val="TableHeading Char"/>
    <w:link w:val="TableHeading"/>
    <w:rsid w:val="00862A16"/>
    <w:rPr>
      <w:rFonts w:ascii="Arial Narrow" w:hAnsi="Arial Narrow"/>
      <w:b/>
      <w:sz w:val="18"/>
      <w:lang w:val="en-AU" w:eastAsia="en-AU" w:bidi="ar-SA"/>
    </w:rPr>
  </w:style>
  <w:style w:type="paragraph" w:customStyle="1" w:styleId="TableName">
    <w:name w:val="TableName"/>
    <w:basedOn w:val="TableText"/>
    <w:link w:val="TableNameChar"/>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3A5D05"/>
    <w:pPr>
      <w:keepNext w:val="0"/>
      <w:keepLines/>
      <w:spacing w:before="0" w:after="360"/>
      <w:ind w:left="720"/>
      <w:contextualSpacing/>
    </w:pPr>
    <w:rPr>
      <w:sz w:val="16"/>
      <w:lang w:val="x-none" w:eastAsia="x-none"/>
    </w:rPr>
  </w:style>
  <w:style w:type="character" w:customStyle="1" w:styleId="TableNotesChar">
    <w:name w:val="TableNotes Char"/>
    <w:link w:val="TableNotes"/>
    <w:rsid w:val="003A5D05"/>
    <w:rPr>
      <w:rFonts w:ascii="Arial Narrow" w:hAnsi="Arial Narrow"/>
      <w:sz w:val="16"/>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uiPriority w:val="39"/>
    <w:pPr>
      <w:tabs>
        <w:tab w:val="left" w:pos="1276"/>
        <w:tab w:val="right" w:leader="dot" w:pos="9017"/>
      </w:tabs>
      <w:spacing w:before="120" w:after="60"/>
      <w:ind w:right="720"/>
    </w:pPr>
    <w:rPr>
      <w:b/>
      <w:noProof/>
    </w:rPr>
  </w:style>
  <w:style w:type="paragraph" w:styleId="TOC2">
    <w:name w:val="toc 2"/>
    <w:basedOn w:val="Normal"/>
    <w:next w:val="Normal"/>
    <w:autoRedefine/>
    <w:uiPriority w:val="39"/>
    <w:pPr>
      <w:tabs>
        <w:tab w:val="right" w:leader="dot" w:pos="9017"/>
      </w:tabs>
      <w:spacing w:after="60"/>
      <w:ind w:left="1440" w:right="720"/>
    </w:pPr>
    <w:rPr>
      <w:noProof/>
    </w:rPr>
  </w:style>
  <w:style w:type="paragraph" w:styleId="TOC3">
    <w:name w:val="toc 3"/>
    <w:basedOn w:val="Normal"/>
    <w:next w:val="Normal"/>
    <w:autoRedefine/>
    <w:semiHidden/>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Dash">
    <w:name w:val="Dash"/>
    <w:basedOn w:val="Normal"/>
    <w:pPr>
      <w:numPr>
        <w:numId w:val="2"/>
      </w:numPr>
    </w:pPr>
  </w:style>
  <w:style w:type="paragraph" w:styleId="Quote">
    <w:name w:val="Quote"/>
    <w:basedOn w:val="Normal"/>
    <w:qFormat/>
    <w:pPr>
      <w:keepLines/>
      <w:ind w:left="1440" w:right="720"/>
    </w:pPr>
    <w:rPr>
      <w:sz w:val="22"/>
    </w:rPr>
  </w:style>
  <w:style w:type="paragraph" w:styleId="BodyText">
    <w:name w:val="Body Text"/>
    <w:basedOn w:val="Normal"/>
    <w:link w:val="BodyTextChar"/>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qFormat/>
    <w:rsid w:val="00AF06B8"/>
    <w:rPr>
      <w:color w:val="0000FF"/>
      <w:u w:val="single"/>
    </w:rPr>
  </w:style>
  <w:style w:type="paragraph" w:styleId="Caption">
    <w:name w:val="caption"/>
    <w:basedOn w:val="Normal"/>
    <w:next w:val="Normal"/>
    <w:qFormat/>
    <w:rsid w:val="00F85E97"/>
    <w:pPr>
      <w:keepNext/>
    </w:pPr>
    <w:rPr>
      <w:rFonts w:ascii="Arial Narrow" w:hAnsi="Arial Narrow"/>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link w:val="TableTextChar0"/>
    <w:rsid w:val="00C4664B"/>
    <w:pPr>
      <w:keepNext/>
      <w:spacing w:before="40" w:after="40"/>
      <w:ind w:left="0"/>
    </w:pPr>
    <w:rPr>
      <w:rFonts w:ascii="Arial Narrow" w:hAnsi="Arial Narrow"/>
      <w:sz w:val="18"/>
      <w:lang w:val="x-none" w:eastAsia="en-US"/>
    </w:rPr>
  </w:style>
  <w:style w:type="character" w:customStyle="1" w:styleId="TableTextChar0">
    <w:name w:val="Table Text Char"/>
    <w:link w:val="TableText0"/>
    <w:rsid w:val="00C4664B"/>
    <w:rPr>
      <w:rFonts w:ascii="Arial Narrow" w:hAnsi="Arial Narrow"/>
      <w:sz w:val="18"/>
      <w:lang w:eastAsia="en-US"/>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character" w:customStyle="1" w:styleId="HeaderChar">
    <w:name w:val="Header Char"/>
    <w:link w:val="Header"/>
    <w:uiPriority w:val="99"/>
    <w:rsid w:val="002D5ECA"/>
    <w:rPr>
      <w:rFonts w:ascii="Garamond" w:hAnsi="Garamond"/>
      <w:sz w:val="24"/>
      <w:lang w:val="en-AU" w:eastAsia="en-AU"/>
    </w:rPr>
  </w:style>
  <w:style w:type="character" w:customStyle="1" w:styleId="Heading1Char">
    <w:name w:val="Heading 1 Char"/>
    <w:link w:val="Heading1"/>
    <w:rsid w:val="00715D39"/>
    <w:rPr>
      <w:rFonts w:ascii="Tahoma" w:hAnsi="Tahoma"/>
      <w:b/>
      <w:sz w:val="40"/>
    </w:rPr>
  </w:style>
  <w:style w:type="character" w:customStyle="1" w:styleId="hitorg1">
    <w:name w:val="hit_org1"/>
    <w:rsid w:val="0085254F"/>
    <w:rPr>
      <w:b/>
      <w:bCs/>
      <w:shd w:val="clear" w:color="auto" w:fill="FFEEDD"/>
    </w:rPr>
  </w:style>
  <w:style w:type="character" w:customStyle="1" w:styleId="CommentTextChar">
    <w:name w:val="Comment Text Char"/>
    <w:link w:val="CommentText"/>
    <w:rsid w:val="002D05FE"/>
    <w:rPr>
      <w:rFonts w:ascii="Garamond" w:hAnsi="Garamond"/>
      <w:lang w:val="en-AU" w:eastAsia="en-AU"/>
    </w:rPr>
  </w:style>
  <w:style w:type="character" w:customStyle="1" w:styleId="FooterChar">
    <w:name w:val="Footer Char"/>
    <w:link w:val="Footer"/>
    <w:uiPriority w:val="99"/>
    <w:rsid w:val="00713CB7"/>
    <w:rPr>
      <w:rFonts w:ascii="Arial" w:hAnsi="Arial"/>
      <w:b/>
      <w:lang w:val="en-AU" w:eastAsia="en-AU"/>
    </w:rPr>
  </w:style>
  <w:style w:type="character" w:customStyle="1" w:styleId="Heading4Char">
    <w:name w:val="Heading 4 Char"/>
    <w:link w:val="Heading4"/>
    <w:rsid w:val="004F6003"/>
    <w:rPr>
      <w:rFonts w:ascii="Tahoma" w:hAnsi="Tahoma"/>
      <w:b/>
      <w:lang w:eastAsia="x-none"/>
    </w:rPr>
  </w:style>
  <w:style w:type="character" w:customStyle="1" w:styleId="Heading3Char">
    <w:name w:val="Heading 3 Char"/>
    <w:link w:val="Heading3"/>
    <w:rsid w:val="00341337"/>
    <w:rPr>
      <w:rFonts w:ascii="Tahoma" w:hAnsi="Tahoma"/>
      <w:b/>
      <w:sz w:val="22"/>
    </w:rPr>
  </w:style>
  <w:style w:type="character" w:customStyle="1" w:styleId="CharChar9">
    <w:name w:val="Char Char9"/>
    <w:rsid w:val="00CD0EB9"/>
    <w:rPr>
      <w:rFonts w:ascii="Tahoma" w:hAnsi="Tahoma"/>
      <w:b/>
      <w:sz w:val="22"/>
      <w:lang w:val="en-AU" w:eastAsia="en-AU" w:bidi="ar-SA"/>
    </w:rPr>
  </w:style>
  <w:style w:type="paragraph" w:customStyle="1" w:styleId="Heading3a">
    <w:name w:val="Heading 3a"/>
    <w:basedOn w:val="Heading3"/>
    <w:uiPriority w:val="99"/>
    <w:rsid w:val="00981064"/>
    <w:pPr>
      <w:ind w:left="720"/>
      <w:outlineLvl w:val="9"/>
    </w:pPr>
  </w:style>
  <w:style w:type="character" w:customStyle="1" w:styleId="Heading2Char1">
    <w:name w:val="Heading 2 Char1"/>
    <w:uiPriority w:val="99"/>
    <w:locked/>
    <w:rsid w:val="009E0179"/>
    <w:rPr>
      <w:rFonts w:ascii="Tahoma" w:hAnsi="Tahoma" w:cs="Times New Roman"/>
      <w:b/>
      <w:sz w:val="28"/>
      <w:lang w:val="en-AU" w:eastAsia="en-AU" w:bidi="ar-SA"/>
    </w:rPr>
  </w:style>
  <w:style w:type="paragraph" w:styleId="ListParagraph">
    <w:name w:val="List Paragraph"/>
    <w:basedOn w:val="Normal"/>
    <w:qFormat/>
    <w:rsid w:val="009E0179"/>
    <w:pPr>
      <w:contextualSpacing/>
    </w:pPr>
  </w:style>
  <w:style w:type="paragraph" w:customStyle="1" w:styleId="StyleTableNameLeft1cm">
    <w:name w:val="Style TableName + Left:  1 cm"/>
    <w:basedOn w:val="Normal"/>
    <w:link w:val="StyleTableNameLeft1cmChar"/>
    <w:uiPriority w:val="99"/>
    <w:rsid w:val="00441959"/>
    <w:pPr>
      <w:keepNext/>
      <w:spacing w:before="40" w:after="40"/>
      <w:ind w:left="0"/>
    </w:pPr>
    <w:rPr>
      <w:rFonts w:ascii="Arial Narrow" w:hAnsi="Arial Narrow"/>
      <w:b/>
      <w:bCs/>
      <w:sz w:val="20"/>
      <w:lang w:val="x-none" w:eastAsia="x-none"/>
    </w:rPr>
  </w:style>
  <w:style w:type="character" w:customStyle="1" w:styleId="StyleTableNameLeft1cmChar">
    <w:name w:val="Style TableName + Left:  1 cm Char"/>
    <w:link w:val="StyleTableNameLeft1cm"/>
    <w:uiPriority w:val="99"/>
    <w:locked/>
    <w:rsid w:val="00441959"/>
    <w:rPr>
      <w:rFonts w:ascii="Arial Narrow" w:hAnsi="Arial Narrow"/>
      <w:b/>
      <w:bCs/>
    </w:rPr>
  </w:style>
  <w:style w:type="paragraph" w:styleId="Revision">
    <w:name w:val="Revision"/>
    <w:hidden/>
    <w:uiPriority w:val="99"/>
    <w:semiHidden/>
    <w:rsid w:val="009E5EA6"/>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5B8"/>
    <w:pPr>
      <w:spacing w:after="240"/>
      <w:ind w:left="720"/>
    </w:pPr>
    <w:rPr>
      <w:rFonts w:ascii="Garamond" w:hAnsi="Garamond"/>
      <w:sz w:val="24"/>
    </w:rPr>
  </w:style>
  <w:style w:type="paragraph" w:styleId="Heading1">
    <w:name w:val="heading 1"/>
    <w:basedOn w:val="Normal"/>
    <w:next w:val="Normal"/>
    <w:link w:val="Heading1Char"/>
    <w:qFormat/>
    <w:rsid w:val="00715D39"/>
    <w:pPr>
      <w:keepNext/>
      <w:pageBreakBefore/>
      <w:pBdr>
        <w:bottom w:val="single" w:sz="4" w:space="1" w:color="auto"/>
      </w:pBdr>
      <w:spacing w:after="360"/>
      <w:ind w:left="3402" w:hanging="3402"/>
      <w:outlineLvl w:val="0"/>
    </w:pPr>
    <w:rPr>
      <w:rFonts w:ascii="Tahoma" w:hAnsi="Tahoma"/>
      <w:b/>
      <w:sz w:val="40"/>
      <w:lang w:val="x-none" w:eastAsia="x-none"/>
    </w:rPr>
  </w:style>
  <w:style w:type="paragraph" w:styleId="Heading2">
    <w:name w:val="heading 2"/>
    <w:basedOn w:val="Normal"/>
    <w:next w:val="Normal"/>
    <w:link w:val="Heading2Char"/>
    <w:qFormat/>
    <w:rsid w:val="000A3AAF"/>
    <w:pPr>
      <w:keepNext/>
      <w:spacing w:before="240"/>
      <w:ind w:left="0"/>
      <w:outlineLvl w:val="1"/>
    </w:pPr>
    <w:rPr>
      <w:rFonts w:ascii="Tahoma" w:hAnsi="Tahoma"/>
      <w:b/>
      <w:sz w:val="28"/>
    </w:rPr>
  </w:style>
  <w:style w:type="paragraph" w:styleId="Heading3">
    <w:name w:val="heading 3"/>
    <w:basedOn w:val="Normal"/>
    <w:next w:val="Normal"/>
    <w:link w:val="Heading3Char"/>
    <w:qFormat/>
    <w:rsid w:val="00341337"/>
    <w:pPr>
      <w:keepNext/>
      <w:spacing w:before="240"/>
      <w:ind w:left="0"/>
      <w:outlineLvl w:val="2"/>
    </w:pPr>
    <w:rPr>
      <w:rFonts w:ascii="Tahoma" w:hAnsi="Tahoma"/>
      <w:b/>
      <w:sz w:val="22"/>
      <w:lang w:val="x-none" w:eastAsia="x-none"/>
    </w:rPr>
  </w:style>
  <w:style w:type="paragraph" w:styleId="Heading4">
    <w:name w:val="heading 4"/>
    <w:basedOn w:val="Normal"/>
    <w:next w:val="Normal"/>
    <w:link w:val="Heading4Char"/>
    <w:autoRedefine/>
    <w:qFormat/>
    <w:rsid w:val="004F6003"/>
    <w:pPr>
      <w:keepNext/>
      <w:spacing w:before="120" w:after="120"/>
      <w:outlineLvl w:val="3"/>
    </w:pPr>
    <w:rPr>
      <w:rFonts w:ascii="Tahoma" w:hAnsi="Tahoma"/>
      <w:b/>
      <w:sz w:val="20"/>
      <w:lang w:val="x-none" w:eastAsia="x-none"/>
    </w:rPr>
  </w:style>
  <w:style w:type="paragraph" w:styleId="Heading5">
    <w:name w:val="heading 5"/>
    <w:basedOn w:val="Normal"/>
    <w:next w:val="Normal"/>
    <w:qFormat/>
    <w:pPr>
      <w:keepNext/>
      <w:spacing w:after="60"/>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A3AAF"/>
    <w:rPr>
      <w:rFonts w:ascii="Tahoma" w:hAnsi="Tahoma"/>
      <w:b/>
      <w:sz w:val="28"/>
      <w:lang w:val="en-AU" w:eastAsia="en-AU" w:bidi="ar-SA"/>
    </w:rPr>
  </w:style>
  <w:style w:type="paragraph" w:customStyle="1" w:styleId="Bullet">
    <w:name w:val="Bullet"/>
    <w:basedOn w:val="Normal"/>
    <w:rsid w:val="00065DCF"/>
    <w:pPr>
      <w:numPr>
        <w:numId w:val="1"/>
      </w:numPr>
      <w:tabs>
        <w:tab w:val="clear" w:pos="1440"/>
        <w:tab w:val="left" w:pos="1134"/>
      </w:tabs>
    </w:p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Date">
    <w:name w:val="Date"/>
    <w:basedOn w:val="Normal"/>
    <w:next w:val="Normal"/>
    <w:pPr>
      <w:ind w:right="113"/>
      <w:jc w:val="right"/>
    </w:pPr>
    <w:rPr>
      <w:rFonts w:ascii="Arial" w:hAnsi="Arial"/>
      <w:b/>
      <w:sz w:val="36"/>
    </w:rPr>
  </w:style>
  <w:style w:type="paragraph" w:customStyle="1" w:styleId="Summaryboxtext">
    <w:name w:val="Summary box text"/>
    <w:basedOn w:val="Normal"/>
    <w:rsid w:val="000A3AAF"/>
    <w:pPr>
      <w:spacing w:after="100" w:afterAutospacing="1"/>
      <w:ind w:left="0"/>
    </w:pPr>
    <w:rPr>
      <w:rFonts w:ascii="Arial Narrow" w:hAnsi="Arial Narrow"/>
    </w:rPr>
  </w:style>
  <w:style w:type="paragraph" w:styleId="Footer">
    <w:name w:val="footer"/>
    <w:basedOn w:val="Normal"/>
    <w:link w:val="FooterChar"/>
    <w:uiPriority w:val="99"/>
    <w:pPr>
      <w:pBdr>
        <w:top w:val="single" w:sz="4" w:space="9" w:color="auto"/>
      </w:pBdr>
      <w:tabs>
        <w:tab w:val="right" w:pos="9000"/>
      </w:tabs>
    </w:pPr>
    <w:rPr>
      <w:rFonts w:ascii="Arial" w:hAnsi="Arial"/>
      <w:b/>
      <w:sz w:val="20"/>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153"/>
        <w:tab w:val="right" w:pos="8306"/>
      </w:tabs>
    </w:pPr>
  </w:style>
  <w:style w:type="paragraph" w:customStyle="1" w:styleId="Summaryboxheading">
    <w:name w:val="Summary box heading"/>
    <w:basedOn w:val="Summaryboxtext"/>
    <w:rsid w:val="00D918EC"/>
    <w:pPr>
      <w:spacing w:before="120"/>
    </w:pPr>
    <w:rPr>
      <w:b/>
    </w:rPr>
  </w:style>
  <w:style w:type="paragraph" w:customStyle="1" w:styleId="Heading2a">
    <w:name w:val="Heading 2a"/>
    <w:basedOn w:val="Heading2"/>
    <w:rsid w:val="00D50014"/>
    <w:pPr>
      <w:outlineLvl w:val="9"/>
    </w:pPr>
  </w:style>
  <w:style w:type="character" w:styleId="PageNumber">
    <w:name w:val="page number"/>
    <w:rPr>
      <w:rFonts w:ascii="Tahoma" w:hAnsi="Tahoma"/>
      <w:b/>
      <w:sz w:val="18"/>
    </w:rPr>
  </w:style>
  <w:style w:type="paragraph" w:customStyle="1" w:styleId="PublicationTitle">
    <w:name w:val="PublicationTitle"/>
    <w:basedOn w:val="Normal"/>
    <w:pPr>
      <w:spacing w:line="480" w:lineRule="exact"/>
      <w:ind w:left="0" w:right="113"/>
      <w:jc w:val="right"/>
    </w:pPr>
    <w:rPr>
      <w:rFonts w:ascii="Arial" w:hAnsi="Arial"/>
      <w:b/>
      <w:i/>
      <w:sz w:val="44"/>
    </w:rPr>
  </w:style>
  <w:style w:type="paragraph" w:customStyle="1" w:styleId="References">
    <w:name w:val="References"/>
    <w:basedOn w:val="Normal"/>
    <w:pPr>
      <w:keepLines/>
      <w:ind w:left="1440" w:hanging="720"/>
    </w:pPr>
  </w:style>
  <w:style w:type="paragraph" w:customStyle="1" w:styleId="Sub-title">
    <w:name w:val="Sub-title"/>
    <w:basedOn w:val="Normal"/>
    <w:pPr>
      <w:ind w:left="0" w:right="113"/>
      <w:jc w:val="right"/>
    </w:pPr>
    <w:rPr>
      <w:rFonts w:ascii="Arial" w:hAnsi="Arial"/>
      <w:b/>
      <w:sz w:val="32"/>
    </w:rPr>
  </w:style>
  <w:style w:type="paragraph" w:styleId="TableofFigures">
    <w:name w:val="table of figures"/>
    <w:basedOn w:val="Normal"/>
    <w:next w:val="Normal"/>
    <w:uiPriority w:val="99"/>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pPr>
      <w:keepNext/>
      <w:spacing w:before="40" w:after="40"/>
      <w:ind w:left="0"/>
    </w:pPr>
    <w:rPr>
      <w:rFonts w:ascii="Arial Narrow" w:hAnsi="Arial Narrow"/>
      <w:sz w:val="18"/>
    </w:rPr>
  </w:style>
  <w:style w:type="character" w:customStyle="1" w:styleId="TableTextChar">
    <w:name w:val="TableText Char"/>
    <w:link w:val="TableText"/>
    <w:rsid w:val="00310008"/>
    <w:rPr>
      <w:rFonts w:ascii="Arial Narrow" w:hAnsi="Arial Narrow"/>
      <w:sz w:val="18"/>
      <w:lang w:val="en-AU" w:eastAsia="en-AU" w:bidi="ar-SA"/>
    </w:rPr>
  </w:style>
  <w:style w:type="paragraph" w:customStyle="1" w:styleId="TableHeading">
    <w:name w:val="TableHeading"/>
    <w:basedOn w:val="TableText"/>
    <w:link w:val="TableHeadingChar"/>
    <w:rsid w:val="00862A16"/>
    <w:rPr>
      <w:b/>
    </w:rPr>
  </w:style>
  <w:style w:type="character" w:customStyle="1" w:styleId="TableHeadingChar">
    <w:name w:val="TableHeading Char"/>
    <w:link w:val="TableHeading"/>
    <w:rsid w:val="00862A16"/>
    <w:rPr>
      <w:rFonts w:ascii="Arial Narrow" w:hAnsi="Arial Narrow"/>
      <w:b/>
      <w:sz w:val="18"/>
      <w:lang w:val="en-AU" w:eastAsia="en-AU" w:bidi="ar-SA"/>
    </w:rPr>
  </w:style>
  <w:style w:type="paragraph" w:customStyle="1" w:styleId="TableName">
    <w:name w:val="TableName"/>
    <w:basedOn w:val="TableText"/>
    <w:link w:val="TableNameChar"/>
    <w:rsid w:val="000D2EB6"/>
    <w:pPr>
      <w:ind w:left="1440" w:hanging="720"/>
    </w:pPr>
    <w:rPr>
      <w:b/>
      <w:sz w:val="20"/>
    </w:rPr>
  </w:style>
  <w:style w:type="character" w:customStyle="1" w:styleId="TableNameChar">
    <w:name w:val="TableName Char"/>
    <w:link w:val="TableName"/>
    <w:rsid w:val="000D2EB6"/>
    <w:rPr>
      <w:rFonts w:ascii="Arial Narrow" w:hAnsi="Arial Narrow"/>
      <w:b/>
      <w:lang w:val="en-AU" w:eastAsia="en-AU" w:bidi="ar-SA"/>
    </w:rPr>
  </w:style>
  <w:style w:type="paragraph" w:customStyle="1" w:styleId="TableNotes">
    <w:name w:val="TableNotes"/>
    <w:basedOn w:val="TableText"/>
    <w:link w:val="TableNotesChar"/>
    <w:rsid w:val="003A5D05"/>
    <w:pPr>
      <w:keepNext w:val="0"/>
      <w:keepLines/>
      <w:spacing w:before="0" w:after="360"/>
      <w:ind w:left="720"/>
      <w:contextualSpacing/>
    </w:pPr>
    <w:rPr>
      <w:sz w:val="16"/>
      <w:lang w:val="x-none" w:eastAsia="x-none"/>
    </w:rPr>
  </w:style>
  <w:style w:type="character" w:customStyle="1" w:styleId="TableNotesChar">
    <w:name w:val="TableNotes Char"/>
    <w:link w:val="TableNotes"/>
    <w:rsid w:val="003A5D05"/>
    <w:rPr>
      <w:rFonts w:ascii="Arial Narrow" w:hAnsi="Arial Narrow"/>
      <w:sz w:val="16"/>
    </w:rPr>
  </w:style>
  <w:style w:type="paragraph" w:styleId="Title">
    <w:name w:val="Title"/>
    <w:basedOn w:val="Normal"/>
    <w:qFormat/>
    <w:pPr>
      <w:ind w:left="0"/>
      <w:jc w:val="center"/>
    </w:pPr>
    <w:rPr>
      <w:rFonts w:ascii="Arial" w:hAnsi="Arial"/>
      <w:b/>
      <w:smallCaps/>
      <w:sz w:val="44"/>
    </w:rPr>
  </w:style>
  <w:style w:type="paragraph" w:styleId="TOC1">
    <w:name w:val="toc 1"/>
    <w:basedOn w:val="Normal"/>
    <w:next w:val="Normal"/>
    <w:autoRedefine/>
    <w:uiPriority w:val="39"/>
    <w:pPr>
      <w:tabs>
        <w:tab w:val="left" w:pos="1276"/>
        <w:tab w:val="right" w:leader="dot" w:pos="9017"/>
      </w:tabs>
      <w:spacing w:before="120" w:after="60"/>
      <w:ind w:right="720"/>
    </w:pPr>
    <w:rPr>
      <w:b/>
      <w:noProof/>
    </w:rPr>
  </w:style>
  <w:style w:type="paragraph" w:styleId="TOC2">
    <w:name w:val="toc 2"/>
    <w:basedOn w:val="Normal"/>
    <w:next w:val="Normal"/>
    <w:autoRedefine/>
    <w:uiPriority w:val="39"/>
    <w:pPr>
      <w:tabs>
        <w:tab w:val="right" w:leader="dot" w:pos="9017"/>
      </w:tabs>
      <w:spacing w:after="60"/>
      <w:ind w:left="1440" w:right="720"/>
    </w:pPr>
    <w:rPr>
      <w:noProof/>
    </w:rPr>
  </w:style>
  <w:style w:type="paragraph" w:styleId="TOC3">
    <w:name w:val="toc 3"/>
    <w:basedOn w:val="Normal"/>
    <w:next w:val="Normal"/>
    <w:autoRedefine/>
    <w:semiHidden/>
    <w:pPr>
      <w:tabs>
        <w:tab w:val="right" w:leader="dot" w:pos="9016"/>
      </w:tabs>
      <w:spacing w:after="0"/>
      <w:ind w:left="1418"/>
    </w:pPr>
    <w:rPr>
      <w:noProof/>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Dash">
    <w:name w:val="Dash"/>
    <w:basedOn w:val="Normal"/>
    <w:pPr>
      <w:numPr>
        <w:numId w:val="2"/>
      </w:numPr>
    </w:pPr>
  </w:style>
  <w:style w:type="paragraph" w:styleId="Quote">
    <w:name w:val="Quote"/>
    <w:basedOn w:val="Normal"/>
    <w:qFormat/>
    <w:pPr>
      <w:keepLines/>
      <w:ind w:left="1440" w:right="720"/>
    </w:pPr>
    <w:rPr>
      <w:sz w:val="22"/>
    </w:rPr>
  </w:style>
  <w:style w:type="paragraph" w:styleId="BodyText">
    <w:name w:val="Body Text"/>
    <w:basedOn w:val="Normal"/>
    <w:link w:val="BodyTextChar"/>
    <w:pPr>
      <w:spacing w:after="0"/>
      <w:ind w:left="0"/>
    </w:pPr>
    <w:rPr>
      <w:rFonts w:ascii="Helv" w:hAnsi="Helv"/>
      <w:b/>
      <w:i/>
      <w:snapToGrid w:val="0"/>
      <w:color w:val="000000"/>
      <w:sz w:val="28"/>
      <w:lang w:eastAsia="en-US"/>
    </w:rPr>
  </w:style>
  <w:style w:type="paragraph" w:styleId="BalloonText">
    <w:name w:val="Balloon Text"/>
    <w:basedOn w:val="Normal"/>
    <w:semiHidden/>
    <w:rsid w:val="00AF06B8"/>
    <w:rPr>
      <w:rFonts w:ascii="Tahoma" w:hAnsi="Tahoma" w:cs="Tahoma"/>
      <w:sz w:val="16"/>
      <w:szCs w:val="16"/>
    </w:rPr>
  </w:style>
  <w:style w:type="character" w:styleId="Hyperlink">
    <w:name w:val="Hyperlink"/>
    <w:uiPriority w:val="99"/>
    <w:qFormat/>
    <w:rsid w:val="00AF06B8"/>
    <w:rPr>
      <w:color w:val="0000FF"/>
      <w:u w:val="single"/>
    </w:rPr>
  </w:style>
  <w:style w:type="paragraph" w:styleId="Caption">
    <w:name w:val="caption"/>
    <w:basedOn w:val="Normal"/>
    <w:next w:val="Normal"/>
    <w:qFormat/>
    <w:rsid w:val="00F85E97"/>
    <w:pPr>
      <w:keepNext/>
    </w:pPr>
    <w:rPr>
      <w:rFonts w:ascii="Arial Narrow" w:hAnsi="Arial Narrow"/>
      <w:b/>
      <w:bCs/>
      <w:sz w:val="20"/>
    </w:rPr>
  </w:style>
  <w:style w:type="paragraph" w:customStyle="1" w:styleId="TableHeading0">
    <w:name w:val="Table Heading"/>
    <w:basedOn w:val="Normal"/>
    <w:next w:val="Normal"/>
    <w:rsid w:val="00C9014F"/>
    <w:pPr>
      <w:keepNext/>
      <w:spacing w:before="40" w:after="40"/>
      <w:ind w:left="0"/>
    </w:pPr>
    <w:rPr>
      <w:rFonts w:ascii="Arial" w:hAnsi="Arial"/>
      <w:b/>
      <w:sz w:val="18"/>
      <w:lang w:val="en-GB" w:eastAsia="en-US"/>
    </w:rPr>
  </w:style>
  <w:style w:type="table" w:styleId="TableGrid">
    <w:name w:val="Table Grid"/>
    <w:basedOn w:val="TableNormal"/>
    <w:uiPriority w:val="59"/>
    <w:rsid w:val="005265C4"/>
    <w:pPr>
      <w:spacing w:after="24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link w:val="TableTextChar0"/>
    <w:rsid w:val="00C4664B"/>
    <w:pPr>
      <w:keepNext/>
      <w:spacing w:before="40" w:after="40"/>
      <w:ind w:left="0"/>
    </w:pPr>
    <w:rPr>
      <w:rFonts w:ascii="Arial Narrow" w:hAnsi="Arial Narrow"/>
      <w:sz w:val="18"/>
      <w:lang w:val="x-none" w:eastAsia="en-US"/>
    </w:rPr>
  </w:style>
  <w:style w:type="character" w:customStyle="1" w:styleId="TableTextChar0">
    <w:name w:val="Table Text Char"/>
    <w:link w:val="TableText0"/>
    <w:rsid w:val="00C4664B"/>
    <w:rPr>
      <w:rFonts w:ascii="Arial Narrow" w:hAnsi="Arial Narrow"/>
      <w:sz w:val="18"/>
      <w:lang w:eastAsia="en-US"/>
    </w:rPr>
  </w:style>
  <w:style w:type="paragraph" w:customStyle="1" w:styleId="Boxname">
    <w:name w:val="Box name"/>
    <w:basedOn w:val="TableName"/>
    <w:link w:val="BoxnameChar"/>
    <w:rsid w:val="00310008"/>
  </w:style>
  <w:style w:type="character" w:customStyle="1" w:styleId="BoxnameChar">
    <w:name w:val="Box name Char"/>
    <w:basedOn w:val="TableNameChar"/>
    <w:link w:val="Boxname"/>
    <w:rsid w:val="00B141EB"/>
    <w:rPr>
      <w:rFonts w:ascii="Arial Narrow" w:hAnsi="Arial Narrow"/>
      <w:b/>
      <w:lang w:val="en-AU" w:eastAsia="en-AU" w:bidi="ar-SA"/>
    </w:rPr>
  </w:style>
  <w:style w:type="paragraph" w:styleId="CommentSubject">
    <w:name w:val="annotation subject"/>
    <w:basedOn w:val="CommentText"/>
    <w:next w:val="CommentText"/>
    <w:semiHidden/>
    <w:rsid w:val="003060DC"/>
    <w:rPr>
      <w:b/>
      <w:bCs/>
    </w:rPr>
  </w:style>
  <w:style w:type="paragraph" w:customStyle="1" w:styleId="StyleTableTextArialNarrowFirstline045cm">
    <w:name w:val="Style Table Text + Arial Narrow First line:  0.45 cm"/>
    <w:basedOn w:val="TableText0"/>
    <w:rsid w:val="008E0528"/>
    <w:pPr>
      <w:spacing w:after="360"/>
      <w:ind w:firstLine="720"/>
    </w:pPr>
  </w:style>
  <w:style w:type="character" w:styleId="FollowedHyperlink">
    <w:name w:val="FollowedHyperlink"/>
    <w:rsid w:val="003079EF"/>
    <w:rPr>
      <w:color w:val="800080"/>
      <w:u w:val="single"/>
    </w:rPr>
  </w:style>
  <w:style w:type="paragraph" w:customStyle="1" w:styleId="TableNamea">
    <w:name w:val="Table Name(a)"/>
    <w:basedOn w:val="Normal"/>
    <w:rsid w:val="0031303D"/>
    <w:pPr>
      <w:keepNext/>
      <w:spacing w:before="120" w:after="120"/>
      <w:ind w:left="1077" w:hanging="1077"/>
    </w:pPr>
    <w:rPr>
      <w:rFonts w:ascii="Arial" w:hAnsi="Arial"/>
      <w:b/>
      <w:sz w:val="20"/>
      <w:lang w:eastAsia="en-US"/>
    </w:rPr>
  </w:style>
  <w:style w:type="character" w:customStyle="1" w:styleId="BodyTextChar">
    <w:name w:val="Body Text Char"/>
    <w:link w:val="BodyText"/>
    <w:rsid w:val="00E97600"/>
    <w:rPr>
      <w:rFonts w:ascii="Helv" w:hAnsi="Helv"/>
      <w:b/>
      <w:i/>
      <w:snapToGrid w:val="0"/>
      <w:color w:val="000000"/>
      <w:sz w:val="28"/>
      <w:lang w:val="en-AU" w:eastAsia="en-US" w:bidi="ar-SA"/>
    </w:rPr>
  </w:style>
  <w:style w:type="character" w:customStyle="1" w:styleId="HeaderChar">
    <w:name w:val="Header Char"/>
    <w:link w:val="Header"/>
    <w:uiPriority w:val="99"/>
    <w:rsid w:val="002D5ECA"/>
    <w:rPr>
      <w:rFonts w:ascii="Garamond" w:hAnsi="Garamond"/>
      <w:sz w:val="24"/>
      <w:lang w:val="en-AU" w:eastAsia="en-AU"/>
    </w:rPr>
  </w:style>
  <w:style w:type="character" w:customStyle="1" w:styleId="Heading1Char">
    <w:name w:val="Heading 1 Char"/>
    <w:link w:val="Heading1"/>
    <w:rsid w:val="00715D39"/>
    <w:rPr>
      <w:rFonts w:ascii="Tahoma" w:hAnsi="Tahoma"/>
      <w:b/>
      <w:sz w:val="40"/>
    </w:rPr>
  </w:style>
  <w:style w:type="character" w:customStyle="1" w:styleId="hitorg1">
    <w:name w:val="hit_org1"/>
    <w:rsid w:val="0085254F"/>
    <w:rPr>
      <w:b/>
      <w:bCs/>
      <w:shd w:val="clear" w:color="auto" w:fill="FFEEDD"/>
    </w:rPr>
  </w:style>
  <w:style w:type="character" w:customStyle="1" w:styleId="CommentTextChar">
    <w:name w:val="Comment Text Char"/>
    <w:link w:val="CommentText"/>
    <w:rsid w:val="002D05FE"/>
    <w:rPr>
      <w:rFonts w:ascii="Garamond" w:hAnsi="Garamond"/>
      <w:lang w:val="en-AU" w:eastAsia="en-AU"/>
    </w:rPr>
  </w:style>
  <w:style w:type="character" w:customStyle="1" w:styleId="FooterChar">
    <w:name w:val="Footer Char"/>
    <w:link w:val="Footer"/>
    <w:uiPriority w:val="99"/>
    <w:rsid w:val="00713CB7"/>
    <w:rPr>
      <w:rFonts w:ascii="Arial" w:hAnsi="Arial"/>
      <w:b/>
      <w:lang w:val="en-AU" w:eastAsia="en-AU"/>
    </w:rPr>
  </w:style>
  <w:style w:type="character" w:customStyle="1" w:styleId="Heading4Char">
    <w:name w:val="Heading 4 Char"/>
    <w:link w:val="Heading4"/>
    <w:rsid w:val="004F6003"/>
    <w:rPr>
      <w:rFonts w:ascii="Tahoma" w:hAnsi="Tahoma"/>
      <w:b/>
      <w:lang w:eastAsia="x-none"/>
    </w:rPr>
  </w:style>
  <w:style w:type="character" w:customStyle="1" w:styleId="Heading3Char">
    <w:name w:val="Heading 3 Char"/>
    <w:link w:val="Heading3"/>
    <w:rsid w:val="00341337"/>
    <w:rPr>
      <w:rFonts w:ascii="Tahoma" w:hAnsi="Tahoma"/>
      <w:b/>
      <w:sz w:val="22"/>
    </w:rPr>
  </w:style>
  <w:style w:type="character" w:customStyle="1" w:styleId="CharChar9">
    <w:name w:val="Char Char9"/>
    <w:rsid w:val="00CD0EB9"/>
    <w:rPr>
      <w:rFonts w:ascii="Tahoma" w:hAnsi="Tahoma"/>
      <w:b/>
      <w:sz w:val="22"/>
      <w:lang w:val="en-AU" w:eastAsia="en-AU" w:bidi="ar-SA"/>
    </w:rPr>
  </w:style>
  <w:style w:type="paragraph" w:customStyle="1" w:styleId="Heading3a">
    <w:name w:val="Heading 3a"/>
    <w:basedOn w:val="Heading3"/>
    <w:uiPriority w:val="99"/>
    <w:rsid w:val="00981064"/>
    <w:pPr>
      <w:ind w:left="720"/>
      <w:outlineLvl w:val="9"/>
    </w:pPr>
  </w:style>
  <w:style w:type="character" w:customStyle="1" w:styleId="Heading2Char1">
    <w:name w:val="Heading 2 Char1"/>
    <w:uiPriority w:val="99"/>
    <w:locked/>
    <w:rsid w:val="009E0179"/>
    <w:rPr>
      <w:rFonts w:ascii="Tahoma" w:hAnsi="Tahoma" w:cs="Times New Roman"/>
      <w:b/>
      <w:sz w:val="28"/>
      <w:lang w:val="en-AU" w:eastAsia="en-AU" w:bidi="ar-SA"/>
    </w:rPr>
  </w:style>
  <w:style w:type="paragraph" w:styleId="ListParagraph">
    <w:name w:val="List Paragraph"/>
    <w:basedOn w:val="Normal"/>
    <w:qFormat/>
    <w:rsid w:val="009E0179"/>
    <w:pPr>
      <w:contextualSpacing/>
    </w:pPr>
  </w:style>
  <w:style w:type="paragraph" w:customStyle="1" w:styleId="StyleTableNameLeft1cm">
    <w:name w:val="Style TableName + Left:  1 cm"/>
    <w:basedOn w:val="Normal"/>
    <w:link w:val="StyleTableNameLeft1cmChar"/>
    <w:uiPriority w:val="99"/>
    <w:rsid w:val="00441959"/>
    <w:pPr>
      <w:keepNext/>
      <w:spacing w:before="40" w:after="40"/>
      <w:ind w:left="0"/>
    </w:pPr>
    <w:rPr>
      <w:rFonts w:ascii="Arial Narrow" w:hAnsi="Arial Narrow"/>
      <w:b/>
      <w:bCs/>
      <w:sz w:val="20"/>
      <w:lang w:val="x-none" w:eastAsia="x-none"/>
    </w:rPr>
  </w:style>
  <w:style w:type="character" w:customStyle="1" w:styleId="StyleTableNameLeft1cmChar">
    <w:name w:val="Style TableName + Left:  1 cm Char"/>
    <w:link w:val="StyleTableNameLeft1cm"/>
    <w:uiPriority w:val="99"/>
    <w:locked/>
    <w:rsid w:val="00441959"/>
    <w:rPr>
      <w:rFonts w:ascii="Arial Narrow" w:hAnsi="Arial Narrow"/>
      <w:b/>
      <w:bCs/>
    </w:rPr>
  </w:style>
  <w:style w:type="paragraph" w:styleId="Revision">
    <w:name w:val="Revision"/>
    <w:hidden/>
    <w:uiPriority w:val="99"/>
    <w:semiHidden/>
    <w:rsid w:val="009E5EA6"/>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058">
      <w:bodyDiv w:val="1"/>
      <w:marLeft w:val="0"/>
      <w:marRight w:val="0"/>
      <w:marTop w:val="0"/>
      <w:marBottom w:val="0"/>
      <w:divBdr>
        <w:top w:val="none" w:sz="0" w:space="0" w:color="auto"/>
        <w:left w:val="none" w:sz="0" w:space="0" w:color="auto"/>
        <w:bottom w:val="none" w:sz="0" w:space="0" w:color="auto"/>
        <w:right w:val="none" w:sz="0" w:space="0" w:color="auto"/>
      </w:divBdr>
    </w:div>
    <w:div w:id="44721479">
      <w:bodyDiv w:val="1"/>
      <w:marLeft w:val="0"/>
      <w:marRight w:val="0"/>
      <w:marTop w:val="0"/>
      <w:marBottom w:val="0"/>
      <w:divBdr>
        <w:top w:val="none" w:sz="0" w:space="0" w:color="auto"/>
        <w:left w:val="none" w:sz="0" w:space="0" w:color="auto"/>
        <w:bottom w:val="none" w:sz="0" w:space="0" w:color="auto"/>
        <w:right w:val="none" w:sz="0" w:space="0" w:color="auto"/>
      </w:divBdr>
    </w:div>
    <w:div w:id="68574738">
      <w:bodyDiv w:val="1"/>
      <w:marLeft w:val="0"/>
      <w:marRight w:val="0"/>
      <w:marTop w:val="0"/>
      <w:marBottom w:val="0"/>
      <w:divBdr>
        <w:top w:val="none" w:sz="0" w:space="0" w:color="auto"/>
        <w:left w:val="none" w:sz="0" w:space="0" w:color="auto"/>
        <w:bottom w:val="none" w:sz="0" w:space="0" w:color="auto"/>
        <w:right w:val="none" w:sz="0" w:space="0" w:color="auto"/>
      </w:divBdr>
    </w:div>
    <w:div w:id="185215284">
      <w:bodyDiv w:val="1"/>
      <w:marLeft w:val="0"/>
      <w:marRight w:val="0"/>
      <w:marTop w:val="0"/>
      <w:marBottom w:val="0"/>
      <w:divBdr>
        <w:top w:val="none" w:sz="0" w:space="0" w:color="auto"/>
        <w:left w:val="none" w:sz="0" w:space="0" w:color="auto"/>
        <w:bottom w:val="none" w:sz="0" w:space="0" w:color="auto"/>
        <w:right w:val="none" w:sz="0" w:space="0" w:color="auto"/>
      </w:divBdr>
    </w:div>
    <w:div w:id="194470657">
      <w:bodyDiv w:val="1"/>
      <w:marLeft w:val="0"/>
      <w:marRight w:val="0"/>
      <w:marTop w:val="0"/>
      <w:marBottom w:val="0"/>
      <w:divBdr>
        <w:top w:val="none" w:sz="0" w:space="0" w:color="auto"/>
        <w:left w:val="none" w:sz="0" w:space="0" w:color="auto"/>
        <w:bottom w:val="none" w:sz="0" w:space="0" w:color="auto"/>
        <w:right w:val="none" w:sz="0" w:space="0" w:color="auto"/>
      </w:divBdr>
    </w:div>
    <w:div w:id="203565194">
      <w:bodyDiv w:val="1"/>
      <w:marLeft w:val="0"/>
      <w:marRight w:val="0"/>
      <w:marTop w:val="0"/>
      <w:marBottom w:val="0"/>
      <w:divBdr>
        <w:top w:val="none" w:sz="0" w:space="0" w:color="auto"/>
        <w:left w:val="none" w:sz="0" w:space="0" w:color="auto"/>
        <w:bottom w:val="none" w:sz="0" w:space="0" w:color="auto"/>
        <w:right w:val="none" w:sz="0" w:space="0" w:color="auto"/>
      </w:divBdr>
    </w:div>
    <w:div w:id="227109199">
      <w:bodyDiv w:val="1"/>
      <w:marLeft w:val="0"/>
      <w:marRight w:val="0"/>
      <w:marTop w:val="0"/>
      <w:marBottom w:val="0"/>
      <w:divBdr>
        <w:top w:val="none" w:sz="0" w:space="0" w:color="auto"/>
        <w:left w:val="none" w:sz="0" w:space="0" w:color="auto"/>
        <w:bottom w:val="none" w:sz="0" w:space="0" w:color="auto"/>
        <w:right w:val="none" w:sz="0" w:space="0" w:color="auto"/>
      </w:divBdr>
    </w:div>
    <w:div w:id="237252292">
      <w:bodyDiv w:val="1"/>
      <w:marLeft w:val="0"/>
      <w:marRight w:val="0"/>
      <w:marTop w:val="0"/>
      <w:marBottom w:val="0"/>
      <w:divBdr>
        <w:top w:val="none" w:sz="0" w:space="0" w:color="auto"/>
        <w:left w:val="none" w:sz="0" w:space="0" w:color="auto"/>
        <w:bottom w:val="none" w:sz="0" w:space="0" w:color="auto"/>
        <w:right w:val="none" w:sz="0" w:space="0" w:color="auto"/>
      </w:divBdr>
    </w:div>
    <w:div w:id="237256144">
      <w:bodyDiv w:val="1"/>
      <w:marLeft w:val="0"/>
      <w:marRight w:val="1"/>
      <w:marTop w:val="0"/>
      <w:marBottom w:val="1500"/>
      <w:divBdr>
        <w:top w:val="none" w:sz="0" w:space="0" w:color="auto"/>
        <w:left w:val="none" w:sz="0" w:space="0" w:color="auto"/>
        <w:bottom w:val="none" w:sz="0" w:space="0" w:color="auto"/>
        <w:right w:val="none" w:sz="0" w:space="0" w:color="auto"/>
      </w:divBdr>
      <w:divsChild>
        <w:div w:id="728188957">
          <w:marLeft w:val="2700"/>
          <w:marRight w:val="0"/>
          <w:marTop w:val="0"/>
          <w:marBottom w:val="0"/>
          <w:divBdr>
            <w:top w:val="none" w:sz="0" w:space="0" w:color="auto"/>
            <w:left w:val="none" w:sz="0" w:space="0" w:color="auto"/>
            <w:bottom w:val="none" w:sz="0" w:space="0" w:color="auto"/>
            <w:right w:val="none" w:sz="0" w:space="0" w:color="auto"/>
          </w:divBdr>
          <w:divsChild>
            <w:div w:id="2052918704">
              <w:marLeft w:val="0"/>
              <w:marRight w:val="0"/>
              <w:marTop w:val="0"/>
              <w:marBottom w:val="0"/>
              <w:divBdr>
                <w:top w:val="none" w:sz="0" w:space="0" w:color="auto"/>
                <w:left w:val="none" w:sz="0" w:space="0" w:color="auto"/>
                <w:bottom w:val="none" w:sz="0" w:space="0" w:color="auto"/>
                <w:right w:val="none" w:sz="0" w:space="0" w:color="auto"/>
              </w:divBdr>
              <w:divsChild>
                <w:div w:id="2231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7705">
      <w:bodyDiv w:val="1"/>
      <w:marLeft w:val="0"/>
      <w:marRight w:val="0"/>
      <w:marTop w:val="0"/>
      <w:marBottom w:val="0"/>
      <w:divBdr>
        <w:top w:val="none" w:sz="0" w:space="0" w:color="auto"/>
        <w:left w:val="none" w:sz="0" w:space="0" w:color="auto"/>
        <w:bottom w:val="none" w:sz="0" w:space="0" w:color="auto"/>
        <w:right w:val="none" w:sz="0" w:space="0" w:color="auto"/>
      </w:divBdr>
    </w:div>
    <w:div w:id="282537407">
      <w:bodyDiv w:val="1"/>
      <w:marLeft w:val="0"/>
      <w:marRight w:val="0"/>
      <w:marTop w:val="0"/>
      <w:marBottom w:val="0"/>
      <w:divBdr>
        <w:top w:val="none" w:sz="0" w:space="0" w:color="auto"/>
        <w:left w:val="none" w:sz="0" w:space="0" w:color="auto"/>
        <w:bottom w:val="none" w:sz="0" w:space="0" w:color="auto"/>
        <w:right w:val="none" w:sz="0" w:space="0" w:color="auto"/>
      </w:divBdr>
      <w:divsChild>
        <w:div w:id="748384017">
          <w:marLeft w:val="240"/>
          <w:marRight w:val="240"/>
          <w:marTop w:val="360"/>
          <w:marBottom w:val="0"/>
          <w:divBdr>
            <w:top w:val="none" w:sz="0" w:space="0" w:color="auto"/>
            <w:left w:val="none" w:sz="0" w:space="0" w:color="auto"/>
            <w:bottom w:val="none" w:sz="0" w:space="0" w:color="auto"/>
            <w:right w:val="none" w:sz="0" w:space="0" w:color="auto"/>
          </w:divBdr>
          <w:divsChild>
            <w:div w:id="1590382866">
              <w:marLeft w:val="480"/>
              <w:marRight w:val="480"/>
              <w:marTop w:val="240"/>
              <w:marBottom w:val="0"/>
              <w:divBdr>
                <w:top w:val="none" w:sz="0" w:space="0" w:color="auto"/>
                <w:left w:val="none" w:sz="0" w:space="0" w:color="auto"/>
                <w:bottom w:val="none" w:sz="0" w:space="0" w:color="auto"/>
                <w:right w:val="none" w:sz="0" w:space="0" w:color="auto"/>
              </w:divBdr>
              <w:divsChild>
                <w:div w:id="1909729712">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287049758">
      <w:bodyDiv w:val="1"/>
      <w:marLeft w:val="0"/>
      <w:marRight w:val="0"/>
      <w:marTop w:val="0"/>
      <w:marBottom w:val="0"/>
      <w:divBdr>
        <w:top w:val="none" w:sz="0" w:space="0" w:color="auto"/>
        <w:left w:val="none" w:sz="0" w:space="0" w:color="auto"/>
        <w:bottom w:val="none" w:sz="0" w:space="0" w:color="auto"/>
        <w:right w:val="none" w:sz="0" w:space="0" w:color="auto"/>
      </w:divBdr>
    </w:div>
    <w:div w:id="303127052">
      <w:bodyDiv w:val="1"/>
      <w:marLeft w:val="0"/>
      <w:marRight w:val="0"/>
      <w:marTop w:val="0"/>
      <w:marBottom w:val="0"/>
      <w:divBdr>
        <w:top w:val="none" w:sz="0" w:space="0" w:color="auto"/>
        <w:left w:val="none" w:sz="0" w:space="0" w:color="auto"/>
        <w:bottom w:val="none" w:sz="0" w:space="0" w:color="auto"/>
        <w:right w:val="none" w:sz="0" w:space="0" w:color="auto"/>
      </w:divBdr>
    </w:div>
    <w:div w:id="314456309">
      <w:bodyDiv w:val="1"/>
      <w:marLeft w:val="0"/>
      <w:marRight w:val="0"/>
      <w:marTop w:val="0"/>
      <w:marBottom w:val="0"/>
      <w:divBdr>
        <w:top w:val="none" w:sz="0" w:space="0" w:color="auto"/>
        <w:left w:val="none" w:sz="0" w:space="0" w:color="auto"/>
        <w:bottom w:val="none" w:sz="0" w:space="0" w:color="auto"/>
        <w:right w:val="none" w:sz="0" w:space="0" w:color="auto"/>
      </w:divBdr>
    </w:div>
    <w:div w:id="323435338">
      <w:bodyDiv w:val="1"/>
      <w:marLeft w:val="0"/>
      <w:marRight w:val="0"/>
      <w:marTop w:val="0"/>
      <w:marBottom w:val="0"/>
      <w:divBdr>
        <w:top w:val="none" w:sz="0" w:space="0" w:color="auto"/>
        <w:left w:val="none" w:sz="0" w:space="0" w:color="auto"/>
        <w:bottom w:val="none" w:sz="0" w:space="0" w:color="auto"/>
        <w:right w:val="none" w:sz="0" w:space="0" w:color="auto"/>
      </w:divBdr>
    </w:div>
    <w:div w:id="338704923">
      <w:bodyDiv w:val="1"/>
      <w:marLeft w:val="0"/>
      <w:marRight w:val="0"/>
      <w:marTop w:val="0"/>
      <w:marBottom w:val="0"/>
      <w:divBdr>
        <w:top w:val="none" w:sz="0" w:space="0" w:color="auto"/>
        <w:left w:val="none" w:sz="0" w:space="0" w:color="auto"/>
        <w:bottom w:val="none" w:sz="0" w:space="0" w:color="auto"/>
        <w:right w:val="none" w:sz="0" w:space="0" w:color="auto"/>
      </w:divBdr>
    </w:div>
    <w:div w:id="339695907">
      <w:bodyDiv w:val="1"/>
      <w:marLeft w:val="0"/>
      <w:marRight w:val="0"/>
      <w:marTop w:val="0"/>
      <w:marBottom w:val="0"/>
      <w:divBdr>
        <w:top w:val="none" w:sz="0" w:space="0" w:color="auto"/>
        <w:left w:val="none" w:sz="0" w:space="0" w:color="auto"/>
        <w:bottom w:val="none" w:sz="0" w:space="0" w:color="auto"/>
        <w:right w:val="none" w:sz="0" w:space="0" w:color="auto"/>
      </w:divBdr>
    </w:div>
    <w:div w:id="342828412">
      <w:bodyDiv w:val="1"/>
      <w:marLeft w:val="0"/>
      <w:marRight w:val="0"/>
      <w:marTop w:val="0"/>
      <w:marBottom w:val="0"/>
      <w:divBdr>
        <w:top w:val="none" w:sz="0" w:space="0" w:color="auto"/>
        <w:left w:val="none" w:sz="0" w:space="0" w:color="auto"/>
        <w:bottom w:val="none" w:sz="0" w:space="0" w:color="auto"/>
        <w:right w:val="none" w:sz="0" w:space="0" w:color="auto"/>
      </w:divBdr>
    </w:div>
    <w:div w:id="349263256">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
        <w:div w:id="1495754264">
          <w:marLeft w:val="0"/>
          <w:marRight w:val="0"/>
          <w:marTop w:val="0"/>
          <w:marBottom w:val="0"/>
          <w:divBdr>
            <w:top w:val="none" w:sz="0" w:space="0" w:color="auto"/>
            <w:left w:val="none" w:sz="0" w:space="0" w:color="auto"/>
            <w:bottom w:val="none" w:sz="0" w:space="0" w:color="auto"/>
            <w:right w:val="none" w:sz="0" w:space="0" w:color="auto"/>
          </w:divBdr>
        </w:div>
      </w:divsChild>
    </w:div>
    <w:div w:id="351566289">
      <w:bodyDiv w:val="1"/>
      <w:marLeft w:val="0"/>
      <w:marRight w:val="0"/>
      <w:marTop w:val="0"/>
      <w:marBottom w:val="0"/>
      <w:divBdr>
        <w:top w:val="none" w:sz="0" w:space="0" w:color="auto"/>
        <w:left w:val="none" w:sz="0" w:space="0" w:color="auto"/>
        <w:bottom w:val="none" w:sz="0" w:space="0" w:color="auto"/>
        <w:right w:val="none" w:sz="0" w:space="0" w:color="auto"/>
      </w:divBdr>
    </w:div>
    <w:div w:id="368729992">
      <w:bodyDiv w:val="1"/>
      <w:marLeft w:val="0"/>
      <w:marRight w:val="0"/>
      <w:marTop w:val="0"/>
      <w:marBottom w:val="0"/>
      <w:divBdr>
        <w:top w:val="none" w:sz="0" w:space="0" w:color="auto"/>
        <w:left w:val="none" w:sz="0" w:space="0" w:color="auto"/>
        <w:bottom w:val="none" w:sz="0" w:space="0" w:color="auto"/>
        <w:right w:val="none" w:sz="0" w:space="0" w:color="auto"/>
      </w:divBdr>
    </w:div>
    <w:div w:id="409470734">
      <w:bodyDiv w:val="1"/>
      <w:marLeft w:val="0"/>
      <w:marRight w:val="0"/>
      <w:marTop w:val="0"/>
      <w:marBottom w:val="0"/>
      <w:divBdr>
        <w:top w:val="none" w:sz="0" w:space="0" w:color="auto"/>
        <w:left w:val="none" w:sz="0" w:space="0" w:color="auto"/>
        <w:bottom w:val="none" w:sz="0" w:space="0" w:color="auto"/>
        <w:right w:val="none" w:sz="0" w:space="0" w:color="auto"/>
      </w:divBdr>
    </w:div>
    <w:div w:id="424306319">
      <w:bodyDiv w:val="1"/>
      <w:marLeft w:val="0"/>
      <w:marRight w:val="0"/>
      <w:marTop w:val="0"/>
      <w:marBottom w:val="0"/>
      <w:divBdr>
        <w:top w:val="none" w:sz="0" w:space="0" w:color="auto"/>
        <w:left w:val="none" w:sz="0" w:space="0" w:color="auto"/>
        <w:bottom w:val="none" w:sz="0" w:space="0" w:color="auto"/>
        <w:right w:val="none" w:sz="0" w:space="0" w:color="auto"/>
      </w:divBdr>
    </w:div>
    <w:div w:id="426197672">
      <w:bodyDiv w:val="1"/>
      <w:marLeft w:val="0"/>
      <w:marRight w:val="0"/>
      <w:marTop w:val="0"/>
      <w:marBottom w:val="0"/>
      <w:divBdr>
        <w:top w:val="none" w:sz="0" w:space="0" w:color="auto"/>
        <w:left w:val="none" w:sz="0" w:space="0" w:color="auto"/>
        <w:bottom w:val="none" w:sz="0" w:space="0" w:color="auto"/>
        <w:right w:val="none" w:sz="0" w:space="0" w:color="auto"/>
      </w:divBdr>
    </w:div>
    <w:div w:id="436288957">
      <w:bodyDiv w:val="1"/>
      <w:marLeft w:val="0"/>
      <w:marRight w:val="0"/>
      <w:marTop w:val="0"/>
      <w:marBottom w:val="0"/>
      <w:divBdr>
        <w:top w:val="none" w:sz="0" w:space="0" w:color="auto"/>
        <w:left w:val="none" w:sz="0" w:space="0" w:color="auto"/>
        <w:bottom w:val="none" w:sz="0" w:space="0" w:color="auto"/>
        <w:right w:val="none" w:sz="0" w:space="0" w:color="auto"/>
      </w:divBdr>
    </w:div>
    <w:div w:id="458573193">
      <w:bodyDiv w:val="1"/>
      <w:marLeft w:val="0"/>
      <w:marRight w:val="0"/>
      <w:marTop w:val="0"/>
      <w:marBottom w:val="0"/>
      <w:divBdr>
        <w:top w:val="none" w:sz="0" w:space="0" w:color="auto"/>
        <w:left w:val="none" w:sz="0" w:space="0" w:color="auto"/>
        <w:bottom w:val="none" w:sz="0" w:space="0" w:color="auto"/>
        <w:right w:val="none" w:sz="0" w:space="0" w:color="auto"/>
      </w:divBdr>
    </w:div>
    <w:div w:id="473185767">
      <w:bodyDiv w:val="1"/>
      <w:marLeft w:val="0"/>
      <w:marRight w:val="0"/>
      <w:marTop w:val="0"/>
      <w:marBottom w:val="0"/>
      <w:divBdr>
        <w:top w:val="none" w:sz="0" w:space="0" w:color="auto"/>
        <w:left w:val="none" w:sz="0" w:space="0" w:color="auto"/>
        <w:bottom w:val="none" w:sz="0" w:space="0" w:color="auto"/>
        <w:right w:val="none" w:sz="0" w:space="0" w:color="auto"/>
      </w:divBdr>
    </w:div>
    <w:div w:id="499200123">
      <w:bodyDiv w:val="1"/>
      <w:marLeft w:val="0"/>
      <w:marRight w:val="0"/>
      <w:marTop w:val="0"/>
      <w:marBottom w:val="0"/>
      <w:divBdr>
        <w:top w:val="none" w:sz="0" w:space="0" w:color="auto"/>
        <w:left w:val="none" w:sz="0" w:space="0" w:color="auto"/>
        <w:bottom w:val="none" w:sz="0" w:space="0" w:color="auto"/>
        <w:right w:val="none" w:sz="0" w:space="0" w:color="auto"/>
      </w:divBdr>
    </w:div>
    <w:div w:id="520629547">
      <w:bodyDiv w:val="1"/>
      <w:marLeft w:val="0"/>
      <w:marRight w:val="0"/>
      <w:marTop w:val="0"/>
      <w:marBottom w:val="0"/>
      <w:divBdr>
        <w:top w:val="none" w:sz="0" w:space="0" w:color="auto"/>
        <w:left w:val="none" w:sz="0" w:space="0" w:color="auto"/>
        <w:bottom w:val="none" w:sz="0" w:space="0" w:color="auto"/>
        <w:right w:val="none" w:sz="0" w:space="0" w:color="auto"/>
      </w:divBdr>
    </w:div>
    <w:div w:id="526719234">
      <w:bodyDiv w:val="1"/>
      <w:marLeft w:val="0"/>
      <w:marRight w:val="0"/>
      <w:marTop w:val="0"/>
      <w:marBottom w:val="0"/>
      <w:divBdr>
        <w:top w:val="none" w:sz="0" w:space="0" w:color="auto"/>
        <w:left w:val="none" w:sz="0" w:space="0" w:color="auto"/>
        <w:bottom w:val="none" w:sz="0" w:space="0" w:color="auto"/>
        <w:right w:val="none" w:sz="0" w:space="0" w:color="auto"/>
      </w:divBdr>
    </w:div>
    <w:div w:id="554506209">
      <w:bodyDiv w:val="1"/>
      <w:marLeft w:val="0"/>
      <w:marRight w:val="0"/>
      <w:marTop w:val="0"/>
      <w:marBottom w:val="0"/>
      <w:divBdr>
        <w:top w:val="none" w:sz="0" w:space="0" w:color="auto"/>
        <w:left w:val="none" w:sz="0" w:space="0" w:color="auto"/>
        <w:bottom w:val="none" w:sz="0" w:space="0" w:color="auto"/>
        <w:right w:val="none" w:sz="0" w:space="0" w:color="auto"/>
      </w:divBdr>
    </w:div>
    <w:div w:id="586231862">
      <w:bodyDiv w:val="1"/>
      <w:marLeft w:val="0"/>
      <w:marRight w:val="0"/>
      <w:marTop w:val="0"/>
      <w:marBottom w:val="0"/>
      <w:divBdr>
        <w:top w:val="none" w:sz="0" w:space="0" w:color="auto"/>
        <w:left w:val="none" w:sz="0" w:space="0" w:color="auto"/>
        <w:bottom w:val="none" w:sz="0" w:space="0" w:color="auto"/>
        <w:right w:val="none" w:sz="0" w:space="0" w:color="auto"/>
      </w:divBdr>
    </w:div>
    <w:div w:id="602879509">
      <w:bodyDiv w:val="1"/>
      <w:marLeft w:val="0"/>
      <w:marRight w:val="0"/>
      <w:marTop w:val="0"/>
      <w:marBottom w:val="0"/>
      <w:divBdr>
        <w:top w:val="none" w:sz="0" w:space="0" w:color="auto"/>
        <w:left w:val="none" w:sz="0" w:space="0" w:color="auto"/>
        <w:bottom w:val="none" w:sz="0" w:space="0" w:color="auto"/>
        <w:right w:val="none" w:sz="0" w:space="0" w:color="auto"/>
      </w:divBdr>
    </w:div>
    <w:div w:id="605818070">
      <w:bodyDiv w:val="1"/>
      <w:marLeft w:val="0"/>
      <w:marRight w:val="0"/>
      <w:marTop w:val="0"/>
      <w:marBottom w:val="0"/>
      <w:divBdr>
        <w:top w:val="none" w:sz="0" w:space="0" w:color="auto"/>
        <w:left w:val="none" w:sz="0" w:space="0" w:color="auto"/>
        <w:bottom w:val="none" w:sz="0" w:space="0" w:color="auto"/>
        <w:right w:val="none" w:sz="0" w:space="0" w:color="auto"/>
      </w:divBdr>
    </w:div>
    <w:div w:id="619993469">
      <w:bodyDiv w:val="1"/>
      <w:marLeft w:val="0"/>
      <w:marRight w:val="0"/>
      <w:marTop w:val="0"/>
      <w:marBottom w:val="0"/>
      <w:divBdr>
        <w:top w:val="none" w:sz="0" w:space="0" w:color="auto"/>
        <w:left w:val="none" w:sz="0" w:space="0" w:color="auto"/>
        <w:bottom w:val="none" w:sz="0" w:space="0" w:color="auto"/>
        <w:right w:val="none" w:sz="0" w:space="0" w:color="auto"/>
      </w:divBdr>
    </w:div>
    <w:div w:id="630750905">
      <w:bodyDiv w:val="1"/>
      <w:marLeft w:val="0"/>
      <w:marRight w:val="0"/>
      <w:marTop w:val="0"/>
      <w:marBottom w:val="0"/>
      <w:divBdr>
        <w:top w:val="none" w:sz="0" w:space="0" w:color="auto"/>
        <w:left w:val="none" w:sz="0" w:space="0" w:color="auto"/>
        <w:bottom w:val="none" w:sz="0" w:space="0" w:color="auto"/>
        <w:right w:val="none" w:sz="0" w:space="0" w:color="auto"/>
      </w:divBdr>
    </w:div>
    <w:div w:id="631204674">
      <w:bodyDiv w:val="1"/>
      <w:marLeft w:val="0"/>
      <w:marRight w:val="0"/>
      <w:marTop w:val="0"/>
      <w:marBottom w:val="0"/>
      <w:divBdr>
        <w:top w:val="none" w:sz="0" w:space="0" w:color="auto"/>
        <w:left w:val="none" w:sz="0" w:space="0" w:color="auto"/>
        <w:bottom w:val="none" w:sz="0" w:space="0" w:color="auto"/>
        <w:right w:val="none" w:sz="0" w:space="0" w:color="auto"/>
      </w:divBdr>
    </w:div>
    <w:div w:id="794183058">
      <w:bodyDiv w:val="1"/>
      <w:marLeft w:val="0"/>
      <w:marRight w:val="0"/>
      <w:marTop w:val="0"/>
      <w:marBottom w:val="0"/>
      <w:divBdr>
        <w:top w:val="none" w:sz="0" w:space="0" w:color="auto"/>
        <w:left w:val="none" w:sz="0" w:space="0" w:color="auto"/>
        <w:bottom w:val="none" w:sz="0" w:space="0" w:color="auto"/>
        <w:right w:val="none" w:sz="0" w:space="0" w:color="auto"/>
      </w:divBdr>
    </w:div>
    <w:div w:id="843472804">
      <w:bodyDiv w:val="1"/>
      <w:marLeft w:val="0"/>
      <w:marRight w:val="0"/>
      <w:marTop w:val="0"/>
      <w:marBottom w:val="0"/>
      <w:divBdr>
        <w:top w:val="none" w:sz="0" w:space="0" w:color="auto"/>
        <w:left w:val="none" w:sz="0" w:space="0" w:color="auto"/>
        <w:bottom w:val="none" w:sz="0" w:space="0" w:color="auto"/>
        <w:right w:val="none" w:sz="0" w:space="0" w:color="auto"/>
      </w:divBdr>
    </w:div>
    <w:div w:id="875460534">
      <w:bodyDiv w:val="1"/>
      <w:marLeft w:val="0"/>
      <w:marRight w:val="0"/>
      <w:marTop w:val="0"/>
      <w:marBottom w:val="0"/>
      <w:divBdr>
        <w:top w:val="none" w:sz="0" w:space="0" w:color="auto"/>
        <w:left w:val="none" w:sz="0" w:space="0" w:color="auto"/>
        <w:bottom w:val="none" w:sz="0" w:space="0" w:color="auto"/>
        <w:right w:val="none" w:sz="0" w:space="0" w:color="auto"/>
      </w:divBdr>
      <w:divsChild>
        <w:div w:id="1436560732">
          <w:marLeft w:val="0"/>
          <w:marRight w:val="0"/>
          <w:marTop w:val="0"/>
          <w:marBottom w:val="0"/>
          <w:divBdr>
            <w:top w:val="none" w:sz="0" w:space="0" w:color="auto"/>
            <w:left w:val="none" w:sz="0" w:space="0" w:color="auto"/>
            <w:bottom w:val="none" w:sz="0" w:space="0" w:color="auto"/>
            <w:right w:val="none" w:sz="0" w:space="0" w:color="auto"/>
          </w:divBdr>
          <w:divsChild>
            <w:div w:id="1610431818">
              <w:marLeft w:val="0"/>
              <w:marRight w:val="0"/>
              <w:marTop w:val="0"/>
              <w:marBottom w:val="0"/>
              <w:divBdr>
                <w:top w:val="none" w:sz="0" w:space="0" w:color="auto"/>
                <w:left w:val="none" w:sz="0" w:space="0" w:color="auto"/>
                <w:bottom w:val="none" w:sz="0" w:space="0" w:color="auto"/>
                <w:right w:val="none" w:sz="0" w:space="0" w:color="auto"/>
              </w:divBdr>
              <w:divsChild>
                <w:div w:id="484592634">
                  <w:blockQuote w:val="1"/>
                  <w:marLeft w:val="720"/>
                  <w:marRight w:val="0"/>
                  <w:marTop w:val="100"/>
                  <w:marBottom w:val="100"/>
                  <w:divBdr>
                    <w:top w:val="none" w:sz="0" w:space="0" w:color="auto"/>
                    <w:left w:val="none" w:sz="0" w:space="0" w:color="auto"/>
                    <w:bottom w:val="none" w:sz="0" w:space="0" w:color="auto"/>
                    <w:right w:val="none" w:sz="0" w:space="0" w:color="auto"/>
                  </w:divBdr>
                </w:div>
                <w:div w:id="21383266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26304389">
      <w:bodyDiv w:val="1"/>
      <w:marLeft w:val="0"/>
      <w:marRight w:val="0"/>
      <w:marTop w:val="0"/>
      <w:marBottom w:val="0"/>
      <w:divBdr>
        <w:top w:val="none" w:sz="0" w:space="0" w:color="auto"/>
        <w:left w:val="none" w:sz="0" w:space="0" w:color="auto"/>
        <w:bottom w:val="none" w:sz="0" w:space="0" w:color="auto"/>
        <w:right w:val="none" w:sz="0" w:space="0" w:color="auto"/>
      </w:divBdr>
    </w:div>
    <w:div w:id="946424486">
      <w:bodyDiv w:val="1"/>
      <w:marLeft w:val="0"/>
      <w:marRight w:val="0"/>
      <w:marTop w:val="0"/>
      <w:marBottom w:val="0"/>
      <w:divBdr>
        <w:top w:val="none" w:sz="0" w:space="0" w:color="auto"/>
        <w:left w:val="none" w:sz="0" w:space="0" w:color="auto"/>
        <w:bottom w:val="none" w:sz="0" w:space="0" w:color="auto"/>
        <w:right w:val="none" w:sz="0" w:space="0" w:color="auto"/>
      </w:divBdr>
    </w:div>
    <w:div w:id="948901432">
      <w:bodyDiv w:val="1"/>
      <w:marLeft w:val="0"/>
      <w:marRight w:val="0"/>
      <w:marTop w:val="0"/>
      <w:marBottom w:val="0"/>
      <w:divBdr>
        <w:top w:val="none" w:sz="0" w:space="0" w:color="auto"/>
        <w:left w:val="none" w:sz="0" w:space="0" w:color="auto"/>
        <w:bottom w:val="none" w:sz="0" w:space="0" w:color="auto"/>
        <w:right w:val="none" w:sz="0" w:space="0" w:color="auto"/>
      </w:divBdr>
    </w:div>
    <w:div w:id="955212758">
      <w:bodyDiv w:val="1"/>
      <w:marLeft w:val="0"/>
      <w:marRight w:val="0"/>
      <w:marTop w:val="0"/>
      <w:marBottom w:val="0"/>
      <w:divBdr>
        <w:top w:val="none" w:sz="0" w:space="0" w:color="auto"/>
        <w:left w:val="none" w:sz="0" w:space="0" w:color="auto"/>
        <w:bottom w:val="none" w:sz="0" w:space="0" w:color="auto"/>
        <w:right w:val="none" w:sz="0" w:space="0" w:color="auto"/>
      </w:divBdr>
    </w:div>
    <w:div w:id="972826291">
      <w:bodyDiv w:val="1"/>
      <w:marLeft w:val="0"/>
      <w:marRight w:val="0"/>
      <w:marTop w:val="0"/>
      <w:marBottom w:val="0"/>
      <w:divBdr>
        <w:top w:val="none" w:sz="0" w:space="0" w:color="auto"/>
        <w:left w:val="none" w:sz="0" w:space="0" w:color="auto"/>
        <w:bottom w:val="none" w:sz="0" w:space="0" w:color="auto"/>
        <w:right w:val="none" w:sz="0" w:space="0" w:color="auto"/>
      </w:divBdr>
    </w:div>
    <w:div w:id="1001277645">
      <w:bodyDiv w:val="1"/>
      <w:marLeft w:val="0"/>
      <w:marRight w:val="0"/>
      <w:marTop w:val="0"/>
      <w:marBottom w:val="0"/>
      <w:divBdr>
        <w:top w:val="none" w:sz="0" w:space="0" w:color="auto"/>
        <w:left w:val="none" w:sz="0" w:space="0" w:color="auto"/>
        <w:bottom w:val="none" w:sz="0" w:space="0" w:color="auto"/>
        <w:right w:val="none" w:sz="0" w:space="0" w:color="auto"/>
      </w:divBdr>
    </w:div>
    <w:div w:id="1069227355">
      <w:bodyDiv w:val="1"/>
      <w:marLeft w:val="0"/>
      <w:marRight w:val="0"/>
      <w:marTop w:val="0"/>
      <w:marBottom w:val="0"/>
      <w:divBdr>
        <w:top w:val="none" w:sz="0" w:space="0" w:color="auto"/>
        <w:left w:val="none" w:sz="0" w:space="0" w:color="auto"/>
        <w:bottom w:val="none" w:sz="0" w:space="0" w:color="auto"/>
        <w:right w:val="none" w:sz="0" w:space="0" w:color="auto"/>
      </w:divBdr>
    </w:div>
    <w:div w:id="1083646542">
      <w:bodyDiv w:val="1"/>
      <w:marLeft w:val="0"/>
      <w:marRight w:val="0"/>
      <w:marTop w:val="0"/>
      <w:marBottom w:val="0"/>
      <w:divBdr>
        <w:top w:val="none" w:sz="0" w:space="0" w:color="auto"/>
        <w:left w:val="none" w:sz="0" w:space="0" w:color="auto"/>
        <w:bottom w:val="none" w:sz="0" w:space="0" w:color="auto"/>
        <w:right w:val="none" w:sz="0" w:space="0" w:color="auto"/>
      </w:divBdr>
    </w:div>
    <w:div w:id="1129009919">
      <w:bodyDiv w:val="1"/>
      <w:marLeft w:val="0"/>
      <w:marRight w:val="0"/>
      <w:marTop w:val="0"/>
      <w:marBottom w:val="0"/>
      <w:divBdr>
        <w:top w:val="none" w:sz="0" w:space="0" w:color="auto"/>
        <w:left w:val="none" w:sz="0" w:space="0" w:color="auto"/>
        <w:bottom w:val="none" w:sz="0" w:space="0" w:color="auto"/>
        <w:right w:val="none" w:sz="0" w:space="0" w:color="auto"/>
      </w:divBdr>
    </w:div>
    <w:div w:id="1133403089">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98665108">
      <w:bodyDiv w:val="1"/>
      <w:marLeft w:val="0"/>
      <w:marRight w:val="0"/>
      <w:marTop w:val="0"/>
      <w:marBottom w:val="0"/>
      <w:divBdr>
        <w:top w:val="none" w:sz="0" w:space="0" w:color="auto"/>
        <w:left w:val="none" w:sz="0" w:space="0" w:color="auto"/>
        <w:bottom w:val="none" w:sz="0" w:space="0" w:color="auto"/>
        <w:right w:val="none" w:sz="0" w:space="0" w:color="auto"/>
      </w:divBdr>
    </w:div>
    <w:div w:id="1230194485">
      <w:bodyDiv w:val="1"/>
      <w:marLeft w:val="0"/>
      <w:marRight w:val="0"/>
      <w:marTop w:val="0"/>
      <w:marBottom w:val="0"/>
      <w:divBdr>
        <w:top w:val="none" w:sz="0" w:space="0" w:color="auto"/>
        <w:left w:val="none" w:sz="0" w:space="0" w:color="auto"/>
        <w:bottom w:val="none" w:sz="0" w:space="0" w:color="auto"/>
        <w:right w:val="none" w:sz="0" w:space="0" w:color="auto"/>
      </w:divBdr>
    </w:div>
    <w:div w:id="1232304569">
      <w:bodyDiv w:val="1"/>
      <w:marLeft w:val="0"/>
      <w:marRight w:val="0"/>
      <w:marTop w:val="0"/>
      <w:marBottom w:val="0"/>
      <w:divBdr>
        <w:top w:val="none" w:sz="0" w:space="0" w:color="auto"/>
        <w:left w:val="none" w:sz="0" w:space="0" w:color="auto"/>
        <w:bottom w:val="none" w:sz="0" w:space="0" w:color="auto"/>
        <w:right w:val="none" w:sz="0" w:space="0" w:color="auto"/>
      </w:divBdr>
    </w:div>
    <w:div w:id="1258636249">
      <w:bodyDiv w:val="1"/>
      <w:marLeft w:val="0"/>
      <w:marRight w:val="0"/>
      <w:marTop w:val="0"/>
      <w:marBottom w:val="0"/>
      <w:divBdr>
        <w:top w:val="none" w:sz="0" w:space="0" w:color="auto"/>
        <w:left w:val="none" w:sz="0" w:space="0" w:color="auto"/>
        <w:bottom w:val="none" w:sz="0" w:space="0" w:color="auto"/>
        <w:right w:val="none" w:sz="0" w:space="0" w:color="auto"/>
      </w:divBdr>
      <w:divsChild>
        <w:div w:id="117335793">
          <w:marLeft w:val="720"/>
          <w:marRight w:val="720"/>
          <w:marTop w:val="0"/>
          <w:marBottom w:val="0"/>
          <w:divBdr>
            <w:top w:val="none" w:sz="0" w:space="0" w:color="auto"/>
            <w:left w:val="none" w:sz="0" w:space="0" w:color="auto"/>
            <w:bottom w:val="none" w:sz="0" w:space="0" w:color="auto"/>
            <w:right w:val="none" w:sz="0" w:space="0" w:color="auto"/>
          </w:divBdr>
          <w:divsChild>
            <w:div w:id="148466174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65068322">
      <w:bodyDiv w:val="1"/>
      <w:marLeft w:val="0"/>
      <w:marRight w:val="0"/>
      <w:marTop w:val="0"/>
      <w:marBottom w:val="0"/>
      <w:divBdr>
        <w:top w:val="none" w:sz="0" w:space="0" w:color="auto"/>
        <w:left w:val="none" w:sz="0" w:space="0" w:color="auto"/>
        <w:bottom w:val="none" w:sz="0" w:space="0" w:color="auto"/>
        <w:right w:val="none" w:sz="0" w:space="0" w:color="auto"/>
      </w:divBdr>
    </w:div>
    <w:div w:id="1267154314">
      <w:bodyDiv w:val="1"/>
      <w:marLeft w:val="0"/>
      <w:marRight w:val="0"/>
      <w:marTop w:val="0"/>
      <w:marBottom w:val="0"/>
      <w:divBdr>
        <w:top w:val="none" w:sz="0" w:space="0" w:color="auto"/>
        <w:left w:val="none" w:sz="0" w:space="0" w:color="auto"/>
        <w:bottom w:val="none" w:sz="0" w:space="0" w:color="auto"/>
        <w:right w:val="none" w:sz="0" w:space="0" w:color="auto"/>
      </w:divBdr>
    </w:div>
    <w:div w:id="1274558720">
      <w:bodyDiv w:val="1"/>
      <w:marLeft w:val="0"/>
      <w:marRight w:val="0"/>
      <w:marTop w:val="0"/>
      <w:marBottom w:val="0"/>
      <w:divBdr>
        <w:top w:val="none" w:sz="0" w:space="0" w:color="auto"/>
        <w:left w:val="none" w:sz="0" w:space="0" w:color="auto"/>
        <w:bottom w:val="none" w:sz="0" w:space="0" w:color="auto"/>
        <w:right w:val="none" w:sz="0" w:space="0" w:color="auto"/>
      </w:divBdr>
    </w:div>
    <w:div w:id="1282496701">
      <w:bodyDiv w:val="1"/>
      <w:marLeft w:val="0"/>
      <w:marRight w:val="0"/>
      <w:marTop w:val="0"/>
      <w:marBottom w:val="0"/>
      <w:divBdr>
        <w:top w:val="none" w:sz="0" w:space="0" w:color="auto"/>
        <w:left w:val="none" w:sz="0" w:space="0" w:color="auto"/>
        <w:bottom w:val="none" w:sz="0" w:space="0" w:color="auto"/>
        <w:right w:val="none" w:sz="0" w:space="0" w:color="auto"/>
      </w:divBdr>
    </w:div>
    <w:div w:id="1302228593">
      <w:bodyDiv w:val="1"/>
      <w:marLeft w:val="0"/>
      <w:marRight w:val="0"/>
      <w:marTop w:val="0"/>
      <w:marBottom w:val="0"/>
      <w:divBdr>
        <w:top w:val="none" w:sz="0" w:space="0" w:color="auto"/>
        <w:left w:val="none" w:sz="0" w:space="0" w:color="auto"/>
        <w:bottom w:val="none" w:sz="0" w:space="0" w:color="auto"/>
        <w:right w:val="none" w:sz="0" w:space="0" w:color="auto"/>
      </w:divBdr>
    </w:div>
    <w:div w:id="1314411822">
      <w:bodyDiv w:val="1"/>
      <w:marLeft w:val="0"/>
      <w:marRight w:val="0"/>
      <w:marTop w:val="0"/>
      <w:marBottom w:val="0"/>
      <w:divBdr>
        <w:top w:val="none" w:sz="0" w:space="0" w:color="auto"/>
        <w:left w:val="none" w:sz="0" w:space="0" w:color="auto"/>
        <w:bottom w:val="none" w:sz="0" w:space="0" w:color="auto"/>
        <w:right w:val="none" w:sz="0" w:space="0" w:color="auto"/>
      </w:divBdr>
    </w:div>
    <w:div w:id="1316111105">
      <w:bodyDiv w:val="1"/>
      <w:marLeft w:val="0"/>
      <w:marRight w:val="0"/>
      <w:marTop w:val="0"/>
      <w:marBottom w:val="0"/>
      <w:divBdr>
        <w:top w:val="none" w:sz="0" w:space="0" w:color="auto"/>
        <w:left w:val="none" w:sz="0" w:space="0" w:color="auto"/>
        <w:bottom w:val="none" w:sz="0" w:space="0" w:color="auto"/>
        <w:right w:val="none" w:sz="0" w:space="0" w:color="auto"/>
      </w:divBdr>
    </w:div>
    <w:div w:id="1338533151">
      <w:bodyDiv w:val="1"/>
      <w:marLeft w:val="0"/>
      <w:marRight w:val="0"/>
      <w:marTop w:val="0"/>
      <w:marBottom w:val="0"/>
      <w:divBdr>
        <w:top w:val="none" w:sz="0" w:space="0" w:color="auto"/>
        <w:left w:val="none" w:sz="0" w:space="0" w:color="auto"/>
        <w:bottom w:val="none" w:sz="0" w:space="0" w:color="auto"/>
        <w:right w:val="none" w:sz="0" w:space="0" w:color="auto"/>
      </w:divBdr>
    </w:div>
    <w:div w:id="1340306585">
      <w:bodyDiv w:val="1"/>
      <w:marLeft w:val="0"/>
      <w:marRight w:val="0"/>
      <w:marTop w:val="0"/>
      <w:marBottom w:val="0"/>
      <w:divBdr>
        <w:top w:val="none" w:sz="0" w:space="0" w:color="auto"/>
        <w:left w:val="none" w:sz="0" w:space="0" w:color="auto"/>
        <w:bottom w:val="none" w:sz="0" w:space="0" w:color="auto"/>
        <w:right w:val="none" w:sz="0" w:space="0" w:color="auto"/>
      </w:divBdr>
    </w:div>
    <w:div w:id="1340502452">
      <w:bodyDiv w:val="1"/>
      <w:marLeft w:val="0"/>
      <w:marRight w:val="0"/>
      <w:marTop w:val="0"/>
      <w:marBottom w:val="0"/>
      <w:divBdr>
        <w:top w:val="none" w:sz="0" w:space="0" w:color="auto"/>
        <w:left w:val="none" w:sz="0" w:space="0" w:color="auto"/>
        <w:bottom w:val="none" w:sz="0" w:space="0" w:color="auto"/>
        <w:right w:val="none" w:sz="0" w:space="0" w:color="auto"/>
      </w:divBdr>
    </w:div>
    <w:div w:id="1419057409">
      <w:bodyDiv w:val="1"/>
      <w:marLeft w:val="0"/>
      <w:marRight w:val="0"/>
      <w:marTop w:val="0"/>
      <w:marBottom w:val="0"/>
      <w:divBdr>
        <w:top w:val="none" w:sz="0" w:space="0" w:color="auto"/>
        <w:left w:val="none" w:sz="0" w:space="0" w:color="auto"/>
        <w:bottom w:val="none" w:sz="0" w:space="0" w:color="auto"/>
        <w:right w:val="none" w:sz="0" w:space="0" w:color="auto"/>
      </w:divBdr>
    </w:div>
    <w:div w:id="1449622324">
      <w:bodyDiv w:val="1"/>
      <w:marLeft w:val="0"/>
      <w:marRight w:val="0"/>
      <w:marTop w:val="0"/>
      <w:marBottom w:val="0"/>
      <w:divBdr>
        <w:top w:val="none" w:sz="0" w:space="0" w:color="auto"/>
        <w:left w:val="none" w:sz="0" w:space="0" w:color="auto"/>
        <w:bottom w:val="none" w:sz="0" w:space="0" w:color="auto"/>
        <w:right w:val="none" w:sz="0" w:space="0" w:color="auto"/>
      </w:divBdr>
    </w:div>
    <w:div w:id="1533106271">
      <w:bodyDiv w:val="1"/>
      <w:marLeft w:val="0"/>
      <w:marRight w:val="0"/>
      <w:marTop w:val="0"/>
      <w:marBottom w:val="0"/>
      <w:divBdr>
        <w:top w:val="none" w:sz="0" w:space="0" w:color="auto"/>
        <w:left w:val="none" w:sz="0" w:space="0" w:color="auto"/>
        <w:bottom w:val="none" w:sz="0" w:space="0" w:color="auto"/>
        <w:right w:val="none" w:sz="0" w:space="0" w:color="auto"/>
      </w:divBdr>
    </w:div>
    <w:div w:id="1545752214">
      <w:bodyDiv w:val="1"/>
      <w:marLeft w:val="0"/>
      <w:marRight w:val="0"/>
      <w:marTop w:val="0"/>
      <w:marBottom w:val="0"/>
      <w:divBdr>
        <w:top w:val="none" w:sz="0" w:space="0" w:color="auto"/>
        <w:left w:val="none" w:sz="0" w:space="0" w:color="auto"/>
        <w:bottom w:val="none" w:sz="0" w:space="0" w:color="auto"/>
        <w:right w:val="none" w:sz="0" w:space="0" w:color="auto"/>
      </w:divBdr>
    </w:div>
    <w:div w:id="1557161320">
      <w:bodyDiv w:val="1"/>
      <w:marLeft w:val="0"/>
      <w:marRight w:val="0"/>
      <w:marTop w:val="0"/>
      <w:marBottom w:val="0"/>
      <w:divBdr>
        <w:top w:val="none" w:sz="0" w:space="0" w:color="auto"/>
        <w:left w:val="none" w:sz="0" w:space="0" w:color="auto"/>
        <w:bottom w:val="none" w:sz="0" w:space="0" w:color="auto"/>
        <w:right w:val="none" w:sz="0" w:space="0" w:color="auto"/>
      </w:divBdr>
      <w:divsChild>
        <w:div w:id="918906596">
          <w:marLeft w:val="0"/>
          <w:marRight w:val="0"/>
          <w:marTop w:val="0"/>
          <w:marBottom w:val="0"/>
          <w:divBdr>
            <w:top w:val="none" w:sz="0" w:space="0" w:color="auto"/>
            <w:left w:val="none" w:sz="0" w:space="0" w:color="auto"/>
            <w:bottom w:val="none" w:sz="0" w:space="0" w:color="auto"/>
            <w:right w:val="none" w:sz="0" w:space="0" w:color="auto"/>
          </w:divBdr>
          <w:divsChild>
            <w:div w:id="1233853673">
              <w:marLeft w:val="0"/>
              <w:marRight w:val="0"/>
              <w:marTop w:val="0"/>
              <w:marBottom w:val="0"/>
              <w:divBdr>
                <w:top w:val="none" w:sz="0" w:space="0" w:color="auto"/>
                <w:left w:val="none" w:sz="0" w:space="0" w:color="auto"/>
                <w:bottom w:val="none" w:sz="0" w:space="0" w:color="auto"/>
                <w:right w:val="none" w:sz="0" w:space="0" w:color="auto"/>
              </w:divBdr>
              <w:divsChild>
                <w:div w:id="701250827">
                  <w:blockQuote w:val="1"/>
                  <w:marLeft w:val="720"/>
                  <w:marRight w:val="0"/>
                  <w:marTop w:val="100"/>
                  <w:marBottom w:val="100"/>
                  <w:divBdr>
                    <w:top w:val="none" w:sz="0" w:space="0" w:color="auto"/>
                    <w:left w:val="none" w:sz="0" w:space="0" w:color="auto"/>
                    <w:bottom w:val="none" w:sz="0" w:space="0" w:color="auto"/>
                    <w:right w:val="none" w:sz="0" w:space="0" w:color="auto"/>
                  </w:divBdr>
                </w:div>
                <w:div w:id="1511796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0332296">
      <w:bodyDiv w:val="1"/>
      <w:marLeft w:val="0"/>
      <w:marRight w:val="0"/>
      <w:marTop w:val="0"/>
      <w:marBottom w:val="0"/>
      <w:divBdr>
        <w:top w:val="none" w:sz="0" w:space="0" w:color="auto"/>
        <w:left w:val="none" w:sz="0" w:space="0" w:color="auto"/>
        <w:bottom w:val="none" w:sz="0" w:space="0" w:color="auto"/>
        <w:right w:val="none" w:sz="0" w:space="0" w:color="auto"/>
      </w:divBdr>
    </w:div>
    <w:div w:id="1666662417">
      <w:bodyDiv w:val="1"/>
      <w:marLeft w:val="0"/>
      <w:marRight w:val="0"/>
      <w:marTop w:val="0"/>
      <w:marBottom w:val="0"/>
      <w:divBdr>
        <w:top w:val="none" w:sz="0" w:space="0" w:color="auto"/>
        <w:left w:val="none" w:sz="0" w:space="0" w:color="auto"/>
        <w:bottom w:val="none" w:sz="0" w:space="0" w:color="auto"/>
        <w:right w:val="none" w:sz="0" w:space="0" w:color="auto"/>
      </w:divBdr>
    </w:div>
    <w:div w:id="1735424605">
      <w:bodyDiv w:val="1"/>
      <w:marLeft w:val="0"/>
      <w:marRight w:val="0"/>
      <w:marTop w:val="0"/>
      <w:marBottom w:val="0"/>
      <w:divBdr>
        <w:top w:val="none" w:sz="0" w:space="0" w:color="auto"/>
        <w:left w:val="none" w:sz="0" w:space="0" w:color="auto"/>
        <w:bottom w:val="none" w:sz="0" w:space="0" w:color="auto"/>
        <w:right w:val="none" w:sz="0" w:space="0" w:color="auto"/>
      </w:divBdr>
    </w:div>
    <w:div w:id="1829857447">
      <w:bodyDiv w:val="1"/>
      <w:marLeft w:val="0"/>
      <w:marRight w:val="0"/>
      <w:marTop w:val="0"/>
      <w:marBottom w:val="0"/>
      <w:divBdr>
        <w:top w:val="none" w:sz="0" w:space="0" w:color="auto"/>
        <w:left w:val="none" w:sz="0" w:space="0" w:color="auto"/>
        <w:bottom w:val="none" w:sz="0" w:space="0" w:color="auto"/>
        <w:right w:val="none" w:sz="0" w:space="0" w:color="auto"/>
      </w:divBdr>
    </w:div>
    <w:div w:id="1862552291">
      <w:bodyDiv w:val="1"/>
      <w:marLeft w:val="0"/>
      <w:marRight w:val="0"/>
      <w:marTop w:val="0"/>
      <w:marBottom w:val="0"/>
      <w:divBdr>
        <w:top w:val="none" w:sz="0" w:space="0" w:color="auto"/>
        <w:left w:val="none" w:sz="0" w:space="0" w:color="auto"/>
        <w:bottom w:val="none" w:sz="0" w:space="0" w:color="auto"/>
        <w:right w:val="none" w:sz="0" w:space="0" w:color="auto"/>
      </w:divBdr>
    </w:div>
    <w:div w:id="1886991144">
      <w:bodyDiv w:val="1"/>
      <w:marLeft w:val="0"/>
      <w:marRight w:val="0"/>
      <w:marTop w:val="0"/>
      <w:marBottom w:val="0"/>
      <w:divBdr>
        <w:top w:val="none" w:sz="0" w:space="0" w:color="auto"/>
        <w:left w:val="none" w:sz="0" w:space="0" w:color="auto"/>
        <w:bottom w:val="none" w:sz="0" w:space="0" w:color="auto"/>
        <w:right w:val="none" w:sz="0" w:space="0" w:color="auto"/>
      </w:divBdr>
    </w:div>
    <w:div w:id="1899585613">
      <w:bodyDiv w:val="1"/>
      <w:marLeft w:val="0"/>
      <w:marRight w:val="0"/>
      <w:marTop w:val="0"/>
      <w:marBottom w:val="0"/>
      <w:divBdr>
        <w:top w:val="none" w:sz="0" w:space="0" w:color="auto"/>
        <w:left w:val="none" w:sz="0" w:space="0" w:color="auto"/>
        <w:bottom w:val="none" w:sz="0" w:space="0" w:color="auto"/>
        <w:right w:val="none" w:sz="0" w:space="0" w:color="auto"/>
      </w:divBdr>
    </w:div>
    <w:div w:id="1911845922">
      <w:bodyDiv w:val="1"/>
      <w:marLeft w:val="0"/>
      <w:marRight w:val="0"/>
      <w:marTop w:val="0"/>
      <w:marBottom w:val="0"/>
      <w:divBdr>
        <w:top w:val="none" w:sz="0" w:space="0" w:color="auto"/>
        <w:left w:val="none" w:sz="0" w:space="0" w:color="auto"/>
        <w:bottom w:val="none" w:sz="0" w:space="0" w:color="auto"/>
        <w:right w:val="none" w:sz="0" w:space="0" w:color="auto"/>
      </w:divBdr>
    </w:div>
    <w:div w:id="1931039305">
      <w:bodyDiv w:val="1"/>
      <w:marLeft w:val="0"/>
      <w:marRight w:val="0"/>
      <w:marTop w:val="0"/>
      <w:marBottom w:val="0"/>
      <w:divBdr>
        <w:top w:val="none" w:sz="0" w:space="0" w:color="auto"/>
        <w:left w:val="none" w:sz="0" w:space="0" w:color="auto"/>
        <w:bottom w:val="none" w:sz="0" w:space="0" w:color="auto"/>
        <w:right w:val="none" w:sz="0" w:space="0" w:color="auto"/>
      </w:divBdr>
    </w:div>
    <w:div w:id="1955356091">
      <w:bodyDiv w:val="1"/>
      <w:marLeft w:val="0"/>
      <w:marRight w:val="0"/>
      <w:marTop w:val="0"/>
      <w:marBottom w:val="0"/>
      <w:divBdr>
        <w:top w:val="none" w:sz="0" w:space="0" w:color="auto"/>
        <w:left w:val="none" w:sz="0" w:space="0" w:color="auto"/>
        <w:bottom w:val="none" w:sz="0" w:space="0" w:color="auto"/>
        <w:right w:val="none" w:sz="0" w:space="0" w:color="auto"/>
      </w:divBdr>
    </w:div>
    <w:div w:id="1955359853">
      <w:bodyDiv w:val="1"/>
      <w:marLeft w:val="0"/>
      <w:marRight w:val="0"/>
      <w:marTop w:val="0"/>
      <w:marBottom w:val="0"/>
      <w:divBdr>
        <w:top w:val="none" w:sz="0" w:space="0" w:color="auto"/>
        <w:left w:val="none" w:sz="0" w:space="0" w:color="auto"/>
        <w:bottom w:val="none" w:sz="0" w:space="0" w:color="auto"/>
        <w:right w:val="none" w:sz="0" w:space="0" w:color="auto"/>
      </w:divBdr>
    </w:div>
    <w:div w:id="1960992326">
      <w:bodyDiv w:val="1"/>
      <w:marLeft w:val="0"/>
      <w:marRight w:val="0"/>
      <w:marTop w:val="0"/>
      <w:marBottom w:val="0"/>
      <w:divBdr>
        <w:top w:val="none" w:sz="0" w:space="0" w:color="auto"/>
        <w:left w:val="none" w:sz="0" w:space="0" w:color="auto"/>
        <w:bottom w:val="none" w:sz="0" w:space="0" w:color="auto"/>
        <w:right w:val="none" w:sz="0" w:space="0" w:color="auto"/>
      </w:divBdr>
    </w:div>
    <w:div w:id="2041975585">
      <w:bodyDiv w:val="1"/>
      <w:marLeft w:val="0"/>
      <w:marRight w:val="0"/>
      <w:marTop w:val="0"/>
      <w:marBottom w:val="0"/>
      <w:divBdr>
        <w:top w:val="none" w:sz="0" w:space="0" w:color="auto"/>
        <w:left w:val="none" w:sz="0" w:space="0" w:color="auto"/>
        <w:bottom w:val="none" w:sz="0" w:space="0" w:color="auto"/>
        <w:right w:val="none" w:sz="0" w:space="0" w:color="auto"/>
      </w:divBdr>
    </w:div>
    <w:div w:id="2051146078">
      <w:bodyDiv w:val="1"/>
      <w:marLeft w:val="0"/>
      <w:marRight w:val="0"/>
      <w:marTop w:val="0"/>
      <w:marBottom w:val="0"/>
      <w:divBdr>
        <w:top w:val="none" w:sz="0" w:space="0" w:color="auto"/>
        <w:left w:val="none" w:sz="0" w:space="0" w:color="auto"/>
        <w:bottom w:val="none" w:sz="0" w:space="0" w:color="auto"/>
        <w:right w:val="none" w:sz="0" w:space="0" w:color="auto"/>
      </w:divBdr>
    </w:div>
    <w:div w:id="2091540377">
      <w:bodyDiv w:val="1"/>
      <w:marLeft w:val="0"/>
      <w:marRight w:val="0"/>
      <w:marTop w:val="0"/>
      <w:marBottom w:val="0"/>
      <w:divBdr>
        <w:top w:val="none" w:sz="0" w:space="0" w:color="auto"/>
        <w:left w:val="none" w:sz="0" w:space="0" w:color="auto"/>
        <w:bottom w:val="none" w:sz="0" w:space="0" w:color="auto"/>
        <w:right w:val="none" w:sz="0" w:space="0" w:color="auto"/>
      </w:divBdr>
    </w:div>
    <w:div w:id="2097508601">
      <w:bodyDiv w:val="1"/>
      <w:marLeft w:val="0"/>
      <w:marRight w:val="0"/>
      <w:marTop w:val="0"/>
      <w:marBottom w:val="0"/>
      <w:divBdr>
        <w:top w:val="none" w:sz="0" w:space="0" w:color="auto"/>
        <w:left w:val="none" w:sz="0" w:space="0" w:color="auto"/>
        <w:bottom w:val="none" w:sz="0" w:space="0" w:color="auto"/>
        <w:right w:val="none" w:sz="0" w:space="0" w:color="auto"/>
      </w:divBdr>
    </w:div>
    <w:div w:id="2098745885">
      <w:bodyDiv w:val="1"/>
      <w:marLeft w:val="0"/>
      <w:marRight w:val="0"/>
      <w:marTop w:val="0"/>
      <w:marBottom w:val="0"/>
      <w:divBdr>
        <w:top w:val="none" w:sz="0" w:space="0" w:color="auto"/>
        <w:left w:val="none" w:sz="0" w:space="0" w:color="auto"/>
        <w:bottom w:val="none" w:sz="0" w:space="0" w:color="auto"/>
        <w:right w:val="none" w:sz="0" w:space="0" w:color="auto"/>
      </w:divBdr>
    </w:div>
    <w:div w:id="21021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footer" Target="footer20.xml"/><Relationship Id="rId21" Type="http://schemas.openxmlformats.org/officeDocument/2006/relationships/image" Target="media/image1.png"/><Relationship Id="rId34" Type="http://schemas.openxmlformats.org/officeDocument/2006/relationships/footer" Target="footer15.xml"/><Relationship Id="rId42" Type="http://schemas.openxmlformats.org/officeDocument/2006/relationships/image" Target="media/image4.png"/><Relationship Id="rId47" Type="http://schemas.openxmlformats.org/officeDocument/2006/relationships/chart" Target="charts/chart1.xml"/><Relationship Id="rId50" Type="http://schemas.openxmlformats.org/officeDocument/2006/relationships/footer" Target="footer26.xml"/><Relationship Id="rId55" Type="http://schemas.openxmlformats.org/officeDocument/2006/relationships/image" Target="media/image6.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4.xml"/><Relationship Id="rId41" Type="http://schemas.openxmlformats.org/officeDocument/2006/relationships/image" Target="media/image3.png"/><Relationship Id="rId54" Type="http://schemas.openxmlformats.org/officeDocument/2006/relationships/footer" Target="footer3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R:\AARAAS\MSAC\MSAC%20Reviews\MSAC%201150%20Stents\Final%20Documents\Assessment%20Report\RPT%202012-06-15%20MSAC%201150%20Final%20Report.doc" TargetMode="External"/><Relationship Id="rId24" Type="http://schemas.openxmlformats.org/officeDocument/2006/relationships/footer" Target="footer8.xml"/><Relationship Id="rId32" Type="http://schemas.openxmlformats.org/officeDocument/2006/relationships/header" Target="header6.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4.xml"/><Relationship Id="rId53" Type="http://schemas.openxmlformats.org/officeDocument/2006/relationships/footer" Target="footer29.xml"/><Relationship Id="rId58" Type="http://schemas.openxmlformats.org/officeDocument/2006/relationships/footer" Target="footer3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25.xml"/><Relationship Id="rId57" Type="http://schemas.openxmlformats.org/officeDocument/2006/relationships/footer" Target="footer31.xml"/><Relationship Id="rId61" Type="http://schemas.openxmlformats.org/officeDocument/2006/relationships/fontTable" Target="fontTable.xml"/><Relationship Id="rId10" Type="http://schemas.openxmlformats.org/officeDocument/2006/relationships/hyperlink" Target="file:///R:\AARAAS\MSAC\MSAC%20Reviews\MSAC%201150%20Stents\Final%20Documents\Assessment%20Report\RPT%202012-06-15%20MSAC%201150%20Final%20Report.doc" TargetMode="External"/><Relationship Id="rId19" Type="http://schemas.openxmlformats.org/officeDocument/2006/relationships/footer" Target="footer5.xml"/><Relationship Id="rId31" Type="http://schemas.openxmlformats.org/officeDocument/2006/relationships/footer" Target="footer13.xml"/><Relationship Id="rId44" Type="http://schemas.openxmlformats.org/officeDocument/2006/relationships/footer" Target="footer23.xml"/><Relationship Id="rId52" Type="http://schemas.openxmlformats.org/officeDocument/2006/relationships/footer" Target="footer28.xml"/><Relationship Id="rId60" Type="http://schemas.openxmlformats.org/officeDocument/2006/relationships/footer" Target="footer34.xml"/><Relationship Id="rId4" Type="http://schemas.microsoft.com/office/2007/relationships/stylesWithEffects" Target="stylesWithEffects.xml"/><Relationship Id="rId9" Type="http://schemas.openxmlformats.org/officeDocument/2006/relationships/hyperlink" Target="http://www.msac.gov.au/" TargetMode="Externa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oter" Target="footer11.xml"/><Relationship Id="rId30" Type="http://schemas.openxmlformats.org/officeDocument/2006/relationships/header" Target="header5.xml"/><Relationship Id="rId35" Type="http://schemas.openxmlformats.org/officeDocument/2006/relationships/footer" Target="footer16.xml"/><Relationship Id="rId43" Type="http://schemas.openxmlformats.org/officeDocument/2006/relationships/footer" Target="footer22.xml"/><Relationship Id="rId48" Type="http://schemas.openxmlformats.org/officeDocument/2006/relationships/header" Target="header7.xml"/><Relationship Id="rId56" Type="http://schemas.openxmlformats.org/officeDocument/2006/relationships/image" Target="media/image7.emf"/><Relationship Id="rId8" Type="http://schemas.openxmlformats.org/officeDocument/2006/relationships/endnotes" Target="endnotes.xml"/><Relationship Id="rId51" Type="http://schemas.openxmlformats.org/officeDocument/2006/relationships/footer" Target="footer2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image" Target="media/image5.png"/><Relationship Id="rId59" Type="http://schemas.openxmlformats.org/officeDocument/2006/relationships/footer" Target="footer3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ymbol val="none"/>
          </c:marker>
          <c:trendline>
            <c:spPr>
              <a:ln w="38100">
                <a:solidFill>
                  <a:srgbClr val="4F81BD"/>
                </a:solidFill>
              </a:ln>
            </c:spPr>
            <c:trendlineType val="linear"/>
            <c:dispRSqr val="0"/>
            <c:dispEq val="0"/>
          </c:trendline>
          <c:xVal>
            <c:numRef>
              <c:f>Sheet3!$A$2:$A$102</c:f>
              <c:numCache>
                <c:formatCode>General</c:formatCode>
                <c:ptCount val="101"/>
                <c:pt idx="0">
                  <c:v>0</c:v>
                </c:pt>
                <c:pt idx="1">
                  <c:v>1.0000000000000005E-2</c:v>
                </c:pt>
                <c:pt idx="2">
                  <c:v>2.0000000000000011E-2</c:v>
                </c:pt>
                <c:pt idx="3">
                  <c:v>3.0000000000000002E-2</c:v>
                </c:pt>
                <c:pt idx="4">
                  <c:v>4.0000000000000022E-2</c:v>
                </c:pt>
                <c:pt idx="5">
                  <c:v>0.05</c:v>
                </c:pt>
                <c:pt idx="6">
                  <c:v>6.0000000000000032E-2</c:v>
                </c:pt>
                <c:pt idx="7">
                  <c:v>7.0000000000000021E-2</c:v>
                </c:pt>
                <c:pt idx="8">
                  <c:v>8.0000000000000043E-2</c:v>
                </c:pt>
                <c:pt idx="9">
                  <c:v>9.0000000000000024E-2</c:v>
                </c:pt>
                <c:pt idx="10">
                  <c:v>0.1</c:v>
                </c:pt>
                <c:pt idx="11">
                  <c:v>0.11</c:v>
                </c:pt>
                <c:pt idx="12">
                  <c:v>0.12000000000000002</c:v>
                </c:pt>
                <c:pt idx="13">
                  <c:v>0.13</c:v>
                </c:pt>
                <c:pt idx="14">
                  <c:v>0.14000000000000001</c:v>
                </c:pt>
                <c:pt idx="15">
                  <c:v>0.15000000000000019</c:v>
                </c:pt>
                <c:pt idx="16">
                  <c:v>0.16</c:v>
                </c:pt>
                <c:pt idx="17">
                  <c:v>0.17</c:v>
                </c:pt>
                <c:pt idx="18">
                  <c:v>0.18000000000000019</c:v>
                </c:pt>
                <c:pt idx="19">
                  <c:v>0.19</c:v>
                </c:pt>
                <c:pt idx="20">
                  <c:v>0.2</c:v>
                </c:pt>
                <c:pt idx="21">
                  <c:v>0.21000000000000019</c:v>
                </c:pt>
                <c:pt idx="22">
                  <c:v>0.22</c:v>
                </c:pt>
                <c:pt idx="23">
                  <c:v>0.23</c:v>
                </c:pt>
                <c:pt idx="24">
                  <c:v>0.24000000000000019</c:v>
                </c:pt>
                <c:pt idx="25">
                  <c:v>0.25</c:v>
                </c:pt>
                <c:pt idx="26">
                  <c:v>0.26</c:v>
                </c:pt>
                <c:pt idx="27">
                  <c:v>0.27</c:v>
                </c:pt>
                <c:pt idx="28">
                  <c:v>0.28000000000000008</c:v>
                </c:pt>
                <c:pt idx="29">
                  <c:v>0.29000000000000031</c:v>
                </c:pt>
                <c:pt idx="30">
                  <c:v>0.30000000000000032</c:v>
                </c:pt>
                <c:pt idx="31">
                  <c:v>0.31000000000000039</c:v>
                </c:pt>
                <c:pt idx="32">
                  <c:v>0.32000000000000045</c:v>
                </c:pt>
                <c:pt idx="33">
                  <c:v>0.33000000000000052</c:v>
                </c:pt>
                <c:pt idx="34">
                  <c:v>0.34</c:v>
                </c:pt>
                <c:pt idx="35">
                  <c:v>0.35000000000000031</c:v>
                </c:pt>
                <c:pt idx="36">
                  <c:v>0.36000000000000032</c:v>
                </c:pt>
                <c:pt idx="37">
                  <c:v>0.37000000000000038</c:v>
                </c:pt>
                <c:pt idx="38">
                  <c:v>0.38000000000000045</c:v>
                </c:pt>
                <c:pt idx="39">
                  <c:v>0.39000000000000046</c:v>
                </c:pt>
                <c:pt idx="40">
                  <c:v>0.4</c:v>
                </c:pt>
                <c:pt idx="41">
                  <c:v>0.41000000000000031</c:v>
                </c:pt>
                <c:pt idx="42">
                  <c:v>0.42000000000000032</c:v>
                </c:pt>
                <c:pt idx="43">
                  <c:v>0.43000000000000038</c:v>
                </c:pt>
                <c:pt idx="44">
                  <c:v>0.44</c:v>
                </c:pt>
                <c:pt idx="45">
                  <c:v>0.45</c:v>
                </c:pt>
                <c:pt idx="46">
                  <c:v>0.46</c:v>
                </c:pt>
                <c:pt idx="47">
                  <c:v>0.47000000000000008</c:v>
                </c:pt>
                <c:pt idx="48">
                  <c:v>0.48000000000000032</c:v>
                </c:pt>
                <c:pt idx="49">
                  <c:v>0.49000000000000032</c:v>
                </c:pt>
                <c:pt idx="50">
                  <c:v>0.5</c:v>
                </c:pt>
                <c:pt idx="51">
                  <c:v>0.51</c:v>
                </c:pt>
                <c:pt idx="52">
                  <c:v>0.52</c:v>
                </c:pt>
                <c:pt idx="53">
                  <c:v>0.53</c:v>
                </c:pt>
                <c:pt idx="54">
                  <c:v>0.54</c:v>
                </c:pt>
                <c:pt idx="55">
                  <c:v>0.55000000000000004</c:v>
                </c:pt>
                <c:pt idx="56">
                  <c:v>0.56000000000000005</c:v>
                </c:pt>
                <c:pt idx="57">
                  <c:v>0.56999999999999995</c:v>
                </c:pt>
                <c:pt idx="58">
                  <c:v>0.58000000000000007</c:v>
                </c:pt>
                <c:pt idx="59">
                  <c:v>0.59</c:v>
                </c:pt>
                <c:pt idx="60">
                  <c:v>0.60000000000000064</c:v>
                </c:pt>
                <c:pt idx="61">
                  <c:v>0.61000000000000065</c:v>
                </c:pt>
                <c:pt idx="62">
                  <c:v>0.62000000000000077</c:v>
                </c:pt>
                <c:pt idx="63">
                  <c:v>0.63000000000000089</c:v>
                </c:pt>
                <c:pt idx="64">
                  <c:v>0.6400000000000009</c:v>
                </c:pt>
                <c:pt idx="65">
                  <c:v>0.65000000000000102</c:v>
                </c:pt>
                <c:pt idx="66">
                  <c:v>0.66000000000000103</c:v>
                </c:pt>
                <c:pt idx="67">
                  <c:v>0.67000000000000104</c:v>
                </c:pt>
                <c:pt idx="68">
                  <c:v>0.68</c:v>
                </c:pt>
                <c:pt idx="69">
                  <c:v>0.69000000000000061</c:v>
                </c:pt>
                <c:pt idx="70">
                  <c:v>0.70000000000000062</c:v>
                </c:pt>
                <c:pt idx="71">
                  <c:v>0.71000000000000063</c:v>
                </c:pt>
                <c:pt idx="72">
                  <c:v>0.72000000000000064</c:v>
                </c:pt>
                <c:pt idx="73">
                  <c:v>0.73000000000000065</c:v>
                </c:pt>
                <c:pt idx="74">
                  <c:v>0.74000000000000077</c:v>
                </c:pt>
                <c:pt idx="75">
                  <c:v>0.75000000000000089</c:v>
                </c:pt>
                <c:pt idx="76">
                  <c:v>0.7600000000000009</c:v>
                </c:pt>
                <c:pt idx="77">
                  <c:v>0.77000000000000091</c:v>
                </c:pt>
                <c:pt idx="78">
                  <c:v>0.78</c:v>
                </c:pt>
                <c:pt idx="79">
                  <c:v>0.79</c:v>
                </c:pt>
                <c:pt idx="80">
                  <c:v>0.8</c:v>
                </c:pt>
                <c:pt idx="81">
                  <c:v>0.81</c:v>
                </c:pt>
                <c:pt idx="82">
                  <c:v>0.82000000000000062</c:v>
                </c:pt>
                <c:pt idx="83">
                  <c:v>0.83000000000000063</c:v>
                </c:pt>
                <c:pt idx="84">
                  <c:v>0.84000000000000064</c:v>
                </c:pt>
                <c:pt idx="85">
                  <c:v>0.85000000000000064</c:v>
                </c:pt>
                <c:pt idx="86">
                  <c:v>0.86000000000000065</c:v>
                </c:pt>
                <c:pt idx="87">
                  <c:v>0.87000000000000077</c:v>
                </c:pt>
                <c:pt idx="88">
                  <c:v>0.88</c:v>
                </c:pt>
                <c:pt idx="89">
                  <c:v>0.89</c:v>
                </c:pt>
                <c:pt idx="90">
                  <c:v>0.9</c:v>
                </c:pt>
                <c:pt idx="91">
                  <c:v>0.91</c:v>
                </c:pt>
                <c:pt idx="92">
                  <c:v>0.92</c:v>
                </c:pt>
                <c:pt idx="93">
                  <c:v>0.93</c:v>
                </c:pt>
                <c:pt idx="94">
                  <c:v>0.94000000000000061</c:v>
                </c:pt>
                <c:pt idx="95">
                  <c:v>0.95000000000000062</c:v>
                </c:pt>
                <c:pt idx="96">
                  <c:v>0.96000000000000063</c:v>
                </c:pt>
                <c:pt idx="97">
                  <c:v>0.97000000000000064</c:v>
                </c:pt>
                <c:pt idx="98">
                  <c:v>0.98</c:v>
                </c:pt>
                <c:pt idx="99">
                  <c:v>0.99</c:v>
                </c:pt>
                <c:pt idx="100">
                  <c:v>1</c:v>
                </c:pt>
              </c:numCache>
            </c:numRef>
          </c:xVal>
          <c:yVal>
            <c:numRef>
              <c:f>Sheet3!$B$2:$B$102</c:f>
              <c:numCache>
                <c:formatCode>"$"#,##0.00_);[Red]\("$"#,##0.00\)</c:formatCode>
                <c:ptCount val="101"/>
                <c:pt idx="0">
                  <c:v>1294104.5176000001</c:v>
                </c:pt>
                <c:pt idx="1">
                  <c:v>1277523.6654033023</c:v>
                </c:pt>
                <c:pt idx="2">
                  <c:v>1260942.8132066049</c:v>
                </c:pt>
                <c:pt idx="3">
                  <c:v>1244361.9610099066</c:v>
                </c:pt>
                <c:pt idx="4">
                  <c:v>1227781.1088132111</c:v>
                </c:pt>
                <c:pt idx="5">
                  <c:v>1211200.2566165125</c:v>
                </c:pt>
                <c:pt idx="6">
                  <c:v>1194619.4044198149</c:v>
                </c:pt>
                <c:pt idx="7">
                  <c:v>1178038.5522231176</c:v>
                </c:pt>
                <c:pt idx="8">
                  <c:v>1161457.7000264204</c:v>
                </c:pt>
                <c:pt idx="9">
                  <c:v>1144876.8478297228</c:v>
                </c:pt>
                <c:pt idx="10">
                  <c:v>1128295.9956330238</c:v>
                </c:pt>
                <c:pt idx="11">
                  <c:v>1111715.1434363278</c:v>
                </c:pt>
                <c:pt idx="12">
                  <c:v>1095134.2912396302</c:v>
                </c:pt>
                <c:pt idx="13">
                  <c:v>1078553.4390429331</c:v>
                </c:pt>
                <c:pt idx="14">
                  <c:v>1061972.5868462373</c:v>
                </c:pt>
                <c:pt idx="15">
                  <c:v>1045391.734649537</c:v>
                </c:pt>
                <c:pt idx="16">
                  <c:v>1028810.8824528413</c:v>
                </c:pt>
                <c:pt idx="17">
                  <c:v>1012230.0302561442</c:v>
                </c:pt>
                <c:pt idx="18">
                  <c:v>995649.17805944558</c:v>
                </c:pt>
                <c:pt idx="19">
                  <c:v>979068.32586274936</c:v>
                </c:pt>
                <c:pt idx="20">
                  <c:v>962487.4736660507</c:v>
                </c:pt>
                <c:pt idx="21">
                  <c:v>945906.62146935321</c:v>
                </c:pt>
                <c:pt idx="22">
                  <c:v>929325.76927265537</c:v>
                </c:pt>
                <c:pt idx="23">
                  <c:v>912744.91707595822</c:v>
                </c:pt>
                <c:pt idx="24">
                  <c:v>896164.06487926038</c:v>
                </c:pt>
                <c:pt idx="25">
                  <c:v>879583.21268256335</c:v>
                </c:pt>
                <c:pt idx="26">
                  <c:v>863002.36048586713</c:v>
                </c:pt>
                <c:pt idx="27">
                  <c:v>846421.50828916847</c:v>
                </c:pt>
                <c:pt idx="28">
                  <c:v>829840.65609247144</c:v>
                </c:pt>
                <c:pt idx="29">
                  <c:v>813259.8038957743</c:v>
                </c:pt>
                <c:pt idx="30">
                  <c:v>796678.95169907645</c:v>
                </c:pt>
                <c:pt idx="31">
                  <c:v>780098.09950237838</c:v>
                </c:pt>
                <c:pt idx="32">
                  <c:v>763517.247305681</c:v>
                </c:pt>
                <c:pt idx="33">
                  <c:v>746936.39510898339</c:v>
                </c:pt>
                <c:pt idx="34">
                  <c:v>730355.54291228601</c:v>
                </c:pt>
                <c:pt idx="35">
                  <c:v>713774.69071558828</c:v>
                </c:pt>
                <c:pt idx="36">
                  <c:v>697193.83851889125</c:v>
                </c:pt>
                <c:pt idx="37">
                  <c:v>680612.98632219411</c:v>
                </c:pt>
                <c:pt idx="38">
                  <c:v>664032.13412549649</c:v>
                </c:pt>
                <c:pt idx="39">
                  <c:v>647451.28192879888</c:v>
                </c:pt>
                <c:pt idx="40">
                  <c:v>630870.4297321015</c:v>
                </c:pt>
                <c:pt idx="41">
                  <c:v>614289.57753540389</c:v>
                </c:pt>
                <c:pt idx="42">
                  <c:v>597708.72533870628</c:v>
                </c:pt>
                <c:pt idx="43">
                  <c:v>581127.8731420089</c:v>
                </c:pt>
                <c:pt idx="44">
                  <c:v>564547.02094531152</c:v>
                </c:pt>
                <c:pt idx="45">
                  <c:v>547966.16874861391</c:v>
                </c:pt>
                <c:pt idx="46">
                  <c:v>531385.31655191758</c:v>
                </c:pt>
                <c:pt idx="47">
                  <c:v>514804.46435521927</c:v>
                </c:pt>
                <c:pt idx="48">
                  <c:v>498223.61215852154</c:v>
                </c:pt>
                <c:pt idx="49">
                  <c:v>481642.75996182428</c:v>
                </c:pt>
                <c:pt idx="50">
                  <c:v>465061.90776512679</c:v>
                </c:pt>
                <c:pt idx="51">
                  <c:v>448481.05556842976</c:v>
                </c:pt>
                <c:pt idx="52">
                  <c:v>431900.20337173191</c:v>
                </c:pt>
                <c:pt idx="53">
                  <c:v>415319.35117503419</c:v>
                </c:pt>
                <c:pt idx="54">
                  <c:v>398738.49897833687</c:v>
                </c:pt>
                <c:pt idx="55">
                  <c:v>382157.64678163943</c:v>
                </c:pt>
                <c:pt idx="56">
                  <c:v>365576.79458494222</c:v>
                </c:pt>
                <c:pt idx="57">
                  <c:v>348995.94238824467</c:v>
                </c:pt>
                <c:pt idx="58">
                  <c:v>332415.09019154706</c:v>
                </c:pt>
                <c:pt idx="59">
                  <c:v>315834.23799484957</c:v>
                </c:pt>
                <c:pt idx="60">
                  <c:v>299253.38579815219</c:v>
                </c:pt>
                <c:pt idx="61">
                  <c:v>282672.53360145545</c:v>
                </c:pt>
                <c:pt idx="62">
                  <c:v>266091.68140475714</c:v>
                </c:pt>
                <c:pt idx="63">
                  <c:v>249510.82920805959</c:v>
                </c:pt>
                <c:pt idx="64">
                  <c:v>232929.97701136247</c:v>
                </c:pt>
                <c:pt idx="65">
                  <c:v>216349.12481466468</c:v>
                </c:pt>
                <c:pt idx="66">
                  <c:v>199768.27261796757</c:v>
                </c:pt>
                <c:pt idx="67">
                  <c:v>183187.42042126978</c:v>
                </c:pt>
                <c:pt idx="68">
                  <c:v>166606.56822457261</c:v>
                </c:pt>
                <c:pt idx="69">
                  <c:v>150025.71602787511</c:v>
                </c:pt>
                <c:pt idx="70">
                  <c:v>133444.86383117764</c:v>
                </c:pt>
                <c:pt idx="71">
                  <c:v>116864.01163448015</c:v>
                </c:pt>
                <c:pt idx="72">
                  <c:v>100283.15943778268</c:v>
                </c:pt>
                <c:pt idx="73">
                  <c:v>83702.307241085233</c:v>
                </c:pt>
                <c:pt idx="74">
                  <c:v>67121.455044387665</c:v>
                </c:pt>
                <c:pt idx="75">
                  <c:v>50540.602847690228</c:v>
                </c:pt>
                <c:pt idx="76">
                  <c:v>33959.750650992792</c:v>
                </c:pt>
                <c:pt idx="77">
                  <c:v>17378.898454295238</c:v>
                </c:pt>
                <c:pt idx="78">
                  <c:v>798.0462575978014</c:v>
                </c:pt>
                <c:pt idx="79">
                  <c:v>-15782.805939099668</c:v>
                </c:pt>
                <c:pt idx="80">
                  <c:v>-32363.65813579713</c:v>
                </c:pt>
                <c:pt idx="81">
                  <c:v>-48944.510332494727</c:v>
                </c:pt>
                <c:pt idx="82">
                  <c:v>-65525.362529191967</c:v>
                </c:pt>
                <c:pt idx="83">
                  <c:v>-82106.214725889382</c:v>
                </c:pt>
                <c:pt idx="84">
                  <c:v>-98687.066922586906</c:v>
                </c:pt>
                <c:pt idx="85">
                  <c:v>-115267.9191192844</c:v>
                </c:pt>
                <c:pt idx="86">
                  <c:v>-131848.77131598184</c:v>
                </c:pt>
                <c:pt idx="87">
                  <c:v>-148429.62351267895</c:v>
                </c:pt>
                <c:pt idx="88">
                  <c:v>-165010.4757093768</c:v>
                </c:pt>
                <c:pt idx="89">
                  <c:v>-181591.32790607406</c:v>
                </c:pt>
                <c:pt idx="90">
                  <c:v>-198172.18010277153</c:v>
                </c:pt>
                <c:pt idx="91">
                  <c:v>-214753.03229946931</c:v>
                </c:pt>
                <c:pt idx="92">
                  <c:v>-231333.88449616628</c:v>
                </c:pt>
                <c:pt idx="93">
                  <c:v>-247914.73669286398</c:v>
                </c:pt>
                <c:pt idx="94">
                  <c:v>-264495.58888956148</c:v>
                </c:pt>
                <c:pt idx="95">
                  <c:v>-281076.44108625886</c:v>
                </c:pt>
                <c:pt idx="96">
                  <c:v>-297657.29328295728</c:v>
                </c:pt>
                <c:pt idx="97">
                  <c:v>-314238.1454796539</c:v>
                </c:pt>
                <c:pt idx="98">
                  <c:v>-330818.99767635175</c:v>
                </c:pt>
                <c:pt idx="99">
                  <c:v>-347399.84987304889</c:v>
                </c:pt>
                <c:pt idx="100">
                  <c:v>-363980.70206974633</c:v>
                </c:pt>
              </c:numCache>
            </c:numRef>
          </c:yVal>
          <c:smooth val="0"/>
        </c:ser>
        <c:dLbls>
          <c:showLegendKey val="0"/>
          <c:showVal val="0"/>
          <c:showCatName val="0"/>
          <c:showSerName val="0"/>
          <c:showPercent val="0"/>
          <c:showBubbleSize val="0"/>
        </c:dLbls>
        <c:axId val="147612800"/>
        <c:axId val="147614720"/>
      </c:scatterChart>
      <c:valAx>
        <c:axId val="147612800"/>
        <c:scaling>
          <c:orientation val="minMax"/>
          <c:max val="1"/>
          <c:min val="0"/>
        </c:scaling>
        <c:delete val="0"/>
        <c:axPos val="b"/>
        <c:title>
          <c:tx>
            <c:rich>
              <a:bodyPr/>
              <a:lstStyle/>
              <a:p>
                <a:pPr>
                  <a:defRPr/>
                </a:pPr>
                <a:r>
                  <a:rPr lang="en-US"/>
                  <a:t>Percentage of patients receiving a SEMS instead of colostomy</a:t>
                </a:r>
              </a:p>
              <a:p>
                <a:pPr>
                  <a:defRPr/>
                </a:pPr>
                <a:r>
                  <a:rPr lang="en-US"/>
                  <a:t> versus</a:t>
                </a:r>
                <a:r>
                  <a:rPr lang="en-US" baseline="0"/>
                  <a:t> SEMS instead of BSC</a:t>
                </a:r>
                <a:endParaRPr lang="en-US"/>
              </a:p>
            </c:rich>
          </c:tx>
          <c:layout>
            <c:manualLayout>
              <c:xMode val="edge"/>
              <c:yMode val="edge"/>
              <c:x val="0.26843656518983067"/>
              <c:y val="0.87718625099920067"/>
            </c:manualLayout>
          </c:layout>
          <c:overlay val="0"/>
        </c:title>
        <c:numFmt formatCode="0%" sourceLinked="0"/>
        <c:majorTickMark val="out"/>
        <c:minorTickMark val="none"/>
        <c:tickLblPos val="nextTo"/>
        <c:crossAx val="147614720"/>
        <c:crosses val="autoZero"/>
        <c:crossBetween val="midCat"/>
      </c:valAx>
      <c:valAx>
        <c:axId val="147614720"/>
        <c:scaling>
          <c:orientation val="minMax"/>
        </c:scaling>
        <c:delete val="0"/>
        <c:axPos val="l"/>
        <c:majorGridlines/>
        <c:title>
          <c:tx>
            <c:rich>
              <a:bodyPr rot="-5400000" vert="horz"/>
              <a:lstStyle/>
              <a:p>
                <a:pPr>
                  <a:defRPr/>
                </a:pPr>
                <a:r>
                  <a:rPr lang="en-US"/>
                  <a:t>Estimated cost/</a:t>
                </a:r>
                <a:r>
                  <a:rPr lang="en-US" baseline="0"/>
                  <a:t> costi saving of stent placement</a:t>
                </a:r>
              </a:p>
              <a:p>
                <a:pPr>
                  <a:defRPr/>
                </a:pPr>
                <a:endParaRPr lang="en-US" baseline="0"/>
              </a:p>
              <a:p>
                <a:pPr>
                  <a:defRPr/>
                </a:pPr>
                <a:endParaRPr lang="en-US"/>
              </a:p>
            </c:rich>
          </c:tx>
          <c:layout/>
          <c:overlay val="0"/>
        </c:title>
        <c:numFmt formatCode="&quot;$&quot;#,##0_);[Red]\(&quot;$&quot;#,##0\)" sourceLinked="0"/>
        <c:majorTickMark val="out"/>
        <c:minorTickMark val="none"/>
        <c:tickLblPos val="nextTo"/>
        <c:txPr>
          <a:bodyPr/>
          <a:lstStyle/>
          <a:p>
            <a:pPr>
              <a:defRPr>
                <a:solidFill>
                  <a:sysClr val="windowText" lastClr="000000"/>
                </a:solidFill>
              </a:defRPr>
            </a:pPr>
            <a:endParaRPr lang="en-US"/>
          </a:p>
        </c:txPr>
        <c:crossAx val="147612800"/>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0.83034</cdr:x>
      <cdr:y>0.66187</cdr:y>
    </cdr:from>
    <cdr:to>
      <cdr:x>1</cdr:x>
      <cdr:y>0.72182</cdr:y>
    </cdr:to>
    <cdr:sp macro="" textlink="">
      <cdr:nvSpPr>
        <cdr:cNvPr id="2" name="TextBox 1"/>
        <cdr:cNvSpPr txBox="1"/>
      </cdr:nvSpPr>
      <cdr:spPr>
        <a:xfrm xmlns:a="http://schemas.openxmlformats.org/drawingml/2006/main">
          <a:off x="4010025" y="2628901"/>
          <a:ext cx="809625" cy="2381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Colostomy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44F8-6AAE-4346-BDB6-BEE202C6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193</Pages>
  <Words>60247</Words>
  <Characters>368528</Characters>
  <Application>Microsoft Office Word</Application>
  <DocSecurity>0</DocSecurity>
  <Lines>3071</Lines>
  <Paragraphs>855</Paragraphs>
  <ScaleCrop>false</ScaleCrop>
  <HeadingPairs>
    <vt:vector size="2" baseType="variant">
      <vt:variant>
        <vt:lpstr>Title</vt:lpstr>
      </vt:variant>
      <vt:variant>
        <vt:i4>1</vt:i4>
      </vt:variant>
    </vt:vector>
  </HeadingPairs>
  <TitlesOfParts>
    <vt:vector size="1" baseType="lpstr">
      <vt:lpstr>MSAC Assessment Report Template</vt:lpstr>
    </vt:vector>
  </TitlesOfParts>
  <Company>Royal Australasian College Of Surgeons</Company>
  <LinksUpToDate>false</LinksUpToDate>
  <CharactersWithSpaces>427920</CharactersWithSpaces>
  <SharedDoc>false</SharedDoc>
  <HLinks>
    <vt:vector size="966" baseType="variant">
      <vt:variant>
        <vt:i4>4456459</vt:i4>
      </vt:variant>
      <vt:variant>
        <vt:i4>1161</vt:i4>
      </vt:variant>
      <vt:variant>
        <vt:i4>0</vt:i4>
      </vt:variant>
      <vt:variant>
        <vt:i4>5</vt:i4>
      </vt:variant>
      <vt:variant>
        <vt:lpwstr/>
      </vt:variant>
      <vt:variant>
        <vt:lpwstr>_ENREF_5</vt:lpwstr>
      </vt:variant>
      <vt:variant>
        <vt:i4>4718603</vt:i4>
      </vt:variant>
      <vt:variant>
        <vt:i4>1155</vt:i4>
      </vt:variant>
      <vt:variant>
        <vt:i4>0</vt:i4>
      </vt:variant>
      <vt:variant>
        <vt:i4>5</vt:i4>
      </vt:variant>
      <vt:variant>
        <vt:lpwstr/>
      </vt:variant>
      <vt:variant>
        <vt:lpwstr>_ENREF_90</vt:lpwstr>
      </vt:variant>
      <vt:variant>
        <vt:i4>4325387</vt:i4>
      </vt:variant>
      <vt:variant>
        <vt:i4>1119</vt:i4>
      </vt:variant>
      <vt:variant>
        <vt:i4>0</vt:i4>
      </vt:variant>
      <vt:variant>
        <vt:i4>5</vt:i4>
      </vt:variant>
      <vt:variant>
        <vt:lpwstr/>
      </vt:variant>
      <vt:variant>
        <vt:lpwstr>_ENREF_37</vt:lpwstr>
      </vt:variant>
      <vt:variant>
        <vt:i4>1114167</vt:i4>
      </vt:variant>
      <vt:variant>
        <vt:i4>944</vt:i4>
      </vt:variant>
      <vt:variant>
        <vt:i4>0</vt:i4>
      </vt:variant>
      <vt:variant>
        <vt:i4>5</vt:i4>
      </vt:variant>
      <vt:variant>
        <vt:lpwstr/>
      </vt:variant>
      <vt:variant>
        <vt:lpwstr>_Toc327522136</vt:lpwstr>
      </vt:variant>
      <vt:variant>
        <vt:i4>1114167</vt:i4>
      </vt:variant>
      <vt:variant>
        <vt:i4>938</vt:i4>
      </vt:variant>
      <vt:variant>
        <vt:i4>0</vt:i4>
      </vt:variant>
      <vt:variant>
        <vt:i4>5</vt:i4>
      </vt:variant>
      <vt:variant>
        <vt:lpwstr/>
      </vt:variant>
      <vt:variant>
        <vt:lpwstr>_Toc327522135</vt:lpwstr>
      </vt:variant>
      <vt:variant>
        <vt:i4>1114167</vt:i4>
      </vt:variant>
      <vt:variant>
        <vt:i4>932</vt:i4>
      </vt:variant>
      <vt:variant>
        <vt:i4>0</vt:i4>
      </vt:variant>
      <vt:variant>
        <vt:i4>5</vt:i4>
      </vt:variant>
      <vt:variant>
        <vt:lpwstr/>
      </vt:variant>
      <vt:variant>
        <vt:lpwstr>_Toc327522134</vt:lpwstr>
      </vt:variant>
      <vt:variant>
        <vt:i4>1114167</vt:i4>
      </vt:variant>
      <vt:variant>
        <vt:i4>926</vt:i4>
      </vt:variant>
      <vt:variant>
        <vt:i4>0</vt:i4>
      </vt:variant>
      <vt:variant>
        <vt:i4>5</vt:i4>
      </vt:variant>
      <vt:variant>
        <vt:lpwstr/>
      </vt:variant>
      <vt:variant>
        <vt:lpwstr>_Toc327522133</vt:lpwstr>
      </vt:variant>
      <vt:variant>
        <vt:i4>1114167</vt:i4>
      </vt:variant>
      <vt:variant>
        <vt:i4>920</vt:i4>
      </vt:variant>
      <vt:variant>
        <vt:i4>0</vt:i4>
      </vt:variant>
      <vt:variant>
        <vt:i4>5</vt:i4>
      </vt:variant>
      <vt:variant>
        <vt:lpwstr/>
      </vt:variant>
      <vt:variant>
        <vt:lpwstr>_Toc327522132</vt:lpwstr>
      </vt:variant>
      <vt:variant>
        <vt:i4>1114167</vt:i4>
      </vt:variant>
      <vt:variant>
        <vt:i4>914</vt:i4>
      </vt:variant>
      <vt:variant>
        <vt:i4>0</vt:i4>
      </vt:variant>
      <vt:variant>
        <vt:i4>5</vt:i4>
      </vt:variant>
      <vt:variant>
        <vt:lpwstr/>
      </vt:variant>
      <vt:variant>
        <vt:lpwstr>_Toc327522131</vt:lpwstr>
      </vt:variant>
      <vt:variant>
        <vt:i4>1114167</vt:i4>
      </vt:variant>
      <vt:variant>
        <vt:i4>908</vt:i4>
      </vt:variant>
      <vt:variant>
        <vt:i4>0</vt:i4>
      </vt:variant>
      <vt:variant>
        <vt:i4>5</vt:i4>
      </vt:variant>
      <vt:variant>
        <vt:lpwstr/>
      </vt:variant>
      <vt:variant>
        <vt:lpwstr>_Toc327522130</vt:lpwstr>
      </vt:variant>
      <vt:variant>
        <vt:i4>7864327</vt:i4>
      </vt:variant>
      <vt:variant>
        <vt:i4>902</vt:i4>
      </vt:variant>
      <vt:variant>
        <vt:i4>0</vt:i4>
      </vt:variant>
      <vt:variant>
        <vt:i4>5</vt:i4>
      </vt:variant>
      <vt:variant>
        <vt:lpwstr>\\surgeons-sa03\Shared Data\AARAAS\MSAC\MSAC Reviews\MSAC 1150 Stents\Final Documents\Assessment Report\RPT 2012-06-15 MSAC 1150 Final Report.doc</vt:lpwstr>
      </vt:variant>
      <vt:variant>
        <vt:lpwstr>_Toc327522129</vt:lpwstr>
      </vt:variant>
      <vt:variant>
        <vt:i4>7864327</vt:i4>
      </vt:variant>
      <vt:variant>
        <vt:i4>896</vt:i4>
      </vt:variant>
      <vt:variant>
        <vt:i4>0</vt:i4>
      </vt:variant>
      <vt:variant>
        <vt:i4>5</vt:i4>
      </vt:variant>
      <vt:variant>
        <vt:lpwstr>\\surgeons-sa03\Shared Data\AARAAS\MSAC\MSAC Reviews\MSAC 1150 Stents\Final Documents\Assessment Report\RPT 2012-06-15 MSAC 1150 Final Report.doc</vt:lpwstr>
      </vt:variant>
      <vt:variant>
        <vt:lpwstr>_Toc327522128</vt:lpwstr>
      </vt:variant>
      <vt:variant>
        <vt:i4>1048631</vt:i4>
      </vt:variant>
      <vt:variant>
        <vt:i4>890</vt:i4>
      </vt:variant>
      <vt:variant>
        <vt:i4>0</vt:i4>
      </vt:variant>
      <vt:variant>
        <vt:i4>5</vt:i4>
      </vt:variant>
      <vt:variant>
        <vt:lpwstr/>
      </vt:variant>
      <vt:variant>
        <vt:lpwstr>_Toc327522127</vt:lpwstr>
      </vt:variant>
      <vt:variant>
        <vt:i4>1048631</vt:i4>
      </vt:variant>
      <vt:variant>
        <vt:i4>884</vt:i4>
      </vt:variant>
      <vt:variant>
        <vt:i4>0</vt:i4>
      </vt:variant>
      <vt:variant>
        <vt:i4>5</vt:i4>
      </vt:variant>
      <vt:variant>
        <vt:lpwstr/>
      </vt:variant>
      <vt:variant>
        <vt:lpwstr>_Toc327522126</vt:lpwstr>
      </vt:variant>
      <vt:variant>
        <vt:i4>1048631</vt:i4>
      </vt:variant>
      <vt:variant>
        <vt:i4>878</vt:i4>
      </vt:variant>
      <vt:variant>
        <vt:i4>0</vt:i4>
      </vt:variant>
      <vt:variant>
        <vt:i4>5</vt:i4>
      </vt:variant>
      <vt:variant>
        <vt:lpwstr/>
      </vt:variant>
      <vt:variant>
        <vt:lpwstr>_Toc327522125</vt:lpwstr>
      </vt:variant>
      <vt:variant>
        <vt:i4>1048631</vt:i4>
      </vt:variant>
      <vt:variant>
        <vt:i4>872</vt:i4>
      </vt:variant>
      <vt:variant>
        <vt:i4>0</vt:i4>
      </vt:variant>
      <vt:variant>
        <vt:i4>5</vt:i4>
      </vt:variant>
      <vt:variant>
        <vt:lpwstr/>
      </vt:variant>
      <vt:variant>
        <vt:lpwstr>_Toc327522124</vt:lpwstr>
      </vt:variant>
      <vt:variant>
        <vt:i4>1048631</vt:i4>
      </vt:variant>
      <vt:variant>
        <vt:i4>863</vt:i4>
      </vt:variant>
      <vt:variant>
        <vt:i4>0</vt:i4>
      </vt:variant>
      <vt:variant>
        <vt:i4>5</vt:i4>
      </vt:variant>
      <vt:variant>
        <vt:lpwstr/>
      </vt:variant>
      <vt:variant>
        <vt:lpwstr>_Toc327522123</vt:lpwstr>
      </vt:variant>
      <vt:variant>
        <vt:i4>1048631</vt:i4>
      </vt:variant>
      <vt:variant>
        <vt:i4>857</vt:i4>
      </vt:variant>
      <vt:variant>
        <vt:i4>0</vt:i4>
      </vt:variant>
      <vt:variant>
        <vt:i4>5</vt:i4>
      </vt:variant>
      <vt:variant>
        <vt:lpwstr/>
      </vt:variant>
      <vt:variant>
        <vt:lpwstr>_Toc327522122</vt:lpwstr>
      </vt:variant>
      <vt:variant>
        <vt:i4>1048631</vt:i4>
      </vt:variant>
      <vt:variant>
        <vt:i4>851</vt:i4>
      </vt:variant>
      <vt:variant>
        <vt:i4>0</vt:i4>
      </vt:variant>
      <vt:variant>
        <vt:i4>5</vt:i4>
      </vt:variant>
      <vt:variant>
        <vt:lpwstr/>
      </vt:variant>
      <vt:variant>
        <vt:lpwstr>_Toc327522121</vt:lpwstr>
      </vt:variant>
      <vt:variant>
        <vt:i4>1048631</vt:i4>
      </vt:variant>
      <vt:variant>
        <vt:i4>845</vt:i4>
      </vt:variant>
      <vt:variant>
        <vt:i4>0</vt:i4>
      </vt:variant>
      <vt:variant>
        <vt:i4>5</vt:i4>
      </vt:variant>
      <vt:variant>
        <vt:lpwstr/>
      </vt:variant>
      <vt:variant>
        <vt:lpwstr>_Toc327522120</vt:lpwstr>
      </vt:variant>
      <vt:variant>
        <vt:i4>1245239</vt:i4>
      </vt:variant>
      <vt:variant>
        <vt:i4>839</vt:i4>
      </vt:variant>
      <vt:variant>
        <vt:i4>0</vt:i4>
      </vt:variant>
      <vt:variant>
        <vt:i4>5</vt:i4>
      </vt:variant>
      <vt:variant>
        <vt:lpwstr/>
      </vt:variant>
      <vt:variant>
        <vt:lpwstr>_Toc327522119</vt:lpwstr>
      </vt:variant>
      <vt:variant>
        <vt:i4>1245239</vt:i4>
      </vt:variant>
      <vt:variant>
        <vt:i4>833</vt:i4>
      </vt:variant>
      <vt:variant>
        <vt:i4>0</vt:i4>
      </vt:variant>
      <vt:variant>
        <vt:i4>5</vt:i4>
      </vt:variant>
      <vt:variant>
        <vt:lpwstr/>
      </vt:variant>
      <vt:variant>
        <vt:lpwstr>_Toc327522118</vt:lpwstr>
      </vt:variant>
      <vt:variant>
        <vt:i4>1245239</vt:i4>
      </vt:variant>
      <vt:variant>
        <vt:i4>827</vt:i4>
      </vt:variant>
      <vt:variant>
        <vt:i4>0</vt:i4>
      </vt:variant>
      <vt:variant>
        <vt:i4>5</vt:i4>
      </vt:variant>
      <vt:variant>
        <vt:lpwstr/>
      </vt:variant>
      <vt:variant>
        <vt:lpwstr>_Toc327522117</vt:lpwstr>
      </vt:variant>
      <vt:variant>
        <vt:i4>1245239</vt:i4>
      </vt:variant>
      <vt:variant>
        <vt:i4>821</vt:i4>
      </vt:variant>
      <vt:variant>
        <vt:i4>0</vt:i4>
      </vt:variant>
      <vt:variant>
        <vt:i4>5</vt:i4>
      </vt:variant>
      <vt:variant>
        <vt:lpwstr/>
      </vt:variant>
      <vt:variant>
        <vt:lpwstr>_Toc327522116</vt:lpwstr>
      </vt:variant>
      <vt:variant>
        <vt:i4>1245239</vt:i4>
      </vt:variant>
      <vt:variant>
        <vt:i4>815</vt:i4>
      </vt:variant>
      <vt:variant>
        <vt:i4>0</vt:i4>
      </vt:variant>
      <vt:variant>
        <vt:i4>5</vt:i4>
      </vt:variant>
      <vt:variant>
        <vt:lpwstr/>
      </vt:variant>
      <vt:variant>
        <vt:lpwstr>_Toc327522115</vt:lpwstr>
      </vt:variant>
      <vt:variant>
        <vt:i4>1245239</vt:i4>
      </vt:variant>
      <vt:variant>
        <vt:i4>809</vt:i4>
      </vt:variant>
      <vt:variant>
        <vt:i4>0</vt:i4>
      </vt:variant>
      <vt:variant>
        <vt:i4>5</vt:i4>
      </vt:variant>
      <vt:variant>
        <vt:lpwstr/>
      </vt:variant>
      <vt:variant>
        <vt:lpwstr>_Toc327522114</vt:lpwstr>
      </vt:variant>
      <vt:variant>
        <vt:i4>1245239</vt:i4>
      </vt:variant>
      <vt:variant>
        <vt:i4>803</vt:i4>
      </vt:variant>
      <vt:variant>
        <vt:i4>0</vt:i4>
      </vt:variant>
      <vt:variant>
        <vt:i4>5</vt:i4>
      </vt:variant>
      <vt:variant>
        <vt:lpwstr/>
      </vt:variant>
      <vt:variant>
        <vt:lpwstr>_Toc327522113</vt:lpwstr>
      </vt:variant>
      <vt:variant>
        <vt:i4>1245239</vt:i4>
      </vt:variant>
      <vt:variant>
        <vt:i4>797</vt:i4>
      </vt:variant>
      <vt:variant>
        <vt:i4>0</vt:i4>
      </vt:variant>
      <vt:variant>
        <vt:i4>5</vt:i4>
      </vt:variant>
      <vt:variant>
        <vt:lpwstr/>
      </vt:variant>
      <vt:variant>
        <vt:lpwstr>_Toc327522112</vt:lpwstr>
      </vt:variant>
      <vt:variant>
        <vt:i4>1245239</vt:i4>
      </vt:variant>
      <vt:variant>
        <vt:i4>791</vt:i4>
      </vt:variant>
      <vt:variant>
        <vt:i4>0</vt:i4>
      </vt:variant>
      <vt:variant>
        <vt:i4>5</vt:i4>
      </vt:variant>
      <vt:variant>
        <vt:lpwstr/>
      </vt:variant>
      <vt:variant>
        <vt:lpwstr>_Toc327522111</vt:lpwstr>
      </vt:variant>
      <vt:variant>
        <vt:i4>1245239</vt:i4>
      </vt:variant>
      <vt:variant>
        <vt:i4>785</vt:i4>
      </vt:variant>
      <vt:variant>
        <vt:i4>0</vt:i4>
      </vt:variant>
      <vt:variant>
        <vt:i4>5</vt:i4>
      </vt:variant>
      <vt:variant>
        <vt:lpwstr/>
      </vt:variant>
      <vt:variant>
        <vt:lpwstr>_Toc327522110</vt:lpwstr>
      </vt:variant>
      <vt:variant>
        <vt:i4>1179703</vt:i4>
      </vt:variant>
      <vt:variant>
        <vt:i4>779</vt:i4>
      </vt:variant>
      <vt:variant>
        <vt:i4>0</vt:i4>
      </vt:variant>
      <vt:variant>
        <vt:i4>5</vt:i4>
      </vt:variant>
      <vt:variant>
        <vt:lpwstr/>
      </vt:variant>
      <vt:variant>
        <vt:lpwstr>_Toc327522109</vt:lpwstr>
      </vt:variant>
      <vt:variant>
        <vt:i4>1179703</vt:i4>
      </vt:variant>
      <vt:variant>
        <vt:i4>773</vt:i4>
      </vt:variant>
      <vt:variant>
        <vt:i4>0</vt:i4>
      </vt:variant>
      <vt:variant>
        <vt:i4>5</vt:i4>
      </vt:variant>
      <vt:variant>
        <vt:lpwstr/>
      </vt:variant>
      <vt:variant>
        <vt:lpwstr>_Toc327522108</vt:lpwstr>
      </vt:variant>
      <vt:variant>
        <vt:i4>1179703</vt:i4>
      </vt:variant>
      <vt:variant>
        <vt:i4>767</vt:i4>
      </vt:variant>
      <vt:variant>
        <vt:i4>0</vt:i4>
      </vt:variant>
      <vt:variant>
        <vt:i4>5</vt:i4>
      </vt:variant>
      <vt:variant>
        <vt:lpwstr/>
      </vt:variant>
      <vt:variant>
        <vt:lpwstr>_Toc327522107</vt:lpwstr>
      </vt:variant>
      <vt:variant>
        <vt:i4>1179703</vt:i4>
      </vt:variant>
      <vt:variant>
        <vt:i4>761</vt:i4>
      </vt:variant>
      <vt:variant>
        <vt:i4>0</vt:i4>
      </vt:variant>
      <vt:variant>
        <vt:i4>5</vt:i4>
      </vt:variant>
      <vt:variant>
        <vt:lpwstr/>
      </vt:variant>
      <vt:variant>
        <vt:lpwstr>_Toc327522106</vt:lpwstr>
      </vt:variant>
      <vt:variant>
        <vt:i4>1179703</vt:i4>
      </vt:variant>
      <vt:variant>
        <vt:i4>755</vt:i4>
      </vt:variant>
      <vt:variant>
        <vt:i4>0</vt:i4>
      </vt:variant>
      <vt:variant>
        <vt:i4>5</vt:i4>
      </vt:variant>
      <vt:variant>
        <vt:lpwstr/>
      </vt:variant>
      <vt:variant>
        <vt:lpwstr>_Toc327522105</vt:lpwstr>
      </vt:variant>
      <vt:variant>
        <vt:i4>1179703</vt:i4>
      </vt:variant>
      <vt:variant>
        <vt:i4>749</vt:i4>
      </vt:variant>
      <vt:variant>
        <vt:i4>0</vt:i4>
      </vt:variant>
      <vt:variant>
        <vt:i4>5</vt:i4>
      </vt:variant>
      <vt:variant>
        <vt:lpwstr/>
      </vt:variant>
      <vt:variant>
        <vt:lpwstr>_Toc327522104</vt:lpwstr>
      </vt:variant>
      <vt:variant>
        <vt:i4>1179703</vt:i4>
      </vt:variant>
      <vt:variant>
        <vt:i4>743</vt:i4>
      </vt:variant>
      <vt:variant>
        <vt:i4>0</vt:i4>
      </vt:variant>
      <vt:variant>
        <vt:i4>5</vt:i4>
      </vt:variant>
      <vt:variant>
        <vt:lpwstr/>
      </vt:variant>
      <vt:variant>
        <vt:lpwstr>_Toc327522103</vt:lpwstr>
      </vt:variant>
      <vt:variant>
        <vt:i4>1179703</vt:i4>
      </vt:variant>
      <vt:variant>
        <vt:i4>737</vt:i4>
      </vt:variant>
      <vt:variant>
        <vt:i4>0</vt:i4>
      </vt:variant>
      <vt:variant>
        <vt:i4>5</vt:i4>
      </vt:variant>
      <vt:variant>
        <vt:lpwstr/>
      </vt:variant>
      <vt:variant>
        <vt:lpwstr>_Toc327522102</vt:lpwstr>
      </vt:variant>
      <vt:variant>
        <vt:i4>1179703</vt:i4>
      </vt:variant>
      <vt:variant>
        <vt:i4>731</vt:i4>
      </vt:variant>
      <vt:variant>
        <vt:i4>0</vt:i4>
      </vt:variant>
      <vt:variant>
        <vt:i4>5</vt:i4>
      </vt:variant>
      <vt:variant>
        <vt:lpwstr/>
      </vt:variant>
      <vt:variant>
        <vt:lpwstr>_Toc327522101</vt:lpwstr>
      </vt:variant>
      <vt:variant>
        <vt:i4>1179703</vt:i4>
      </vt:variant>
      <vt:variant>
        <vt:i4>725</vt:i4>
      </vt:variant>
      <vt:variant>
        <vt:i4>0</vt:i4>
      </vt:variant>
      <vt:variant>
        <vt:i4>5</vt:i4>
      </vt:variant>
      <vt:variant>
        <vt:lpwstr/>
      </vt:variant>
      <vt:variant>
        <vt:lpwstr>_Toc327522100</vt:lpwstr>
      </vt:variant>
      <vt:variant>
        <vt:i4>1769526</vt:i4>
      </vt:variant>
      <vt:variant>
        <vt:i4>719</vt:i4>
      </vt:variant>
      <vt:variant>
        <vt:i4>0</vt:i4>
      </vt:variant>
      <vt:variant>
        <vt:i4>5</vt:i4>
      </vt:variant>
      <vt:variant>
        <vt:lpwstr/>
      </vt:variant>
      <vt:variant>
        <vt:lpwstr>_Toc327522099</vt:lpwstr>
      </vt:variant>
      <vt:variant>
        <vt:i4>1769526</vt:i4>
      </vt:variant>
      <vt:variant>
        <vt:i4>713</vt:i4>
      </vt:variant>
      <vt:variant>
        <vt:i4>0</vt:i4>
      </vt:variant>
      <vt:variant>
        <vt:i4>5</vt:i4>
      </vt:variant>
      <vt:variant>
        <vt:lpwstr/>
      </vt:variant>
      <vt:variant>
        <vt:lpwstr>_Toc327522098</vt:lpwstr>
      </vt:variant>
      <vt:variant>
        <vt:i4>1769526</vt:i4>
      </vt:variant>
      <vt:variant>
        <vt:i4>707</vt:i4>
      </vt:variant>
      <vt:variant>
        <vt:i4>0</vt:i4>
      </vt:variant>
      <vt:variant>
        <vt:i4>5</vt:i4>
      </vt:variant>
      <vt:variant>
        <vt:lpwstr/>
      </vt:variant>
      <vt:variant>
        <vt:lpwstr>_Toc327522097</vt:lpwstr>
      </vt:variant>
      <vt:variant>
        <vt:i4>1769526</vt:i4>
      </vt:variant>
      <vt:variant>
        <vt:i4>701</vt:i4>
      </vt:variant>
      <vt:variant>
        <vt:i4>0</vt:i4>
      </vt:variant>
      <vt:variant>
        <vt:i4>5</vt:i4>
      </vt:variant>
      <vt:variant>
        <vt:lpwstr/>
      </vt:variant>
      <vt:variant>
        <vt:lpwstr>_Toc327522096</vt:lpwstr>
      </vt:variant>
      <vt:variant>
        <vt:i4>1769526</vt:i4>
      </vt:variant>
      <vt:variant>
        <vt:i4>695</vt:i4>
      </vt:variant>
      <vt:variant>
        <vt:i4>0</vt:i4>
      </vt:variant>
      <vt:variant>
        <vt:i4>5</vt:i4>
      </vt:variant>
      <vt:variant>
        <vt:lpwstr/>
      </vt:variant>
      <vt:variant>
        <vt:lpwstr>_Toc327522095</vt:lpwstr>
      </vt:variant>
      <vt:variant>
        <vt:i4>1769526</vt:i4>
      </vt:variant>
      <vt:variant>
        <vt:i4>689</vt:i4>
      </vt:variant>
      <vt:variant>
        <vt:i4>0</vt:i4>
      </vt:variant>
      <vt:variant>
        <vt:i4>5</vt:i4>
      </vt:variant>
      <vt:variant>
        <vt:lpwstr/>
      </vt:variant>
      <vt:variant>
        <vt:lpwstr>_Toc327522094</vt:lpwstr>
      </vt:variant>
      <vt:variant>
        <vt:i4>1769526</vt:i4>
      </vt:variant>
      <vt:variant>
        <vt:i4>683</vt:i4>
      </vt:variant>
      <vt:variant>
        <vt:i4>0</vt:i4>
      </vt:variant>
      <vt:variant>
        <vt:i4>5</vt:i4>
      </vt:variant>
      <vt:variant>
        <vt:lpwstr/>
      </vt:variant>
      <vt:variant>
        <vt:lpwstr>_Toc327522093</vt:lpwstr>
      </vt:variant>
      <vt:variant>
        <vt:i4>1769526</vt:i4>
      </vt:variant>
      <vt:variant>
        <vt:i4>677</vt:i4>
      </vt:variant>
      <vt:variant>
        <vt:i4>0</vt:i4>
      </vt:variant>
      <vt:variant>
        <vt:i4>5</vt:i4>
      </vt:variant>
      <vt:variant>
        <vt:lpwstr/>
      </vt:variant>
      <vt:variant>
        <vt:lpwstr>_Toc327522092</vt:lpwstr>
      </vt:variant>
      <vt:variant>
        <vt:i4>1769526</vt:i4>
      </vt:variant>
      <vt:variant>
        <vt:i4>671</vt:i4>
      </vt:variant>
      <vt:variant>
        <vt:i4>0</vt:i4>
      </vt:variant>
      <vt:variant>
        <vt:i4>5</vt:i4>
      </vt:variant>
      <vt:variant>
        <vt:lpwstr/>
      </vt:variant>
      <vt:variant>
        <vt:lpwstr>_Toc327522091</vt:lpwstr>
      </vt:variant>
      <vt:variant>
        <vt:i4>1769526</vt:i4>
      </vt:variant>
      <vt:variant>
        <vt:i4>665</vt:i4>
      </vt:variant>
      <vt:variant>
        <vt:i4>0</vt:i4>
      </vt:variant>
      <vt:variant>
        <vt:i4>5</vt:i4>
      </vt:variant>
      <vt:variant>
        <vt:lpwstr/>
      </vt:variant>
      <vt:variant>
        <vt:lpwstr>_Toc327522090</vt:lpwstr>
      </vt:variant>
      <vt:variant>
        <vt:i4>1703990</vt:i4>
      </vt:variant>
      <vt:variant>
        <vt:i4>659</vt:i4>
      </vt:variant>
      <vt:variant>
        <vt:i4>0</vt:i4>
      </vt:variant>
      <vt:variant>
        <vt:i4>5</vt:i4>
      </vt:variant>
      <vt:variant>
        <vt:lpwstr/>
      </vt:variant>
      <vt:variant>
        <vt:lpwstr>_Toc327522089</vt:lpwstr>
      </vt:variant>
      <vt:variant>
        <vt:i4>1703990</vt:i4>
      </vt:variant>
      <vt:variant>
        <vt:i4>653</vt:i4>
      </vt:variant>
      <vt:variant>
        <vt:i4>0</vt:i4>
      </vt:variant>
      <vt:variant>
        <vt:i4>5</vt:i4>
      </vt:variant>
      <vt:variant>
        <vt:lpwstr/>
      </vt:variant>
      <vt:variant>
        <vt:lpwstr>_Toc327522088</vt:lpwstr>
      </vt:variant>
      <vt:variant>
        <vt:i4>1703990</vt:i4>
      </vt:variant>
      <vt:variant>
        <vt:i4>647</vt:i4>
      </vt:variant>
      <vt:variant>
        <vt:i4>0</vt:i4>
      </vt:variant>
      <vt:variant>
        <vt:i4>5</vt:i4>
      </vt:variant>
      <vt:variant>
        <vt:lpwstr/>
      </vt:variant>
      <vt:variant>
        <vt:lpwstr>_Toc327522087</vt:lpwstr>
      </vt:variant>
      <vt:variant>
        <vt:i4>1703990</vt:i4>
      </vt:variant>
      <vt:variant>
        <vt:i4>641</vt:i4>
      </vt:variant>
      <vt:variant>
        <vt:i4>0</vt:i4>
      </vt:variant>
      <vt:variant>
        <vt:i4>5</vt:i4>
      </vt:variant>
      <vt:variant>
        <vt:lpwstr/>
      </vt:variant>
      <vt:variant>
        <vt:lpwstr>_Toc327522086</vt:lpwstr>
      </vt:variant>
      <vt:variant>
        <vt:i4>1703990</vt:i4>
      </vt:variant>
      <vt:variant>
        <vt:i4>635</vt:i4>
      </vt:variant>
      <vt:variant>
        <vt:i4>0</vt:i4>
      </vt:variant>
      <vt:variant>
        <vt:i4>5</vt:i4>
      </vt:variant>
      <vt:variant>
        <vt:lpwstr/>
      </vt:variant>
      <vt:variant>
        <vt:lpwstr>_Toc327522085</vt:lpwstr>
      </vt:variant>
      <vt:variant>
        <vt:i4>1703990</vt:i4>
      </vt:variant>
      <vt:variant>
        <vt:i4>629</vt:i4>
      </vt:variant>
      <vt:variant>
        <vt:i4>0</vt:i4>
      </vt:variant>
      <vt:variant>
        <vt:i4>5</vt:i4>
      </vt:variant>
      <vt:variant>
        <vt:lpwstr/>
      </vt:variant>
      <vt:variant>
        <vt:lpwstr>_Toc327522084</vt:lpwstr>
      </vt:variant>
      <vt:variant>
        <vt:i4>1703990</vt:i4>
      </vt:variant>
      <vt:variant>
        <vt:i4>623</vt:i4>
      </vt:variant>
      <vt:variant>
        <vt:i4>0</vt:i4>
      </vt:variant>
      <vt:variant>
        <vt:i4>5</vt:i4>
      </vt:variant>
      <vt:variant>
        <vt:lpwstr/>
      </vt:variant>
      <vt:variant>
        <vt:lpwstr>_Toc327522083</vt:lpwstr>
      </vt:variant>
      <vt:variant>
        <vt:i4>1703990</vt:i4>
      </vt:variant>
      <vt:variant>
        <vt:i4>617</vt:i4>
      </vt:variant>
      <vt:variant>
        <vt:i4>0</vt:i4>
      </vt:variant>
      <vt:variant>
        <vt:i4>5</vt:i4>
      </vt:variant>
      <vt:variant>
        <vt:lpwstr/>
      </vt:variant>
      <vt:variant>
        <vt:lpwstr>_Toc327522082</vt:lpwstr>
      </vt:variant>
      <vt:variant>
        <vt:i4>1703990</vt:i4>
      </vt:variant>
      <vt:variant>
        <vt:i4>611</vt:i4>
      </vt:variant>
      <vt:variant>
        <vt:i4>0</vt:i4>
      </vt:variant>
      <vt:variant>
        <vt:i4>5</vt:i4>
      </vt:variant>
      <vt:variant>
        <vt:lpwstr/>
      </vt:variant>
      <vt:variant>
        <vt:lpwstr>_Toc327522081</vt:lpwstr>
      </vt:variant>
      <vt:variant>
        <vt:i4>1703990</vt:i4>
      </vt:variant>
      <vt:variant>
        <vt:i4>605</vt:i4>
      </vt:variant>
      <vt:variant>
        <vt:i4>0</vt:i4>
      </vt:variant>
      <vt:variant>
        <vt:i4>5</vt:i4>
      </vt:variant>
      <vt:variant>
        <vt:lpwstr/>
      </vt:variant>
      <vt:variant>
        <vt:lpwstr>_Toc327522080</vt:lpwstr>
      </vt:variant>
      <vt:variant>
        <vt:i4>1376310</vt:i4>
      </vt:variant>
      <vt:variant>
        <vt:i4>599</vt:i4>
      </vt:variant>
      <vt:variant>
        <vt:i4>0</vt:i4>
      </vt:variant>
      <vt:variant>
        <vt:i4>5</vt:i4>
      </vt:variant>
      <vt:variant>
        <vt:lpwstr/>
      </vt:variant>
      <vt:variant>
        <vt:lpwstr>_Toc327522079</vt:lpwstr>
      </vt:variant>
      <vt:variant>
        <vt:i4>1376310</vt:i4>
      </vt:variant>
      <vt:variant>
        <vt:i4>593</vt:i4>
      </vt:variant>
      <vt:variant>
        <vt:i4>0</vt:i4>
      </vt:variant>
      <vt:variant>
        <vt:i4>5</vt:i4>
      </vt:variant>
      <vt:variant>
        <vt:lpwstr/>
      </vt:variant>
      <vt:variant>
        <vt:lpwstr>_Toc327522078</vt:lpwstr>
      </vt:variant>
      <vt:variant>
        <vt:i4>1376310</vt:i4>
      </vt:variant>
      <vt:variant>
        <vt:i4>587</vt:i4>
      </vt:variant>
      <vt:variant>
        <vt:i4>0</vt:i4>
      </vt:variant>
      <vt:variant>
        <vt:i4>5</vt:i4>
      </vt:variant>
      <vt:variant>
        <vt:lpwstr/>
      </vt:variant>
      <vt:variant>
        <vt:lpwstr>_Toc327522077</vt:lpwstr>
      </vt:variant>
      <vt:variant>
        <vt:i4>1376310</vt:i4>
      </vt:variant>
      <vt:variant>
        <vt:i4>581</vt:i4>
      </vt:variant>
      <vt:variant>
        <vt:i4>0</vt:i4>
      </vt:variant>
      <vt:variant>
        <vt:i4>5</vt:i4>
      </vt:variant>
      <vt:variant>
        <vt:lpwstr/>
      </vt:variant>
      <vt:variant>
        <vt:lpwstr>_Toc327522076</vt:lpwstr>
      </vt:variant>
      <vt:variant>
        <vt:i4>1376310</vt:i4>
      </vt:variant>
      <vt:variant>
        <vt:i4>575</vt:i4>
      </vt:variant>
      <vt:variant>
        <vt:i4>0</vt:i4>
      </vt:variant>
      <vt:variant>
        <vt:i4>5</vt:i4>
      </vt:variant>
      <vt:variant>
        <vt:lpwstr/>
      </vt:variant>
      <vt:variant>
        <vt:lpwstr>_Toc327522075</vt:lpwstr>
      </vt:variant>
      <vt:variant>
        <vt:i4>1376310</vt:i4>
      </vt:variant>
      <vt:variant>
        <vt:i4>569</vt:i4>
      </vt:variant>
      <vt:variant>
        <vt:i4>0</vt:i4>
      </vt:variant>
      <vt:variant>
        <vt:i4>5</vt:i4>
      </vt:variant>
      <vt:variant>
        <vt:lpwstr/>
      </vt:variant>
      <vt:variant>
        <vt:lpwstr>_Toc327522074</vt:lpwstr>
      </vt:variant>
      <vt:variant>
        <vt:i4>1376310</vt:i4>
      </vt:variant>
      <vt:variant>
        <vt:i4>563</vt:i4>
      </vt:variant>
      <vt:variant>
        <vt:i4>0</vt:i4>
      </vt:variant>
      <vt:variant>
        <vt:i4>5</vt:i4>
      </vt:variant>
      <vt:variant>
        <vt:lpwstr/>
      </vt:variant>
      <vt:variant>
        <vt:lpwstr>_Toc327522073</vt:lpwstr>
      </vt:variant>
      <vt:variant>
        <vt:i4>1376310</vt:i4>
      </vt:variant>
      <vt:variant>
        <vt:i4>557</vt:i4>
      </vt:variant>
      <vt:variant>
        <vt:i4>0</vt:i4>
      </vt:variant>
      <vt:variant>
        <vt:i4>5</vt:i4>
      </vt:variant>
      <vt:variant>
        <vt:lpwstr/>
      </vt:variant>
      <vt:variant>
        <vt:lpwstr>_Toc327522072</vt:lpwstr>
      </vt:variant>
      <vt:variant>
        <vt:i4>1376310</vt:i4>
      </vt:variant>
      <vt:variant>
        <vt:i4>551</vt:i4>
      </vt:variant>
      <vt:variant>
        <vt:i4>0</vt:i4>
      </vt:variant>
      <vt:variant>
        <vt:i4>5</vt:i4>
      </vt:variant>
      <vt:variant>
        <vt:lpwstr/>
      </vt:variant>
      <vt:variant>
        <vt:lpwstr>_Toc327522071</vt:lpwstr>
      </vt:variant>
      <vt:variant>
        <vt:i4>1376310</vt:i4>
      </vt:variant>
      <vt:variant>
        <vt:i4>545</vt:i4>
      </vt:variant>
      <vt:variant>
        <vt:i4>0</vt:i4>
      </vt:variant>
      <vt:variant>
        <vt:i4>5</vt:i4>
      </vt:variant>
      <vt:variant>
        <vt:lpwstr/>
      </vt:variant>
      <vt:variant>
        <vt:lpwstr>_Toc327522070</vt:lpwstr>
      </vt:variant>
      <vt:variant>
        <vt:i4>1310774</vt:i4>
      </vt:variant>
      <vt:variant>
        <vt:i4>539</vt:i4>
      </vt:variant>
      <vt:variant>
        <vt:i4>0</vt:i4>
      </vt:variant>
      <vt:variant>
        <vt:i4>5</vt:i4>
      </vt:variant>
      <vt:variant>
        <vt:lpwstr/>
      </vt:variant>
      <vt:variant>
        <vt:lpwstr>_Toc327522069</vt:lpwstr>
      </vt:variant>
      <vt:variant>
        <vt:i4>1310774</vt:i4>
      </vt:variant>
      <vt:variant>
        <vt:i4>533</vt:i4>
      </vt:variant>
      <vt:variant>
        <vt:i4>0</vt:i4>
      </vt:variant>
      <vt:variant>
        <vt:i4>5</vt:i4>
      </vt:variant>
      <vt:variant>
        <vt:lpwstr/>
      </vt:variant>
      <vt:variant>
        <vt:lpwstr>_Toc327522068</vt:lpwstr>
      </vt:variant>
      <vt:variant>
        <vt:i4>1310774</vt:i4>
      </vt:variant>
      <vt:variant>
        <vt:i4>527</vt:i4>
      </vt:variant>
      <vt:variant>
        <vt:i4>0</vt:i4>
      </vt:variant>
      <vt:variant>
        <vt:i4>5</vt:i4>
      </vt:variant>
      <vt:variant>
        <vt:lpwstr/>
      </vt:variant>
      <vt:variant>
        <vt:lpwstr>_Toc327522067</vt:lpwstr>
      </vt:variant>
      <vt:variant>
        <vt:i4>1310774</vt:i4>
      </vt:variant>
      <vt:variant>
        <vt:i4>521</vt:i4>
      </vt:variant>
      <vt:variant>
        <vt:i4>0</vt:i4>
      </vt:variant>
      <vt:variant>
        <vt:i4>5</vt:i4>
      </vt:variant>
      <vt:variant>
        <vt:lpwstr/>
      </vt:variant>
      <vt:variant>
        <vt:lpwstr>_Toc327522066</vt:lpwstr>
      </vt:variant>
      <vt:variant>
        <vt:i4>1310774</vt:i4>
      </vt:variant>
      <vt:variant>
        <vt:i4>515</vt:i4>
      </vt:variant>
      <vt:variant>
        <vt:i4>0</vt:i4>
      </vt:variant>
      <vt:variant>
        <vt:i4>5</vt:i4>
      </vt:variant>
      <vt:variant>
        <vt:lpwstr/>
      </vt:variant>
      <vt:variant>
        <vt:lpwstr>_Toc327522065</vt:lpwstr>
      </vt:variant>
      <vt:variant>
        <vt:i4>1310774</vt:i4>
      </vt:variant>
      <vt:variant>
        <vt:i4>509</vt:i4>
      </vt:variant>
      <vt:variant>
        <vt:i4>0</vt:i4>
      </vt:variant>
      <vt:variant>
        <vt:i4>5</vt:i4>
      </vt:variant>
      <vt:variant>
        <vt:lpwstr/>
      </vt:variant>
      <vt:variant>
        <vt:lpwstr>_Toc327522064</vt:lpwstr>
      </vt:variant>
      <vt:variant>
        <vt:i4>1310774</vt:i4>
      </vt:variant>
      <vt:variant>
        <vt:i4>503</vt:i4>
      </vt:variant>
      <vt:variant>
        <vt:i4>0</vt:i4>
      </vt:variant>
      <vt:variant>
        <vt:i4>5</vt:i4>
      </vt:variant>
      <vt:variant>
        <vt:lpwstr/>
      </vt:variant>
      <vt:variant>
        <vt:lpwstr>_Toc327522063</vt:lpwstr>
      </vt:variant>
      <vt:variant>
        <vt:i4>1310774</vt:i4>
      </vt:variant>
      <vt:variant>
        <vt:i4>497</vt:i4>
      </vt:variant>
      <vt:variant>
        <vt:i4>0</vt:i4>
      </vt:variant>
      <vt:variant>
        <vt:i4>5</vt:i4>
      </vt:variant>
      <vt:variant>
        <vt:lpwstr/>
      </vt:variant>
      <vt:variant>
        <vt:lpwstr>_Toc327522062</vt:lpwstr>
      </vt:variant>
      <vt:variant>
        <vt:i4>1310774</vt:i4>
      </vt:variant>
      <vt:variant>
        <vt:i4>491</vt:i4>
      </vt:variant>
      <vt:variant>
        <vt:i4>0</vt:i4>
      </vt:variant>
      <vt:variant>
        <vt:i4>5</vt:i4>
      </vt:variant>
      <vt:variant>
        <vt:lpwstr/>
      </vt:variant>
      <vt:variant>
        <vt:lpwstr>_Toc327522061</vt:lpwstr>
      </vt:variant>
      <vt:variant>
        <vt:i4>1310774</vt:i4>
      </vt:variant>
      <vt:variant>
        <vt:i4>485</vt:i4>
      </vt:variant>
      <vt:variant>
        <vt:i4>0</vt:i4>
      </vt:variant>
      <vt:variant>
        <vt:i4>5</vt:i4>
      </vt:variant>
      <vt:variant>
        <vt:lpwstr/>
      </vt:variant>
      <vt:variant>
        <vt:lpwstr>_Toc327522060</vt:lpwstr>
      </vt:variant>
      <vt:variant>
        <vt:i4>1507382</vt:i4>
      </vt:variant>
      <vt:variant>
        <vt:i4>479</vt:i4>
      </vt:variant>
      <vt:variant>
        <vt:i4>0</vt:i4>
      </vt:variant>
      <vt:variant>
        <vt:i4>5</vt:i4>
      </vt:variant>
      <vt:variant>
        <vt:lpwstr/>
      </vt:variant>
      <vt:variant>
        <vt:lpwstr>_Toc327522059</vt:lpwstr>
      </vt:variant>
      <vt:variant>
        <vt:i4>1507382</vt:i4>
      </vt:variant>
      <vt:variant>
        <vt:i4>473</vt:i4>
      </vt:variant>
      <vt:variant>
        <vt:i4>0</vt:i4>
      </vt:variant>
      <vt:variant>
        <vt:i4>5</vt:i4>
      </vt:variant>
      <vt:variant>
        <vt:lpwstr/>
      </vt:variant>
      <vt:variant>
        <vt:lpwstr>_Toc327522058</vt:lpwstr>
      </vt:variant>
      <vt:variant>
        <vt:i4>1507382</vt:i4>
      </vt:variant>
      <vt:variant>
        <vt:i4>467</vt:i4>
      </vt:variant>
      <vt:variant>
        <vt:i4>0</vt:i4>
      </vt:variant>
      <vt:variant>
        <vt:i4>5</vt:i4>
      </vt:variant>
      <vt:variant>
        <vt:lpwstr/>
      </vt:variant>
      <vt:variant>
        <vt:lpwstr>_Toc327522057</vt:lpwstr>
      </vt:variant>
      <vt:variant>
        <vt:i4>1507382</vt:i4>
      </vt:variant>
      <vt:variant>
        <vt:i4>461</vt:i4>
      </vt:variant>
      <vt:variant>
        <vt:i4>0</vt:i4>
      </vt:variant>
      <vt:variant>
        <vt:i4>5</vt:i4>
      </vt:variant>
      <vt:variant>
        <vt:lpwstr/>
      </vt:variant>
      <vt:variant>
        <vt:lpwstr>_Toc327522056</vt:lpwstr>
      </vt:variant>
      <vt:variant>
        <vt:i4>1507382</vt:i4>
      </vt:variant>
      <vt:variant>
        <vt:i4>455</vt:i4>
      </vt:variant>
      <vt:variant>
        <vt:i4>0</vt:i4>
      </vt:variant>
      <vt:variant>
        <vt:i4>5</vt:i4>
      </vt:variant>
      <vt:variant>
        <vt:lpwstr/>
      </vt:variant>
      <vt:variant>
        <vt:lpwstr>_Toc327522055</vt:lpwstr>
      </vt:variant>
      <vt:variant>
        <vt:i4>1507382</vt:i4>
      </vt:variant>
      <vt:variant>
        <vt:i4>449</vt:i4>
      </vt:variant>
      <vt:variant>
        <vt:i4>0</vt:i4>
      </vt:variant>
      <vt:variant>
        <vt:i4>5</vt:i4>
      </vt:variant>
      <vt:variant>
        <vt:lpwstr/>
      </vt:variant>
      <vt:variant>
        <vt:lpwstr>_Toc327522054</vt:lpwstr>
      </vt:variant>
      <vt:variant>
        <vt:i4>1507382</vt:i4>
      </vt:variant>
      <vt:variant>
        <vt:i4>443</vt:i4>
      </vt:variant>
      <vt:variant>
        <vt:i4>0</vt:i4>
      </vt:variant>
      <vt:variant>
        <vt:i4>5</vt:i4>
      </vt:variant>
      <vt:variant>
        <vt:lpwstr/>
      </vt:variant>
      <vt:variant>
        <vt:lpwstr>_Toc327522053</vt:lpwstr>
      </vt:variant>
      <vt:variant>
        <vt:i4>1507382</vt:i4>
      </vt:variant>
      <vt:variant>
        <vt:i4>437</vt:i4>
      </vt:variant>
      <vt:variant>
        <vt:i4>0</vt:i4>
      </vt:variant>
      <vt:variant>
        <vt:i4>5</vt:i4>
      </vt:variant>
      <vt:variant>
        <vt:lpwstr/>
      </vt:variant>
      <vt:variant>
        <vt:lpwstr>_Toc327522052</vt:lpwstr>
      </vt:variant>
      <vt:variant>
        <vt:i4>1507382</vt:i4>
      </vt:variant>
      <vt:variant>
        <vt:i4>431</vt:i4>
      </vt:variant>
      <vt:variant>
        <vt:i4>0</vt:i4>
      </vt:variant>
      <vt:variant>
        <vt:i4>5</vt:i4>
      </vt:variant>
      <vt:variant>
        <vt:lpwstr/>
      </vt:variant>
      <vt:variant>
        <vt:lpwstr>_Toc327522051</vt:lpwstr>
      </vt:variant>
      <vt:variant>
        <vt:i4>1507382</vt:i4>
      </vt:variant>
      <vt:variant>
        <vt:i4>425</vt:i4>
      </vt:variant>
      <vt:variant>
        <vt:i4>0</vt:i4>
      </vt:variant>
      <vt:variant>
        <vt:i4>5</vt:i4>
      </vt:variant>
      <vt:variant>
        <vt:lpwstr/>
      </vt:variant>
      <vt:variant>
        <vt:lpwstr>_Toc327522050</vt:lpwstr>
      </vt:variant>
      <vt:variant>
        <vt:i4>1441846</vt:i4>
      </vt:variant>
      <vt:variant>
        <vt:i4>419</vt:i4>
      </vt:variant>
      <vt:variant>
        <vt:i4>0</vt:i4>
      </vt:variant>
      <vt:variant>
        <vt:i4>5</vt:i4>
      </vt:variant>
      <vt:variant>
        <vt:lpwstr/>
      </vt:variant>
      <vt:variant>
        <vt:lpwstr>_Toc327522049</vt:lpwstr>
      </vt:variant>
      <vt:variant>
        <vt:i4>1441846</vt:i4>
      </vt:variant>
      <vt:variant>
        <vt:i4>413</vt:i4>
      </vt:variant>
      <vt:variant>
        <vt:i4>0</vt:i4>
      </vt:variant>
      <vt:variant>
        <vt:i4>5</vt:i4>
      </vt:variant>
      <vt:variant>
        <vt:lpwstr/>
      </vt:variant>
      <vt:variant>
        <vt:lpwstr>_Toc327522048</vt:lpwstr>
      </vt:variant>
      <vt:variant>
        <vt:i4>1441846</vt:i4>
      </vt:variant>
      <vt:variant>
        <vt:i4>407</vt:i4>
      </vt:variant>
      <vt:variant>
        <vt:i4>0</vt:i4>
      </vt:variant>
      <vt:variant>
        <vt:i4>5</vt:i4>
      </vt:variant>
      <vt:variant>
        <vt:lpwstr/>
      </vt:variant>
      <vt:variant>
        <vt:lpwstr>_Toc327522047</vt:lpwstr>
      </vt:variant>
      <vt:variant>
        <vt:i4>1441846</vt:i4>
      </vt:variant>
      <vt:variant>
        <vt:i4>401</vt:i4>
      </vt:variant>
      <vt:variant>
        <vt:i4>0</vt:i4>
      </vt:variant>
      <vt:variant>
        <vt:i4>5</vt:i4>
      </vt:variant>
      <vt:variant>
        <vt:lpwstr/>
      </vt:variant>
      <vt:variant>
        <vt:lpwstr>_Toc327522046</vt:lpwstr>
      </vt:variant>
      <vt:variant>
        <vt:i4>1441846</vt:i4>
      </vt:variant>
      <vt:variant>
        <vt:i4>395</vt:i4>
      </vt:variant>
      <vt:variant>
        <vt:i4>0</vt:i4>
      </vt:variant>
      <vt:variant>
        <vt:i4>5</vt:i4>
      </vt:variant>
      <vt:variant>
        <vt:lpwstr/>
      </vt:variant>
      <vt:variant>
        <vt:lpwstr>_Toc327522045</vt:lpwstr>
      </vt:variant>
      <vt:variant>
        <vt:i4>1441846</vt:i4>
      </vt:variant>
      <vt:variant>
        <vt:i4>386</vt:i4>
      </vt:variant>
      <vt:variant>
        <vt:i4>0</vt:i4>
      </vt:variant>
      <vt:variant>
        <vt:i4>5</vt:i4>
      </vt:variant>
      <vt:variant>
        <vt:lpwstr/>
      </vt:variant>
      <vt:variant>
        <vt:lpwstr>_Toc327522044</vt:lpwstr>
      </vt:variant>
      <vt:variant>
        <vt:i4>1441846</vt:i4>
      </vt:variant>
      <vt:variant>
        <vt:i4>380</vt:i4>
      </vt:variant>
      <vt:variant>
        <vt:i4>0</vt:i4>
      </vt:variant>
      <vt:variant>
        <vt:i4>5</vt:i4>
      </vt:variant>
      <vt:variant>
        <vt:lpwstr/>
      </vt:variant>
      <vt:variant>
        <vt:lpwstr>_Toc327522043</vt:lpwstr>
      </vt:variant>
      <vt:variant>
        <vt:i4>1441846</vt:i4>
      </vt:variant>
      <vt:variant>
        <vt:i4>374</vt:i4>
      </vt:variant>
      <vt:variant>
        <vt:i4>0</vt:i4>
      </vt:variant>
      <vt:variant>
        <vt:i4>5</vt:i4>
      </vt:variant>
      <vt:variant>
        <vt:lpwstr/>
      </vt:variant>
      <vt:variant>
        <vt:lpwstr>_Toc327522042</vt:lpwstr>
      </vt:variant>
      <vt:variant>
        <vt:i4>1441846</vt:i4>
      </vt:variant>
      <vt:variant>
        <vt:i4>368</vt:i4>
      </vt:variant>
      <vt:variant>
        <vt:i4>0</vt:i4>
      </vt:variant>
      <vt:variant>
        <vt:i4>5</vt:i4>
      </vt:variant>
      <vt:variant>
        <vt:lpwstr/>
      </vt:variant>
      <vt:variant>
        <vt:lpwstr>_Toc327522041</vt:lpwstr>
      </vt:variant>
      <vt:variant>
        <vt:i4>1441846</vt:i4>
      </vt:variant>
      <vt:variant>
        <vt:i4>362</vt:i4>
      </vt:variant>
      <vt:variant>
        <vt:i4>0</vt:i4>
      </vt:variant>
      <vt:variant>
        <vt:i4>5</vt:i4>
      </vt:variant>
      <vt:variant>
        <vt:lpwstr/>
      </vt:variant>
      <vt:variant>
        <vt:lpwstr>_Toc327522040</vt:lpwstr>
      </vt:variant>
      <vt:variant>
        <vt:i4>1114166</vt:i4>
      </vt:variant>
      <vt:variant>
        <vt:i4>356</vt:i4>
      </vt:variant>
      <vt:variant>
        <vt:i4>0</vt:i4>
      </vt:variant>
      <vt:variant>
        <vt:i4>5</vt:i4>
      </vt:variant>
      <vt:variant>
        <vt:lpwstr/>
      </vt:variant>
      <vt:variant>
        <vt:lpwstr>_Toc327522039</vt:lpwstr>
      </vt:variant>
      <vt:variant>
        <vt:i4>1114166</vt:i4>
      </vt:variant>
      <vt:variant>
        <vt:i4>350</vt:i4>
      </vt:variant>
      <vt:variant>
        <vt:i4>0</vt:i4>
      </vt:variant>
      <vt:variant>
        <vt:i4>5</vt:i4>
      </vt:variant>
      <vt:variant>
        <vt:lpwstr/>
      </vt:variant>
      <vt:variant>
        <vt:lpwstr>_Toc327522038</vt:lpwstr>
      </vt:variant>
      <vt:variant>
        <vt:i4>1114166</vt:i4>
      </vt:variant>
      <vt:variant>
        <vt:i4>344</vt:i4>
      </vt:variant>
      <vt:variant>
        <vt:i4>0</vt:i4>
      </vt:variant>
      <vt:variant>
        <vt:i4>5</vt:i4>
      </vt:variant>
      <vt:variant>
        <vt:lpwstr/>
      </vt:variant>
      <vt:variant>
        <vt:lpwstr>_Toc327522037</vt:lpwstr>
      </vt:variant>
      <vt:variant>
        <vt:i4>1114166</vt:i4>
      </vt:variant>
      <vt:variant>
        <vt:i4>338</vt:i4>
      </vt:variant>
      <vt:variant>
        <vt:i4>0</vt:i4>
      </vt:variant>
      <vt:variant>
        <vt:i4>5</vt:i4>
      </vt:variant>
      <vt:variant>
        <vt:lpwstr/>
      </vt:variant>
      <vt:variant>
        <vt:lpwstr>_Toc327522036</vt:lpwstr>
      </vt:variant>
      <vt:variant>
        <vt:i4>1114166</vt:i4>
      </vt:variant>
      <vt:variant>
        <vt:i4>332</vt:i4>
      </vt:variant>
      <vt:variant>
        <vt:i4>0</vt:i4>
      </vt:variant>
      <vt:variant>
        <vt:i4>5</vt:i4>
      </vt:variant>
      <vt:variant>
        <vt:lpwstr/>
      </vt:variant>
      <vt:variant>
        <vt:lpwstr>_Toc327522035</vt:lpwstr>
      </vt:variant>
      <vt:variant>
        <vt:i4>1114166</vt:i4>
      </vt:variant>
      <vt:variant>
        <vt:i4>326</vt:i4>
      </vt:variant>
      <vt:variant>
        <vt:i4>0</vt:i4>
      </vt:variant>
      <vt:variant>
        <vt:i4>5</vt:i4>
      </vt:variant>
      <vt:variant>
        <vt:lpwstr/>
      </vt:variant>
      <vt:variant>
        <vt:lpwstr>_Toc327522034</vt:lpwstr>
      </vt:variant>
      <vt:variant>
        <vt:i4>1114166</vt:i4>
      </vt:variant>
      <vt:variant>
        <vt:i4>320</vt:i4>
      </vt:variant>
      <vt:variant>
        <vt:i4>0</vt:i4>
      </vt:variant>
      <vt:variant>
        <vt:i4>5</vt:i4>
      </vt:variant>
      <vt:variant>
        <vt:lpwstr/>
      </vt:variant>
      <vt:variant>
        <vt:lpwstr>_Toc327522033</vt:lpwstr>
      </vt:variant>
      <vt:variant>
        <vt:i4>1114166</vt:i4>
      </vt:variant>
      <vt:variant>
        <vt:i4>314</vt:i4>
      </vt:variant>
      <vt:variant>
        <vt:i4>0</vt:i4>
      </vt:variant>
      <vt:variant>
        <vt:i4>5</vt:i4>
      </vt:variant>
      <vt:variant>
        <vt:lpwstr/>
      </vt:variant>
      <vt:variant>
        <vt:lpwstr>_Toc327522032</vt:lpwstr>
      </vt:variant>
      <vt:variant>
        <vt:i4>1114166</vt:i4>
      </vt:variant>
      <vt:variant>
        <vt:i4>308</vt:i4>
      </vt:variant>
      <vt:variant>
        <vt:i4>0</vt:i4>
      </vt:variant>
      <vt:variant>
        <vt:i4>5</vt:i4>
      </vt:variant>
      <vt:variant>
        <vt:lpwstr/>
      </vt:variant>
      <vt:variant>
        <vt:lpwstr>_Toc327522031</vt:lpwstr>
      </vt:variant>
      <vt:variant>
        <vt:i4>1114166</vt:i4>
      </vt:variant>
      <vt:variant>
        <vt:i4>302</vt:i4>
      </vt:variant>
      <vt:variant>
        <vt:i4>0</vt:i4>
      </vt:variant>
      <vt:variant>
        <vt:i4>5</vt:i4>
      </vt:variant>
      <vt:variant>
        <vt:lpwstr/>
      </vt:variant>
      <vt:variant>
        <vt:lpwstr>_Toc327522030</vt:lpwstr>
      </vt:variant>
      <vt:variant>
        <vt:i4>1048630</vt:i4>
      </vt:variant>
      <vt:variant>
        <vt:i4>296</vt:i4>
      </vt:variant>
      <vt:variant>
        <vt:i4>0</vt:i4>
      </vt:variant>
      <vt:variant>
        <vt:i4>5</vt:i4>
      </vt:variant>
      <vt:variant>
        <vt:lpwstr/>
      </vt:variant>
      <vt:variant>
        <vt:lpwstr>_Toc327522029</vt:lpwstr>
      </vt:variant>
      <vt:variant>
        <vt:i4>1048630</vt:i4>
      </vt:variant>
      <vt:variant>
        <vt:i4>290</vt:i4>
      </vt:variant>
      <vt:variant>
        <vt:i4>0</vt:i4>
      </vt:variant>
      <vt:variant>
        <vt:i4>5</vt:i4>
      </vt:variant>
      <vt:variant>
        <vt:lpwstr/>
      </vt:variant>
      <vt:variant>
        <vt:lpwstr>_Toc327522028</vt:lpwstr>
      </vt:variant>
      <vt:variant>
        <vt:i4>1048630</vt:i4>
      </vt:variant>
      <vt:variant>
        <vt:i4>284</vt:i4>
      </vt:variant>
      <vt:variant>
        <vt:i4>0</vt:i4>
      </vt:variant>
      <vt:variant>
        <vt:i4>5</vt:i4>
      </vt:variant>
      <vt:variant>
        <vt:lpwstr/>
      </vt:variant>
      <vt:variant>
        <vt:lpwstr>_Toc327522027</vt:lpwstr>
      </vt:variant>
      <vt:variant>
        <vt:i4>1048630</vt:i4>
      </vt:variant>
      <vt:variant>
        <vt:i4>278</vt:i4>
      </vt:variant>
      <vt:variant>
        <vt:i4>0</vt:i4>
      </vt:variant>
      <vt:variant>
        <vt:i4>5</vt:i4>
      </vt:variant>
      <vt:variant>
        <vt:lpwstr/>
      </vt:variant>
      <vt:variant>
        <vt:lpwstr>_Toc327522026</vt:lpwstr>
      </vt:variant>
      <vt:variant>
        <vt:i4>1048630</vt:i4>
      </vt:variant>
      <vt:variant>
        <vt:i4>272</vt:i4>
      </vt:variant>
      <vt:variant>
        <vt:i4>0</vt:i4>
      </vt:variant>
      <vt:variant>
        <vt:i4>5</vt:i4>
      </vt:variant>
      <vt:variant>
        <vt:lpwstr/>
      </vt:variant>
      <vt:variant>
        <vt:lpwstr>_Toc327522025</vt:lpwstr>
      </vt:variant>
      <vt:variant>
        <vt:i4>1048630</vt:i4>
      </vt:variant>
      <vt:variant>
        <vt:i4>266</vt:i4>
      </vt:variant>
      <vt:variant>
        <vt:i4>0</vt:i4>
      </vt:variant>
      <vt:variant>
        <vt:i4>5</vt:i4>
      </vt:variant>
      <vt:variant>
        <vt:lpwstr/>
      </vt:variant>
      <vt:variant>
        <vt:lpwstr>_Toc327522024</vt:lpwstr>
      </vt:variant>
      <vt:variant>
        <vt:i4>1048630</vt:i4>
      </vt:variant>
      <vt:variant>
        <vt:i4>260</vt:i4>
      </vt:variant>
      <vt:variant>
        <vt:i4>0</vt:i4>
      </vt:variant>
      <vt:variant>
        <vt:i4>5</vt:i4>
      </vt:variant>
      <vt:variant>
        <vt:lpwstr/>
      </vt:variant>
      <vt:variant>
        <vt:lpwstr>_Toc327522023</vt:lpwstr>
      </vt:variant>
      <vt:variant>
        <vt:i4>1048630</vt:i4>
      </vt:variant>
      <vt:variant>
        <vt:i4>254</vt:i4>
      </vt:variant>
      <vt:variant>
        <vt:i4>0</vt:i4>
      </vt:variant>
      <vt:variant>
        <vt:i4>5</vt:i4>
      </vt:variant>
      <vt:variant>
        <vt:lpwstr/>
      </vt:variant>
      <vt:variant>
        <vt:lpwstr>_Toc327522022</vt:lpwstr>
      </vt:variant>
      <vt:variant>
        <vt:i4>1048630</vt:i4>
      </vt:variant>
      <vt:variant>
        <vt:i4>248</vt:i4>
      </vt:variant>
      <vt:variant>
        <vt:i4>0</vt:i4>
      </vt:variant>
      <vt:variant>
        <vt:i4>5</vt:i4>
      </vt:variant>
      <vt:variant>
        <vt:lpwstr/>
      </vt:variant>
      <vt:variant>
        <vt:lpwstr>_Toc327522021</vt:lpwstr>
      </vt:variant>
      <vt:variant>
        <vt:i4>1048630</vt:i4>
      </vt:variant>
      <vt:variant>
        <vt:i4>242</vt:i4>
      </vt:variant>
      <vt:variant>
        <vt:i4>0</vt:i4>
      </vt:variant>
      <vt:variant>
        <vt:i4>5</vt:i4>
      </vt:variant>
      <vt:variant>
        <vt:lpwstr/>
      </vt:variant>
      <vt:variant>
        <vt:lpwstr>_Toc327522020</vt:lpwstr>
      </vt:variant>
      <vt:variant>
        <vt:i4>1245238</vt:i4>
      </vt:variant>
      <vt:variant>
        <vt:i4>236</vt:i4>
      </vt:variant>
      <vt:variant>
        <vt:i4>0</vt:i4>
      </vt:variant>
      <vt:variant>
        <vt:i4>5</vt:i4>
      </vt:variant>
      <vt:variant>
        <vt:lpwstr/>
      </vt:variant>
      <vt:variant>
        <vt:lpwstr>_Toc327522019</vt:lpwstr>
      </vt:variant>
      <vt:variant>
        <vt:i4>1245238</vt:i4>
      </vt:variant>
      <vt:variant>
        <vt:i4>230</vt:i4>
      </vt:variant>
      <vt:variant>
        <vt:i4>0</vt:i4>
      </vt:variant>
      <vt:variant>
        <vt:i4>5</vt:i4>
      </vt:variant>
      <vt:variant>
        <vt:lpwstr/>
      </vt:variant>
      <vt:variant>
        <vt:lpwstr>_Toc327522018</vt:lpwstr>
      </vt:variant>
      <vt:variant>
        <vt:i4>1245238</vt:i4>
      </vt:variant>
      <vt:variant>
        <vt:i4>224</vt:i4>
      </vt:variant>
      <vt:variant>
        <vt:i4>0</vt:i4>
      </vt:variant>
      <vt:variant>
        <vt:i4>5</vt:i4>
      </vt:variant>
      <vt:variant>
        <vt:lpwstr/>
      </vt:variant>
      <vt:variant>
        <vt:lpwstr>_Toc327522017</vt:lpwstr>
      </vt:variant>
      <vt:variant>
        <vt:i4>1245238</vt:i4>
      </vt:variant>
      <vt:variant>
        <vt:i4>218</vt:i4>
      </vt:variant>
      <vt:variant>
        <vt:i4>0</vt:i4>
      </vt:variant>
      <vt:variant>
        <vt:i4>5</vt:i4>
      </vt:variant>
      <vt:variant>
        <vt:lpwstr/>
      </vt:variant>
      <vt:variant>
        <vt:lpwstr>_Toc327522016</vt:lpwstr>
      </vt:variant>
      <vt:variant>
        <vt:i4>1245238</vt:i4>
      </vt:variant>
      <vt:variant>
        <vt:i4>212</vt:i4>
      </vt:variant>
      <vt:variant>
        <vt:i4>0</vt:i4>
      </vt:variant>
      <vt:variant>
        <vt:i4>5</vt:i4>
      </vt:variant>
      <vt:variant>
        <vt:lpwstr/>
      </vt:variant>
      <vt:variant>
        <vt:lpwstr>_Toc327522015</vt:lpwstr>
      </vt:variant>
      <vt:variant>
        <vt:i4>1245238</vt:i4>
      </vt:variant>
      <vt:variant>
        <vt:i4>206</vt:i4>
      </vt:variant>
      <vt:variant>
        <vt:i4>0</vt:i4>
      </vt:variant>
      <vt:variant>
        <vt:i4>5</vt:i4>
      </vt:variant>
      <vt:variant>
        <vt:lpwstr/>
      </vt:variant>
      <vt:variant>
        <vt:lpwstr>_Toc327522014</vt:lpwstr>
      </vt:variant>
      <vt:variant>
        <vt:i4>1245238</vt:i4>
      </vt:variant>
      <vt:variant>
        <vt:i4>200</vt:i4>
      </vt:variant>
      <vt:variant>
        <vt:i4>0</vt:i4>
      </vt:variant>
      <vt:variant>
        <vt:i4>5</vt:i4>
      </vt:variant>
      <vt:variant>
        <vt:lpwstr/>
      </vt:variant>
      <vt:variant>
        <vt:lpwstr>_Toc327522013</vt:lpwstr>
      </vt:variant>
      <vt:variant>
        <vt:i4>1245238</vt:i4>
      </vt:variant>
      <vt:variant>
        <vt:i4>194</vt:i4>
      </vt:variant>
      <vt:variant>
        <vt:i4>0</vt:i4>
      </vt:variant>
      <vt:variant>
        <vt:i4>5</vt:i4>
      </vt:variant>
      <vt:variant>
        <vt:lpwstr/>
      </vt:variant>
      <vt:variant>
        <vt:lpwstr>_Toc327522012</vt:lpwstr>
      </vt:variant>
      <vt:variant>
        <vt:i4>1245238</vt:i4>
      </vt:variant>
      <vt:variant>
        <vt:i4>188</vt:i4>
      </vt:variant>
      <vt:variant>
        <vt:i4>0</vt:i4>
      </vt:variant>
      <vt:variant>
        <vt:i4>5</vt:i4>
      </vt:variant>
      <vt:variant>
        <vt:lpwstr/>
      </vt:variant>
      <vt:variant>
        <vt:lpwstr>_Toc327522011</vt:lpwstr>
      </vt:variant>
      <vt:variant>
        <vt:i4>1245238</vt:i4>
      </vt:variant>
      <vt:variant>
        <vt:i4>182</vt:i4>
      </vt:variant>
      <vt:variant>
        <vt:i4>0</vt:i4>
      </vt:variant>
      <vt:variant>
        <vt:i4>5</vt:i4>
      </vt:variant>
      <vt:variant>
        <vt:lpwstr/>
      </vt:variant>
      <vt:variant>
        <vt:lpwstr>_Toc327522010</vt:lpwstr>
      </vt:variant>
      <vt:variant>
        <vt:i4>1179702</vt:i4>
      </vt:variant>
      <vt:variant>
        <vt:i4>176</vt:i4>
      </vt:variant>
      <vt:variant>
        <vt:i4>0</vt:i4>
      </vt:variant>
      <vt:variant>
        <vt:i4>5</vt:i4>
      </vt:variant>
      <vt:variant>
        <vt:lpwstr/>
      </vt:variant>
      <vt:variant>
        <vt:lpwstr>_Toc327522009</vt:lpwstr>
      </vt:variant>
      <vt:variant>
        <vt:i4>1179702</vt:i4>
      </vt:variant>
      <vt:variant>
        <vt:i4>170</vt:i4>
      </vt:variant>
      <vt:variant>
        <vt:i4>0</vt:i4>
      </vt:variant>
      <vt:variant>
        <vt:i4>5</vt:i4>
      </vt:variant>
      <vt:variant>
        <vt:lpwstr/>
      </vt:variant>
      <vt:variant>
        <vt:lpwstr>_Toc327522008</vt:lpwstr>
      </vt:variant>
      <vt:variant>
        <vt:i4>1179702</vt:i4>
      </vt:variant>
      <vt:variant>
        <vt:i4>164</vt:i4>
      </vt:variant>
      <vt:variant>
        <vt:i4>0</vt:i4>
      </vt:variant>
      <vt:variant>
        <vt:i4>5</vt:i4>
      </vt:variant>
      <vt:variant>
        <vt:lpwstr/>
      </vt:variant>
      <vt:variant>
        <vt:lpwstr>_Toc327522007</vt:lpwstr>
      </vt:variant>
      <vt:variant>
        <vt:i4>1179702</vt:i4>
      </vt:variant>
      <vt:variant>
        <vt:i4>158</vt:i4>
      </vt:variant>
      <vt:variant>
        <vt:i4>0</vt:i4>
      </vt:variant>
      <vt:variant>
        <vt:i4>5</vt:i4>
      </vt:variant>
      <vt:variant>
        <vt:lpwstr/>
      </vt:variant>
      <vt:variant>
        <vt:lpwstr>_Toc327522006</vt:lpwstr>
      </vt:variant>
      <vt:variant>
        <vt:i4>1179702</vt:i4>
      </vt:variant>
      <vt:variant>
        <vt:i4>152</vt:i4>
      </vt:variant>
      <vt:variant>
        <vt:i4>0</vt:i4>
      </vt:variant>
      <vt:variant>
        <vt:i4>5</vt:i4>
      </vt:variant>
      <vt:variant>
        <vt:lpwstr/>
      </vt:variant>
      <vt:variant>
        <vt:lpwstr>_Toc327522005</vt:lpwstr>
      </vt:variant>
      <vt:variant>
        <vt:i4>1179702</vt:i4>
      </vt:variant>
      <vt:variant>
        <vt:i4>146</vt:i4>
      </vt:variant>
      <vt:variant>
        <vt:i4>0</vt:i4>
      </vt:variant>
      <vt:variant>
        <vt:i4>5</vt:i4>
      </vt:variant>
      <vt:variant>
        <vt:lpwstr/>
      </vt:variant>
      <vt:variant>
        <vt:lpwstr>_Toc327522004</vt:lpwstr>
      </vt:variant>
      <vt:variant>
        <vt:i4>1179702</vt:i4>
      </vt:variant>
      <vt:variant>
        <vt:i4>140</vt:i4>
      </vt:variant>
      <vt:variant>
        <vt:i4>0</vt:i4>
      </vt:variant>
      <vt:variant>
        <vt:i4>5</vt:i4>
      </vt:variant>
      <vt:variant>
        <vt:lpwstr/>
      </vt:variant>
      <vt:variant>
        <vt:lpwstr>_Toc327522003</vt:lpwstr>
      </vt:variant>
      <vt:variant>
        <vt:i4>1179702</vt:i4>
      </vt:variant>
      <vt:variant>
        <vt:i4>134</vt:i4>
      </vt:variant>
      <vt:variant>
        <vt:i4>0</vt:i4>
      </vt:variant>
      <vt:variant>
        <vt:i4>5</vt:i4>
      </vt:variant>
      <vt:variant>
        <vt:lpwstr/>
      </vt:variant>
      <vt:variant>
        <vt:lpwstr>_Toc327522002</vt:lpwstr>
      </vt:variant>
      <vt:variant>
        <vt:i4>1179702</vt:i4>
      </vt:variant>
      <vt:variant>
        <vt:i4>128</vt:i4>
      </vt:variant>
      <vt:variant>
        <vt:i4>0</vt:i4>
      </vt:variant>
      <vt:variant>
        <vt:i4>5</vt:i4>
      </vt:variant>
      <vt:variant>
        <vt:lpwstr/>
      </vt:variant>
      <vt:variant>
        <vt:lpwstr>_Toc327522001</vt:lpwstr>
      </vt:variant>
      <vt:variant>
        <vt:i4>1179702</vt:i4>
      </vt:variant>
      <vt:variant>
        <vt:i4>122</vt:i4>
      </vt:variant>
      <vt:variant>
        <vt:i4>0</vt:i4>
      </vt:variant>
      <vt:variant>
        <vt:i4>5</vt:i4>
      </vt:variant>
      <vt:variant>
        <vt:lpwstr/>
      </vt:variant>
      <vt:variant>
        <vt:lpwstr>_Toc327522000</vt:lpwstr>
      </vt:variant>
      <vt:variant>
        <vt:i4>1572927</vt:i4>
      </vt:variant>
      <vt:variant>
        <vt:i4>116</vt:i4>
      </vt:variant>
      <vt:variant>
        <vt:i4>0</vt:i4>
      </vt:variant>
      <vt:variant>
        <vt:i4>5</vt:i4>
      </vt:variant>
      <vt:variant>
        <vt:lpwstr/>
      </vt:variant>
      <vt:variant>
        <vt:lpwstr>_Toc327521999</vt:lpwstr>
      </vt:variant>
      <vt:variant>
        <vt:i4>1572927</vt:i4>
      </vt:variant>
      <vt:variant>
        <vt:i4>110</vt:i4>
      </vt:variant>
      <vt:variant>
        <vt:i4>0</vt:i4>
      </vt:variant>
      <vt:variant>
        <vt:i4>5</vt:i4>
      </vt:variant>
      <vt:variant>
        <vt:lpwstr/>
      </vt:variant>
      <vt:variant>
        <vt:lpwstr>_Toc327521998</vt:lpwstr>
      </vt:variant>
      <vt:variant>
        <vt:i4>1572927</vt:i4>
      </vt:variant>
      <vt:variant>
        <vt:i4>104</vt:i4>
      </vt:variant>
      <vt:variant>
        <vt:i4>0</vt:i4>
      </vt:variant>
      <vt:variant>
        <vt:i4>5</vt:i4>
      </vt:variant>
      <vt:variant>
        <vt:lpwstr/>
      </vt:variant>
      <vt:variant>
        <vt:lpwstr>_Toc327521997</vt:lpwstr>
      </vt:variant>
      <vt:variant>
        <vt:i4>1572927</vt:i4>
      </vt:variant>
      <vt:variant>
        <vt:i4>98</vt:i4>
      </vt:variant>
      <vt:variant>
        <vt:i4>0</vt:i4>
      </vt:variant>
      <vt:variant>
        <vt:i4>5</vt:i4>
      </vt:variant>
      <vt:variant>
        <vt:lpwstr/>
      </vt:variant>
      <vt:variant>
        <vt:lpwstr>_Toc327521996</vt:lpwstr>
      </vt:variant>
      <vt:variant>
        <vt:i4>1572927</vt:i4>
      </vt:variant>
      <vt:variant>
        <vt:i4>92</vt:i4>
      </vt:variant>
      <vt:variant>
        <vt:i4>0</vt:i4>
      </vt:variant>
      <vt:variant>
        <vt:i4>5</vt:i4>
      </vt:variant>
      <vt:variant>
        <vt:lpwstr/>
      </vt:variant>
      <vt:variant>
        <vt:lpwstr>_Toc327521995</vt:lpwstr>
      </vt:variant>
      <vt:variant>
        <vt:i4>1572927</vt:i4>
      </vt:variant>
      <vt:variant>
        <vt:i4>86</vt:i4>
      </vt:variant>
      <vt:variant>
        <vt:i4>0</vt:i4>
      </vt:variant>
      <vt:variant>
        <vt:i4>5</vt:i4>
      </vt:variant>
      <vt:variant>
        <vt:lpwstr/>
      </vt:variant>
      <vt:variant>
        <vt:lpwstr>_Toc327521994</vt:lpwstr>
      </vt:variant>
      <vt:variant>
        <vt:i4>1572927</vt:i4>
      </vt:variant>
      <vt:variant>
        <vt:i4>80</vt:i4>
      </vt:variant>
      <vt:variant>
        <vt:i4>0</vt:i4>
      </vt:variant>
      <vt:variant>
        <vt:i4>5</vt:i4>
      </vt:variant>
      <vt:variant>
        <vt:lpwstr/>
      </vt:variant>
      <vt:variant>
        <vt:lpwstr>_Toc327521993</vt:lpwstr>
      </vt:variant>
      <vt:variant>
        <vt:i4>1572927</vt:i4>
      </vt:variant>
      <vt:variant>
        <vt:i4>74</vt:i4>
      </vt:variant>
      <vt:variant>
        <vt:i4>0</vt:i4>
      </vt:variant>
      <vt:variant>
        <vt:i4>5</vt:i4>
      </vt:variant>
      <vt:variant>
        <vt:lpwstr/>
      </vt:variant>
      <vt:variant>
        <vt:lpwstr>_Toc327521992</vt:lpwstr>
      </vt:variant>
      <vt:variant>
        <vt:i4>1572927</vt:i4>
      </vt:variant>
      <vt:variant>
        <vt:i4>68</vt:i4>
      </vt:variant>
      <vt:variant>
        <vt:i4>0</vt:i4>
      </vt:variant>
      <vt:variant>
        <vt:i4>5</vt:i4>
      </vt:variant>
      <vt:variant>
        <vt:lpwstr/>
      </vt:variant>
      <vt:variant>
        <vt:lpwstr>_Toc327521991</vt:lpwstr>
      </vt:variant>
      <vt:variant>
        <vt:i4>1572927</vt:i4>
      </vt:variant>
      <vt:variant>
        <vt:i4>62</vt:i4>
      </vt:variant>
      <vt:variant>
        <vt:i4>0</vt:i4>
      </vt:variant>
      <vt:variant>
        <vt:i4>5</vt:i4>
      </vt:variant>
      <vt:variant>
        <vt:lpwstr/>
      </vt:variant>
      <vt:variant>
        <vt:lpwstr>_Toc327521990</vt:lpwstr>
      </vt:variant>
      <vt:variant>
        <vt:i4>1638463</vt:i4>
      </vt:variant>
      <vt:variant>
        <vt:i4>56</vt:i4>
      </vt:variant>
      <vt:variant>
        <vt:i4>0</vt:i4>
      </vt:variant>
      <vt:variant>
        <vt:i4>5</vt:i4>
      </vt:variant>
      <vt:variant>
        <vt:lpwstr/>
      </vt:variant>
      <vt:variant>
        <vt:lpwstr>_Toc327521989</vt:lpwstr>
      </vt:variant>
      <vt:variant>
        <vt:i4>1638463</vt:i4>
      </vt:variant>
      <vt:variant>
        <vt:i4>50</vt:i4>
      </vt:variant>
      <vt:variant>
        <vt:i4>0</vt:i4>
      </vt:variant>
      <vt:variant>
        <vt:i4>5</vt:i4>
      </vt:variant>
      <vt:variant>
        <vt:lpwstr/>
      </vt:variant>
      <vt:variant>
        <vt:lpwstr>_Toc327521988</vt:lpwstr>
      </vt:variant>
      <vt:variant>
        <vt:i4>1638463</vt:i4>
      </vt:variant>
      <vt:variant>
        <vt:i4>44</vt:i4>
      </vt:variant>
      <vt:variant>
        <vt:i4>0</vt:i4>
      </vt:variant>
      <vt:variant>
        <vt:i4>5</vt:i4>
      </vt:variant>
      <vt:variant>
        <vt:lpwstr/>
      </vt:variant>
      <vt:variant>
        <vt:lpwstr>_Toc327521987</vt:lpwstr>
      </vt:variant>
      <vt:variant>
        <vt:i4>1638463</vt:i4>
      </vt:variant>
      <vt:variant>
        <vt:i4>38</vt:i4>
      </vt:variant>
      <vt:variant>
        <vt:i4>0</vt:i4>
      </vt:variant>
      <vt:variant>
        <vt:i4>5</vt:i4>
      </vt:variant>
      <vt:variant>
        <vt:lpwstr/>
      </vt:variant>
      <vt:variant>
        <vt:lpwstr>_Toc327521986</vt:lpwstr>
      </vt:variant>
      <vt:variant>
        <vt:i4>1638463</vt:i4>
      </vt:variant>
      <vt:variant>
        <vt:i4>32</vt:i4>
      </vt:variant>
      <vt:variant>
        <vt:i4>0</vt:i4>
      </vt:variant>
      <vt:variant>
        <vt:i4>5</vt:i4>
      </vt:variant>
      <vt:variant>
        <vt:lpwstr/>
      </vt:variant>
      <vt:variant>
        <vt:lpwstr>_Toc327521985</vt:lpwstr>
      </vt:variant>
      <vt:variant>
        <vt:i4>1638463</vt:i4>
      </vt:variant>
      <vt:variant>
        <vt:i4>26</vt:i4>
      </vt:variant>
      <vt:variant>
        <vt:i4>0</vt:i4>
      </vt:variant>
      <vt:variant>
        <vt:i4>5</vt:i4>
      </vt:variant>
      <vt:variant>
        <vt:lpwstr/>
      </vt:variant>
      <vt:variant>
        <vt:lpwstr>_Toc327521984</vt:lpwstr>
      </vt:variant>
      <vt:variant>
        <vt:i4>1638463</vt:i4>
      </vt:variant>
      <vt:variant>
        <vt:i4>20</vt:i4>
      </vt:variant>
      <vt:variant>
        <vt:i4>0</vt:i4>
      </vt:variant>
      <vt:variant>
        <vt:i4>5</vt:i4>
      </vt:variant>
      <vt:variant>
        <vt:lpwstr/>
      </vt:variant>
      <vt:variant>
        <vt:lpwstr>_Toc327521983</vt:lpwstr>
      </vt:variant>
      <vt:variant>
        <vt:i4>1638463</vt:i4>
      </vt:variant>
      <vt:variant>
        <vt:i4>14</vt:i4>
      </vt:variant>
      <vt:variant>
        <vt:i4>0</vt:i4>
      </vt:variant>
      <vt:variant>
        <vt:i4>5</vt:i4>
      </vt:variant>
      <vt:variant>
        <vt:lpwstr/>
      </vt:variant>
      <vt:variant>
        <vt:lpwstr>_Toc327521982</vt:lpwstr>
      </vt:variant>
      <vt:variant>
        <vt:i4>1638463</vt:i4>
      </vt:variant>
      <vt:variant>
        <vt:i4>8</vt:i4>
      </vt:variant>
      <vt:variant>
        <vt:i4>0</vt:i4>
      </vt:variant>
      <vt:variant>
        <vt:i4>5</vt:i4>
      </vt:variant>
      <vt:variant>
        <vt:lpwstr/>
      </vt:variant>
      <vt:variant>
        <vt:lpwstr>_Toc327521981</vt:lpwstr>
      </vt:variant>
      <vt:variant>
        <vt:i4>5373963</vt:i4>
      </vt:variant>
      <vt:variant>
        <vt:i4>3</vt:i4>
      </vt:variant>
      <vt:variant>
        <vt:i4>0</vt:i4>
      </vt:variant>
      <vt:variant>
        <vt:i4>5</vt:i4>
      </vt:variant>
      <vt:variant>
        <vt:lpwstr>http://www.ag.gov.au/cca</vt:lpwstr>
      </vt:variant>
      <vt:variant>
        <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Assessment Report Template</dc:title>
  <dc:creator>Yasoba Atukorale</dc:creator>
  <cp:lastModifiedBy>Orr Audrey</cp:lastModifiedBy>
  <cp:revision>2</cp:revision>
  <cp:lastPrinted>2012-06-14T06:31:00Z</cp:lastPrinted>
  <dcterms:created xsi:type="dcterms:W3CDTF">2013-05-08T03:54:00Z</dcterms:created>
  <dcterms:modified xsi:type="dcterms:W3CDTF">2013-05-08T03:54:00Z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