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EDB8" w14:textId="77777777" w:rsidR="00002A81" w:rsidRPr="00707064" w:rsidRDefault="00002A81" w:rsidP="00002A81">
      <w:pPr>
        <w:pStyle w:val="Heading1"/>
        <w:numPr>
          <w:ilvl w:val="0"/>
          <w:numId w:val="0"/>
        </w:numPr>
        <w:tabs>
          <w:tab w:val="clear" w:pos="567"/>
          <w:tab w:val="left" w:pos="0"/>
        </w:tabs>
        <w:jc w:val="center"/>
        <w:rPr>
          <w:szCs w:val="24"/>
          <w:highlight w:val="yellow"/>
        </w:rPr>
      </w:pPr>
      <w:bookmarkStart w:id="0" w:name="_GoBack"/>
      <w:bookmarkEnd w:id="0"/>
      <w:r>
        <w:rPr>
          <w:noProof/>
        </w:rPr>
        <w:drawing>
          <wp:inline distT="0" distB="0" distL="0" distR="0" wp14:anchorId="1624F1CA" wp14:editId="225CA18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B5FA35C" w14:textId="77777777" w:rsidR="00002A81" w:rsidRPr="007B32D1" w:rsidRDefault="00002A81" w:rsidP="00002A81">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6F0AA91B" w14:textId="77777777" w:rsidR="00002A81" w:rsidRPr="00EB164D" w:rsidRDefault="00002A81" w:rsidP="00002A81">
      <w:pPr>
        <w:pStyle w:val="Heading1"/>
        <w:numPr>
          <w:ilvl w:val="0"/>
          <w:numId w:val="0"/>
        </w:numPr>
        <w:rPr>
          <w:sz w:val="24"/>
          <w:szCs w:val="24"/>
        </w:rPr>
      </w:pPr>
      <w:r w:rsidRPr="00EB164D">
        <w:rPr>
          <w:rStyle w:val="IntenseReference"/>
          <w:b/>
          <w:bCs/>
          <w:i w:val="0"/>
          <w:smallCaps w:val="0"/>
          <w:color w:val="auto"/>
          <w:spacing w:val="0"/>
          <w:sz w:val="24"/>
          <w:szCs w:val="24"/>
        </w:rPr>
        <w:t>Report to the Medical Services Advisory Committee on utilisation of MBS items associated with Application 1153: Genetic Testing for Hereditary Mutation of the von Hippel -Lindau (VHL) Gene</w:t>
      </w:r>
    </w:p>
    <w:p w14:paraId="070662DA" w14:textId="77777777" w:rsidR="00002A81" w:rsidRPr="0069213A" w:rsidRDefault="00002A81" w:rsidP="00002A81">
      <w:pPr>
        <w:spacing w:before="360"/>
        <w:ind w:left="3600" w:hanging="3600"/>
        <w:rPr>
          <w:rFonts w:ascii="Arial" w:hAnsi="Arial" w:cs="Arial"/>
          <w:b/>
          <w:szCs w:val="24"/>
        </w:rPr>
      </w:pPr>
      <w:r w:rsidRPr="0069213A">
        <w:rPr>
          <w:rFonts w:ascii="Arial" w:hAnsi="Arial" w:cs="Arial"/>
          <w:b/>
          <w:szCs w:val="24"/>
        </w:rPr>
        <w:t xml:space="preserve">Medicare Benefits Schedule (MBS) item considered: 73333, 73334, </w:t>
      </w:r>
      <w:proofErr w:type="gramStart"/>
      <w:r w:rsidRPr="0069213A">
        <w:rPr>
          <w:rFonts w:ascii="Arial" w:hAnsi="Arial" w:cs="Arial"/>
          <w:b/>
          <w:szCs w:val="24"/>
        </w:rPr>
        <w:t>73335</w:t>
      </w:r>
      <w:proofErr w:type="gramEnd"/>
    </w:p>
    <w:p w14:paraId="1B0B0A35" w14:textId="16792EFB" w:rsidR="00002A81" w:rsidRPr="0069213A" w:rsidRDefault="00002A81" w:rsidP="00002A81">
      <w:pPr>
        <w:spacing w:before="360"/>
        <w:ind w:left="3600" w:hanging="3600"/>
        <w:rPr>
          <w:rFonts w:ascii="Arial" w:hAnsi="Arial" w:cs="Arial"/>
          <w:b/>
          <w:szCs w:val="24"/>
        </w:rPr>
      </w:pPr>
      <w:r w:rsidRPr="0069213A">
        <w:rPr>
          <w:rFonts w:ascii="Arial" w:hAnsi="Arial" w:cs="Arial"/>
          <w:b/>
          <w:szCs w:val="24"/>
        </w:rPr>
        <w:t>Date of MSAC consideration:</w:t>
      </w:r>
      <w:r>
        <w:rPr>
          <w:rFonts w:ascii="Arial" w:hAnsi="Arial" w:cs="Arial"/>
          <w:b/>
          <w:szCs w:val="24"/>
        </w:rPr>
        <w:t xml:space="preserve"> </w:t>
      </w:r>
      <w:r w:rsidR="00CB0AF3">
        <w:rPr>
          <w:rFonts w:ascii="Arial" w:hAnsi="Arial" w:cs="Arial"/>
          <w:b/>
          <w:szCs w:val="24"/>
        </w:rPr>
        <w:t>23 November 2017</w:t>
      </w:r>
    </w:p>
    <w:p w14:paraId="119351E6" w14:textId="30C9A208" w:rsidR="00002A81" w:rsidRDefault="00002A81" w:rsidP="00EB164D">
      <w:pPr>
        <w:spacing w:before="240"/>
        <w:rPr>
          <w:szCs w:val="24"/>
        </w:rPr>
      </w:pPr>
      <w:r>
        <w:rPr>
          <w:szCs w:val="24"/>
        </w:rPr>
        <w:t xml:space="preserve">Context for decision: MSAC makes its advice in accordance with its Terms of Reference, see the </w:t>
      </w:r>
      <w:hyperlink r:id="rId10" w:tooltip="Link to MSAC website" w:history="1">
        <w:r w:rsidRPr="009B433F">
          <w:rPr>
            <w:rStyle w:val="Hyperlink"/>
            <w:szCs w:val="24"/>
          </w:rPr>
          <w:t xml:space="preserve">MSAC </w:t>
        </w:r>
        <w:r>
          <w:rPr>
            <w:rStyle w:val="Hyperlink"/>
            <w:szCs w:val="24"/>
          </w:rPr>
          <w:t>W</w:t>
        </w:r>
        <w:r w:rsidRPr="009B433F">
          <w:rPr>
            <w:rStyle w:val="Hyperlink"/>
            <w:szCs w:val="24"/>
          </w:rPr>
          <w:t>ebsite</w:t>
        </w:r>
      </w:hyperlink>
      <w:r>
        <w:t>.</w:t>
      </w:r>
    </w:p>
    <w:p w14:paraId="5BB99256" w14:textId="77777777" w:rsidR="00002A81" w:rsidRPr="00EB164D" w:rsidRDefault="00002A81" w:rsidP="00002A81">
      <w:pPr>
        <w:pStyle w:val="Heading1"/>
        <w:ind w:left="0" w:firstLine="0"/>
        <w:rPr>
          <w:sz w:val="24"/>
          <w:szCs w:val="24"/>
        </w:rPr>
      </w:pPr>
      <w:r w:rsidRPr="00EB164D">
        <w:rPr>
          <w:sz w:val="24"/>
          <w:szCs w:val="24"/>
        </w:rPr>
        <w:t xml:space="preserve">Purpose </w:t>
      </w:r>
    </w:p>
    <w:p w14:paraId="792FC667" w14:textId="77777777" w:rsidR="00002A81" w:rsidRDefault="00002A81" w:rsidP="00002A81">
      <w:pPr>
        <w:pStyle w:val="BodyText"/>
      </w:pPr>
      <w:r>
        <w:t>The purpose of the report presented to the Medical Services Advisory Committee (MSAC) was to inform MSAC of the real world impacts on the outcomes of Application 1153. The MSAC uses this information to ensure that the new item/s resulting from this application/s is being used as intended.</w:t>
      </w:r>
    </w:p>
    <w:p w14:paraId="38DB6377" w14:textId="77777777" w:rsidR="00002A81" w:rsidRPr="00DB1935" w:rsidRDefault="00002A81" w:rsidP="00002A81">
      <w:pPr>
        <w:pStyle w:val="BodyText"/>
      </w:pPr>
      <w:r w:rsidRPr="00341476">
        <w:t xml:space="preserve">The </w:t>
      </w:r>
      <w:r>
        <w:t>report</w:t>
      </w:r>
      <w:r w:rsidRPr="00341476">
        <w:t xml:space="preserve"> is not intended to be a review of the clinical information covered during the application process.</w:t>
      </w:r>
    </w:p>
    <w:p w14:paraId="5383A46C" w14:textId="77777777" w:rsidR="00002A81" w:rsidRPr="00EB164D" w:rsidRDefault="00002A81" w:rsidP="00002A81">
      <w:pPr>
        <w:pStyle w:val="Heading1"/>
        <w:ind w:left="0" w:firstLine="0"/>
        <w:rPr>
          <w:sz w:val="24"/>
          <w:szCs w:val="24"/>
        </w:rPr>
      </w:pPr>
      <w:r w:rsidRPr="00EB164D">
        <w:rPr>
          <w:sz w:val="24"/>
          <w:szCs w:val="24"/>
        </w:rPr>
        <w:t xml:space="preserve">MSAC’s advice </w:t>
      </w:r>
    </w:p>
    <w:p w14:paraId="39CF72BD" w14:textId="77777777" w:rsidR="00B82087" w:rsidRPr="006C6301" w:rsidRDefault="00B82087" w:rsidP="00B82087">
      <w:pPr>
        <w:rPr>
          <w:szCs w:val="24"/>
        </w:rPr>
      </w:pPr>
      <w:r w:rsidRPr="006C6301">
        <w:rPr>
          <w:szCs w:val="24"/>
        </w:rPr>
        <w:t>MSAC considered actual utilisation data and compared it with the utilisation predicted prior to listing of genetic testing for hereditary mutations of the Von Hippel-Lindau gene. MSAC noted that there was lower than expected utilisation of this service but recommended no change to the MBS items 73333, 73334 and 73335. MSAC recommended utilisation be reviewed again in five years.</w:t>
      </w:r>
    </w:p>
    <w:p w14:paraId="612E2169" w14:textId="77777777" w:rsidR="00002A81" w:rsidRPr="00EB164D" w:rsidRDefault="00002A81" w:rsidP="00002A81">
      <w:pPr>
        <w:pStyle w:val="Heading1"/>
        <w:ind w:left="0" w:firstLine="0"/>
        <w:rPr>
          <w:sz w:val="24"/>
          <w:szCs w:val="24"/>
        </w:rPr>
      </w:pPr>
      <w:r w:rsidRPr="00EB164D">
        <w:rPr>
          <w:sz w:val="24"/>
          <w:szCs w:val="24"/>
        </w:rPr>
        <w:t>Summary of consideration and rationale for MSAC’s advice</w:t>
      </w:r>
    </w:p>
    <w:p w14:paraId="39627097" w14:textId="77777777" w:rsidR="00B82087" w:rsidRPr="00B82087" w:rsidRDefault="00B82087" w:rsidP="00B82087">
      <w:pPr>
        <w:pStyle w:val="BodyText"/>
      </w:pPr>
      <w:r w:rsidRPr="00B82087">
        <w:t>MSAC considered the real world impacts of the outcome of Application 1153 on genetic testing for hereditary mutation of the Von Hippel-Lindau (VHL) gene by examining available data on the utilisation of MBS items 73333, 73334 and 73335.</w:t>
      </w:r>
    </w:p>
    <w:p w14:paraId="10861B30" w14:textId="77777777" w:rsidR="00B82087" w:rsidRPr="00B82087" w:rsidRDefault="00B82087" w:rsidP="00B82087">
      <w:pPr>
        <w:pStyle w:val="BodyText"/>
      </w:pPr>
      <w:r w:rsidRPr="00B82087">
        <w:t xml:space="preserve">Mutation of the VHL gene causes a rare familial cancer syndrome that can manifest as phaeochromocytoma, </w:t>
      </w:r>
      <w:proofErr w:type="spellStart"/>
      <w:r w:rsidRPr="00B82087">
        <w:t>haemangioblastoma</w:t>
      </w:r>
      <w:proofErr w:type="spellEnd"/>
      <w:r w:rsidRPr="00B82087">
        <w:t xml:space="preserve"> and/or renal cell carcinoma. MBS item 73333 is used for diagnostic germline detection of the VHL gene in patients who show symptoms of VHL syndrome, whereas MBS item 73334 is a predictive test (through germline testing of the </w:t>
      </w:r>
      <w:r w:rsidRPr="00B82087">
        <w:lastRenderedPageBreak/>
        <w:t>VHL gene mutation) for biological relatives of a patient with a known mutation in the VHL gene. MBS item 73335 is used for diagnostic detection of somatic VHL gene mutations.</w:t>
      </w:r>
    </w:p>
    <w:p w14:paraId="03CDBB1C" w14:textId="77777777" w:rsidR="00B82087" w:rsidRPr="00B82087" w:rsidRDefault="00B82087" w:rsidP="00B82087">
      <w:pPr>
        <w:pStyle w:val="BodyText"/>
      </w:pPr>
      <w:r w:rsidRPr="00B82087">
        <w:t xml:space="preserve">MSAC noted that the VHL gene can occur either as a somatic mutation or inherited from germ line cells. Since the origin of the VHL gene is uncertain upon presentation of cancer in individuals, somatic testing of the tumour is conducted first. MSAC also noted that the VHL gene is amongst 15 or more genes that can cause phaeochromocytoma and </w:t>
      </w:r>
      <w:proofErr w:type="gramStart"/>
      <w:r w:rsidRPr="00B82087">
        <w:t>that tests</w:t>
      </w:r>
      <w:proofErr w:type="gramEnd"/>
      <w:r w:rsidRPr="00B82087">
        <w:t xml:space="preserve"> for VHL now can be a part of a panel test of multiple genes.  </w:t>
      </w:r>
    </w:p>
    <w:p w14:paraId="068FDD45" w14:textId="77777777" w:rsidR="00B82087" w:rsidRPr="00B82087" w:rsidRDefault="00B82087" w:rsidP="00B82087">
      <w:pPr>
        <w:pStyle w:val="BodyText"/>
      </w:pPr>
      <w:r w:rsidRPr="00B82087">
        <w:t>MSAC recalled that there was a lack of data on the prevalence of VHL genes in the Australian population and so epidemiological data from Denmark was used to draw estimates.</w:t>
      </w:r>
    </w:p>
    <w:p w14:paraId="5828471A" w14:textId="77777777" w:rsidR="00B82087" w:rsidRPr="00B82087" w:rsidRDefault="00B82087" w:rsidP="00B82087">
      <w:pPr>
        <w:pStyle w:val="BodyText"/>
      </w:pPr>
      <w:r w:rsidRPr="00B82087">
        <w:t xml:space="preserve">MSAC recalled that it was predicted there would be 80 diagnostic tests (MBS items 73333 and 73335) for VHL per year in the first year and anticipated that this would gradually increase to 160 tests per year after five years. It was also assumed that VHL predictive tests would not </w:t>
      </w:r>
      <w:proofErr w:type="gramStart"/>
      <w:r w:rsidRPr="00B82087">
        <w:t>increase,</w:t>
      </w:r>
      <w:proofErr w:type="gramEnd"/>
      <w:r w:rsidRPr="00B82087">
        <w:t xml:space="preserve"> remaining at 30 tests per year (MBS item 73334).</w:t>
      </w:r>
    </w:p>
    <w:p w14:paraId="1C3CA2A3" w14:textId="77777777" w:rsidR="00B82087" w:rsidRPr="00B82087" w:rsidRDefault="00B82087" w:rsidP="00B82087">
      <w:pPr>
        <w:pStyle w:val="BodyText"/>
      </w:pPr>
      <w:r w:rsidRPr="00B82087">
        <w:t>MSAC noted that test volumes were lower than expected in the period 2016–17 with 47 services for MBS items 73333 and 73334, which represents approximately 34% of predicted usage. However MSAC noted that there has been a spike in the total number of diagnostic services for the 2017 financial year which does not reflect a backlog of tests or biological pathology.</w:t>
      </w:r>
    </w:p>
    <w:p w14:paraId="5D381A29" w14:textId="77777777" w:rsidR="00B82087" w:rsidRPr="00B82087" w:rsidRDefault="00B82087" w:rsidP="00B82087">
      <w:pPr>
        <w:pStyle w:val="BodyText"/>
      </w:pPr>
      <w:r w:rsidRPr="00B82087">
        <w:t>MSAC noted that the spike in utilisation of MBS services for the 2017 financial year was only observed in New South Wales and considered the possibility that it is the result of a policy change in public hospital laboratories to claim these services from the MBS. MSAC noted that there was wide variation in utilisation between States. MSAC noted that Western Australia and South Australia had no reportable statistics, possibly as a result of privacy preservation due to the very low uptake in utilisation of MBS items 73333, 73334, 73335 or not claiming services through the MBS. MSAC also noted that the low utilisation rates in the Australian Capital Territory, Queensland and Victoria could be attributed to laboratories not claiming services through the MBS. MSAC noted that MBS data may not be a reliable reflection of testing practices for this mutation as MBS claiming of the items is not consistent and in some cases testing is funded by the States.</w:t>
      </w:r>
    </w:p>
    <w:p w14:paraId="4C5073A8" w14:textId="20BFC9A8" w:rsidR="00B82087" w:rsidRPr="00B82087" w:rsidRDefault="00B82087" w:rsidP="00B82087">
      <w:pPr>
        <w:pStyle w:val="BodyText"/>
      </w:pPr>
      <w:r w:rsidRPr="00B82087">
        <w:t>MSAC noted that the age distribution of the disease does not match the age distribution of services claimed. It is estimated that 80% of those who carry the VHL gene will have manifested symptoms by age 60 years but the majority of services have been in those aged 60 years or over. MSAC considered the possibility that this age discrepancy could be a result of testing in patients with phaeochromocytoma (a disorder of older patients) while younger patients were being tested through clinical gen</w:t>
      </w:r>
      <w:r w:rsidR="00623DEC">
        <w:t>etics services and public labs.</w:t>
      </w:r>
    </w:p>
    <w:p w14:paraId="4571C8ED" w14:textId="77777777" w:rsidR="00B82087" w:rsidRPr="00B82087" w:rsidRDefault="00B82087" w:rsidP="00B82087">
      <w:pPr>
        <w:pStyle w:val="BodyText"/>
      </w:pPr>
      <w:r w:rsidRPr="00B82087">
        <w:t>MSAC recalled that the impetus for listing was to increase momentum for awareness of the field of genetic testing. MSAC also highlighted the need for a national audit of genetic tests funded by state governments, Medicare and patients to aid in planning of future genetic testing. This could be assisted by the development of a national policy and program for genetic testing.</w:t>
      </w:r>
    </w:p>
    <w:p w14:paraId="3935FE38" w14:textId="77777777" w:rsidR="00B82087" w:rsidRPr="00B82087" w:rsidRDefault="00B82087" w:rsidP="00B82087">
      <w:pPr>
        <w:pStyle w:val="BodyText"/>
      </w:pPr>
      <w:r w:rsidRPr="00B82087">
        <w:t>MSAC noted that VHL testing is needed for rare familial cancer despite the low volume in uptake. MSAC also noted the emerging availability of panel tests for simultaneous testing of various genetic mutations as opposed to single gene tests which may change the way these items are used in the future.</w:t>
      </w:r>
    </w:p>
    <w:p w14:paraId="6766872E" w14:textId="77777777" w:rsidR="00B82087" w:rsidRPr="00B82087" w:rsidRDefault="00B82087" w:rsidP="00B82087">
      <w:pPr>
        <w:pStyle w:val="BodyText"/>
      </w:pPr>
      <w:r w:rsidRPr="00B82087">
        <w:t xml:space="preserve">MSAC recommended no change to the MBS items 73333, 73334 and 73335 but recommended they be reviewed again in five years in light of emerging panel tests. </w:t>
      </w:r>
    </w:p>
    <w:p w14:paraId="5E4A72C5" w14:textId="77777777" w:rsidR="00002A81" w:rsidRPr="00EB164D" w:rsidRDefault="00002A81" w:rsidP="00002A81">
      <w:pPr>
        <w:pStyle w:val="Heading1"/>
        <w:ind w:left="0" w:firstLine="0"/>
        <w:rPr>
          <w:sz w:val="24"/>
          <w:szCs w:val="24"/>
        </w:rPr>
      </w:pPr>
      <w:r w:rsidRPr="00EB164D">
        <w:rPr>
          <w:sz w:val="24"/>
          <w:szCs w:val="24"/>
        </w:rPr>
        <w:lastRenderedPageBreak/>
        <w:t>Methodology</w:t>
      </w:r>
    </w:p>
    <w:p w14:paraId="6921CFB2" w14:textId="77777777" w:rsidR="00002A81" w:rsidRDefault="00002A81" w:rsidP="00002A81">
      <w:pPr>
        <w:pStyle w:val="BodyText"/>
      </w:pPr>
      <w:r>
        <w:t>An application is selected for consideration if the resulting new item(s) and/or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129E197" w14:textId="77777777" w:rsidR="00002A81" w:rsidRDefault="00002A81" w:rsidP="00002A81">
      <w:pPr>
        <w:pStyle w:val="BodyText"/>
      </w:pPr>
      <w:r>
        <w:t>A report on the utilisation is developed by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4EC03658" w14:textId="77777777" w:rsidR="00002A81" w:rsidRDefault="00002A81" w:rsidP="00002A81">
      <w:pPr>
        <w:pStyle w:val="BodyText"/>
      </w:pPr>
      <w:r>
        <w:t>Where possible the report compares data on real world utilisation to the assumptions made during the MSAC assessment. Most of these assumptions are drawn from the assessment report.</w:t>
      </w:r>
    </w:p>
    <w:p w14:paraId="3EF1BBAA" w14:textId="77777777" w:rsidR="00002A81" w:rsidRDefault="00002A81" w:rsidP="00002A81">
      <w:pPr>
        <w:pStyle w:val="BodyText"/>
      </w:pPr>
      <w:r>
        <w:t>Relevant stakeholders are provided an opportunity to comment on the findings in the report before it is presented to the MSAC. It is intended that stakeholders are given at least three weeks to consider the reports.</w:t>
      </w:r>
    </w:p>
    <w:p w14:paraId="5AB93F99" w14:textId="77777777" w:rsidR="00002A81" w:rsidRDefault="00002A81" w:rsidP="00002A81">
      <w:pPr>
        <w:pStyle w:val="BodyText"/>
      </w:pPr>
      <w:r>
        <w:t>The stakeholder version of the report does not contain information on assumptions from the MSAC consideration if this information is not already publicly available. This is to protect the commercial in confidence of the original applicants. The same principle is applied to this document.</w:t>
      </w:r>
    </w:p>
    <w:p w14:paraId="0FC9BE6E" w14:textId="5D98C077" w:rsidR="00002A81" w:rsidRPr="004617ED" w:rsidRDefault="00002A81" w:rsidP="00002A81">
      <w:pPr>
        <w:pStyle w:val="BodyText"/>
      </w:pPr>
      <w:r>
        <w:t xml:space="preserve">Once MSAC has considered the report, its advice is made available online at the </w:t>
      </w:r>
      <w:hyperlink r:id="rId11" w:tooltip="Link to MSAC website" w:history="1">
        <w:r w:rsidRPr="009B433F">
          <w:rPr>
            <w:rStyle w:val="Hyperlink"/>
            <w:szCs w:val="24"/>
          </w:rPr>
          <w:t xml:space="preserve">MSAC </w:t>
        </w:r>
        <w:r>
          <w:rPr>
            <w:rStyle w:val="Hyperlink"/>
            <w:szCs w:val="24"/>
          </w:rPr>
          <w:t>W</w:t>
        </w:r>
        <w:r w:rsidRPr="009B433F">
          <w:rPr>
            <w:rStyle w:val="Hyperlink"/>
            <w:szCs w:val="24"/>
          </w:rPr>
          <w:t>ebsite</w:t>
        </w:r>
      </w:hyperlink>
      <w:r>
        <w:t>.</w:t>
      </w:r>
    </w:p>
    <w:p w14:paraId="499B4060" w14:textId="77777777" w:rsidR="00002A81" w:rsidRPr="00EB164D" w:rsidRDefault="00002A81" w:rsidP="00002A81">
      <w:pPr>
        <w:pStyle w:val="Heading1"/>
        <w:ind w:left="0" w:firstLine="0"/>
        <w:rPr>
          <w:sz w:val="24"/>
          <w:szCs w:val="24"/>
        </w:rPr>
      </w:pPr>
      <w:r w:rsidRPr="00EB164D">
        <w:rPr>
          <w:sz w:val="24"/>
          <w:szCs w:val="24"/>
        </w:rPr>
        <w:t>Results</w:t>
      </w:r>
    </w:p>
    <w:p w14:paraId="29DD95DA" w14:textId="77777777" w:rsidR="00002A81" w:rsidRPr="00A5477A" w:rsidRDefault="00002A81" w:rsidP="00002A81">
      <w:pPr>
        <w:pStyle w:val="Heading2"/>
      </w:pPr>
      <w:r>
        <w:t>Utilisation</w:t>
      </w:r>
    </w:p>
    <w:p w14:paraId="34CA8464" w14:textId="77777777" w:rsidR="00002A81" w:rsidRDefault="00002A81" w:rsidP="00002A81">
      <w:pPr>
        <w:pStyle w:val="BodyText"/>
      </w:pPr>
      <w:r>
        <w:t xml:space="preserve">Overall, the three items have had very </w:t>
      </w:r>
      <w:r w:rsidRPr="00E102FE">
        <w:t xml:space="preserve">limited use and </w:t>
      </w:r>
      <w:r>
        <w:t>also show state-</w:t>
      </w:r>
      <w:r w:rsidRPr="00E102FE">
        <w:t>based variation.</w:t>
      </w:r>
    </w:p>
    <w:p w14:paraId="5845D302" w14:textId="77777777" w:rsidR="00002A81" w:rsidRDefault="00002A81" w:rsidP="00002A81">
      <w:pPr>
        <w:pStyle w:val="BodyText"/>
      </w:pPr>
      <w:r>
        <w:t>The actual utilisation of MBS i</w:t>
      </w:r>
      <w:r w:rsidRPr="00BD03F7">
        <w:t xml:space="preserve">tem 73333 and 73334 used for VHL diagnostic purposes </w:t>
      </w:r>
      <w:r>
        <w:t>is significantly lower</w:t>
      </w:r>
      <w:r w:rsidRPr="00BD03F7">
        <w:t xml:space="preserve"> than </w:t>
      </w:r>
      <w:r>
        <w:t>volumes estimated</w:t>
      </w:r>
      <w:r w:rsidRPr="00BD03F7">
        <w:t xml:space="preserve">. </w:t>
      </w:r>
      <w:r>
        <w:t>There have been a total of 104 services for 73333 and 73334 since implementation (</w:t>
      </w:r>
      <w:r w:rsidRPr="00BD03F7">
        <w:t xml:space="preserve">Table </w:t>
      </w:r>
      <w:r>
        <w:t>1)</w:t>
      </w:r>
      <w:r w:rsidRPr="00BD03F7">
        <w:t>.</w:t>
      </w:r>
      <w:r>
        <w:t xml:space="preserve"> Figure 1 shows an initial increase in utilisation of the two items but in the most recent calendar year item 73334 has essentially not been used.</w:t>
      </w:r>
    </w:p>
    <w:p w14:paraId="58B6C8D4" w14:textId="79A8B846" w:rsidR="00B82087" w:rsidRPr="00EB164D" w:rsidRDefault="00002A81" w:rsidP="00EB164D">
      <w:pPr>
        <w:pStyle w:val="BodyText"/>
      </w:pPr>
      <w:r w:rsidRPr="00F60DB4">
        <w:t xml:space="preserve">From 1 </w:t>
      </w:r>
      <w:r>
        <w:t>November</w:t>
      </w:r>
      <w:r w:rsidRPr="00F60DB4">
        <w:t xml:space="preserve"> 2012 to 31 March 2017, New South Wales had the highest utilisation with </w:t>
      </w:r>
      <w:r>
        <w:t>83</w:t>
      </w:r>
      <w:r w:rsidRPr="00F60DB4">
        <w:t xml:space="preserve"> services (approximately </w:t>
      </w:r>
      <w:r>
        <w:t xml:space="preserve">80 percent </w:t>
      </w:r>
      <w:r w:rsidRPr="00F60DB4">
        <w:t xml:space="preserve">of total services billed to the item).  There were </w:t>
      </w:r>
      <w:r>
        <w:t xml:space="preserve">a small number of services provided in South Australia, </w:t>
      </w:r>
      <w:r w:rsidRPr="00F60DB4">
        <w:t>Victoria</w:t>
      </w:r>
      <w:r>
        <w:t xml:space="preserve"> and</w:t>
      </w:r>
      <w:r w:rsidRPr="00F60DB4">
        <w:t xml:space="preserve"> </w:t>
      </w:r>
      <w:r>
        <w:t>Queensland</w:t>
      </w:r>
      <w:r w:rsidRPr="00F60DB4">
        <w:t xml:space="preserve"> </w:t>
      </w:r>
      <w:r>
        <w:t>in the same period</w:t>
      </w:r>
      <w:r w:rsidRPr="00F60DB4">
        <w:t>.</w:t>
      </w:r>
      <w:r>
        <w:t xml:space="preserve">  This most likely reflects the distribution of medical specialists able to treat patients who present with features consistent with VHL.  </w:t>
      </w:r>
      <w:r w:rsidRPr="00937BBD">
        <w:t>In addition, the frequency of testing is reducing, as all prevalent cases are likely to have now been tested</w:t>
      </w:r>
      <w:r>
        <w:t>.</w:t>
      </w:r>
      <w:r w:rsidR="00B82087">
        <w:br w:type="page"/>
      </w:r>
    </w:p>
    <w:p w14:paraId="2C6BD6BC" w14:textId="1D1C10A2" w:rsidR="00002A81" w:rsidRPr="00A5477A" w:rsidRDefault="00002A81" w:rsidP="00002A81">
      <w:pPr>
        <w:pStyle w:val="TableHeader"/>
      </w:pPr>
      <w:r w:rsidRPr="00A5477A">
        <w:lastRenderedPageBreak/>
        <w:t>Table 1: Predicted vs actual utilisation of MBS item 73333 and 73334 (diagnostic)</w:t>
      </w:r>
    </w:p>
    <w:tbl>
      <w:tblPr>
        <w:tblW w:w="8755" w:type="dxa"/>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2318"/>
        <w:gridCol w:w="1276"/>
        <w:gridCol w:w="1275"/>
        <w:gridCol w:w="1276"/>
        <w:gridCol w:w="1276"/>
        <w:gridCol w:w="1334"/>
      </w:tblGrid>
      <w:tr w:rsidR="00002A81" w:rsidRPr="00644A88" w14:paraId="22A4D3C6" w14:textId="77777777" w:rsidTr="00B16EBE">
        <w:trPr>
          <w:trHeight w:val="27"/>
        </w:trPr>
        <w:tc>
          <w:tcPr>
            <w:tcW w:w="231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bottom"/>
            <w:hideMark/>
          </w:tcPr>
          <w:p w14:paraId="4019BE5E" w14:textId="77777777" w:rsidR="00002A81" w:rsidRPr="0005223A" w:rsidRDefault="00002A81" w:rsidP="00B16EBE">
            <w:pPr>
              <w:pStyle w:val="TableText1left"/>
              <w:spacing w:before="0" w:after="0"/>
              <w:rPr>
                <w:b/>
                <w:sz w:val="18"/>
                <w:szCs w:val="18"/>
              </w:rPr>
            </w:pPr>
            <w:r w:rsidRPr="0005223A">
              <w:rPr>
                <w:b/>
                <w:sz w:val="18"/>
                <w:szCs w:val="18"/>
              </w:rPr>
              <w:t>Financial Year</w:t>
            </w:r>
          </w:p>
        </w:tc>
        <w:tc>
          <w:tcPr>
            <w:tcW w:w="1276" w:type="dxa"/>
            <w:tcBorders>
              <w:top w:val="single" w:sz="8" w:space="0" w:color="auto"/>
              <w:left w:val="nil"/>
              <w:bottom w:val="single" w:sz="8" w:space="0" w:color="auto"/>
              <w:right w:val="single" w:sz="8" w:space="0" w:color="auto"/>
            </w:tcBorders>
            <w:shd w:val="clear" w:color="auto" w:fill="C6D9F1" w:themeFill="text2" w:themeFillTint="33"/>
            <w:vAlign w:val="bottom"/>
          </w:tcPr>
          <w:p w14:paraId="36A8EE58" w14:textId="77777777" w:rsidR="00002A81" w:rsidRPr="0005223A" w:rsidRDefault="00002A81" w:rsidP="00B16EBE">
            <w:pPr>
              <w:pStyle w:val="TableText1left"/>
              <w:spacing w:before="100" w:beforeAutospacing="1" w:after="100" w:afterAutospacing="1"/>
              <w:jc w:val="center"/>
              <w:rPr>
                <w:b/>
                <w:sz w:val="18"/>
                <w:szCs w:val="18"/>
              </w:rPr>
            </w:pPr>
            <w:r w:rsidRPr="0005223A">
              <w:rPr>
                <w:b/>
                <w:sz w:val="18"/>
                <w:szCs w:val="18"/>
              </w:rPr>
              <w:t>2012-2013</w:t>
            </w:r>
          </w:p>
        </w:tc>
        <w:tc>
          <w:tcPr>
            <w:tcW w:w="1275" w:type="dxa"/>
            <w:tcBorders>
              <w:top w:val="single" w:sz="8" w:space="0" w:color="auto"/>
              <w:left w:val="nil"/>
              <w:bottom w:val="single" w:sz="8" w:space="0" w:color="auto"/>
              <w:right w:val="single" w:sz="8" w:space="0" w:color="auto"/>
            </w:tcBorders>
            <w:shd w:val="clear" w:color="auto" w:fill="C6D9F1" w:themeFill="text2" w:themeFillTint="33"/>
            <w:vAlign w:val="bottom"/>
          </w:tcPr>
          <w:p w14:paraId="09CC89C7" w14:textId="77777777" w:rsidR="00002A81" w:rsidRPr="0005223A" w:rsidRDefault="00002A81" w:rsidP="00B16EBE">
            <w:pPr>
              <w:pStyle w:val="TableText1left"/>
              <w:spacing w:before="100" w:beforeAutospacing="1" w:after="100" w:afterAutospacing="1"/>
              <w:jc w:val="center"/>
              <w:rPr>
                <w:b/>
                <w:sz w:val="18"/>
                <w:szCs w:val="18"/>
              </w:rPr>
            </w:pPr>
            <w:r w:rsidRPr="0005223A">
              <w:rPr>
                <w:b/>
                <w:sz w:val="18"/>
                <w:szCs w:val="18"/>
              </w:rPr>
              <w:t>2013-2014</w:t>
            </w:r>
          </w:p>
        </w:tc>
        <w:tc>
          <w:tcPr>
            <w:tcW w:w="1276" w:type="dxa"/>
            <w:tcBorders>
              <w:top w:val="single" w:sz="8" w:space="0" w:color="auto"/>
              <w:left w:val="nil"/>
              <w:bottom w:val="single" w:sz="8" w:space="0" w:color="auto"/>
              <w:right w:val="single" w:sz="8" w:space="0" w:color="auto"/>
            </w:tcBorders>
            <w:shd w:val="clear" w:color="auto" w:fill="C6D9F1" w:themeFill="text2" w:themeFillTint="33"/>
            <w:vAlign w:val="bottom"/>
          </w:tcPr>
          <w:p w14:paraId="06CE48AD" w14:textId="77777777" w:rsidR="00002A81" w:rsidRPr="0005223A" w:rsidRDefault="00002A81" w:rsidP="00B16EBE">
            <w:pPr>
              <w:pStyle w:val="TableText1left"/>
              <w:spacing w:before="100" w:beforeAutospacing="1" w:after="100" w:afterAutospacing="1"/>
              <w:jc w:val="center"/>
              <w:rPr>
                <w:b/>
                <w:sz w:val="18"/>
                <w:szCs w:val="18"/>
              </w:rPr>
            </w:pPr>
            <w:r w:rsidRPr="0005223A">
              <w:rPr>
                <w:b/>
                <w:sz w:val="18"/>
                <w:szCs w:val="18"/>
              </w:rPr>
              <w:t>2014-2015</w:t>
            </w:r>
          </w:p>
        </w:tc>
        <w:tc>
          <w:tcPr>
            <w:tcW w:w="1276" w:type="dxa"/>
            <w:tcBorders>
              <w:top w:val="single" w:sz="8" w:space="0" w:color="auto"/>
              <w:left w:val="nil"/>
              <w:bottom w:val="single" w:sz="8" w:space="0" w:color="auto"/>
              <w:right w:val="single" w:sz="8" w:space="0" w:color="auto"/>
            </w:tcBorders>
            <w:shd w:val="clear" w:color="auto" w:fill="C6D9F1" w:themeFill="text2" w:themeFillTint="33"/>
            <w:vAlign w:val="bottom"/>
          </w:tcPr>
          <w:p w14:paraId="32C6BCDC" w14:textId="77777777" w:rsidR="00002A81" w:rsidRPr="0005223A" w:rsidRDefault="00002A81" w:rsidP="00B16EBE">
            <w:pPr>
              <w:pStyle w:val="TableText1left"/>
              <w:spacing w:before="100" w:beforeAutospacing="1" w:after="100" w:afterAutospacing="1"/>
              <w:jc w:val="center"/>
              <w:rPr>
                <w:b/>
                <w:sz w:val="18"/>
                <w:szCs w:val="18"/>
              </w:rPr>
            </w:pPr>
            <w:r w:rsidRPr="0005223A">
              <w:rPr>
                <w:b/>
                <w:sz w:val="18"/>
                <w:szCs w:val="18"/>
              </w:rPr>
              <w:t>2015-2016</w:t>
            </w:r>
          </w:p>
        </w:tc>
        <w:tc>
          <w:tcPr>
            <w:tcW w:w="1334" w:type="dxa"/>
            <w:tcBorders>
              <w:top w:val="single" w:sz="8" w:space="0" w:color="auto"/>
              <w:left w:val="nil"/>
              <w:bottom w:val="single" w:sz="8" w:space="0" w:color="auto"/>
              <w:right w:val="single" w:sz="8" w:space="0" w:color="auto"/>
            </w:tcBorders>
            <w:shd w:val="clear" w:color="auto" w:fill="C6D9F1" w:themeFill="text2" w:themeFillTint="33"/>
            <w:vAlign w:val="bottom"/>
          </w:tcPr>
          <w:p w14:paraId="0D481D9D" w14:textId="77777777" w:rsidR="00002A81" w:rsidRPr="0005223A" w:rsidRDefault="00002A81" w:rsidP="00B16EBE">
            <w:pPr>
              <w:pStyle w:val="TableText1left"/>
              <w:spacing w:before="100" w:beforeAutospacing="1" w:after="100" w:afterAutospacing="1"/>
              <w:jc w:val="center"/>
              <w:rPr>
                <w:b/>
                <w:sz w:val="18"/>
                <w:szCs w:val="18"/>
              </w:rPr>
            </w:pPr>
            <w:r w:rsidRPr="0005223A">
              <w:rPr>
                <w:b/>
                <w:sz w:val="18"/>
                <w:szCs w:val="18"/>
              </w:rPr>
              <w:t>2016-17</w:t>
            </w:r>
          </w:p>
        </w:tc>
      </w:tr>
      <w:tr w:rsidR="00002A81" w:rsidRPr="00644A88" w14:paraId="66933877" w14:textId="77777777" w:rsidTr="00B16EBE">
        <w:trPr>
          <w:trHeight w:val="30"/>
        </w:trPr>
        <w:tc>
          <w:tcPr>
            <w:tcW w:w="23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5D0E33" w14:textId="77777777" w:rsidR="00002A81" w:rsidRPr="00A5477A" w:rsidRDefault="00002A81" w:rsidP="00B16EBE">
            <w:pPr>
              <w:pStyle w:val="TableText1left"/>
              <w:rPr>
                <w:sz w:val="18"/>
                <w:szCs w:val="18"/>
              </w:rPr>
            </w:pPr>
            <w:r w:rsidRPr="00A5477A">
              <w:rPr>
                <w:sz w:val="18"/>
                <w:szCs w:val="18"/>
              </w:rPr>
              <w:t>Actual number of Services</w:t>
            </w:r>
          </w:p>
        </w:tc>
        <w:tc>
          <w:tcPr>
            <w:tcW w:w="1276" w:type="dxa"/>
            <w:tcBorders>
              <w:top w:val="nil"/>
              <w:left w:val="nil"/>
              <w:bottom w:val="single" w:sz="8" w:space="0" w:color="auto"/>
              <w:right w:val="single" w:sz="8" w:space="0" w:color="auto"/>
            </w:tcBorders>
            <w:shd w:val="clear" w:color="auto" w:fill="FFFFFF" w:themeFill="background1"/>
            <w:vAlign w:val="center"/>
          </w:tcPr>
          <w:p w14:paraId="14F68802" w14:textId="77777777" w:rsidR="00002A81" w:rsidRPr="00A5477A" w:rsidRDefault="00002A81" w:rsidP="00B16EBE">
            <w:pPr>
              <w:pStyle w:val="TableText1left"/>
              <w:jc w:val="center"/>
              <w:rPr>
                <w:sz w:val="18"/>
                <w:szCs w:val="18"/>
              </w:rPr>
            </w:pPr>
            <w:r w:rsidRPr="00A5477A">
              <w:rPr>
                <w:sz w:val="18"/>
                <w:szCs w:val="18"/>
              </w:rPr>
              <w:t>10</w:t>
            </w:r>
          </w:p>
        </w:tc>
        <w:tc>
          <w:tcPr>
            <w:tcW w:w="1275" w:type="dxa"/>
            <w:tcBorders>
              <w:top w:val="nil"/>
              <w:left w:val="nil"/>
              <w:bottom w:val="single" w:sz="8" w:space="0" w:color="auto"/>
              <w:right w:val="single" w:sz="8" w:space="0" w:color="auto"/>
            </w:tcBorders>
            <w:shd w:val="clear" w:color="auto" w:fill="FFFFFF" w:themeFill="background1"/>
            <w:vAlign w:val="center"/>
          </w:tcPr>
          <w:p w14:paraId="50CC6129" w14:textId="77777777" w:rsidR="00002A81" w:rsidRPr="00A5477A" w:rsidRDefault="00002A81" w:rsidP="00B16EBE">
            <w:pPr>
              <w:pStyle w:val="TableText1left"/>
              <w:jc w:val="center"/>
              <w:rPr>
                <w:sz w:val="18"/>
                <w:szCs w:val="18"/>
              </w:rPr>
            </w:pPr>
            <w:r w:rsidRPr="00A5477A">
              <w:rPr>
                <w:sz w:val="18"/>
                <w:szCs w:val="18"/>
              </w:rPr>
              <w:t>14</w:t>
            </w:r>
          </w:p>
        </w:tc>
        <w:tc>
          <w:tcPr>
            <w:tcW w:w="1276" w:type="dxa"/>
            <w:tcBorders>
              <w:top w:val="nil"/>
              <w:left w:val="nil"/>
              <w:bottom w:val="single" w:sz="8" w:space="0" w:color="auto"/>
              <w:right w:val="single" w:sz="8" w:space="0" w:color="auto"/>
            </w:tcBorders>
            <w:shd w:val="clear" w:color="auto" w:fill="FFFFFF" w:themeFill="background1"/>
            <w:vAlign w:val="center"/>
          </w:tcPr>
          <w:p w14:paraId="4BB830B8" w14:textId="77777777" w:rsidR="00002A81" w:rsidRPr="00A5477A" w:rsidRDefault="00002A81" w:rsidP="00B16EBE">
            <w:pPr>
              <w:pStyle w:val="TableText1left"/>
              <w:jc w:val="center"/>
              <w:rPr>
                <w:sz w:val="18"/>
                <w:szCs w:val="18"/>
              </w:rPr>
            </w:pPr>
            <w:r w:rsidRPr="00A5477A">
              <w:rPr>
                <w:sz w:val="18"/>
                <w:szCs w:val="18"/>
              </w:rPr>
              <w:t>31</w:t>
            </w:r>
          </w:p>
        </w:tc>
        <w:tc>
          <w:tcPr>
            <w:tcW w:w="1276" w:type="dxa"/>
            <w:tcBorders>
              <w:top w:val="nil"/>
              <w:left w:val="nil"/>
              <w:bottom w:val="single" w:sz="8" w:space="0" w:color="auto"/>
              <w:right w:val="single" w:sz="8" w:space="0" w:color="auto"/>
            </w:tcBorders>
            <w:shd w:val="clear" w:color="auto" w:fill="FFFFFF" w:themeFill="background1"/>
            <w:vAlign w:val="center"/>
          </w:tcPr>
          <w:p w14:paraId="7431DFFA" w14:textId="77777777" w:rsidR="00002A81" w:rsidRPr="00A5477A" w:rsidRDefault="00002A81" w:rsidP="00B16EBE">
            <w:pPr>
              <w:pStyle w:val="TableText1left"/>
              <w:jc w:val="center"/>
              <w:rPr>
                <w:sz w:val="18"/>
                <w:szCs w:val="18"/>
              </w:rPr>
            </w:pPr>
            <w:r w:rsidRPr="00A5477A">
              <w:rPr>
                <w:sz w:val="18"/>
                <w:szCs w:val="18"/>
              </w:rPr>
              <w:t>47</w:t>
            </w:r>
          </w:p>
        </w:tc>
        <w:tc>
          <w:tcPr>
            <w:tcW w:w="1334" w:type="dxa"/>
            <w:tcBorders>
              <w:top w:val="nil"/>
              <w:left w:val="nil"/>
              <w:bottom w:val="single" w:sz="8" w:space="0" w:color="auto"/>
              <w:right w:val="single" w:sz="8" w:space="0" w:color="auto"/>
            </w:tcBorders>
            <w:shd w:val="clear" w:color="auto" w:fill="FFFFFF" w:themeFill="background1"/>
            <w:vAlign w:val="center"/>
          </w:tcPr>
          <w:p w14:paraId="386A718E" w14:textId="77777777" w:rsidR="00002A81" w:rsidRPr="00A5477A" w:rsidRDefault="00002A81" w:rsidP="00B16EBE">
            <w:pPr>
              <w:pStyle w:val="TableText1left"/>
              <w:jc w:val="center"/>
              <w:rPr>
                <w:sz w:val="18"/>
                <w:szCs w:val="18"/>
              </w:rPr>
            </w:pPr>
            <w:r w:rsidRPr="00A5477A">
              <w:rPr>
                <w:sz w:val="18"/>
                <w:szCs w:val="18"/>
              </w:rPr>
              <w:t>np</w:t>
            </w:r>
          </w:p>
        </w:tc>
      </w:tr>
      <w:tr w:rsidR="00002A81" w:rsidRPr="00644A88" w14:paraId="13518CF0" w14:textId="77777777" w:rsidTr="00B16EBE">
        <w:trPr>
          <w:trHeight w:val="30"/>
        </w:trPr>
        <w:tc>
          <w:tcPr>
            <w:tcW w:w="2318" w:type="dxa"/>
            <w:tcBorders>
              <w:top w:val="nil"/>
              <w:left w:val="single" w:sz="8" w:space="0" w:color="auto"/>
              <w:bottom w:val="single" w:sz="8" w:space="0" w:color="auto"/>
              <w:right w:val="single" w:sz="8" w:space="0" w:color="auto"/>
            </w:tcBorders>
            <w:shd w:val="clear" w:color="auto" w:fill="FFFFFF" w:themeFill="background1"/>
            <w:vAlign w:val="center"/>
          </w:tcPr>
          <w:p w14:paraId="38EA0BF1" w14:textId="77777777" w:rsidR="00002A81" w:rsidRPr="00A5477A" w:rsidRDefault="00002A81" w:rsidP="00B16EBE">
            <w:pPr>
              <w:pStyle w:val="TableText1left"/>
              <w:rPr>
                <w:sz w:val="18"/>
                <w:szCs w:val="18"/>
              </w:rPr>
            </w:pPr>
            <w:r w:rsidRPr="00A5477A">
              <w:rPr>
                <w:sz w:val="18"/>
                <w:szCs w:val="18"/>
              </w:rPr>
              <w:t>Total services projected (public and private)</w:t>
            </w:r>
          </w:p>
        </w:tc>
        <w:tc>
          <w:tcPr>
            <w:tcW w:w="1276" w:type="dxa"/>
            <w:tcBorders>
              <w:top w:val="nil"/>
              <w:left w:val="nil"/>
              <w:bottom w:val="single" w:sz="8" w:space="0" w:color="auto"/>
              <w:right w:val="single" w:sz="8" w:space="0" w:color="auto"/>
            </w:tcBorders>
            <w:shd w:val="clear" w:color="auto" w:fill="FFFFFF" w:themeFill="background1"/>
            <w:vAlign w:val="center"/>
          </w:tcPr>
          <w:p w14:paraId="05D8E6CF" w14:textId="77777777" w:rsidR="00002A81" w:rsidRPr="00A5477A" w:rsidRDefault="00002A81" w:rsidP="00B16EBE">
            <w:pPr>
              <w:pStyle w:val="TableText1left"/>
              <w:jc w:val="center"/>
              <w:rPr>
                <w:sz w:val="18"/>
                <w:szCs w:val="18"/>
              </w:rPr>
            </w:pPr>
            <w:r w:rsidRPr="00A5477A">
              <w:rPr>
                <w:sz w:val="18"/>
                <w:szCs w:val="18"/>
              </w:rPr>
              <w:t>80</w:t>
            </w:r>
          </w:p>
        </w:tc>
        <w:tc>
          <w:tcPr>
            <w:tcW w:w="1275" w:type="dxa"/>
            <w:tcBorders>
              <w:top w:val="nil"/>
              <w:left w:val="nil"/>
              <w:bottom w:val="single" w:sz="8" w:space="0" w:color="auto"/>
              <w:right w:val="single" w:sz="8" w:space="0" w:color="auto"/>
            </w:tcBorders>
            <w:shd w:val="clear" w:color="auto" w:fill="FFFFFF" w:themeFill="background1"/>
            <w:vAlign w:val="center"/>
          </w:tcPr>
          <w:p w14:paraId="6D1B46E6" w14:textId="77777777" w:rsidR="00002A81" w:rsidRPr="00A5477A" w:rsidRDefault="00002A81" w:rsidP="00B16EBE">
            <w:pPr>
              <w:pStyle w:val="TableText1left"/>
              <w:jc w:val="center"/>
              <w:rPr>
                <w:sz w:val="18"/>
                <w:szCs w:val="18"/>
              </w:rPr>
            </w:pPr>
            <w:r w:rsidRPr="00A5477A">
              <w:rPr>
                <w:sz w:val="18"/>
                <w:szCs w:val="18"/>
              </w:rPr>
              <w:t>100</w:t>
            </w:r>
          </w:p>
        </w:tc>
        <w:tc>
          <w:tcPr>
            <w:tcW w:w="1276" w:type="dxa"/>
            <w:tcBorders>
              <w:top w:val="nil"/>
              <w:left w:val="nil"/>
              <w:bottom w:val="single" w:sz="8" w:space="0" w:color="auto"/>
              <w:right w:val="single" w:sz="8" w:space="0" w:color="auto"/>
            </w:tcBorders>
            <w:shd w:val="clear" w:color="auto" w:fill="FFFFFF" w:themeFill="background1"/>
            <w:vAlign w:val="center"/>
          </w:tcPr>
          <w:p w14:paraId="4A7BCC22" w14:textId="77777777" w:rsidR="00002A81" w:rsidRPr="00A5477A" w:rsidRDefault="00002A81" w:rsidP="00B16EBE">
            <w:pPr>
              <w:pStyle w:val="TableText1left"/>
              <w:jc w:val="center"/>
              <w:rPr>
                <w:sz w:val="18"/>
                <w:szCs w:val="18"/>
              </w:rPr>
            </w:pPr>
            <w:r w:rsidRPr="00A5477A">
              <w:rPr>
                <w:sz w:val="18"/>
                <w:szCs w:val="18"/>
              </w:rPr>
              <w:t>120</w:t>
            </w:r>
          </w:p>
        </w:tc>
        <w:tc>
          <w:tcPr>
            <w:tcW w:w="1276" w:type="dxa"/>
            <w:tcBorders>
              <w:top w:val="nil"/>
              <w:left w:val="nil"/>
              <w:bottom w:val="single" w:sz="8" w:space="0" w:color="auto"/>
              <w:right w:val="single" w:sz="8" w:space="0" w:color="auto"/>
            </w:tcBorders>
            <w:shd w:val="clear" w:color="auto" w:fill="FFFFFF" w:themeFill="background1"/>
            <w:vAlign w:val="center"/>
          </w:tcPr>
          <w:p w14:paraId="0A530175" w14:textId="77777777" w:rsidR="00002A81" w:rsidRPr="00A5477A" w:rsidRDefault="00002A81" w:rsidP="00B16EBE">
            <w:pPr>
              <w:pStyle w:val="TableText1left"/>
              <w:jc w:val="center"/>
              <w:rPr>
                <w:sz w:val="18"/>
                <w:szCs w:val="18"/>
              </w:rPr>
            </w:pPr>
            <w:r w:rsidRPr="00A5477A">
              <w:rPr>
                <w:sz w:val="18"/>
                <w:szCs w:val="18"/>
              </w:rPr>
              <w:t>140</w:t>
            </w:r>
          </w:p>
        </w:tc>
        <w:tc>
          <w:tcPr>
            <w:tcW w:w="1334" w:type="dxa"/>
            <w:tcBorders>
              <w:top w:val="nil"/>
              <w:left w:val="nil"/>
              <w:bottom w:val="single" w:sz="8" w:space="0" w:color="auto"/>
              <w:right w:val="single" w:sz="8" w:space="0" w:color="auto"/>
            </w:tcBorders>
            <w:shd w:val="clear" w:color="auto" w:fill="FFFFFF" w:themeFill="background1"/>
            <w:vAlign w:val="center"/>
          </w:tcPr>
          <w:p w14:paraId="2D6B9576" w14:textId="77777777" w:rsidR="00002A81" w:rsidRPr="00A5477A" w:rsidRDefault="00002A81" w:rsidP="00B16EBE">
            <w:pPr>
              <w:pStyle w:val="TableText1left"/>
              <w:jc w:val="center"/>
              <w:rPr>
                <w:sz w:val="18"/>
                <w:szCs w:val="18"/>
              </w:rPr>
            </w:pPr>
            <w:r w:rsidRPr="00A5477A">
              <w:rPr>
                <w:sz w:val="18"/>
                <w:szCs w:val="18"/>
              </w:rPr>
              <w:t>160</w:t>
            </w:r>
          </w:p>
        </w:tc>
      </w:tr>
      <w:tr w:rsidR="00002A81" w:rsidRPr="00644A88" w14:paraId="5144FBAC" w14:textId="77777777" w:rsidTr="00B16EBE">
        <w:trPr>
          <w:trHeight w:val="30"/>
        </w:trPr>
        <w:tc>
          <w:tcPr>
            <w:tcW w:w="2318" w:type="dxa"/>
            <w:tcBorders>
              <w:top w:val="nil"/>
              <w:left w:val="single" w:sz="8" w:space="0" w:color="auto"/>
              <w:bottom w:val="single" w:sz="8" w:space="0" w:color="auto"/>
              <w:right w:val="single" w:sz="8" w:space="0" w:color="auto"/>
            </w:tcBorders>
            <w:shd w:val="clear" w:color="auto" w:fill="FFFFFF" w:themeFill="background1"/>
            <w:vAlign w:val="center"/>
          </w:tcPr>
          <w:p w14:paraId="3A988816" w14:textId="77777777" w:rsidR="00002A81" w:rsidRPr="00A5477A" w:rsidRDefault="00002A81" w:rsidP="00B16EBE">
            <w:pPr>
              <w:pStyle w:val="TableText1left"/>
              <w:rPr>
                <w:sz w:val="18"/>
                <w:szCs w:val="18"/>
              </w:rPr>
            </w:pPr>
            <w:r w:rsidRPr="00A5477A">
              <w:rPr>
                <w:sz w:val="18"/>
                <w:szCs w:val="18"/>
              </w:rPr>
              <w:t>% of actual services to total services projected</w:t>
            </w:r>
          </w:p>
        </w:tc>
        <w:tc>
          <w:tcPr>
            <w:tcW w:w="1276" w:type="dxa"/>
            <w:tcBorders>
              <w:top w:val="nil"/>
              <w:left w:val="nil"/>
              <w:bottom w:val="single" w:sz="8" w:space="0" w:color="auto"/>
              <w:right w:val="single" w:sz="8" w:space="0" w:color="auto"/>
            </w:tcBorders>
            <w:shd w:val="clear" w:color="auto" w:fill="FFFFFF" w:themeFill="background1"/>
            <w:vAlign w:val="center"/>
          </w:tcPr>
          <w:p w14:paraId="08A996FA" w14:textId="77777777" w:rsidR="00002A81" w:rsidRPr="00A5477A" w:rsidRDefault="00002A81" w:rsidP="00B16EBE">
            <w:pPr>
              <w:pStyle w:val="TableText1left"/>
              <w:jc w:val="center"/>
              <w:rPr>
                <w:sz w:val="18"/>
                <w:szCs w:val="18"/>
              </w:rPr>
            </w:pPr>
            <w:r w:rsidRPr="00A5477A">
              <w:rPr>
                <w:sz w:val="18"/>
                <w:szCs w:val="18"/>
              </w:rPr>
              <w:t>12.5%</w:t>
            </w:r>
          </w:p>
        </w:tc>
        <w:tc>
          <w:tcPr>
            <w:tcW w:w="1275" w:type="dxa"/>
            <w:tcBorders>
              <w:top w:val="nil"/>
              <w:left w:val="nil"/>
              <w:bottom w:val="single" w:sz="8" w:space="0" w:color="auto"/>
              <w:right w:val="single" w:sz="8" w:space="0" w:color="auto"/>
            </w:tcBorders>
            <w:shd w:val="clear" w:color="auto" w:fill="FFFFFF" w:themeFill="background1"/>
            <w:vAlign w:val="center"/>
          </w:tcPr>
          <w:p w14:paraId="6D11A645" w14:textId="77777777" w:rsidR="00002A81" w:rsidRPr="00A5477A" w:rsidRDefault="00002A81" w:rsidP="00B16EBE">
            <w:pPr>
              <w:pStyle w:val="TableText1left"/>
              <w:jc w:val="center"/>
              <w:rPr>
                <w:sz w:val="18"/>
                <w:szCs w:val="18"/>
              </w:rPr>
            </w:pPr>
            <w:r w:rsidRPr="00A5477A">
              <w:rPr>
                <w:sz w:val="18"/>
                <w:szCs w:val="18"/>
              </w:rPr>
              <w:t>14.0%</w:t>
            </w:r>
          </w:p>
        </w:tc>
        <w:tc>
          <w:tcPr>
            <w:tcW w:w="1276" w:type="dxa"/>
            <w:tcBorders>
              <w:top w:val="nil"/>
              <w:left w:val="nil"/>
              <w:bottom w:val="single" w:sz="8" w:space="0" w:color="auto"/>
              <w:right w:val="single" w:sz="8" w:space="0" w:color="auto"/>
            </w:tcBorders>
            <w:shd w:val="clear" w:color="auto" w:fill="FFFFFF" w:themeFill="background1"/>
            <w:vAlign w:val="center"/>
          </w:tcPr>
          <w:p w14:paraId="5924A0C6" w14:textId="77777777" w:rsidR="00002A81" w:rsidRPr="00A5477A" w:rsidRDefault="00002A81" w:rsidP="00B16EBE">
            <w:pPr>
              <w:pStyle w:val="TableText1left"/>
              <w:jc w:val="center"/>
              <w:rPr>
                <w:sz w:val="18"/>
                <w:szCs w:val="18"/>
              </w:rPr>
            </w:pPr>
            <w:r w:rsidRPr="00A5477A">
              <w:rPr>
                <w:sz w:val="18"/>
                <w:szCs w:val="18"/>
              </w:rPr>
              <w:t>25.8%</w:t>
            </w:r>
          </w:p>
        </w:tc>
        <w:tc>
          <w:tcPr>
            <w:tcW w:w="1276" w:type="dxa"/>
            <w:tcBorders>
              <w:top w:val="nil"/>
              <w:left w:val="nil"/>
              <w:bottom w:val="single" w:sz="8" w:space="0" w:color="auto"/>
              <w:right w:val="single" w:sz="8" w:space="0" w:color="auto"/>
            </w:tcBorders>
            <w:shd w:val="clear" w:color="auto" w:fill="FFFFFF" w:themeFill="background1"/>
            <w:vAlign w:val="center"/>
          </w:tcPr>
          <w:p w14:paraId="6D38A192" w14:textId="77777777" w:rsidR="00002A81" w:rsidRPr="00A5477A" w:rsidRDefault="00002A81" w:rsidP="00B16EBE">
            <w:pPr>
              <w:pStyle w:val="TableText1left"/>
              <w:jc w:val="center"/>
              <w:rPr>
                <w:sz w:val="18"/>
                <w:szCs w:val="18"/>
              </w:rPr>
            </w:pPr>
            <w:r w:rsidRPr="00A5477A">
              <w:rPr>
                <w:sz w:val="18"/>
                <w:szCs w:val="18"/>
              </w:rPr>
              <w:t>33.6%</w:t>
            </w:r>
          </w:p>
        </w:tc>
        <w:tc>
          <w:tcPr>
            <w:tcW w:w="1334" w:type="dxa"/>
            <w:tcBorders>
              <w:top w:val="nil"/>
              <w:left w:val="nil"/>
              <w:bottom w:val="single" w:sz="8" w:space="0" w:color="auto"/>
              <w:right w:val="single" w:sz="8" w:space="0" w:color="auto"/>
            </w:tcBorders>
            <w:shd w:val="clear" w:color="auto" w:fill="FFFFFF" w:themeFill="background1"/>
            <w:vAlign w:val="center"/>
          </w:tcPr>
          <w:p w14:paraId="309B4F7B" w14:textId="77777777" w:rsidR="00002A81" w:rsidRPr="00A5477A" w:rsidRDefault="00002A81" w:rsidP="00B16EBE">
            <w:pPr>
              <w:pStyle w:val="TableText1left"/>
              <w:jc w:val="center"/>
              <w:rPr>
                <w:sz w:val="18"/>
                <w:szCs w:val="18"/>
              </w:rPr>
            </w:pPr>
            <w:r w:rsidRPr="00A5477A">
              <w:rPr>
                <w:sz w:val="18"/>
                <w:szCs w:val="18"/>
              </w:rPr>
              <w:t>np</w:t>
            </w:r>
          </w:p>
        </w:tc>
      </w:tr>
    </w:tbl>
    <w:p w14:paraId="5E77D517" w14:textId="77777777" w:rsidR="00002A81" w:rsidRPr="006E7B36" w:rsidRDefault="00002A81" w:rsidP="00002A81">
      <w:pPr>
        <w:rPr>
          <w:i/>
          <w:sz w:val="16"/>
        </w:rPr>
      </w:pPr>
      <w:r>
        <w:rPr>
          <w:i/>
          <w:sz w:val="16"/>
        </w:rPr>
        <w:br/>
      </w:r>
      <w:r w:rsidRPr="006E7B36">
        <w:rPr>
          <w:i/>
          <w:sz w:val="16"/>
        </w:rPr>
        <w:t>Source: MBS Analytics Section – December 2017</w:t>
      </w:r>
    </w:p>
    <w:p w14:paraId="3636CADE" w14:textId="77777777" w:rsidR="00002A81" w:rsidRPr="006E7B36" w:rsidRDefault="00002A81" w:rsidP="00002A81">
      <w:pPr>
        <w:rPr>
          <w:sz w:val="16"/>
        </w:rPr>
      </w:pPr>
      <w:r w:rsidRPr="006E7B36">
        <w:rPr>
          <w:sz w:val="16"/>
        </w:rPr>
        <w:t>NOTE: Item was listed 1 November 2012 and 2016-2017 only reported until 31 March 2017</w:t>
      </w:r>
    </w:p>
    <w:p w14:paraId="4ECFBDF2" w14:textId="49DA1798" w:rsidR="00002A81" w:rsidRPr="00B82087" w:rsidRDefault="00696234" w:rsidP="00B82087">
      <w:pPr>
        <w:rPr>
          <w:sz w:val="16"/>
        </w:rPr>
      </w:pPr>
      <w:proofErr w:type="gramStart"/>
      <w:r>
        <w:rPr>
          <w:sz w:val="16"/>
        </w:rPr>
        <w:t>np</w:t>
      </w:r>
      <w:proofErr w:type="gramEnd"/>
      <w:r w:rsidR="00002A81" w:rsidRPr="006E7B36">
        <w:rPr>
          <w:sz w:val="16"/>
        </w:rPr>
        <w:t xml:space="preserve"> = not printed to protect privacy</w:t>
      </w:r>
    </w:p>
    <w:p w14:paraId="12B6D884" w14:textId="77777777" w:rsidR="00002A81" w:rsidRPr="000E341E" w:rsidRDefault="00002A81" w:rsidP="000E341E">
      <w:pPr>
        <w:spacing w:before="240"/>
        <w:rPr>
          <w:rFonts w:ascii="Arial" w:hAnsi="Arial" w:cs="Arial"/>
          <w:b/>
          <w:sz w:val="20"/>
        </w:rPr>
      </w:pPr>
      <w:r w:rsidRPr="000E341E">
        <w:rPr>
          <w:rFonts w:ascii="Arial" w:hAnsi="Arial" w:cs="Arial"/>
          <w:b/>
          <w:sz w:val="20"/>
        </w:rPr>
        <w:t xml:space="preserve">Figure </w:t>
      </w:r>
      <w:r w:rsidR="000E341E" w:rsidRPr="000E341E">
        <w:rPr>
          <w:rFonts w:ascii="Arial" w:hAnsi="Arial" w:cs="Arial"/>
          <w:b/>
          <w:sz w:val="20"/>
        </w:rPr>
        <w:fldChar w:fldCharType="begin"/>
      </w:r>
      <w:r w:rsidR="000E341E" w:rsidRPr="000E341E">
        <w:rPr>
          <w:rFonts w:ascii="Arial" w:hAnsi="Arial" w:cs="Arial"/>
          <w:b/>
          <w:sz w:val="20"/>
        </w:rPr>
        <w:instrText xml:space="preserve"> SEQ Figure \* ARABIC </w:instrText>
      </w:r>
      <w:r w:rsidR="000E341E" w:rsidRPr="000E341E">
        <w:rPr>
          <w:rFonts w:ascii="Arial" w:hAnsi="Arial" w:cs="Arial"/>
          <w:b/>
          <w:sz w:val="20"/>
        </w:rPr>
        <w:fldChar w:fldCharType="separate"/>
      </w:r>
      <w:r w:rsidR="00E95041">
        <w:rPr>
          <w:rFonts w:ascii="Arial" w:hAnsi="Arial" w:cs="Arial"/>
          <w:b/>
          <w:noProof/>
          <w:sz w:val="20"/>
        </w:rPr>
        <w:t>1</w:t>
      </w:r>
      <w:r w:rsidR="000E341E" w:rsidRPr="000E341E">
        <w:rPr>
          <w:rFonts w:ascii="Arial" w:hAnsi="Arial" w:cs="Arial"/>
          <w:b/>
          <w:sz w:val="20"/>
        </w:rPr>
        <w:fldChar w:fldCharType="end"/>
      </w:r>
      <w:r w:rsidRPr="000E341E">
        <w:rPr>
          <w:rFonts w:ascii="Arial" w:hAnsi="Arial" w:cs="Arial"/>
          <w:b/>
          <w:sz w:val="20"/>
        </w:rPr>
        <w:t>: Number of services for MBS item 73333 and 73334 for 2012-13 to 2015-16.</w:t>
      </w:r>
    </w:p>
    <w:p w14:paraId="0B9CED23" w14:textId="77777777" w:rsidR="00002A81" w:rsidRPr="005440AA" w:rsidRDefault="00002A81" w:rsidP="00002A81">
      <w:pPr>
        <w:rPr>
          <w:noProof/>
          <w:color w:val="FF0000"/>
        </w:rPr>
      </w:pPr>
      <w:r>
        <w:rPr>
          <w:noProof/>
          <w:color w:val="FF0000"/>
        </w:rPr>
        <w:drawing>
          <wp:inline distT="0" distB="0" distL="0" distR="0" wp14:anchorId="56ACCADF" wp14:editId="7C6B1522">
            <wp:extent cx="5266944" cy="1997050"/>
            <wp:effectExtent l="0" t="0" r="10160" b="22860"/>
            <wp:docPr id="1" name="Chart 1" descr="This graph shows a comparison of the total number of services predicted for items 73333 and 73334, compared with actual utilsation from 2012-13 to 2015-16. Actual utilisation in this period averages 21.5% compared with predicted usage. " title="Figure 1: Number of services for MBS item 73333 and 73334 for 2012-13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421F80" w14:textId="77777777" w:rsidR="00002A81" w:rsidRPr="006E7B36" w:rsidRDefault="00002A81" w:rsidP="00002A81">
      <w:pPr>
        <w:rPr>
          <w:i/>
          <w:sz w:val="16"/>
        </w:rPr>
      </w:pPr>
      <w:r>
        <w:rPr>
          <w:i/>
          <w:sz w:val="16"/>
          <w:szCs w:val="16"/>
        </w:rPr>
        <w:br/>
      </w:r>
      <w:r w:rsidRPr="006E7B36">
        <w:rPr>
          <w:i/>
          <w:sz w:val="16"/>
        </w:rPr>
        <w:t>Source: MBS Analytics Section – December 2017</w:t>
      </w:r>
    </w:p>
    <w:p w14:paraId="69BF256C" w14:textId="77777777" w:rsidR="00002A81" w:rsidRPr="006E7B36" w:rsidRDefault="00002A81" w:rsidP="00002A81">
      <w:pPr>
        <w:rPr>
          <w:sz w:val="16"/>
          <w:szCs w:val="16"/>
        </w:rPr>
      </w:pPr>
      <w:r w:rsidRPr="006E7B36">
        <w:rPr>
          <w:sz w:val="16"/>
          <w:szCs w:val="16"/>
        </w:rPr>
        <w:t>NOTE: Item was listed 1 November 2012 and 2016-2017 only reported until 31 March 2017</w:t>
      </w:r>
    </w:p>
    <w:p w14:paraId="0961A283" w14:textId="77777777" w:rsidR="00002A81" w:rsidRDefault="00002A81" w:rsidP="00EB164D">
      <w:pPr>
        <w:pStyle w:val="BodyText"/>
        <w:spacing w:before="240"/>
      </w:pPr>
      <w:r>
        <w:t xml:space="preserve">Such a low utilisation of a test raises some pathology quality concerns. In particular, can the quality of a service be maintained when only two tests per year are </w:t>
      </w:r>
      <w:proofErr w:type="gramStart"/>
      <w:r>
        <w:t>performed.</w:t>
      </w:r>
      <w:proofErr w:type="gramEnd"/>
      <w:r>
        <w:t xml:space="preserve"> If a laboratory is only doing a few tests per month then NATA guidance recommends the laboratory should refer the testing to a larger facility. </w:t>
      </w:r>
    </w:p>
    <w:p w14:paraId="01A425B4" w14:textId="77777777" w:rsidR="00002A81" w:rsidRDefault="00002A81" w:rsidP="00002A81">
      <w:pPr>
        <w:pStyle w:val="BodyText"/>
      </w:pPr>
      <w:r>
        <w:t>The policy area considers that this sort of very low volume pathology testing could be more efficiently dealt with by a small annual grant to a single testing laboratory to perform all this MBS testing for Australia.  This would provide an opportunity to capture MBS utilisation in a single database to inform policy and decision-making.</w:t>
      </w:r>
    </w:p>
    <w:p w14:paraId="3BA8C174" w14:textId="7D86656D" w:rsidR="00B82087" w:rsidRPr="00EB164D" w:rsidRDefault="00002A81" w:rsidP="006E5B77">
      <w:pPr>
        <w:pStyle w:val="BodyText"/>
        <w:spacing w:after="0"/>
      </w:pPr>
      <w:r w:rsidRPr="00BD03F7">
        <w:t xml:space="preserve">Item 73335 used for monitoring of VHL mutations </w:t>
      </w:r>
      <w:proofErr w:type="gramStart"/>
      <w:r>
        <w:t>is</w:t>
      </w:r>
      <w:proofErr w:type="gramEnd"/>
      <w:r w:rsidRPr="00BD03F7">
        <w:t xml:space="preserve"> </w:t>
      </w:r>
      <w:r>
        <w:t>also significantly lower</w:t>
      </w:r>
      <w:r w:rsidRPr="00BD03F7">
        <w:t xml:space="preserve"> </w:t>
      </w:r>
      <w:r>
        <w:t>than predicted (Figure 2).</w:t>
      </w:r>
    </w:p>
    <w:p w14:paraId="70CA59E3" w14:textId="5A8F0467" w:rsidR="00002A81" w:rsidRPr="0005223A" w:rsidRDefault="00002A81" w:rsidP="006E5B77">
      <w:pPr>
        <w:pStyle w:val="TableHeader"/>
        <w:spacing w:before="240" w:after="0"/>
      </w:pPr>
      <w:r w:rsidRPr="00171CF2">
        <w:t>Figure 2: Number of services for MBS item 73335 for 2012-13 to 2015-16.</w:t>
      </w:r>
    </w:p>
    <w:p w14:paraId="1DE75117" w14:textId="77777777" w:rsidR="00002A81" w:rsidRPr="005440AA" w:rsidRDefault="00002A81" w:rsidP="00002A81">
      <w:pPr>
        <w:rPr>
          <w:color w:val="FF0000"/>
        </w:rPr>
      </w:pPr>
      <w:r>
        <w:rPr>
          <w:noProof/>
          <w:color w:val="FF0000"/>
        </w:rPr>
        <w:drawing>
          <wp:inline distT="0" distB="0" distL="0" distR="0" wp14:anchorId="2FE353B8" wp14:editId="3921EF42">
            <wp:extent cx="4974336" cy="1704442"/>
            <wp:effectExtent l="0" t="0" r="17145" b="10160"/>
            <wp:docPr id="7" name="Chart 7" descr="This graph shows a comparison of the total number of services predicted for items 73335, compared with actual utilsation from 2012-13 to 2015-16. Actual utilisation in this period was significantly lower than predicted." title="Number of services for MBS item 73335 for 2012-13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1EA590" w14:textId="77777777" w:rsidR="00002A81" w:rsidRPr="006E7B36" w:rsidRDefault="00002A81" w:rsidP="00002A81">
      <w:pPr>
        <w:rPr>
          <w:i/>
          <w:sz w:val="16"/>
        </w:rPr>
      </w:pPr>
      <w:r>
        <w:rPr>
          <w:i/>
          <w:sz w:val="16"/>
        </w:rPr>
        <w:br/>
      </w:r>
      <w:r w:rsidRPr="006E7B36">
        <w:rPr>
          <w:i/>
          <w:sz w:val="16"/>
        </w:rPr>
        <w:t>Source: MBS Analytics Section – December 2017</w:t>
      </w:r>
    </w:p>
    <w:p w14:paraId="20ECE933" w14:textId="683D4961" w:rsidR="00B82087" w:rsidRDefault="00002A81" w:rsidP="00002A81">
      <w:pPr>
        <w:rPr>
          <w:sz w:val="16"/>
        </w:rPr>
      </w:pPr>
      <w:r w:rsidRPr="006E7B36">
        <w:rPr>
          <w:sz w:val="16"/>
        </w:rPr>
        <w:t>NOTE: Item was listed 1 November 2012 and 2016-2017 only reported until 31 March 2017</w:t>
      </w:r>
      <w:bookmarkStart w:id="1" w:name="_Toc492965900"/>
    </w:p>
    <w:p w14:paraId="6A9033D7" w14:textId="77777777" w:rsidR="00002A81" w:rsidRPr="00EB164D" w:rsidRDefault="00002A81" w:rsidP="00002A81">
      <w:pPr>
        <w:pStyle w:val="Heading1"/>
        <w:ind w:left="0" w:firstLine="0"/>
        <w:rPr>
          <w:sz w:val="24"/>
          <w:szCs w:val="24"/>
        </w:rPr>
      </w:pPr>
      <w:r w:rsidRPr="00EB164D">
        <w:rPr>
          <w:sz w:val="24"/>
          <w:szCs w:val="24"/>
        </w:rPr>
        <w:lastRenderedPageBreak/>
        <w:t>Data on fee charged</w:t>
      </w:r>
      <w:bookmarkEnd w:id="1"/>
      <w:r w:rsidRPr="00EB164D">
        <w:rPr>
          <w:sz w:val="24"/>
          <w:szCs w:val="24"/>
        </w:rPr>
        <w:t xml:space="preserve"> </w:t>
      </w:r>
    </w:p>
    <w:p w14:paraId="3921A6E2" w14:textId="77777777" w:rsidR="00002A81" w:rsidRDefault="00002A81" w:rsidP="00002A81">
      <w:pPr>
        <w:pStyle w:val="BodyText"/>
      </w:pPr>
      <w:r>
        <w:t>For privacy reasons, d</w:t>
      </w:r>
      <w:r w:rsidRPr="00BD03F7">
        <w:t xml:space="preserve">ata </w:t>
      </w:r>
      <w:r>
        <w:t>can</w:t>
      </w:r>
      <w:r w:rsidRPr="00BD03F7">
        <w:t xml:space="preserve">not be printed for states and territories with </w:t>
      </w:r>
      <w:r>
        <w:t>very</w:t>
      </w:r>
      <w:r w:rsidRPr="00BD03F7">
        <w:t xml:space="preserve"> low service volumes</w:t>
      </w:r>
      <w:r>
        <w:t xml:space="preserve"> (less than seven services)</w:t>
      </w:r>
      <w:r w:rsidRPr="00BD03F7">
        <w:t xml:space="preserve">.  </w:t>
      </w:r>
      <w:r w:rsidRPr="009D2E11">
        <w:t xml:space="preserve">Due to the low measured utilisation, </w:t>
      </w:r>
      <w:r>
        <w:t>fee information is limited but indicates approximately 100% increase in the fee charged for item 73333 from $315.40 in 2012-2013 to $605.02 in 2015-16. Bulk billing rates for item 73333 have also decreased from 100% in 2013-14 and 2014-15 to 20.5% in 2015-16.</w:t>
      </w:r>
    </w:p>
    <w:p w14:paraId="5B0BF588" w14:textId="77777777" w:rsidR="00002A81" w:rsidRDefault="00002A81" w:rsidP="00002A81">
      <w:pPr>
        <w:pStyle w:val="BodyText"/>
      </w:pPr>
      <w:r>
        <w:t>Fees charged for item 73334 have remained constant at $340.00 but bulk billing rates have decreased from 100% in 2012-13 and 2013-14 to 66.7% in 2015-16.</w:t>
      </w:r>
    </w:p>
    <w:p w14:paraId="74D73C8B" w14:textId="77777777" w:rsidR="00002A81" w:rsidRDefault="00002A81" w:rsidP="00002A81">
      <w:pPr>
        <w:pStyle w:val="BodyText"/>
        <w:rPr>
          <w:color w:val="FF0000"/>
        </w:rPr>
      </w:pPr>
      <w:r>
        <w:t>Fees charged nationally for item 73335 on average are $485.73, with a $75.84 standard deviation, and a bulk billed rate of 66.7%.</w:t>
      </w:r>
    </w:p>
    <w:p w14:paraId="003A8E0C" w14:textId="77777777" w:rsidR="00002A81" w:rsidRPr="00EB164D" w:rsidRDefault="00002A81" w:rsidP="00002A81">
      <w:pPr>
        <w:pStyle w:val="Heading1"/>
        <w:ind w:left="0" w:firstLine="0"/>
        <w:rPr>
          <w:sz w:val="24"/>
          <w:szCs w:val="24"/>
        </w:rPr>
      </w:pPr>
      <w:bookmarkStart w:id="2" w:name="_Toc492965901"/>
      <w:bookmarkStart w:id="3" w:name="_Toc461539946"/>
      <w:r w:rsidRPr="00EB164D">
        <w:rPr>
          <w:sz w:val="24"/>
          <w:szCs w:val="24"/>
        </w:rPr>
        <w:t>Patient Breakdown</w:t>
      </w:r>
      <w:bookmarkEnd w:id="2"/>
    </w:p>
    <w:p w14:paraId="616804E6" w14:textId="77777777" w:rsidR="00002A81" w:rsidRDefault="00002A81" w:rsidP="00002A81">
      <w:pPr>
        <w:pStyle w:val="BodyText"/>
      </w:pPr>
      <w:r>
        <w:t xml:space="preserve">There were 95 patients who claimed 104 services for </w:t>
      </w:r>
      <w:r w:rsidRPr="00AA611C">
        <w:t>MBS item 73333 and 73334 used for VHL diagnostic purposes</w:t>
      </w:r>
      <w:r>
        <w:t>. All patients have been new patients with no continuing services. Approximately 9% of patients received 2 or more services for item 73333 in 2015-16.</w:t>
      </w:r>
    </w:p>
    <w:p w14:paraId="6E90E1A4" w14:textId="77777777" w:rsidR="00002A81" w:rsidRDefault="00002A81" w:rsidP="00002A81">
      <w:pPr>
        <w:pStyle w:val="BodyText"/>
      </w:pPr>
      <w:r>
        <w:t>MBS item 73333</w:t>
      </w:r>
      <w:r w:rsidRPr="0000453C">
        <w:t xml:space="preserve"> is predominantly claimed by patients aged 55-84</w:t>
      </w:r>
      <w:r>
        <w:t xml:space="preserve"> (Figure 3)</w:t>
      </w:r>
      <w:r w:rsidRPr="0000453C">
        <w:t xml:space="preserve">. </w:t>
      </w:r>
      <w:r>
        <w:t xml:space="preserve">MBS item 73334 is predominantly claimed by patients aged 0-44 years (Figure 4). </w:t>
      </w:r>
      <w:r w:rsidRPr="0000453C">
        <w:t xml:space="preserve">A small number of services </w:t>
      </w:r>
      <w:r>
        <w:t xml:space="preserve">for item 73335 </w:t>
      </w:r>
      <w:r w:rsidRPr="0000453C">
        <w:t xml:space="preserve">have been provided </w:t>
      </w:r>
      <w:r>
        <w:t>exclusively to female patients aged 25-74 (Figure 5</w:t>
      </w:r>
      <w:r w:rsidRPr="0000453C">
        <w:t>).</w:t>
      </w:r>
    </w:p>
    <w:p w14:paraId="472D42FE" w14:textId="77777777" w:rsidR="00002A81" w:rsidRPr="000E341E" w:rsidRDefault="00002A81" w:rsidP="000E341E">
      <w:pPr>
        <w:rPr>
          <w:rFonts w:ascii="Arial" w:hAnsi="Arial" w:cs="Arial"/>
          <w:b/>
          <w:sz w:val="20"/>
        </w:rPr>
      </w:pPr>
      <w:r w:rsidRPr="000E341E">
        <w:rPr>
          <w:rFonts w:ascii="Arial" w:hAnsi="Arial" w:cs="Arial"/>
          <w:b/>
          <w:sz w:val="20"/>
        </w:rPr>
        <w:t>Figure 3: Demographic profile for MBS item 73333 (a), 73334 (b), and 73335 (c)</w:t>
      </w:r>
    </w:p>
    <w:p w14:paraId="2E6FF233" w14:textId="78479F64" w:rsidR="00002A81" w:rsidRPr="000E341E" w:rsidRDefault="00002A81" w:rsidP="000E341E">
      <w:pPr>
        <w:spacing w:before="240"/>
        <w:rPr>
          <w:rFonts w:ascii="Arial" w:hAnsi="Arial" w:cs="Arial"/>
          <w:b/>
          <w:sz w:val="20"/>
        </w:rPr>
      </w:pPr>
      <w:r w:rsidRPr="000E341E">
        <w:rPr>
          <w:rFonts w:ascii="Arial" w:hAnsi="Arial" w:cs="Arial"/>
          <w:b/>
          <w:sz w:val="20"/>
        </w:rPr>
        <w:tab/>
        <w:t>MBS item 73333; Nov 2012 – June 2017</w:t>
      </w:r>
    </w:p>
    <w:p w14:paraId="74853E49" w14:textId="6EBAA6F4" w:rsidR="00002A81" w:rsidRPr="00EB164D" w:rsidRDefault="00002A81" w:rsidP="00EB164D">
      <w:pPr>
        <w:ind w:left="567"/>
      </w:pPr>
      <w:r>
        <w:rPr>
          <w:noProof/>
        </w:rPr>
        <w:drawing>
          <wp:inline distT="0" distB="0" distL="0" distR="0" wp14:anchorId="146E4D15" wp14:editId="29FCD634">
            <wp:extent cx="4710224" cy="2954893"/>
            <wp:effectExtent l="0" t="0" r="0" b="0"/>
            <wp:docPr id="4" name="Picture 4" descr="This grpah shows the demographic profile of  Medicare Item 73333 processed from July 2012 to June 2017. This item was used the most for patients in from 55-64 years." title="Figure 3: Demographic profile for MBS item 7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re Item 73333 processed from July 2012 to June 2017"/>
                    <pic:cNvPicPr>
                      <a:picLocks noChangeAspect="1" noChangeArrowheads="1"/>
                    </pic:cNvPicPr>
                  </pic:nvPicPr>
                  <pic:blipFill rotWithShape="1">
                    <a:blip r:embed="rId14">
                      <a:extLst>
                        <a:ext uri="{28A0092B-C50C-407E-A947-70E740481C1C}">
                          <a14:useLocalDpi xmlns:a14="http://schemas.microsoft.com/office/drawing/2010/main" val="0"/>
                        </a:ext>
                      </a:extLst>
                    </a:blip>
                    <a:srcRect t="6741"/>
                    <a:stretch/>
                  </pic:blipFill>
                  <pic:spPr bwMode="auto">
                    <a:xfrm>
                      <a:off x="0" y="0"/>
                      <a:ext cx="4727212" cy="2965550"/>
                    </a:xfrm>
                    <a:prstGeom prst="rect">
                      <a:avLst/>
                    </a:prstGeom>
                    <a:noFill/>
                    <a:ln>
                      <a:noFill/>
                    </a:ln>
                    <a:extLst>
                      <a:ext uri="{53640926-AAD7-44D8-BBD7-CCE9431645EC}">
                        <a14:shadowObscured xmlns:a14="http://schemas.microsoft.com/office/drawing/2010/main"/>
                      </a:ext>
                    </a:extLst>
                  </pic:spPr>
                </pic:pic>
              </a:graphicData>
            </a:graphic>
          </wp:inline>
        </w:drawing>
      </w:r>
    </w:p>
    <w:p w14:paraId="1A469257" w14:textId="09A3C093" w:rsidR="00002A81" w:rsidRPr="00EB164D" w:rsidRDefault="00002A81" w:rsidP="00002A81">
      <w:pPr>
        <w:rPr>
          <w:i/>
          <w:sz w:val="16"/>
          <w:szCs w:val="16"/>
        </w:rPr>
      </w:pPr>
      <w:r w:rsidRPr="0005223A">
        <w:rPr>
          <w:i/>
          <w:sz w:val="16"/>
          <w:szCs w:val="16"/>
        </w:rPr>
        <w:t xml:space="preserve">Source: Medicare Statistics Online </w:t>
      </w:r>
    </w:p>
    <w:p w14:paraId="2068DBFD" w14:textId="77777777" w:rsidR="00002A81" w:rsidRPr="000E341E" w:rsidRDefault="00002A81" w:rsidP="000E341E">
      <w:pPr>
        <w:keepNext/>
        <w:keepLines/>
        <w:spacing w:before="240"/>
        <w:rPr>
          <w:rFonts w:ascii="Arial" w:hAnsi="Arial" w:cs="Arial"/>
          <w:b/>
          <w:sz w:val="20"/>
        </w:rPr>
      </w:pPr>
      <w:r w:rsidRPr="000E341E">
        <w:rPr>
          <w:rFonts w:ascii="Arial" w:hAnsi="Arial" w:cs="Arial"/>
          <w:b/>
          <w:sz w:val="20"/>
        </w:rPr>
        <w:lastRenderedPageBreak/>
        <w:t>Figure 4: Demographic profile for MBS item 73333 (a), 73334 (b), and 73335 (c)</w:t>
      </w:r>
    </w:p>
    <w:p w14:paraId="71CC3E37" w14:textId="55B91FFE" w:rsidR="00002A81" w:rsidRPr="000E341E" w:rsidRDefault="00002A81" w:rsidP="000E341E">
      <w:pPr>
        <w:keepNext/>
        <w:keepLines/>
        <w:spacing w:before="240"/>
        <w:rPr>
          <w:rFonts w:ascii="Arial" w:hAnsi="Arial" w:cs="Arial"/>
          <w:b/>
          <w:sz w:val="20"/>
        </w:rPr>
      </w:pPr>
      <w:r w:rsidRPr="000E341E">
        <w:rPr>
          <w:rFonts w:ascii="Arial" w:hAnsi="Arial" w:cs="Arial"/>
          <w:b/>
          <w:sz w:val="20"/>
        </w:rPr>
        <w:t>MBS item 73334; Nov 2012 – June 2017</w:t>
      </w:r>
    </w:p>
    <w:p w14:paraId="437BC4DB" w14:textId="77777777" w:rsidR="00002A81" w:rsidRDefault="00002A81" w:rsidP="000E341E">
      <w:pPr>
        <w:pStyle w:val="TableHeader"/>
        <w:ind w:firstLine="360"/>
        <w:rPr>
          <w:rFonts w:cs="Arial"/>
        </w:rPr>
      </w:pPr>
      <w:r>
        <w:rPr>
          <w:noProof/>
        </w:rPr>
        <w:drawing>
          <wp:inline distT="0" distB="0" distL="0" distR="0" wp14:anchorId="260E866D" wp14:editId="75F8535E">
            <wp:extent cx="5014963" cy="2881423"/>
            <wp:effectExtent l="0" t="0" r="0" b="0"/>
            <wp:docPr id="5" name="Picture 5" descr="This graph shows the demographic profile for Medicare Item 73334 processed from July 2012 to June 2017." title="Figure 4 Demographic profile MS item 7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re Item 73334 processed from July 2012 to June 2017"/>
                    <pic:cNvPicPr>
                      <a:picLocks noChangeAspect="1" noChangeArrowheads="1"/>
                    </pic:cNvPicPr>
                  </pic:nvPicPr>
                  <pic:blipFill rotWithShape="1">
                    <a:blip r:embed="rId15">
                      <a:extLst>
                        <a:ext uri="{28A0092B-C50C-407E-A947-70E740481C1C}">
                          <a14:useLocalDpi xmlns:a14="http://schemas.microsoft.com/office/drawing/2010/main" val="0"/>
                        </a:ext>
                      </a:extLst>
                    </a:blip>
                    <a:srcRect t="5882" b="10217"/>
                    <a:stretch/>
                  </pic:blipFill>
                  <pic:spPr bwMode="auto">
                    <a:xfrm>
                      <a:off x="0" y="0"/>
                      <a:ext cx="5025592" cy="2887530"/>
                    </a:xfrm>
                    <a:prstGeom prst="rect">
                      <a:avLst/>
                    </a:prstGeom>
                    <a:noFill/>
                    <a:ln>
                      <a:noFill/>
                    </a:ln>
                    <a:extLst>
                      <a:ext uri="{53640926-AAD7-44D8-BBD7-CCE9431645EC}">
                        <a14:shadowObscured xmlns:a14="http://schemas.microsoft.com/office/drawing/2010/main"/>
                      </a:ext>
                    </a:extLst>
                  </pic:spPr>
                </pic:pic>
              </a:graphicData>
            </a:graphic>
          </wp:inline>
        </w:drawing>
      </w:r>
    </w:p>
    <w:p w14:paraId="74BF80CD" w14:textId="267B83EC" w:rsidR="00B82087" w:rsidRPr="00EB164D" w:rsidRDefault="00002A81">
      <w:pPr>
        <w:rPr>
          <w:i/>
          <w:sz w:val="16"/>
          <w:szCs w:val="16"/>
        </w:rPr>
      </w:pPr>
      <w:r w:rsidRPr="0005223A">
        <w:rPr>
          <w:i/>
          <w:sz w:val="16"/>
          <w:szCs w:val="16"/>
        </w:rPr>
        <w:t xml:space="preserve">Source: Medicare Statistics Online </w:t>
      </w:r>
    </w:p>
    <w:p w14:paraId="5D489A57" w14:textId="570FC082" w:rsidR="00002A81" w:rsidRPr="00EB164D" w:rsidRDefault="00002A81" w:rsidP="006E5B77">
      <w:pPr>
        <w:pStyle w:val="TableHeader"/>
        <w:spacing w:before="240"/>
      </w:pPr>
      <w:r w:rsidRPr="0005223A">
        <w:t xml:space="preserve">Figure </w:t>
      </w:r>
      <w:r>
        <w:t>5</w:t>
      </w:r>
      <w:r w:rsidRPr="0005223A">
        <w:t>: Demographic profile for MBS item 73333 (a), 73334 (b), and 73335 (c)</w:t>
      </w:r>
    </w:p>
    <w:p w14:paraId="0675223B" w14:textId="12592DCC" w:rsidR="00002A81" w:rsidRPr="00C7667C" w:rsidRDefault="00002A81" w:rsidP="006E5B77">
      <w:pPr>
        <w:spacing w:before="240"/>
        <w:ind w:left="360"/>
        <w:rPr>
          <w:rFonts w:ascii="Arial" w:hAnsi="Arial"/>
          <w:b/>
          <w:bCs/>
          <w:sz w:val="20"/>
        </w:rPr>
      </w:pPr>
      <w:r w:rsidRPr="00C7667C">
        <w:rPr>
          <w:rFonts w:ascii="Arial" w:hAnsi="Arial"/>
          <w:b/>
          <w:bCs/>
          <w:sz w:val="20"/>
        </w:rPr>
        <w:t>MBS item 73335; Nov 2012 – June 2017</w:t>
      </w:r>
    </w:p>
    <w:p w14:paraId="3B2E54C7" w14:textId="7FCC5617" w:rsidR="00250FC7" w:rsidRDefault="00002A81" w:rsidP="00250FC7">
      <w:pPr>
        <w:pStyle w:val="Caption"/>
        <w:ind w:left="284"/>
      </w:pPr>
      <w:r>
        <w:rPr>
          <w:noProof/>
          <w:lang w:eastAsia="en-AU"/>
        </w:rPr>
        <w:drawing>
          <wp:inline distT="0" distB="0" distL="0" distR="0" wp14:anchorId="61BF138B" wp14:editId="3A1B67B8">
            <wp:extent cx="5199321" cy="2307265"/>
            <wp:effectExtent l="0" t="0" r="1905" b="0"/>
            <wp:docPr id="6" name="Picture 6" descr="This grpah shows  the demographic profile for Medicare Item 73335 processed from July 2012 to June 2017. All items were claimed by females from 25-74 years." title="Figure 5: Demographic profile for MBS item 7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care Item 73335 processed from July 2012 to June 2017"/>
                    <pic:cNvPicPr>
                      <a:picLocks noChangeAspect="1" noChangeArrowheads="1"/>
                    </pic:cNvPicPr>
                  </pic:nvPicPr>
                  <pic:blipFill rotWithShape="1">
                    <a:blip r:embed="rId16">
                      <a:extLst>
                        <a:ext uri="{28A0092B-C50C-407E-A947-70E740481C1C}">
                          <a14:useLocalDpi xmlns:a14="http://schemas.microsoft.com/office/drawing/2010/main" val="0"/>
                        </a:ext>
                      </a:extLst>
                    </a:blip>
                    <a:srcRect t="5507" b="24186"/>
                    <a:stretch/>
                  </pic:blipFill>
                  <pic:spPr bwMode="auto">
                    <a:xfrm>
                      <a:off x="0" y="0"/>
                      <a:ext cx="5209163" cy="2311633"/>
                    </a:xfrm>
                    <a:prstGeom prst="rect">
                      <a:avLst/>
                    </a:prstGeom>
                    <a:noFill/>
                    <a:ln>
                      <a:noFill/>
                    </a:ln>
                    <a:extLst>
                      <a:ext uri="{53640926-AAD7-44D8-BBD7-CCE9431645EC}">
                        <a14:shadowObscured xmlns:a14="http://schemas.microsoft.com/office/drawing/2010/main"/>
                      </a:ext>
                    </a:extLst>
                  </pic:spPr>
                </pic:pic>
              </a:graphicData>
            </a:graphic>
          </wp:inline>
        </w:drawing>
      </w:r>
    </w:p>
    <w:p w14:paraId="459EEBB3" w14:textId="023E942D" w:rsidR="00002A81" w:rsidRPr="00EB164D" w:rsidRDefault="00002A81" w:rsidP="00EB164D">
      <w:pPr>
        <w:pStyle w:val="Caption"/>
        <w:ind w:left="284"/>
        <w:rPr>
          <w:i/>
          <w:sz w:val="16"/>
          <w:szCs w:val="16"/>
        </w:rPr>
      </w:pPr>
      <w:r w:rsidRPr="0005223A">
        <w:rPr>
          <w:i/>
          <w:sz w:val="16"/>
          <w:szCs w:val="16"/>
        </w:rPr>
        <w:t xml:space="preserve">Source: Medicare Statistics Online </w:t>
      </w:r>
    </w:p>
    <w:p w14:paraId="2C400E06" w14:textId="77777777" w:rsidR="00002A81" w:rsidRPr="00EB164D" w:rsidRDefault="00002A81" w:rsidP="00002A81">
      <w:pPr>
        <w:pStyle w:val="Heading1"/>
        <w:ind w:left="0" w:firstLine="0"/>
        <w:rPr>
          <w:sz w:val="24"/>
          <w:szCs w:val="24"/>
        </w:rPr>
      </w:pPr>
      <w:bookmarkStart w:id="4" w:name="_Toc492965902"/>
      <w:r w:rsidRPr="00EB164D">
        <w:rPr>
          <w:sz w:val="24"/>
          <w:szCs w:val="24"/>
        </w:rPr>
        <w:t>In and out of hospital</w:t>
      </w:r>
      <w:bookmarkEnd w:id="3"/>
      <w:bookmarkEnd w:id="4"/>
      <w:r w:rsidRPr="00EB164D">
        <w:rPr>
          <w:sz w:val="24"/>
          <w:szCs w:val="24"/>
        </w:rPr>
        <w:t xml:space="preserve"> </w:t>
      </w:r>
    </w:p>
    <w:p w14:paraId="3066C323" w14:textId="77777777" w:rsidR="00002A81" w:rsidRPr="00957489" w:rsidRDefault="00002A81" w:rsidP="00002A81">
      <w:pPr>
        <w:pStyle w:val="BodyText"/>
      </w:pPr>
      <w:bookmarkStart w:id="5" w:name="_Toc461539949"/>
      <w:r>
        <w:t xml:space="preserve">It was assumed that the majority of services would be provided by a specialist pathology laboratory. Actual utilisation shows the services are predominantly claimed in-hospital. In-hospital MBS pathology services are limited to private patients in private hospitals and private patients in public hospitals. </w:t>
      </w:r>
      <w:proofErr w:type="gramStart"/>
      <w:r w:rsidRPr="006E7B36">
        <w:rPr>
          <w:i/>
        </w:rPr>
        <w:t>( Reference</w:t>
      </w:r>
      <w:proofErr w:type="gramEnd"/>
      <w:r w:rsidRPr="006E7B36">
        <w:rPr>
          <w:i/>
        </w:rPr>
        <w:t>: G.1.2.a and G1.2.b.(iii) and (iv) and G.10.1 (a) Medicare Benefits Schedule Book – available on MBS Online)</w:t>
      </w:r>
      <w:bookmarkStart w:id="6" w:name="_Toc461539947"/>
      <w:r>
        <w:rPr>
          <w:i/>
        </w:rPr>
        <w:t>.</w:t>
      </w:r>
    </w:p>
    <w:bookmarkEnd w:id="6"/>
    <w:p w14:paraId="7158F013" w14:textId="77777777" w:rsidR="00002A81" w:rsidRDefault="00002A81" w:rsidP="00002A81">
      <w:pPr>
        <w:pStyle w:val="BodyText"/>
        <w:rPr>
          <w:b/>
          <w:bCs/>
          <w:i/>
          <w:iCs/>
        </w:rPr>
      </w:pPr>
      <w:r>
        <w:t>The service provision setting is likely the main factor driving the low overall utilisation of these three items – the anticipated testing across the three VHL items may still be occurring but largely within the state-based public hospital system.</w:t>
      </w:r>
    </w:p>
    <w:p w14:paraId="7BFF0B59" w14:textId="77777777" w:rsidR="00002A81" w:rsidRPr="00EB164D" w:rsidRDefault="00002A81" w:rsidP="00002A81">
      <w:pPr>
        <w:pStyle w:val="Heading1"/>
        <w:ind w:left="0" w:firstLine="0"/>
        <w:rPr>
          <w:sz w:val="24"/>
          <w:szCs w:val="24"/>
        </w:rPr>
      </w:pPr>
      <w:bookmarkStart w:id="7" w:name="_Toc492965903"/>
      <w:r w:rsidRPr="00EB164D">
        <w:rPr>
          <w:sz w:val="24"/>
          <w:szCs w:val="24"/>
        </w:rPr>
        <w:lastRenderedPageBreak/>
        <w:t>Co-claiming</w:t>
      </w:r>
      <w:bookmarkEnd w:id="5"/>
      <w:bookmarkEnd w:id="7"/>
      <w:r w:rsidRPr="00EB164D">
        <w:rPr>
          <w:sz w:val="24"/>
          <w:szCs w:val="24"/>
        </w:rPr>
        <w:t xml:space="preserve"> </w:t>
      </w:r>
    </w:p>
    <w:p w14:paraId="02635EAE" w14:textId="77777777" w:rsidR="00002A81" w:rsidRDefault="00002A81" w:rsidP="00002A81">
      <w:pPr>
        <w:pStyle w:val="BodyText"/>
      </w:pPr>
      <w:r>
        <w:t xml:space="preserve">The ten most common items co-claimed with the three VHL items are described in the following tables.  These items cover blood tests, microbiology, standard tests of organ function (cardiac, respiratory, liver, kidney, thyroid) and inflammatory markers.  Overall, the co-claimed items are unremarkable in the context of an initial diagnostic work-up.  Many of the co-claimed items would also be consistent with testing to monitor the status of a patient and their organ function if they have already been diagnosed with VHL and have tumours previously identified in specific organs. Some of the less commonly claimed items not included in these tables are for example, tissue pathology of biopsy samples (72823), which one would expect for a patient with a recent tumour diagnosis or resection, as would be the case for patient with VHL. </w:t>
      </w:r>
    </w:p>
    <w:p w14:paraId="3933EABD" w14:textId="5F694CBE" w:rsidR="00002A81" w:rsidRDefault="00002A81" w:rsidP="00002A81">
      <w:pPr>
        <w:pStyle w:val="BodyText"/>
      </w:pPr>
      <w:r>
        <w:t xml:space="preserve">It is interesting to note that VHL testing is sometimes co-claimed with a different genetic test for multiple endocrine </w:t>
      </w:r>
      <w:proofErr w:type="gramStart"/>
      <w:r>
        <w:t>neoplasia</w:t>
      </w:r>
      <w:proofErr w:type="gramEnd"/>
      <w:r>
        <w:t xml:space="preserve"> (73339).  This suggests that patients suffering from the two conditions may present with similar clinical features and that specialists ordering the two tests together are working thr</w:t>
      </w:r>
      <w:r w:rsidR="00EB164D">
        <w:t>ough a differential diagnosis.</w:t>
      </w:r>
    </w:p>
    <w:p w14:paraId="17C130FA" w14:textId="77777777" w:rsidR="00002A81" w:rsidRPr="00336197" w:rsidRDefault="00002A81" w:rsidP="006E5B77">
      <w:pPr>
        <w:pStyle w:val="BodyText"/>
        <w:spacing w:after="0"/>
      </w:pPr>
      <w:r>
        <w:t xml:space="preserve">The data do not reveal whether the result of each VHL test rendered was mutation positive or not.  Without such information it is not possible to explore whether testing is being ordered for patients who are highly likely to test positive or whether testing is purely speculative for patients presenting with a tumour but no other features or risk factors suggesting VHL. </w:t>
      </w:r>
    </w:p>
    <w:p w14:paraId="6980A8E8" w14:textId="77777777" w:rsidR="00002A81" w:rsidRPr="00171CF2" w:rsidRDefault="00002A81" w:rsidP="006E5B77">
      <w:pPr>
        <w:pStyle w:val="TableHeader"/>
        <w:spacing w:before="120" w:after="0"/>
      </w:pPr>
      <w:r w:rsidRPr="00171CF2">
        <w:t>Table 2: Instances of co-claiming with MBS item 73333 in 2014-15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6"/>
        <w:gridCol w:w="2600"/>
        <w:gridCol w:w="992"/>
        <w:gridCol w:w="1134"/>
        <w:gridCol w:w="1560"/>
        <w:gridCol w:w="1134"/>
        <w:gridCol w:w="1275"/>
      </w:tblGrid>
      <w:tr w:rsidR="00002A81" w:rsidRPr="00A5477A" w14:paraId="314AF8E0" w14:textId="77777777" w:rsidTr="00B16EBE">
        <w:trPr>
          <w:trHeight w:val="345"/>
        </w:trPr>
        <w:tc>
          <w:tcPr>
            <w:tcW w:w="426" w:type="dxa"/>
            <w:shd w:val="clear" w:color="auto" w:fill="C6D9F1" w:themeFill="text2" w:themeFillTint="33"/>
          </w:tcPr>
          <w:p w14:paraId="07DCAE11" w14:textId="77777777" w:rsidR="00002A81" w:rsidRPr="00A5477A" w:rsidRDefault="00002A81" w:rsidP="00B16EBE">
            <w:pPr>
              <w:jc w:val="center"/>
              <w:rPr>
                <w:rStyle w:val="textitem"/>
                <w:b/>
                <w:bCs/>
                <w:sz w:val="18"/>
                <w:szCs w:val="18"/>
              </w:rPr>
            </w:pPr>
            <w:r w:rsidRPr="00A5477A">
              <w:rPr>
                <w:rStyle w:val="textitem"/>
                <w:b/>
                <w:bCs/>
                <w:sz w:val="18"/>
                <w:szCs w:val="18"/>
              </w:rPr>
              <w:t>#</w:t>
            </w:r>
          </w:p>
        </w:tc>
        <w:tc>
          <w:tcPr>
            <w:tcW w:w="2600" w:type="dxa"/>
            <w:shd w:val="clear" w:color="auto" w:fill="C6D9F1" w:themeFill="text2" w:themeFillTint="33"/>
            <w:tcMar>
              <w:top w:w="60" w:type="dxa"/>
              <w:left w:w="90" w:type="dxa"/>
              <w:bottom w:w="60" w:type="dxa"/>
              <w:right w:w="75" w:type="dxa"/>
            </w:tcMar>
            <w:hideMark/>
          </w:tcPr>
          <w:p w14:paraId="380E773A" w14:textId="77777777" w:rsidR="00002A81" w:rsidRPr="00A5477A" w:rsidRDefault="00002A81" w:rsidP="00B16EBE">
            <w:pPr>
              <w:rPr>
                <w:b/>
                <w:bCs/>
                <w:sz w:val="18"/>
                <w:szCs w:val="18"/>
              </w:rPr>
            </w:pPr>
            <w:r w:rsidRPr="00A5477A">
              <w:rPr>
                <w:rStyle w:val="textitem"/>
                <w:b/>
                <w:bCs/>
                <w:sz w:val="18"/>
                <w:szCs w:val="18"/>
              </w:rPr>
              <w:t>Items</w:t>
            </w:r>
          </w:p>
        </w:tc>
        <w:tc>
          <w:tcPr>
            <w:tcW w:w="992" w:type="dxa"/>
            <w:shd w:val="clear" w:color="auto" w:fill="C6D9F1" w:themeFill="text2" w:themeFillTint="33"/>
            <w:tcMar>
              <w:top w:w="60" w:type="dxa"/>
              <w:left w:w="90" w:type="dxa"/>
              <w:bottom w:w="60" w:type="dxa"/>
              <w:right w:w="75" w:type="dxa"/>
            </w:tcMar>
            <w:hideMark/>
          </w:tcPr>
          <w:p w14:paraId="1E00B6A0" w14:textId="77777777" w:rsidR="00002A81" w:rsidRPr="00A5477A" w:rsidRDefault="00002A81" w:rsidP="00B16EBE">
            <w:pPr>
              <w:jc w:val="center"/>
              <w:rPr>
                <w:b/>
                <w:bCs/>
                <w:sz w:val="18"/>
                <w:szCs w:val="18"/>
              </w:rPr>
            </w:pPr>
            <w:r w:rsidRPr="00A5477A">
              <w:rPr>
                <w:rStyle w:val="textitem"/>
                <w:b/>
                <w:bCs/>
                <w:sz w:val="18"/>
                <w:szCs w:val="18"/>
              </w:rPr>
              <w:t>Episodes</w:t>
            </w:r>
          </w:p>
        </w:tc>
        <w:tc>
          <w:tcPr>
            <w:tcW w:w="1134" w:type="dxa"/>
            <w:shd w:val="clear" w:color="auto" w:fill="C6D9F1" w:themeFill="text2" w:themeFillTint="33"/>
            <w:tcMar>
              <w:top w:w="60" w:type="dxa"/>
              <w:left w:w="90" w:type="dxa"/>
              <w:bottom w:w="60" w:type="dxa"/>
              <w:right w:w="75" w:type="dxa"/>
            </w:tcMar>
            <w:hideMark/>
          </w:tcPr>
          <w:p w14:paraId="1C6AE7B4" w14:textId="77777777" w:rsidR="00002A81" w:rsidRPr="00A5477A" w:rsidRDefault="00002A81" w:rsidP="00B16EBE">
            <w:pPr>
              <w:jc w:val="center"/>
              <w:rPr>
                <w:b/>
                <w:bCs/>
                <w:sz w:val="18"/>
                <w:szCs w:val="18"/>
              </w:rPr>
            </w:pPr>
            <w:r w:rsidRPr="00A5477A">
              <w:rPr>
                <w:rStyle w:val="textitem"/>
                <w:b/>
                <w:bCs/>
                <w:sz w:val="18"/>
                <w:szCs w:val="18"/>
              </w:rPr>
              <w:t>Number of Services</w:t>
            </w:r>
          </w:p>
        </w:tc>
        <w:tc>
          <w:tcPr>
            <w:tcW w:w="1560" w:type="dxa"/>
            <w:shd w:val="clear" w:color="auto" w:fill="C6D9F1" w:themeFill="text2" w:themeFillTint="33"/>
            <w:tcMar>
              <w:top w:w="60" w:type="dxa"/>
              <w:left w:w="90" w:type="dxa"/>
              <w:bottom w:w="60" w:type="dxa"/>
              <w:right w:w="75" w:type="dxa"/>
            </w:tcMar>
            <w:hideMark/>
          </w:tcPr>
          <w:p w14:paraId="4C47941F" w14:textId="77777777" w:rsidR="00002A81" w:rsidRPr="00A5477A" w:rsidRDefault="00002A81" w:rsidP="00B16EBE">
            <w:pPr>
              <w:jc w:val="center"/>
              <w:rPr>
                <w:b/>
                <w:bCs/>
                <w:sz w:val="18"/>
                <w:szCs w:val="18"/>
              </w:rPr>
            </w:pPr>
            <w:r w:rsidRPr="00A5477A">
              <w:rPr>
                <w:b/>
                <w:bCs/>
                <w:sz w:val="18"/>
                <w:szCs w:val="18"/>
              </w:rPr>
              <w:t>Schedule Fee for Combination</w:t>
            </w:r>
          </w:p>
        </w:tc>
        <w:tc>
          <w:tcPr>
            <w:tcW w:w="1134" w:type="dxa"/>
            <w:shd w:val="clear" w:color="auto" w:fill="C6D9F1" w:themeFill="text2" w:themeFillTint="33"/>
            <w:tcMar>
              <w:top w:w="60" w:type="dxa"/>
              <w:left w:w="90" w:type="dxa"/>
              <w:bottom w:w="60" w:type="dxa"/>
              <w:right w:w="75" w:type="dxa"/>
            </w:tcMar>
            <w:hideMark/>
          </w:tcPr>
          <w:p w14:paraId="710A37C9" w14:textId="77777777" w:rsidR="00002A81" w:rsidRPr="00A5477A" w:rsidRDefault="00002A81" w:rsidP="00B16EBE">
            <w:pPr>
              <w:jc w:val="center"/>
              <w:rPr>
                <w:b/>
                <w:bCs/>
                <w:sz w:val="18"/>
                <w:szCs w:val="18"/>
              </w:rPr>
            </w:pPr>
            <w:r w:rsidRPr="00A5477A">
              <w:rPr>
                <w:rStyle w:val="textitem"/>
                <w:b/>
                <w:bCs/>
                <w:sz w:val="18"/>
                <w:szCs w:val="18"/>
              </w:rPr>
              <w:t>% of total episodes</w:t>
            </w:r>
          </w:p>
        </w:tc>
        <w:tc>
          <w:tcPr>
            <w:tcW w:w="1275" w:type="dxa"/>
            <w:shd w:val="clear" w:color="auto" w:fill="C6D9F1" w:themeFill="text2" w:themeFillTint="33"/>
          </w:tcPr>
          <w:p w14:paraId="300B01A6" w14:textId="77777777" w:rsidR="00002A81" w:rsidRPr="00A5477A" w:rsidRDefault="00002A81" w:rsidP="00B16EBE">
            <w:pPr>
              <w:jc w:val="center"/>
              <w:rPr>
                <w:rStyle w:val="textitem"/>
                <w:b/>
                <w:bCs/>
                <w:sz w:val="18"/>
                <w:szCs w:val="18"/>
              </w:rPr>
            </w:pPr>
            <w:r w:rsidRPr="00A5477A">
              <w:rPr>
                <w:rStyle w:val="textitem"/>
                <w:b/>
                <w:bCs/>
                <w:sz w:val="18"/>
                <w:szCs w:val="18"/>
              </w:rPr>
              <w:t>Cumulative %</w:t>
            </w:r>
          </w:p>
        </w:tc>
      </w:tr>
      <w:tr w:rsidR="00002A81" w:rsidRPr="00A5477A" w14:paraId="5E0DE45F" w14:textId="77777777" w:rsidTr="00B16EBE">
        <w:tc>
          <w:tcPr>
            <w:tcW w:w="426" w:type="dxa"/>
          </w:tcPr>
          <w:p w14:paraId="243A6C5D" w14:textId="77777777" w:rsidR="00002A81" w:rsidRPr="00A5477A" w:rsidRDefault="00002A81" w:rsidP="00B16EBE">
            <w:pPr>
              <w:jc w:val="center"/>
              <w:rPr>
                <w:b/>
                <w:bCs/>
                <w:sz w:val="18"/>
                <w:szCs w:val="18"/>
              </w:rPr>
            </w:pPr>
            <w:r w:rsidRPr="00A5477A">
              <w:rPr>
                <w:b/>
                <w:bCs/>
                <w:sz w:val="18"/>
                <w:szCs w:val="18"/>
              </w:rPr>
              <w:t>1</w:t>
            </w:r>
          </w:p>
        </w:tc>
        <w:tc>
          <w:tcPr>
            <w:tcW w:w="2600" w:type="dxa"/>
            <w:tcMar>
              <w:top w:w="60" w:type="dxa"/>
              <w:left w:w="75" w:type="dxa"/>
              <w:bottom w:w="60" w:type="dxa"/>
              <w:right w:w="75" w:type="dxa"/>
            </w:tcMar>
            <w:vAlign w:val="center"/>
          </w:tcPr>
          <w:p w14:paraId="705BEE18" w14:textId="77777777" w:rsidR="00002A81" w:rsidRPr="00A5477A" w:rsidRDefault="00002A81" w:rsidP="00B16EBE">
            <w:pPr>
              <w:rPr>
                <w:b/>
                <w:sz w:val="18"/>
                <w:szCs w:val="18"/>
              </w:rPr>
            </w:pPr>
            <w:r w:rsidRPr="00A5477A">
              <w:rPr>
                <w:b/>
                <w:sz w:val="18"/>
                <w:szCs w:val="18"/>
              </w:rPr>
              <w:t>73333</w:t>
            </w:r>
          </w:p>
        </w:tc>
        <w:tc>
          <w:tcPr>
            <w:tcW w:w="992" w:type="dxa"/>
            <w:tcMar>
              <w:top w:w="60" w:type="dxa"/>
              <w:left w:w="75" w:type="dxa"/>
              <w:bottom w:w="60" w:type="dxa"/>
              <w:right w:w="75" w:type="dxa"/>
            </w:tcMar>
            <w:vAlign w:val="bottom"/>
          </w:tcPr>
          <w:p w14:paraId="11CA0569"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0E3E35D5"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03A3F80F" w14:textId="77777777" w:rsidR="00002A81" w:rsidRPr="00A5477A" w:rsidRDefault="00002A81" w:rsidP="00B16EBE">
            <w:pPr>
              <w:jc w:val="right"/>
              <w:rPr>
                <w:sz w:val="18"/>
                <w:szCs w:val="18"/>
              </w:rPr>
            </w:pPr>
            <w:r w:rsidRPr="00A5477A">
              <w:rPr>
                <w:sz w:val="18"/>
                <w:szCs w:val="18"/>
              </w:rPr>
              <w:t xml:space="preserve">$1,800 </w:t>
            </w:r>
          </w:p>
        </w:tc>
        <w:tc>
          <w:tcPr>
            <w:tcW w:w="1134" w:type="dxa"/>
            <w:tcMar>
              <w:top w:w="60" w:type="dxa"/>
              <w:left w:w="75" w:type="dxa"/>
              <w:bottom w:w="60" w:type="dxa"/>
              <w:right w:w="75" w:type="dxa"/>
            </w:tcMar>
            <w:vAlign w:val="bottom"/>
          </w:tcPr>
          <w:p w14:paraId="44701C75" w14:textId="77777777" w:rsidR="00002A81" w:rsidRPr="00A5477A" w:rsidRDefault="00002A81" w:rsidP="00B16EBE">
            <w:pPr>
              <w:jc w:val="right"/>
              <w:rPr>
                <w:sz w:val="18"/>
                <w:szCs w:val="18"/>
              </w:rPr>
            </w:pPr>
            <w:r w:rsidRPr="00A5477A">
              <w:rPr>
                <w:sz w:val="18"/>
                <w:szCs w:val="18"/>
              </w:rPr>
              <w:t xml:space="preserve">20% </w:t>
            </w:r>
          </w:p>
        </w:tc>
        <w:tc>
          <w:tcPr>
            <w:tcW w:w="1275" w:type="dxa"/>
          </w:tcPr>
          <w:p w14:paraId="1C009982" w14:textId="77777777" w:rsidR="00002A81" w:rsidRPr="00A5477A" w:rsidRDefault="00002A81" w:rsidP="00B16EBE">
            <w:pPr>
              <w:jc w:val="right"/>
              <w:rPr>
                <w:sz w:val="18"/>
                <w:szCs w:val="18"/>
              </w:rPr>
            </w:pPr>
            <w:r w:rsidRPr="00A5477A">
              <w:rPr>
                <w:sz w:val="18"/>
                <w:szCs w:val="18"/>
              </w:rPr>
              <w:t>20%</w:t>
            </w:r>
          </w:p>
        </w:tc>
      </w:tr>
      <w:tr w:rsidR="00002A81" w:rsidRPr="00A5477A" w14:paraId="059E187C" w14:textId="77777777" w:rsidTr="00B16EBE">
        <w:tc>
          <w:tcPr>
            <w:tcW w:w="426" w:type="dxa"/>
          </w:tcPr>
          <w:p w14:paraId="55FEE9AD" w14:textId="77777777" w:rsidR="00002A81" w:rsidRPr="00A5477A" w:rsidRDefault="00002A81" w:rsidP="00B16EBE">
            <w:pPr>
              <w:jc w:val="center"/>
              <w:rPr>
                <w:b/>
                <w:bCs/>
                <w:sz w:val="18"/>
                <w:szCs w:val="18"/>
              </w:rPr>
            </w:pPr>
            <w:r w:rsidRPr="00A5477A">
              <w:rPr>
                <w:b/>
                <w:bCs/>
                <w:sz w:val="18"/>
                <w:szCs w:val="18"/>
              </w:rPr>
              <w:t>2</w:t>
            </w:r>
          </w:p>
        </w:tc>
        <w:tc>
          <w:tcPr>
            <w:tcW w:w="2600" w:type="dxa"/>
            <w:tcMar>
              <w:top w:w="60" w:type="dxa"/>
              <w:left w:w="75" w:type="dxa"/>
              <w:bottom w:w="60" w:type="dxa"/>
              <w:right w:w="75" w:type="dxa"/>
            </w:tcMar>
            <w:vAlign w:val="center"/>
          </w:tcPr>
          <w:p w14:paraId="2F577188" w14:textId="77777777" w:rsidR="00002A81" w:rsidRPr="00A5477A" w:rsidRDefault="00002A81" w:rsidP="00B16EBE">
            <w:pPr>
              <w:rPr>
                <w:sz w:val="18"/>
                <w:szCs w:val="18"/>
              </w:rPr>
            </w:pPr>
            <w:r w:rsidRPr="00A5477A">
              <w:rPr>
                <w:b/>
                <w:sz w:val="18"/>
                <w:szCs w:val="18"/>
              </w:rPr>
              <w:t xml:space="preserve">73333, </w:t>
            </w:r>
            <w:r w:rsidRPr="00A5477A">
              <w:rPr>
                <w:sz w:val="18"/>
                <w:szCs w:val="18"/>
              </w:rPr>
              <w:t>73339,</w:t>
            </w:r>
            <w:r w:rsidRPr="00A5477A">
              <w:rPr>
                <w:b/>
                <w:sz w:val="18"/>
                <w:szCs w:val="18"/>
              </w:rPr>
              <w:t xml:space="preserve"> </w:t>
            </w:r>
            <w:r w:rsidRPr="00A5477A">
              <w:rPr>
                <w:sz w:val="18"/>
                <w:szCs w:val="18"/>
              </w:rPr>
              <w:t>73939</w:t>
            </w:r>
          </w:p>
        </w:tc>
        <w:tc>
          <w:tcPr>
            <w:tcW w:w="992" w:type="dxa"/>
            <w:tcMar>
              <w:top w:w="60" w:type="dxa"/>
              <w:left w:w="75" w:type="dxa"/>
              <w:bottom w:w="60" w:type="dxa"/>
              <w:right w:w="75" w:type="dxa"/>
            </w:tcMar>
            <w:vAlign w:val="bottom"/>
          </w:tcPr>
          <w:p w14:paraId="48AB4686"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6DBD4D88"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125445DB" w14:textId="77777777" w:rsidR="00002A81" w:rsidRPr="00A5477A" w:rsidRDefault="00002A81" w:rsidP="00B16EBE">
            <w:pPr>
              <w:jc w:val="right"/>
              <w:rPr>
                <w:sz w:val="18"/>
                <w:szCs w:val="18"/>
              </w:rPr>
            </w:pPr>
            <w:r w:rsidRPr="00A5477A">
              <w:rPr>
                <w:sz w:val="18"/>
                <w:szCs w:val="18"/>
              </w:rPr>
              <w:t xml:space="preserve">$3,007 </w:t>
            </w:r>
          </w:p>
        </w:tc>
        <w:tc>
          <w:tcPr>
            <w:tcW w:w="1134" w:type="dxa"/>
            <w:tcMar>
              <w:top w:w="60" w:type="dxa"/>
              <w:left w:w="75" w:type="dxa"/>
              <w:bottom w:w="60" w:type="dxa"/>
              <w:right w:w="75" w:type="dxa"/>
            </w:tcMar>
            <w:vAlign w:val="bottom"/>
          </w:tcPr>
          <w:p w14:paraId="4608A82B" w14:textId="77777777" w:rsidR="00002A81" w:rsidRPr="00A5477A" w:rsidRDefault="00002A81" w:rsidP="00B16EBE">
            <w:pPr>
              <w:jc w:val="right"/>
              <w:rPr>
                <w:sz w:val="18"/>
                <w:szCs w:val="18"/>
              </w:rPr>
            </w:pPr>
            <w:r w:rsidRPr="00A5477A">
              <w:rPr>
                <w:sz w:val="18"/>
                <w:szCs w:val="18"/>
              </w:rPr>
              <w:t xml:space="preserve">20% </w:t>
            </w:r>
          </w:p>
        </w:tc>
        <w:tc>
          <w:tcPr>
            <w:tcW w:w="1275" w:type="dxa"/>
          </w:tcPr>
          <w:p w14:paraId="552849A5" w14:textId="77777777" w:rsidR="00002A81" w:rsidRPr="00A5477A" w:rsidRDefault="00002A81" w:rsidP="00B16EBE">
            <w:pPr>
              <w:jc w:val="right"/>
              <w:rPr>
                <w:sz w:val="18"/>
                <w:szCs w:val="18"/>
              </w:rPr>
            </w:pPr>
            <w:r w:rsidRPr="00A5477A">
              <w:rPr>
                <w:sz w:val="18"/>
                <w:szCs w:val="18"/>
              </w:rPr>
              <w:t>40%</w:t>
            </w:r>
          </w:p>
        </w:tc>
      </w:tr>
      <w:tr w:rsidR="00002A81" w:rsidRPr="00A5477A" w14:paraId="4F758303" w14:textId="77777777" w:rsidTr="00B16EBE">
        <w:tc>
          <w:tcPr>
            <w:tcW w:w="426" w:type="dxa"/>
          </w:tcPr>
          <w:p w14:paraId="1D1E02D9" w14:textId="77777777" w:rsidR="00002A81" w:rsidRPr="00A5477A" w:rsidRDefault="00002A81" w:rsidP="00B16EBE">
            <w:pPr>
              <w:jc w:val="center"/>
              <w:rPr>
                <w:b/>
                <w:bCs/>
                <w:sz w:val="18"/>
                <w:szCs w:val="18"/>
              </w:rPr>
            </w:pPr>
            <w:r w:rsidRPr="00A5477A">
              <w:rPr>
                <w:b/>
                <w:bCs/>
                <w:sz w:val="18"/>
                <w:szCs w:val="18"/>
              </w:rPr>
              <w:t>3</w:t>
            </w:r>
          </w:p>
        </w:tc>
        <w:tc>
          <w:tcPr>
            <w:tcW w:w="2600" w:type="dxa"/>
            <w:tcMar>
              <w:top w:w="60" w:type="dxa"/>
              <w:left w:w="75" w:type="dxa"/>
              <w:bottom w:w="60" w:type="dxa"/>
              <w:right w:w="75" w:type="dxa"/>
            </w:tcMar>
            <w:vAlign w:val="center"/>
          </w:tcPr>
          <w:p w14:paraId="23600258" w14:textId="77777777" w:rsidR="00002A81" w:rsidRPr="00A5477A" w:rsidRDefault="00002A81" w:rsidP="00B16EBE">
            <w:pPr>
              <w:rPr>
                <w:sz w:val="18"/>
                <w:szCs w:val="18"/>
              </w:rPr>
            </w:pPr>
            <w:r w:rsidRPr="00A5477A">
              <w:rPr>
                <w:b/>
                <w:sz w:val="18"/>
                <w:szCs w:val="18"/>
              </w:rPr>
              <w:t xml:space="preserve">73333, </w:t>
            </w:r>
            <w:r w:rsidRPr="00A5477A">
              <w:rPr>
                <w:sz w:val="18"/>
                <w:szCs w:val="18"/>
              </w:rPr>
              <w:t>73939</w:t>
            </w:r>
          </w:p>
        </w:tc>
        <w:tc>
          <w:tcPr>
            <w:tcW w:w="992" w:type="dxa"/>
            <w:tcMar>
              <w:top w:w="60" w:type="dxa"/>
              <w:left w:w="75" w:type="dxa"/>
              <w:bottom w:w="60" w:type="dxa"/>
              <w:right w:w="75" w:type="dxa"/>
            </w:tcMar>
            <w:vAlign w:val="bottom"/>
          </w:tcPr>
          <w:p w14:paraId="3546B6B2"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74DBA480"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2942BA89" w14:textId="77777777" w:rsidR="00002A81" w:rsidRPr="00A5477A" w:rsidRDefault="00002A81" w:rsidP="00B16EBE">
            <w:pPr>
              <w:jc w:val="right"/>
              <w:rPr>
                <w:sz w:val="18"/>
                <w:szCs w:val="18"/>
              </w:rPr>
            </w:pPr>
            <w:r w:rsidRPr="00A5477A">
              <w:rPr>
                <w:sz w:val="18"/>
                <w:szCs w:val="18"/>
              </w:rPr>
              <w:t xml:space="preserve">$1,807 </w:t>
            </w:r>
          </w:p>
        </w:tc>
        <w:tc>
          <w:tcPr>
            <w:tcW w:w="1134" w:type="dxa"/>
            <w:tcMar>
              <w:top w:w="60" w:type="dxa"/>
              <w:left w:w="75" w:type="dxa"/>
              <w:bottom w:w="60" w:type="dxa"/>
              <w:right w:w="75" w:type="dxa"/>
            </w:tcMar>
            <w:vAlign w:val="bottom"/>
          </w:tcPr>
          <w:p w14:paraId="7FFAF328" w14:textId="77777777" w:rsidR="00002A81" w:rsidRPr="00A5477A" w:rsidRDefault="00002A81" w:rsidP="00B16EBE">
            <w:pPr>
              <w:jc w:val="right"/>
              <w:rPr>
                <w:sz w:val="18"/>
                <w:szCs w:val="18"/>
              </w:rPr>
            </w:pPr>
            <w:r w:rsidRPr="00A5477A">
              <w:rPr>
                <w:sz w:val="18"/>
                <w:szCs w:val="18"/>
              </w:rPr>
              <w:t xml:space="preserve">20% </w:t>
            </w:r>
          </w:p>
        </w:tc>
        <w:tc>
          <w:tcPr>
            <w:tcW w:w="1275" w:type="dxa"/>
          </w:tcPr>
          <w:p w14:paraId="594F3A1E" w14:textId="77777777" w:rsidR="00002A81" w:rsidRPr="00A5477A" w:rsidRDefault="00002A81" w:rsidP="00B16EBE">
            <w:pPr>
              <w:jc w:val="right"/>
              <w:rPr>
                <w:sz w:val="18"/>
                <w:szCs w:val="18"/>
              </w:rPr>
            </w:pPr>
            <w:r w:rsidRPr="00A5477A">
              <w:rPr>
                <w:sz w:val="18"/>
                <w:szCs w:val="18"/>
              </w:rPr>
              <w:t>60%</w:t>
            </w:r>
          </w:p>
        </w:tc>
      </w:tr>
      <w:tr w:rsidR="00002A81" w:rsidRPr="00A5477A" w14:paraId="4D3A33C9" w14:textId="77777777" w:rsidTr="00B16EBE">
        <w:tc>
          <w:tcPr>
            <w:tcW w:w="426" w:type="dxa"/>
          </w:tcPr>
          <w:p w14:paraId="6A2FFC6E" w14:textId="77777777" w:rsidR="00002A81" w:rsidRPr="00A5477A" w:rsidRDefault="00002A81" w:rsidP="00B16EBE">
            <w:pPr>
              <w:jc w:val="center"/>
              <w:rPr>
                <w:b/>
                <w:bCs/>
                <w:sz w:val="18"/>
                <w:szCs w:val="18"/>
              </w:rPr>
            </w:pPr>
            <w:r w:rsidRPr="00A5477A">
              <w:rPr>
                <w:b/>
                <w:bCs/>
                <w:sz w:val="18"/>
                <w:szCs w:val="18"/>
              </w:rPr>
              <w:t>4</w:t>
            </w:r>
          </w:p>
        </w:tc>
        <w:tc>
          <w:tcPr>
            <w:tcW w:w="2600" w:type="dxa"/>
            <w:tcMar>
              <w:top w:w="60" w:type="dxa"/>
              <w:left w:w="75" w:type="dxa"/>
              <w:bottom w:w="60" w:type="dxa"/>
              <w:right w:w="75" w:type="dxa"/>
            </w:tcMar>
            <w:vAlign w:val="center"/>
          </w:tcPr>
          <w:p w14:paraId="4DF3E8D8" w14:textId="77777777" w:rsidR="00002A81" w:rsidRPr="00A5477A" w:rsidRDefault="00002A81" w:rsidP="00B16EBE">
            <w:pPr>
              <w:rPr>
                <w:sz w:val="18"/>
                <w:szCs w:val="18"/>
              </w:rPr>
            </w:pPr>
            <w:r w:rsidRPr="00A5477A">
              <w:rPr>
                <w:b/>
                <w:sz w:val="18"/>
                <w:szCs w:val="18"/>
              </w:rPr>
              <w:t xml:space="preserve">73333, </w:t>
            </w:r>
            <w:r w:rsidRPr="00A5477A">
              <w:rPr>
                <w:sz w:val="18"/>
                <w:szCs w:val="18"/>
              </w:rPr>
              <w:t>73939, 73940</w:t>
            </w:r>
          </w:p>
        </w:tc>
        <w:tc>
          <w:tcPr>
            <w:tcW w:w="992" w:type="dxa"/>
            <w:tcMar>
              <w:top w:w="60" w:type="dxa"/>
              <w:left w:w="75" w:type="dxa"/>
              <w:bottom w:w="60" w:type="dxa"/>
              <w:right w:w="75" w:type="dxa"/>
            </w:tcMar>
            <w:vAlign w:val="bottom"/>
          </w:tcPr>
          <w:p w14:paraId="21387AFD"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0ED3118E"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52553FAA" w14:textId="77777777" w:rsidR="00002A81" w:rsidRPr="00A5477A" w:rsidRDefault="00002A81" w:rsidP="00B16EBE">
            <w:pPr>
              <w:jc w:val="right"/>
              <w:rPr>
                <w:sz w:val="18"/>
                <w:szCs w:val="18"/>
              </w:rPr>
            </w:pPr>
            <w:r w:rsidRPr="00A5477A">
              <w:rPr>
                <w:sz w:val="18"/>
                <w:szCs w:val="18"/>
              </w:rPr>
              <w:t xml:space="preserve">$2,021 </w:t>
            </w:r>
          </w:p>
        </w:tc>
        <w:tc>
          <w:tcPr>
            <w:tcW w:w="1134" w:type="dxa"/>
            <w:tcMar>
              <w:top w:w="60" w:type="dxa"/>
              <w:left w:w="75" w:type="dxa"/>
              <w:bottom w:w="60" w:type="dxa"/>
              <w:right w:w="75" w:type="dxa"/>
            </w:tcMar>
            <w:vAlign w:val="bottom"/>
          </w:tcPr>
          <w:p w14:paraId="2B7836C0" w14:textId="77777777" w:rsidR="00002A81" w:rsidRPr="00A5477A" w:rsidRDefault="00002A81" w:rsidP="00B16EBE">
            <w:pPr>
              <w:jc w:val="right"/>
              <w:rPr>
                <w:sz w:val="18"/>
                <w:szCs w:val="18"/>
              </w:rPr>
            </w:pPr>
            <w:r w:rsidRPr="00A5477A">
              <w:rPr>
                <w:sz w:val="18"/>
                <w:szCs w:val="18"/>
              </w:rPr>
              <w:t xml:space="preserve">13.33% </w:t>
            </w:r>
          </w:p>
        </w:tc>
        <w:tc>
          <w:tcPr>
            <w:tcW w:w="1275" w:type="dxa"/>
          </w:tcPr>
          <w:p w14:paraId="3DD91CFF" w14:textId="77777777" w:rsidR="00002A81" w:rsidRPr="00A5477A" w:rsidRDefault="00002A81" w:rsidP="00B16EBE">
            <w:pPr>
              <w:jc w:val="right"/>
              <w:rPr>
                <w:sz w:val="18"/>
                <w:szCs w:val="18"/>
              </w:rPr>
            </w:pPr>
            <w:r w:rsidRPr="00A5477A">
              <w:rPr>
                <w:sz w:val="18"/>
                <w:szCs w:val="18"/>
              </w:rPr>
              <w:t>73.33%</w:t>
            </w:r>
          </w:p>
        </w:tc>
      </w:tr>
      <w:tr w:rsidR="00002A81" w:rsidRPr="00A5477A" w14:paraId="5E3FC388" w14:textId="77777777" w:rsidTr="00B16EBE">
        <w:tc>
          <w:tcPr>
            <w:tcW w:w="426" w:type="dxa"/>
          </w:tcPr>
          <w:p w14:paraId="4CE174FE" w14:textId="77777777" w:rsidR="00002A81" w:rsidRPr="00A5477A" w:rsidRDefault="00002A81" w:rsidP="00B16EBE">
            <w:pPr>
              <w:jc w:val="center"/>
              <w:rPr>
                <w:b/>
                <w:bCs/>
                <w:sz w:val="18"/>
                <w:szCs w:val="18"/>
              </w:rPr>
            </w:pPr>
            <w:r w:rsidRPr="00A5477A">
              <w:rPr>
                <w:b/>
                <w:bCs/>
                <w:sz w:val="18"/>
                <w:szCs w:val="18"/>
              </w:rPr>
              <w:t>5</w:t>
            </w:r>
          </w:p>
        </w:tc>
        <w:tc>
          <w:tcPr>
            <w:tcW w:w="2600" w:type="dxa"/>
            <w:tcMar>
              <w:top w:w="60" w:type="dxa"/>
              <w:left w:w="75" w:type="dxa"/>
              <w:bottom w:w="60" w:type="dxa"/>
              <w:right w:w="75" w:type="dxa"/>
            </w:tcMar>
            <w:vAlign w:val="center"/>
          </w:tcPr>
          <w:p w14:paraId="00521F5A" w14:textId="77777777" w:rsidR="00002A81" w:rsidRPr="00A5477A" w:rsidRDefault="00002A81" w:rsidP="00B16EBE">
            <w:pPr>
              <w:rPr>
                <w:sz w:val="18"/>
                <w:szCs w:val="18"/>
              </w:rPr>
            </w:pPr>
            <w:r w:rsidRPr="00A5477A">
              <w:rPr>
                <w:b/>
                <w:sz w:val="18"/>
                <w:szCs w:val="18"/>
              </w:rPr>
              <w:t xml:space="preserve">73333, </w:t>
            </w:r>
            <w:r w:rsidRPr="00A5477A">
              <w:rPr>
                <w:sz w:val="18"/>
                <w:szCs w:val="18"/>
              </w:rPr>
              <w:t>73940</w:t>
            </w:r>
          </w:p>
        </w:tc>
        <w:tc>
          <w:tcPr>
            <w:tcW w:w="992" w:type="dxa"/>
            <w:tcMar>
              <w:top w:w="60" w:type="dxa"/>
              <w:left w:w="75" w:type="dxa"/>
              <w:bottom w:w="60" w:type="dxa"/>
              <w:right w:w="75" w:type="dxa"/>
            </w:tcMar>
            <w:vAlign w:val="bottom"/>
          </w:tcPr>
          <w:p w14:paraId="69896276"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56932D7F"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67454730" w14:textId="77777777" w:rsidR="00002A81" w:rsidRPr="00A5477A" w:rsidRDefault="00002A81" w:rsidP="00B16EBE">
            <w:pPr>
              <w:jc w:val="right"/>
              <w:rPr>
                <w:sz w:val="18"/>
                <w:szCs w:val="18"/>
              </w:rPr>
            </w:pPr>
            <w:r w:rsidRPr="00A5477A">
              <w:rPr>
                <w:sz w:val="18"/>
                <w:szCs w:val="18"/>
              </w:rPr>
              <w:t xml:space="preserve">$1,221 </w:t>
            </w:r>
          </w:p>
        </w:tc>
        <w:tc>
          <w:tcPr>
            <w:tcW w:w="1134" w:type="dxa"/>
            <w:tcMar>
              <w:top w:w="60" w:type="dxa"/>
              <w:left w:w="75" w:type="dxa"/>
              <w:bottom w:w="60" w:type="dxa"/>
              <w:right w:w="75" w:type="dxa"/>
            </w:tcMar>
            <w:vAlign w:val="bottom"/>
          </w:tcPr>
          <w:p w14:paraId="67C8E569" w14:textId="77777777" w:rsidR="00002A81" w:rsidRPr="00A5477A" w:rsidRDefault="00002A81" w:rsidP="00B16EBE">
            <w:pPr>
              <w:jc w:val="right"/>
              <w:rPr>
                <w:sz w:val="18"/>
                <w:szCs w:val="18"/>
              </w:rPr>
            </w:pPr>
            <w:r w:rsidRPr="00A5477A">
              <w:rPr>
                <w:sz w:val="18"/>
                <w:szCs w:val="18"/>
              </w:rPr>
              <w:t xml:space="preserve">13.33% </w:t>
            </w:r>
          </w:p>
        </w:tc>
        <w:tc>
          <w:tcPr>
            <w:tcW w:w="1275" w:type="dxa"/>
          </w:tcPr>
          <w:p w14:paraId="2115D958" w14:textId="77777777" w:rsidR="00002A81" w:rsidRPr="00A5477A" w:rsidRDefault="00002A81" w:rsidP="00B16EBE">
            <w:pPr>
              <w:jc w:val="right"/>
              <w:rPr>
                <w:sz w:val="18"/>
                <w:szCs w:val="18"/>
              </w:rPr>
            </w:pPr>
            <w:r w:rsidRPr="00A5477A">
              <w:rPr>
                <w:sz w:val="18"/>
                <w:szCs w:val="18"/>
              </w:rPr>
              <w:t>86.66%</w:t>
            </w:r>
          </w:p>
        </w:tc>
      </w:tr>
      <w:tr w:rsidR="00002A81" w:rsidRPr="00A5477A" w14:paraId="7E874691" w14:textId="77777777" w:rsidTr="00B16EBE">
        <w:tc>
          <w:tcPr>
            <w:tcW w:w="426" w:type="dxa"/>
          </w:tcPr>
          <w:p w14:paraId="4F3D2BF2" w14:textId="77777777" w:rsidR="00002A81" w:rsidRPr="00A5477A" w:rsidRDefault="00002A81" w:rsidP="00B16EBE">
            <w:pPr>
              <w:jc w:val="center"/>
              <w:rPr>
                <w:b/>
                <w:bCs/>
                <w:sz w:val="18"/>
                <w:szCs w:val="18"/>
              </w:rPr>
            </w:pPr>
            <w:r w:rsidRPr="00A5477A">
              <w:rPr>
                <w:b/>
                <w:bCs/>
                <w:sz w:val="18"/>
                <w:szCs w:val="18"/>
              </w:rPr>
              <w:t>6</w:t>
            </w:r>
          </w:p>
        </w:tc>
        <w:tc>
          <w:tcPr>
            <w:tcW w:w="2600" w:type="dxa"/>
            <w:tcMar>
              <w:top w:w="60" w:type="dxa"/>
              <w:left w:w="75" w:type="dxa"/>
              <w:bottom w:w="60" w:type="dxa"/>
              <w:right w:w="75" w:type="dxa"/>
            </w:tcMar>
            <w:vAlign w:val="center"/>
          </w:tcPr>
          <w:p w14:paraId="78CBC032" w14:textId="77777777" w:rsidR="00002A81" w:rsidRPr="00A5477A" w:rsidRDefault="00002A81" w:rsidP="00B16EBE">
            <w:pPr>
              <w:rPr>
                <w:sz w:val="18"/>
                <w:szCs w:val="18"/>
              </w:rPr>
            </w:pPr>
            <w:r w:rsidRPr="00A5477A">
              <w:rPr>
                <w:b/>
                <w:sz w:val="18"/>
                <w:szCs w:val="18"/>
              </w:rPr>
              <w:t xml:space="preserve">73333, </w:t>
            </w:r>
            <w:r w:rsidRPr="00A5477A">
              <w:rPr>
                <w:sz w:val="18"/>
                <w:szCs w:val="18"/>
              </w:rPr>
              <w:t>66716, 73939</w:t>
            </w:r>
          </w:p>
        </w:tc>
        <w:tc>
          <w:tcPr>
            <w:tcW w:w="992" w:type="dxa"/>
            <w:tcMar>
              <w:top w:w="60" w:type="dxa"/>
              <w:left w:w="75" w:type="dxa"/>
              <w:bottom w:w="60" w:type="dxa"/>
              <w:right w:w="75" w:type="dxa"/>
            </w:tcMar>
            <w:vAlign w:val="bottom"/>
          </w:tcPr>
          <w:p w14:paraId="3B9943D6"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01CC4462"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14681CB3" w14:textId="77777777" w:rsidR="00002A81" w:rsidRPr="00A5477A" w:rsidRDefault="00002A81" w:rsidP="00B16EBE">
            <w:pPr>
              <w:jc w:val="right"/>
              <w:rPr>
                <w:sz w:val="18"/>
                <w:szCs w:val="18"/>
              </w:rPr>
            </w:pPr>
            <w:r w:rsidRPr="00A5477A">
              <w:rPr>
                <w:sz w:val="18"/>
                <w:szCs w:val="18"/>
              </w:rPr>
              <w:t xml:space="preserve">$627 </w:t>
            </w:r>
          </w:p>
        </w:tc>
        <w:tc>
          <w:tcPr>
            <w:tcW w:w="1134" w:type="dxa"/>
            <w:tcMar>
              <w:top w:w="60" w:type="dxa"/>
              <w:left w:w="75" w:type="dxa"/>
              <w:bottom w:w="60" w:type="dxa"/>
              <w:right w:w="75" w:type="dxa"/>
            </w:tcMar>
            <w:vAlign w:val="bottom"/>
          </w:tcPr>
          <w:p w14:paraId="7921C23D" w14:textId="77777777" w:rsidR="00002A81" w:rsidRPr="00A5477A" w:rsidRDefault="00002A81" w:rsidP="00B16EBE">
            <w:pPr>
              <w:jc w:val="right"/>
              <w:rPr>
                <w:sz w:val="18"/>
                <w:szCs w:val="18"/>
              </w:rPr>
            </w:pPr>
            <w:r w:rsidRPr="00A5477A">
              <w:rPr>
                <w:sz w:val="18"/>
                <w:szCs w:val="18"/>
              </w:rPr>
              <w:t xml:space="preserve">6.67% </w:t>
            </w:r>
          </w:p>
        </w:tc>
        <w:tc>
          <w:tcPr>
            <w:tcW w:w="1275" w:type="dxa"/>
          </w:tcPr>
          <w:p w14:paraId="1F258C62" w14:textId="77777777" w:rsidR="00002A81" w:rsidRPr="00A5477A" w:rsidRDefault="00002A81" w:rsidP="00B16EBE">
            <w:pPr>
              <w:jc w:val="right"/>
              <w:rPr>
                <w:sz w:val="18"/>
                <w:szCs w:val="18"/>
              </w:rPr>
            </w:pPr>
            <w:r w:rsidRPr="00A5477A">
              <w:rPr>
                <w:sz w:val="18"/>
                <w:szCs w:val="18"/>
              </w:rPr>
              <w:t>93.33%</w:t>
            </w:r>
          </w:p>
        </w:tc>
      </w:tr>
      <w:tr w:rsidR="00002A81" w:rsidRPr="00A5477A" w14:paraId="7C9013C8" w14:textId="77777777" w:rsidTr="00B16EBE">
        <w:tc>
          <w:tcPr>
            <w:tcW w:w="426" w:type="dxa"/>
          </w:tcPr>
          <w:p w14:paraId="26AB2702" w14:textId="77777777" w:rsidR="00002A81" w:rsidRPr="00A5477A" w:rsidRDefault="00002A81" w:rsidP="00B16EBE">
            <w:pPr>
              <w:jc w:val="center"/>
              <w:rPr>
                <w:b/>
                <w:bCs/>
                <w:sz w:val="18"/>
                <w:szCs w:val="18"/>
              </w:rPr>
            </w:pPr>
            <w:r w:rsidRPr="00A5477A">
              <w:rPr>
                <w:b/>
                <w:bCs/>
                <w:sz w:val="18"/>
                <w:szCs w:val="18"/>
              </w:rPr>
              <w:t>7</w:t>
            </w:r>
          </w:p>
        </w:tc>
        <w:tc>
          <w:tcPr>
            <w:tcW w:w="2600" w:type="dxa"/>
            <w:tcMar>
              <w:top w:w="60" w:type="dxa"/>
              <w:left w:w="75" w:type="dxa"/>
              <w:bottom w:w="60" w:type="dxa"/>
              <w:right w:w="75" w:type="dxa"/>
            </w:tcMar>
            <w:vAlign w:val="center"/>
          </w:tcPr>
          <w:p w14:paraId="0F0434A6" w14:textId="77777777" w:rsidR="00002A81" w:rsidRPr="00A5477A" w:rsidRDefault="00002A81" w:rsidP="00B16EBE">
            <w:pPr>
              <w:rPr>
                <w:sz w:val="18"/>
                <w:szCs w:val="18"/>
              </w:rPr>
            </w:pPr>
            <w:r w:rsidRPr="00A5477A">
              <w:rPr>
                <w:b/>
                <w:sz w:val="18"/>
                <w:szCs w:val="18"/>
              </w:rPr>
              <w:t xml:space="preserve">73333, </w:t>
            </w:r>
            <w:r w:rsidRPr="00A5477A">
              <w:rPr>
                <w:sz w:val="18"/>
                <w:szCs w:val="18"/>
              </w:rPr>
              <w:t>73339</w:t>
            </w:r>
          </w:p>
        </w:tc>
        <w:tc>
          <w:tcPr>
            <w:tcW w:w="992" w:type="dxa"/>
            <w:tcMar>
              <w:top w:w="60" w:type="dxa"/>
              <w:left w:w="75" w:type="dxa"/>
              <w:bottom w:w="60" w:type="dxa"/>
              <w:right w:w="75" w:type="dxa"/>
            </w:tcMar>
            <w:vAlign w:val="bottom"/>
          </w:tcPr>
          <w:p w14:paraId="2F646B45" w14:textId="77777777" w:rsidR="00002A81" w:rsidRPr="00A5477A" w:rsidRDefault="00002A81" w:rsidP="00B16EBE">
            <w:pPr>
              <w:jc w:val="center"/>
              <w:rPr>
                <w:sz w:val="18"/>
                <w:szCs w:val="18"/>
              </w:rPr>
            </w:pPr>
            <w:r w:rsidRPr="00A5477A">
              <w:rPr>
                <w:sz w:val="18"/>
                <w:szCs w:val="18"/>
              </w:rPr>
              <w:t>np</w:t>
            </w:r>
          </w:p>
        </w:tc>
        <w:tc>
          <w:tcPr>
            <w:tcW w:w="1134" w:type="dxa"/>
            <w:tcMar>
              <w:top w:w="60" w:type="dxa"/>
              <w:left w:w="75" w:type="dxa"/>
              <w:bottom w:w="60" w:type="dxa"/>
              <w:right w:w="75" w:type="dxa"/>
            </w:tcMar>
            <w:vAlign w:val="bottom"/>
          </w:tcPr>
          <w:p w14:paraId="3A73FAED" w14:textId="77777777" w:rsidR="00002A81" w:rsidRPr="00A5477A" w:rsidRDefault="00002A81" w:rsidP="00B16EBE">
            <w:pPr>
              <w:jc w:val="center"/>
              <w:rPr>
                <w:sz w:val="18"/>
                <w:szCs w:val="18"/>
              </w:rPr>
            </w:pPr>
            <w:r w:rsidRPr="00A5477A">
              <w:rPr>
                <w:sz w:val="18"/>
                <w:szCs w:val="18"/>
              </w:rPr>
              <w:t>np</w:t>
            </w:r>
          </w:p>
        </w:tc>
        <w:tc>
          <w:tcPr>
            <w:tcW w:w="1560" w:type="dxa"/>
            <w:tcMar>
              <w:top w:w="60" w:type="dxa"/>
              <w:left w:w="75" w:type="dxa"/>
              <w:bottom w:w="60" w:type="dxa"/>
              <w:right w:w="75" w:type="dxa"/>
            </w:tcMar>
            <w:vAlign w:val="bottom"/>
          </w:tcPr>
          <w:p w14:paraId="0E6E2D2B" w14:textId="77777777" w:rsidR="00002A81" w:rsidRPr="00A5477A" w:rsidRDefault="00002A81" w:rsidP="00B16EBE">
            <w:pPr>
              <w:jc w:val="right"/>
              <w:rPr>
                <w:sz w:val="18"/>
                <w:szCs w:val="18"/>
              </w:rPr>
            </w:pPr>
            <w:r w:rsidRPr="00A5477A">
              <w:rPr>
                <w:sz w:val="18"/>
                <w:szCs w:val="18"/>
              </w:rPr>
              <w:t xml:space="preserve">$1,000 </w:t>
            </w:r>
          </w:p>
        </w:tc>
        <w:tc>
          <w:tcPr>
            <w:tcW w:w="1134" w:type="dxa"/>
            <w:tcMar>
              <w:top w:w="60" w:type="dxa"/>
              <w:left w:w="75" w:type="dxa"/>
              <w:bottom w:w="60" w:type="dxa"/>
              <w:right w:w="75" w:type="dxa"/>
            </w:tcMar>
            <w:vAlign w:val="bottom"/>
          </w:tcPr>
          <w:p w14:paraId="33C780A5" w14:textId="77777777" w:rsidR="00002A81" w:rsidRPr="00A5477A" w:rsidRDefault="00002A81" w:rsidP="00B16EBE">
            <w:pPr>
              <w:jc w:val="right"/>
              <w:rPr>
                <w:sz w:val="18"/>
                <w:szCs w:val="18"/>
              </w:rPr>
            </w:pPr>
            <w:r w:rsidRPr="00A5477A">
              <w:rPr>
                <w:sz w:val="18"/>
                <w:szCs w:val="18"/>
              </w:rPr>
              <w:t xml:space="preserve">6.67% </w:t>
            </w:r>
          </w:p>
        </w:tc>
        <w:tc>
          <w:tcPr>
            <w:tcW w:w="1275" w:type="dxa"/>
          </w:tcPr>
          <w:p w14:paraId="079F125C" w14:textId="77777777" w:rsidR="00002A81" w:rsidRPr="00A5477A" w:rsidRDefault="00002A81" w:rsidP="00B16EBE">
            <w:pPr>
              <w:jc w:val="right"/>
              <w:rPr>
                <w:sz w:val="18"/>
                <w:szCs w:val="18"/>
              </w:rPr>
            </w:pPr>
            <w:r w:rsidRPr="00A5477A">
              <w:rPr>
                <w:sz w:val="18"/>
                <w:szCs w:val="18"/>
              </w:rPr>
              <w:t>100%</w:t>
            </w:r>
          </w:p>
        </w:tc>
      </w:tr>
    </w:tbl>
    <w:p w14:paraId="027C1EE0" w14:textId="65B20650" w:rsidR="00B82087" w:rsidRPr="00B82087" w:rsidRDefault="00002A81" w:rsidP="00B82087">
      <w:pPr>
        <w:rPr>
          <w:i/>
          <w:sz w:val="16"/>
        </w:rPr>
      </w:pPr>
      <w:r>
        <w:rPr>
          <w:i/>
          <w:sz w:val="16"/>
        </w:rPr>
        <w:t>Source: MBS Analytics Section – December 2017</w:t>
      </w:r>
    </w:p>
    <w:p w14:paraId="7938F0F7" w14:textId="77777777" w:rsidR="00002A81" w:rsidRPr="00171CF2" w:rsidRDefault="00002A81" w:rsidP="006E5B77">
      <w:pPr>
        <w:pStyle w:val="TableHeader"/>
        <w:spacing w:before="120" w:after="0"/>
      </w:pPr>
      <w:r w:rsidRPr="00171CF2">
        <w:t>Table 3: Top 10 instances of co-claiming with MBS item 73333 in 2015-16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00"/>
        <w:gridCol w:w="2626"/>
        <w:gridCol w:w="992"/>
        <w:gridCol w:w="1082"/>
        <w:gridCol w:w="1612"/>
        <w:gridCol w:w="1134"/>
        <w:gridCol w:w="1275"/>
      </w:tblGrid>
      <w:tr w:rsidR="00002A81" w:rsidRPr="00A5477A" w14:paraId="038B3786" w14:textId="77777777" w:rsidTr="00B16EBE">
        <w:trPr>
          <w:trHeight w:val="302"/>
        </w:trPr>
        <w:tc>
          <w:tcPr>
            <w:tcW w:w="400" w:type="dxa"/>
            <w:shd w:val="clear" w:color="auto" w:fill="C6D9F1" w:themeFill="text2" w:themeFillTint="33"/>
          </w:tcPr>
          <w:p w14:paraId="18812DF1" w14:textId="77777777" w:rsidR="00002A81" w:rsidRPr="00A5477A" w:rsidRDefault="00002A81" w:rsidP="00B16EBE">
            <w:pPr>
              <w:jc w:val="center"/>
              <w:rPr>
                <w:rStyle w:val="textitem"/>
                <w:b/>
                <w:bCs/>
                <w:sz w:val="18"/>
                <w:szCs w:val="18"/>
              </w:rPr>
            </w:pPr>
            <w:r w:rsidRPr="00A5477A">
              <w:rPr>
                <w:rStyle w:val="textitem"/>
                <w:b/>
                <w:bCs/>
                <w:sz w:val="18"/>
                <w:szCs w:val="18"/>
              </w:rPr>
              <w:t>#</w:t>
            </w:r>
          </w:p>
        </w:tc>
        <w:tc>
          <w:tcPr>
            <w:tcW w:w="2626" w:type="dxa"/>
            <w:shd w:val="clear" w:color="auto" w:fill="C6D9F1" w:themeFill="text2" w:themeFillTint="33"/>
            <w:tcMar>
              <w:top w:w="60" w:type="dxa"/>
              <w:left w:w="90" w:type="dxa"/>
              <w:bottom w:w="60" w:type="dxa"/>
              <w:right w:w="75" w:type="dxa"/>
            </w:tcMar>
            <w:hideMark/>
          </w:tcPr>
          <w:p w14:paraId="2ECC33EB" w14:textId="77777777" w:rsidR="00002A81" w:rsidRPr="00A5477A" w:rsidRDefault="00002A81" w:rsidP="00B16EBE">
            <w:pPr>
              <w:rPr>
                <w:b/>
                <w:bCs/>
                <w:sz w:val="18"/>
                <w:szCs w:val="18"/>
              </w:rPr>
            </w:pPr>
            <w:r w:rsidRPr="00A5477A">
              <w:rPr>
                <w:rStyle w:val="textitem"/>
                <w:b/>
                <w:bCs/>
                <w:sz w:val="18"/>
                <w:szCs w:val="18"/>
              </w:rPr>
              <w:t>Items</w:t>
            </w:r>
          </w:p>
        </w:tc>
        <w:tc>
          <w:tcPr>
            <w:tcW w:w="992" w:type="dxa"/>
            <w:shd w:val="clear" w:color="auto" w:fill="C6D9F1" w:themeFill="text2" w:themeFillTint="33"/>
            <w:tcMar>
              <w:top w:w="60" w:type="dxa"/>
              <w:left w:w="90" w:type="dxa"/>
              <w:bottom w:w="60" w:type="dxa"/>
              <w:right w:w="75" w:type="dxa"/>
            </w:tcMar>
            <w:hideMark/>
          </w:tcPr>
          <w:p w14:paraId="6AF08F24" w14:textId="77777777" w:rsidR="00002A81" w:rsidRPr="00A5477A" w:rsidRDefault="00002A81" w:rsidP="00B16EBE">
            <w:pPr>
              <w:jc w:val="center"/>
              <w:rPr>
                <w:b/>
                <w:bCs/>
                <w:sz w:val="18"/>
                <w:szCs w:val="18"/>
              </w:rPr>
            </w:pPr>
            <w:r w:rsidRPr="00A5477A">
              <w:rPr>
                <w:rStyle w:val="textitem"/>
                <w:b/>
                <w:bCs/>
                <w:sz w:val="18"/>
                <w:szCs w:val="18"/>
              </w:rPr>
              <w:t>Episodes</w:t>
            </w:r>
          </w:p>
        </w:tc>
        <w:tc>
          <w:tcPr>
            <w:tcW w:w="1082" w:type="dxa"/>
            <w:shd w:val="clear" w:color="auto" w:fill="C6D9F1" w:themeFill="text2" w:themeFillTint="33"/>
            <w:tcMar>
              <w:top w:w="60" w:type="dxa"/>
              <w:left w:w="90" w:type="dxa"/>
              <w:bottom w:w="60" w:type="dxa"/>
              <w:right w:w="75" w:type="dxa"/>
            </w:tcMar>
            <w:hideMark/>
          </w:tcPr>
          <w:p w14:paraId="29B050F0" w14:textId="77777777" w:rsidR="00002A81" w:rsidRPr="00A5477A" w:rsidRDefault="00002A81" w:rsidP="00B16EBE">
            <w:pPr>
              <w:jc w:val="center"/>
              <w:rPr>
                <w:b/>
                <w:bCs/>
                <w:sz w:val="18"/>
                <w:szCs w:val="18"/>
              </w:rPr>
            </w:pPr>
            <w:r w:rsidRPr="00A5477A">
              <w:rPr>
                <w:rStyle w:val="textitem"/>
                <w:b/>
                <w:bCs/>
                <w:sz w:val="18"/>
                <w:szCs w:val="18"/>
              </w:rPr>
              <w:t>Number of  Services</w:t>
            </w:r>
          </w:p>
        </w:tc>
        <w:tc>
          <w:tcPr>
            <w:tcW w:w="1612" w:type="dxa"/>
            <w:shd w:val="clear" w:color="auto" w:fill="C6D9F1" w:themeFill="text2" w:themeFillTint="33"/>
            <w:tcMar>
              <w:top w:w="60" w:type="dxa"/>
              <w:left w:w="90" w:type="dxa"/>
              <w:bottom w:w="60" w:type="dxa"/>
              <w:right w:w="75" w:type="dxa"/>
            </w:tcMar>
            <w:hideMark/>
          </w:tcPr>
          <w:p w14:paraId="6C1DE093" w14:textId="77777777" w:rsidR="00002A81" w:rsidRPr="00A5477A" w:rsidRDefault="00002A81" w:rsidP="00B16EBE">
            <w:pPr>
              <w:jc w:val="center"/>
              <w:rPr>
                <w:b/>
                <w:bCs/>
                <w:sz w:val="18"/>
                <w:szCs w:val="18"/>
              </w:rPr>
            </w:pPr>
            <w:r w:rsidRPr="00A5477A">
              <w:rPr>
                <w:b/>
                <w:bCs/>
                <w:sz w:val="18"/>
                <w:szCs w:val="18"/>
              </w:rPr>
              <w:t>Schedule Fee for Combination</w:t>
            </w:r>
          </w:p>
        </w:tc>
        <w:tc>
          <w:tcPr>
            <w:tcW w:w="1134" w:type="dxa"/>
            <w:shd w:val="clear" w:color="auto" w:fill="C6D9F1" w:themeFill="text2" w:themeFillTint="33"/>
            <w:tcMar>
              <w:top w:w="60" w:type="dxa"/>
              <w:left w:w="90" w:type="dxa"/>
              <w:bottom w:w="60" w:type="dxa"/>
              <w:right w:w="75" w:type="dxa"/>
            </w:tcMar>
            <w:hideMark/>
          </w:tcPr>
          <w:p w14:paraId="513D5BFD" w14:textId="77777777" w:rsidR="00002A81" w:rsidRPr="00A5477A" w:rsidRDefault="00002A81" w:rsidP="00B16EBE">
            <w:pPr>
              <w:jc w:val="center"/>
              <w:rPr>
                <w:b/>
                <w:bCs/>
                <w:sz w:val="18"/>
                <w:szCs w:val="18"/>
              </w:rPr>
            </w:pPr>
            <w:r w:rsidRPr="00A5477A">
              <w:rPr>
                <w:rStyle w:val="textitem"/>
                <w:b/>
                <w:bCs/>
                <w:sz w:val="18"/>
                <w:szCs w:val="18"/>
              </w:rPr>
              <w:t>% of total episodes</w:t>
            </w:r>
          </w:p>
        </w:tc>
        <w:tc>
          <w:tcPr>
            <w:tcW w:w="1275" w:type="dxa"/>
            <w:shd w:val="clear" w:color="auto" w:fill="C6D9F1" w:themeFill="text2" w:themeFillTint="33"/>
          </w:tcPr>
          <w:p w14:paraId="39FEEB07" w14:textId="77777777" w:rsidR="00002A81" w:rsidRPr="00A5477A" w:rsidRDefault="00002A81" w:rsidP="00B16EBE">
            <w:pPr>
              <w:jc w:val="center"/>
              <w:rPr>
                <w:rStyle w:val="textitem"/>
                <w:b/>
                <w:bCs/>
                <w:sz w:val="18"/>
                <w:szCs w:val="18"/>
              </w:rPr>
            </w:pPr>
            <w:r w:rsidRPr="00A5477A">
              <w:rPr>
                <w:rStyle w:val="textitem"/>
                <w:b/>
                <w:bCs/>
                <w:sz w:val="18"/>
                <w:szCs w:val="18"/>
              </w:rPr>
              <w:t>Cumulative %</w:t>
            </w:r>
          </w:p>
        </w:tc>
      </w:tr>
      <w:tr w:rsidR="00002A81" w:rsidRPr="00A5477A" w14:paraId="13BCDDD5" w14:textId="77777777" w:rsidTr="00B16EBE">
        <w:tc>
          <w:tcPr>
            <w:tcW w:w="400" w:type="dxa"/>
          </w:tcPr>
          <w:p w14:paraId="0EDDCA34" w14:textId="77777777" w:rsidR="00002A81" w:rsidRPr="00A5477A" w:rsidRDefault="00002A81" w:rsidP="00B16EBE">
            <w:pPr>
              <w:jc w:val="center"/>
              <w:rPr>
                <w:b/>
                <w:bCs/>
                <w:sz w:val="18"/>
                <w:szCs w:val="18"/>
              </w:rPr>
            </w:pPr>
            <w:r w:rsidRPr="00A5477A">
              <w:rPr>
                <w:b/>
                <w:bCs/>
                <w:sz w:val="18"/>
                <w:szCs w:val="18"/>
              </w:rPr>
              <w:t>1</w:t>
            </w:r>
          </w:p>
        </w:tc>
        <w:tc>
          <w:tcPr>
            <w:tcW w:w="2626" w:type="dxa"/>
            <w:tcMar>
              <w:top w:w="60" w:type="dxa"/>
              <w:left w:w="75" w:type="dxa"/>
              <w:bottom w:w="60" w:type="dxa"/>
              <w:right w:w="75" w:type="dxa"/>
            </w:tcMar>
            <w:hideMark/>
          </w:tcPr>
          <w:p w14:paraId="6DA2DB0B" w14:textId="77777777" w:rsidR="00002A81" w:rsidRPr="00A5477A" w:rsidRDefault="00002A81" w:rsidP="00B16EBE">
            <w:pPr>
              <w:rPr>
                <w:sz w:val="18"/>
                <w:szCs w:val="18"/>
              </w:rPr>
            </w:pPr>
            <w:r w:rsidRPr="00A5477A">
              <w:rPr>
                <w:b/>
                <w:sz w:val="18"/>
                <w:szCs w:val="18"/>
              </w:rPr>
              <w:t xml:space="preserve">73333, </w:t>
            </w:r>
            <w:r w:rsidRPr="00A5477A">
              <w:rPr>
                <w:sz w:val="18"/>
                <w:szCs w:val="18"/>
              </w:rPr>
              <w:t>73939</w:t>
            </w:r>
          </w:p>
        </w:tc>
        <w:tc>
          <w:tcPr>
            <w:tcW w:w="992" w:type="dxa"/>
            <w:tcMar>
              <w:top w:w="60" w:type="dxa"/>
              <w:left w:w="75" w:type="dxa"/>
              <w:bottom w:w="60" w:type="dxa"/>
              <w:right w:w="75" w:type="dxa"/>
            </w:tcMar>
            <w:vAlign w:val="center"/>
          </w:tcPr>
          <w:p w14:paraId="1BBA3101" w14:textId="77777777" w:rsidR="00002A81" w:rsidRPr="00A5477A" w:rsidRDefault="00002A81" w:rsidP="00B16EBE">
            <w:pPr>
              <w:jc w:val="center"/>
              <w:rPr>
                <w:sz w:val="18"/>
                <w:szCs w:val="18"/>
              </w:rPr>
            </w:pPr>
            <w:r w:rsidRPr="00A5477A">
              <w:rPr>
                <w:sz w:val="18"/>
                <w:szCs w:val="18"/>
              </w:rPr>
              <w:t>15</w:t>
            </w:r>
          </w:p>
        </w:tc>
        <w:tc>
          <w:tcPr>
            <w:tcW w:w="1082" w:type="dxa"/>
            <w:tcMar>
              <w:top w:w="60" w:type="dxa"/>
              <w:left w:w="75" w:type="dxa"/>
              <w:bottom w:w="60" w:type="dxa"/>
              <w:right w:w="75" w:type="dxa"/>
            </w:tcMar>
            <w:vAlign w:val="center"/>
          </w:tcPr>
          <w:p w14:paraId="50F6BE84" w14:textId="77777777" w:rsidR="00002A81" w:rsidRPr="00A5477A" w:rsidRDefault="00002A81" w:rsidP="00B16EBE">
            <w:pPr>
              <w:jc w:val="center"/>
              <w:rPr>
                <w:sz w:val="18"/>
                <w:szCs w:val="18"/>
              </w:rPr>
            </w:pPr>
            <w:r w:rsidRPr="00A5477A">
              <w:rPr>
                <w:sz w:val="18"/>
                <w:szCs w:val="18"/>
              </w:rPr>
              <w:t>30</w:t>
            </w:r>
          </w:p>
        </w:tc>
        <w:tc>
          <w:tcPr>
            <w:tcW w:w="1612" w:type="dxa"/>
            <w:tcMar>
              <w:top w:w="60" w:type="dxa"/>
              <w:left w:w="75" w:type="dxa"/>
              <w:bottom w:w="60" w:type="dxa"/>
              <w:right w:w="75" w:type="dxa"/>
            </w:tcMar>
            <w:vAlign w:val="center"/>
          </w:tcPr>
          <w:p w14:paraId="24F7AEEA" w14:textId="77777777" w:rsidR="00002A81" w:rsidRPr="00A5477A" w:rsidRDefault="00002A81" w:rsidP="00B16EBE">
            <w:pPr>
              <w:jc w:val="right"/>
              <w:rPr>
                <w:sz w:val="18"/>
                <w:szCs w:val="18"/>
              </w:rPr>
            </w:pPr>
            <w:r w:rsidRPr="00A5477A">
              <w:rPr>
                <w:sz w:val="18"/>
                <w:szCs w:val="18"/>
              </w:rPr>
              <w:t xml:space="preserve">$9,036 </w:t>
            </w:r>
          </w:p>
        </w:tc>
        <w:tc>
          <w:tcPr>
            <w:tcW w:w="1134" w:type="dxa"/>
            <w:tcMar>
              <w:top w:w="60" w:type="dxa"/>
              <w:left w:w="75" w:type="dxa"/>
              <w:bottom w:w="60" w:type="dxa"/>
              <w:right w:w="75" w:type="dxa"/>
            </w:tcMar>
            <w:vAlign w:val="center"/>
          </w:tcPr>
          <w:p w14:paraId="4CFDFC22" w14:textId="77777777" w:rsidR="00002A81" w:rsidRPr="00A5477A" w:rsidRDefault="00002A81" w:rsidP="00B16EBE">
            <w:pPr>
              <w:jc w:val="right"/>
              <w:rPr>
                <w:sz w:val="18"/>
                <w:szCs w:val="18"/>
              </w:rPr>
            </w:pPr>
            <w:r w:rsidRPr="00A5477A">
              <w:rPr>
                <w:sz w:val="18"/>
                <w:szCs w:val="18"/>
              </w:rPr>
              <w:t xml:space="preserve">34.09% </w:t>
            </w:r>
          </w:p>
        </w:tc>
        <w:tc>
          <w:tcPr>
            <w:tcW w:w="1275" w:type="dxa"/>
            <w:vAlign w:val="center"/>
          </w:tcPr>
          <w:p w14:paraId="46BE75E0" w14:textId="77777777" w:rsidR="00002A81" w:rsidRPr="00A5477A" w:rsidRDefault="00002A81" w:rsidP="00B16EBE">
            <w:pPr>
              <w:jc w:val="right"/>
              <w:rPr>
                <w:sz w:val="18"/>
                <w:szCs w:val="18"/>
              </w:rPr>
            </w:pPr>
            <w:r w:rsidRPr="00A5477A">
              <w:rPr>
                <w:sz w:val="18"/>
                <w:szCs w:val="18"/>
              </w:rPr>
              <w:t>34.09%</w:t>
            </w:r>
          </w:p>
        </w:tc>
      </w:tr>
      <w:tr w:rsidR="00002A81" w:rsidRPr="00A5477A" w14:paraId="419C61D5" w14:textId="77777777" w:rsidTr="00B16EBE">
        <w:tc>
          <w:tcPr>
            <w:tcW w:w="400" w:type="dxa"/>
          </w:tcPr>
          <w:p w14:paraId="4F96E47B" w14:textId="77777777" w:rsidR="00002A81" w:rsidRPr="00A5477A" w:rsidRDefault="00002A81" w:rsidP="00B16EBE">
            <w:pPr>
              <w:jc w:val="center"/>
              <w:rPr>
                <w:b/>
                <w:bCs/>
                <w:sz w:val="18"/>
                <w:szCs w:val="18"/>
              </w:rPr>
            </w:pPr>
            <w:r w:rsidRPr="00A5477A">
              <w:rPr>
                <w:b/>
                <w:bCs/>
                <w:sz w:val="18"/>
                <w:szCs w:val="18"/>
              </w:rPr>
              <w:t>2</w:t>
            </w:r>
          </w:p>
        </w:tc>
        <w:tc>
          <w:tcPr>
            <w:tcW w:w="2626" w:type="dxa"/>
            <w:tcMar>
              <w:top w:w="60" w:type="dxa"/>
              <w:left w:w="75" w:type="dxa"/>
              <w:bottom w:w="60" w:type="dxa"/>
              <w:right w:w="75" w:type="dxa"/>
            </w:tcMar>
            <w:hideMark/>
          </w:tcPr>
          <w:p w14:paraId="6AC8340C" w14:textId="77777777" w:rsidR="00002A81" w:rsidRPr="00A5477A" w:rsidRDefault="00002A81" w:rsidP="00B16EBE">
            <w:pPr>
              <w:rPr>
                <w:sz w:val="18"/>
                <w:szCs w:val="18"/>
              </w:rPr>
            </w:pPr>
            <w:r w:rsidRPr="00A5477A">
              <w:rPr>
                <w:b/>
                <w:sz w:val="18"/>
                <w:szCs w:val="18"/>
              </w:rPr>
              <w:t>73333</w:t>
            </w:r>
          </w:p>
        </w:tc>
        <w:tc>
          <w:tcPr>
            <w:tcW w:w="992" w:type="dxa"/>
            <w:tcMar>
              <w:top w:w="60" w:type="dxa"/>
              <w:left w:w="75" w:type="dxa"/>
              <w:bottom w:w="60" w:type="dxa"/>
              <w:right w:w="75" w:type="dxa"/>
            </w:tcMar>
            <w:vAlign w:val="center"/>
          </w:tcPr>
          <w:p w14:paraId="1D81A9BF"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1259C1C2"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186AD9E4" w14:textId="77777777" w:rsidR="00002A81" w:rsidRPr="00A5477A" w:rsidRDefault="00002A81" w:rsidP="00B16EBE">
            <w:pPr>
              <w:jc w:val="right"/>
              <w:rPr>
                <w:sz w:val="18"/>
                <w:szCs w:val="18"/>
              </w:rPr>
            </w:pPr>
            <w:r w:rsidRPr="00A5477A">
              <w:rPr>
                <w:sz w:val="18"/>
                <w:szCs w:val="18"/>
              </w:rPr>
              <w:t xml:space="preserve">$2,400 </w:t>
            </w:r>
          </w:p>
        </w:tc>
        <w:tc>
          <w:tcPr>
            <w:tcW w:w="1134" w:type="dxa"/>
            <w:tcMar>
              <w:top w:w="60" w:type="dxa"/>
              <w:left w:w="75" w:type="dxa"/>
              <w:bottom w:w="60" w:type="dxa"/>
              <w:right w:w="75" w:type="dxa"/>
            </w:tcMar>
            <w:vAlign w:val="center"/>
          </w:tcPr>
          <w:p w14:paraId="5635ABF6" w14:textId="77777777" w:rsidR="00002A81" w:rsidRPr="00A5477A" w:rsidRDefault="00002A81" w:rsidP="00B16EBE">
            <w:pPr>
              <w:jc w:val="right"/>
              <w:rPr>
                <w:sz w:val="18"/>
                <w:szCs w:val="18"/>
              </w:rPr>
            </w:pPr>
            <w:r w:rsidRPr="00A5477A">
              <w:rPr>
                <w:sz w:val="18"/>
                <w:szCs w:val="18"/>
              </w:rPr>
              <w:t xml:space="preserve">9.09% </w:t>
            </w:r>
          </w:p>
        </w:tc>
        <w:tc>
          <w:tcPr>
            <w:tcW w:w="1275" w:type="dxa"/>
            <w:vAlign w:val="center"/>
          </w:tcPr>
          <w:p w14:paraId="6412D5AE" w14:textId="77777777" w:rsidR="00002A81" w:rsidRPr="00A5477A" w:rsidRDefault="00002A81" w:rsidP="00B16EBE">
            <w:pPr>
              <w:jc w:val="right"/>
              <w:rPr>
                <w:sz w:val="18"/>
                <w:szCs w:val="18"/>
              </w:rPr>
            </w:pPr>
            <w:r w:rsidRPr="00A5477A">
              <w:rPr>
                <w:sz w:val="18"/>
                <w:szCs w:val="18"/>
              </w:rPr>
              <w:t>43.18%</w:t>
            </w:r>
          </w:p>
        </w:tc>
      </w:tr>
      <w:tr w:rsidR="00002A81" w:rsidRPr="00A5477A" w14:paraId="6884CD3A" w14:textId="77777777" w:rsidTr="00B16EBE">
        <w:tc>
          <w:tcPr>
            <w:tcW w:w="400" w:type="dxa"/>
          </w:tcPr>
          <w:p w14:paraId="2761F841" w14:textId="77777777" w:rsidR="00002A81" w:rsidRPr="00A5477A" w:rsidRDefault="00002A81" w:rsidP="00B16EBE">
            <w:pPr>
              <w:jc w:val="center"/>
              <w:rPr>
                <w:b/>
                <w:bCs/>
                <w:sz w:val="18"/>
                <w:szCs w:val="18"/>
              </w:rPr>
            </w:pPr>
            <w:r w:rsidRPr="00A5477A">
              <w:rPr>
                <w:b/>
                <w:bCs/>
                <w:sz w:val="18"/>
                <w:szCs w:val="18"/>
              </w:rPr>
              <w:t>3</w:t>
            </w:r>
          </w:p>
        </w:tc>
        <w:tc>
          <w:tcPr>
            <w:tcW w:w="2626" w:type="dxa"/>
            <w:tcMar>
              <w:top w:w="60" w:type="dxa"/>
              <w:left w:w="75" w:type="dxa"/>
              <w:bottom w:w="60" w:type="dxa"/>
              <w:right w:w="75" w:type="dxa"/>
            </w:tcMar>
            <w:hideMark/>
          </w:tcPr>
          <w:p w14:paraId="747DA137" w14:textId="77777777" w:rsidR="00002A81" w:rsidRPr="00A5477A" w:rsidRDefault="00002A81" w:rsidP="00B16EBE">
            <w:pPr>
              <w:rPr>
                <w:sz w:val="18"/>
                <w:szCs w:val="18"/>
              </w:rPr>
            </w:pPr>
            <w:r w:rsidRPr="00A5477A">
              <w:rPr>
                <w:b/>
                <w:sz w:val="18"/>
                <w:szCs w:val="18"/>
              </w:rPr>
              <w:t xml:space="preserve">73333, </w:t>
            </w:r>
            <w:r w:rsidRPr="00A5477A">
              <w:rPr>
                <w:sz w:val="18"/>
                <w:szCs w:val="18"/>
              </w:rPr>
              <w:t>65070, 66512, 73939</w:t>
            </w:r>
          </w:p>
        </w:tc>
        <w:tc>
          <w:tcPr>
            <w:tcW w:w="992" w:type="dxa"/>
            <w:tcMar>
              <w:top w:w="60" w:type="dxa"/>
              <w:left w:w="75" w:type="dxa"/>
              <w:bottom w:w="60" w:type="dxa"/>
              <w:right w:w="75" w:type="dxa"/>
            </w:tcMar>
            <w:vAlign w:val="center"/>
          </w:tcPr>
          <w:p w14:paraId="129E9F63"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6A555BB9" w14:textId="77777777" w:rsidR="00002A81" w:rsidRPr="00A5477A" w:rsidRDefault="00002A81" w:rsidP="00B16EBE">
            <w:pPr>
              <w:jc w:val="center"/>
              <w:rPr>
                <w:sz w:val="18"/>
                <w:szCs w:val="18"/>
              </w:rPr>
            </w:pPr>
            <w:r w:rsidRPr="00A5477A">
              <w:rPr>
                <w:sz w:val="18"/>
                <w:szCs w:val="18"/>
              </w:rPr>
              <w:t>18</w:t>
            </w:r>
          </w:p>
        </w:tc>
        <w:tc>
          <w:tcPr>
            <w:tcW w:w="1612" w:type="dxa"/>
            <w:tcMar>
              <w:top w:w="60" w:type="dxa"/>
              <w:left w:w="75" w:type="dxa"/>
              <w:bottom w:w="60" w:type="dxa"/>
              <w:right w:w="75" w:type="dxa"/>
            </w:tcMar>
            <w:vAlign w:val="center"/>
          </w:tcPr>
          <w:p w14:paraId="67ACC257" w14:textId="77777777" w:rsidR="00002A81" w:rsidRPr="00A5477A" w:rsidRDefault="00002A81" w:rsidP="00B16EBE">
            <w:pPr>
              <w:jc w:val="right"/>
              <w:rPr>
                <w:sz w:val="18"/>
                <w:szCs w:val="18"/>
              </w:rPr>
            </w:pPr>
            <w:r w:rsidRPr="00A5477A">
              <w:rPr>
                <w:sz w:val="18"/>
                <w:szCs w:val="18"/>
              </w:rPr>
              <w:t xml:space="preserve">$1,985 </w:t>
            </w:r>
          </w:p>
        </w:tc>
        <w:tc>
          <w:tcPr>
            <w:tcW w:w="1134" w:type="dxa"/>
            <w:tcMar>
              <w:top w:w="60" w:type="dxa"/>
              <w:left w:w="75" w:type="dxa"/>
              <w:bottom w:w="60" w:type="dxa"/>
              <w:right w:w="75" w:type="dxa"/>
            </w:tcMar>
            <w:vAlign w:val="center"/>
          </w:tcPr>
          <w:p w14:paraId="69A8604A" w14:textId="77777777" w:rsidR="00002A81" w:rsidRPr="00A5477A" w:rsidRDefault="00002A81" w:rsidP="00B16EBE">
            <w:pPr>
              <w:jc w:val="right"/>
              <w:rPr>
                <w:sz w:val="18"/>
                <w:szCs w:val="18"/>
              </w:rPr>
            </w:pPr>
            <w:r w:rsidRPr="00A5477A">
              <w:rPr>
                <w:sz w:val="18"/>
                <w:szCs w:val="18"/>
              </w:rPr>
              <w:t xml:space="preserve">6.82% </w:t>
            </w:r>
          </w:p>
        </w:tc>
        <w:tc>
          <w:tcPr>
            <w:tcW w:w="1275" w:type="dxa"/>
            <w:vAlign w:val="center"/>
          </w:tcPr>
          <w:p w14:paraId="7B82EB2B" w14:textId="77777777" w:rsidR="00002A81" w:rsidRPr="00A5477A" w:rsidRDefault="00002A81" w:rsidP="00B16EBE">
            <w:pPr>
              <w:jc w:val="right"/>
              <w:rPr>
                <w:sz w:val="18"/>
                <w:szCs w:val="18"/>
              </w:rPr>
            </w:pPr>
            <w:r w:rsidRPr="00A5477A">
              <w:rPr>
                <w:sz w:val="18"/>
                <w:szCs w:val="18"/>
              </w:rPr>
              <w:t>50%</w:t>
            </w:r>
          </w:p>
        </w:tc>
      </w:tr>
      <w:tr w:rsidR="00002A81" w:rsidRPr="00A5477A" w14:paraId="080A21A5" w14:textId="77777777" w:rsidTr="00B16EBE">
        <w:tc>
          <w:tcPr>
            <w:tcW w:w="400" w:type="dxa"/>
          </w:tcPr>
          <w:p w14:paraId="49C2069B" w14:textId="77777777" w:rsidR="00002A81" w:rsidRPr="00A5477A" w:rsidRDefault="00002A81" w:rsidP="00B16EBE">
            <w:pPr>
              <w:jc w:val="center"/>
              <w:rPr>
                <w:b/>
                <w:bCs/>
                <w:sz w:val="18"/>
                <w:szCs w:val="18"/>
              </w:rPr>
            </w:pPr>
            <w:r w:rsidRPr="00A5477A">
              <w:rPr>
                <w:b/>
                <w:bCs/>
                <w:sz w:val="18"/>
                <w:szCs w:val="18"/>
              </w:rPr>
              <w:t>4</w:t>
            </w:r>
          </w:p>
        </w:tc>
        <w:tc>
          <w:tcPr>
            <w:tcW w:w="2626" w:type="dxa"/>
            <w:tcMar>
              <w:top w:w="60" w:type="dxa"/>
              <w:left w:w="75" w:type="dxa"/>
              <w:bottom w:w="60" w:type="dxa"/>
              <w:right w:w="75" w:type="dxa"/>
            </w:tcMar>
            <w:hideMark/>
          </w:tcPr>
          <w:p w14:paraId="33844EA9" w14:textId="77777777" w:rsidR="00002A81" w:rsidRPr="00A5477A" w:rsidRDefault="00002A81" w:rsidP="00B16EBE">
            <w:pPr>
              <w:rPr>
                <w:sz w:val="18"/>
                <w:szCs w:val="18"/>
              </w:rPr>
            </w:pPr>
            <w:r w:rsidRPr="00A5477A">
              <w:rPr>
                <w:b/>
                <w:sz w:val="18"/>
                <w:szCs w:val="18"/>
              </w:rPr>
              <w:t xml:space="preserve">73333, </w:t>
            </w:r>
            <w:r w:rsidRPr="00A5477A">
              <w:rPr>
                <w:sz w:val="18"/>
                <w:szCs w:val="18"/>
              </w:rPr>
              <w:t>73940</w:t>
            </w:r>
          </w:p>
        </w:tc>
        <w:tc>
          <w:tcPr>
            <w:tcW w:w="992" w:type="dxa"/>
            <w:tcMar>
              <w:top w:w="60" w:type="dxa"/>
              <w:left w:w="75" w:type="dxa"/>
              <w:bottom w:w="60" w:type="dxa"/>
              <w:right w:w="75" w:type="dxa"/>
            </w:tcMar>
            <w:vAlign w:val="center"/>
          </w:tcPr>
          <w:p w14:paraId="75CA87E0"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75CB9E73"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1F8A8835" w14:textId="77777777" w:rsidR="00002A81" w:rsidRPr="00A5477A" w:rsidRDefault="00002A81" w:rsidP="00B16EBE">
            <w:pPr>
              <w:jc w:val="right"/>
              <w:rPr>
                <w:sz w:val="18"/>
                <w:szCs w:val="18"/>
              </w:rPr>
            </w:pPr>
            <w:r w:rsidRPr="00A5477A">
              <w:rPr>
                <w:sz w:val="18"/>
                <w:szCs w:val="18"/>
              </w:rPr>
              <w:t xml:space="preserve">$1,831 </w:t>
            </w:r>
          </w:p>
        </w:tc>
        <w:tc>
          <w:tcPr>
            <w:tcW w:w="1134" w:type="dxa"/>
            <w:tcMar>
              <w:top w:w="60" w:type="dxa"/>
              <w:left w:w="75" w:type="dxa"/>
              <w:bottom w:w="60" w:type="dxa"/>
              <w:right w:w="75" w:type="dxa"/>
            </w:tcMar>
            <w:vAlign w:val="center"/>
          </w:tcPr>
          <w:p w14:paraId="2098186C" w14:textId="77777777" w:rsidR="00002A81" w:rsidRPr="00A5477A" w:rsidRDefault="00002A81" w:rsidP="00B16EBE">
            <w:pPr>
              <w:jc w:val="right"/>
              <w:rPr>
                <w:sz w:val="18"/>
                <w:szCs w:val="18"/>
              </w:rPr>
            </w:pPr>
            <w:r w:rsidRPr="00A5477A">
              <w:rPr>
                <w:sz w:val="18"/>
                <w:szCs w:val="18"/>
              </w:rPr>
              <w:t xml:space="preserve">6.82% </w:t>
            </w:r>
          </w:p>
        </w:tc>
        <w:tc>
          <w:tcPr>
            <w:tcW w:w="1275" w:type="dxa"/>
            <w:vAlign w:val="center"/>
          </w:tcPr>
          <w:p w14:paraId="05ED9F6F" w14:textId="77777777" w:rsidR="00002A81" w:rsidRPr="00A5477A" w:rsidRDefault="00002A81" w:rsidP="00B16EBE">
            <w:pPr>
              <w:jc w:val="right"/>
              <w:rPr>
                <w:sz w:val="18"/>
                <w:szCs w:val="18"/>
              </w:rPr>
            </w:pPr>
            <w:r w:rsidRPr="00A5477A">
              <w:rPr>
                <w:sz w:val="18"/>
                <w:szCs w:val="18"/>
              </w:rPr>
              <w:t>56.82%</w:t>
            </w:r>
          </w:p>
        </w:tc>
      </w:tr>
      <w:tr w:rsidR="00002A81" w:rsidRPr="00A5477A" w14:paraId="31B4A016" w14:textId="77777777" w:rsidTr="00B16EBE">
        <w:tc>
          <w:tcPr>
            <w:tcW w:w="400" w:type="dxa"/>
          </w:tcPr>
          <w:p w14:paraId="07B972E3" w14:textId="77777777" w:rsidR="00002A81" w:rsidRPr="00A5477A" w:rsidRDefault="00002A81" w:rsidP="00B16EBE">
            <w:pPr>
              <w:jc w:val="center"/>
              <w:rPr>
                <w:b/>
                <w:bCs/>
                <w:sz w:val="18"/>
                <w:szCs w:val="18"/>
              </w:rPr>
            </w:pPr>
            <w:r w:rsidRPr="00A5477A">
              <w:rPr>
                <w:b/>
                <w:bCs/>
                <w:sz w:val="18"/>
                <w:szCs w:val="18"/>
              </w:rPr>
              <w:t>5</w:t>
            </w:r>
          </w:p>
        </w:tc>
        <w:tc>
          <w:tcPr>
            <w:tcW w:w="2626" w:type="dxa"/>
            <w:tcMar>
              <w:top w:w="60" w:type="dxa"/>
              <w:left w:w="75" w:type="dxa"/>
              <w:bottom w:w="60" w:type="dxa"/>
              <w:right w:w="75" w:type="dxa"/>
            </w:tcMar>
            <w:hideMark/>
          </w:tcPr>
          <w:p w14:paraId="70792DED" w14:textId="77777777" w:rsidR="00002A81" w:rsidRPr="00A5477A" w:rsidRDefault="00002A81" w:rsidP="00B16EBE">
            <w:pPr>
              <w:rPr>
                <w:sz w:val="18"/>
                <w:szCs w:val="18"/>
              </w:rPr>
            </w:pPr>
            <w:r w:rsidRPr="00A5477A">
              <w:rPr>
                <w:b/>
                <w:sz w:val="18"/>
                <w:szCs w:val="18"/>
              </w:rPr>
              <w:t xml:space="preserve">73333, </w:t>
            </w:r>
            <w:r w:rsidRPr="00A5477A">
              <w:rPr>
                <w:sz w:val="18"/>
                <w:szCs w:val="18"/>
              </w:rPr>
              <w:t>66512, 73931</w:t>
            </w:r>
          </w:p>
        </w:tc>
        <w:tc>
          <w:tcPr>
            <w:tcW w:w="992" w:type="dxa"/>
            <w:tcMar>
              <w:top w:w="60" w:type="dxa"/>
              <w:left w:w="75" w:type="dxa"/>
              <w:bottom w:w="60" w:type="dxa"/>
              <w:right w:w="75" w:type="dxa"/>
            </w:tcMar>
            <w:vAlign w:val="center"/>
          </w:tcPr>
          <w:p w14:paraId="73E3D787"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06D04E9B"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00644DD4" w14:textId="77777777" w:rsidR="00002A81" w:rsidRPr="00A5477A" w:rsidRDefault="00002A81" w:rsidP="00B16EBE">
            <w:pPr>
              <w:jc w:val="right"/>
              <w:rPr>
                <w:sz w:val="18"/>
                <w:szCs w:val="18"/>
              </w:rPr>
            </w:pPr>
            <w:r w:rsidRPr="00A5477A">
              <w:rPr>
                <w:sz w:val="18"/>
                <w:szCs w:val="18"/>
              </w:rPr>
              <w:t xml:space="preserve">$1,240 </w:t>
            </w:r>
          </w:p>
        </w:tc>
        <w:tc>
          <w:tcPr>
            <w:tcW w:w="1134" w:type="dxa"/>
            <w:tcMar>
              <w:top w:w="60" w:type="dxa"/>
              <w:left w:w="75" w:type="dxa"/>
              <w:bottom w:w="60" w:type="dxa"/>
              <w:right w:w="75" w:type="dxa"/>
            </w:tcMar>
            <w:vAlign w:val="center"/>
          </w:tcPr>
          <w:p w14:paraId="230A765D" w14:textId="77777777" w:rsidR="00002A81" w:rsidRPr="00A5477A" w:rsidRDefault="00002A81" w:rsidP="00B16EBE">
            <w:pPr>
              <w:jc w:val="right"/>
              <w:rPr>
                <w:sz w:val="18"/>
                <w:szCs w:val="18"/>
              </w:rPr>
            </w:pPr>
            <w:r w:rsidRPr="00A5477A">
              <w:rPr>
                <w:sz w:val="18"/>
                <w:szCs w:val="18"/>
              </w:rPr>
              <w:t xml:space="preserve">4.55% </w:t>
            </w:r>
          </w:p>
        </w:tc>
        <w:tc>
          <w:tcPr>
            <w:tcW w:w="1275" w:type="dxa"/>
            <w:vAlign w:val="center"/>
          </w:tcPr>
          <w:p w14:paraId="636B980A" w14:textId="77777777" w:rsidR="00002A81" w:rsidRPr="00A5477A" w:rsidRDefault="00002A81" w:rsidP="00B16EBE">
            <w:pPr>
              <w:jc w:val="right"/>
              <w:rPr>
                <w:sz w:val="18"/>
                <w:szCs w:val="18"/>
              </w:rPr>
            </w:pPr>
            <w:r w:rsidRPr="00A5477A">
              <w:rPr>
                <w:sz w:val="18"/>
                <w:szCs w:val="18"/>
              </w:rPr>
              <w:t>61.37%</w:t>
            </w:r>
          </w:p>
        </w:tc>
      </w:tr>
      <w:tr w:rsidR="00002A81" w:rsidRPr="00A5477A" w14:paraId="542C642C" w14:textId="77777777" w:rsidTr="00B16EBE">
        <w:tc>
          <w:tcPr>
            <w:tcW w:w="400" w:type="dxa"/>
          </w:tcPr>
          <w:p w14:paraId="796E2768" w14:textId="77777777" w:rsidR="00002A81" w:rsidRPr="00A5477A" w:rsidRDefault="00002A81" w:rsidP="00B16EBE">
            <w:pPr>
              <w:jc w:val="center"/>
              <w:rPr>
                <w:b/>
                <w:bCs/>
                <w:sz w:val="18"/>
                <w:szCs w:val="18"/>
              </w:rPr>
            </w:pPr>
            <w:r w:rsidRPr="00A5477A">
              <w:rPr>
                <w:b/>
                <w:bCs/>
                <w:sz w:val="18"/>
                <w:szCs w:val="18"/>
              </w:rPr>
              <w:t>6</w:t>
            </w:r>
          </w:p>
        </w:tc>
        <w:tc>
          <w:tcPr>
            <w:tcW w:w="2626" w:type="dxa"/>
            <w:tcMar>
              <w:top w:w="60" w:type="dxa"/>
              <w:left w:w="75" w:type="dxa"/>
              <w:bottom w:w="60" w:type="dxa"/>
              <w:right w:w="75" w:type="dxa"/>
            </w:tcMar>
            <w:hideMark/>
          </w:tcPr>
          <w:p w14:paraId="11EAC28F" w14:textId="77777777" w:rsidR="00002A81" w:rsidRPr="00A5477A" w:rsidRDefault="00002A81" w:rsidP="00B16EBE">
            <w:pPr>
              <w:rPr>
                <w:sz w:val="18"/>
                <w:szCs w:val="18"/>
              </w:rPr>
            </w:pPr>
            <w:r w:rsidRPr="00A5477A">
              <w:rPr>
                <w:b/>
                <w:sz w:val="18"/>
                <w:szCs w:val="18"/>
              </w:rPr>
              <w:t xml:space="preserve">73333, </w:t>
            </w:r>
            <w:r w:rsidRPr="00A5477A">
              <w:rPr>
                <w:sz w:val="18"/>
                <w:szCs w:val="18"/>
              </w:rPr>
              <w:t>73339</w:t>
            </w:r>
          </w:p>
        </w:tc>
        <w:tc>
          <w:tcPr>
            <w:tcW w:w="992" w:type="dxa"/>
            <w:tcMar>
              <w:top w:w="60" w:type="dxa"/>
              <w:left w:w="75" w:type="dxa"/>
              <w:bottom w:w="60" w:type="dxa"/>
              <w:right w:w="75" w:type="dxa"/>
            </w:tcMar>
            <w:vAlign w:val="center"/>
          </w:tcPr>
          <w:p w14:paraId="7636B280"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2B6ACE70"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3B7E74C8" w14:textId="77777777" w:rsidR="00002A81" w:rsidRPr="00A5477A" w:rsidRDefault="00002A81" w:rsidP="00B16EBE">
            <w:pPr>
              <w:jc w:val="right"/>
              <w:rPr>
                <w:sz w:val="18"/>
                <w:szCs w:val="18"/>
              </w:rPr>
            </w:pPr>
            <w:r w:rsidRPr="00A5477A">
              <w:rPr>
                <w:sz w:val="18"/>
                <w:szCs w:val="18"/>
              </w:rPr>
              <w:t xml:space="preserve">$2,000 </w:t>
            </w:r>
          </w:p>
        </w:tc>
        <w:tc>
          <w:tcPr>
            <w:tcW w:w="1134" w:type="dxa"/>
            <w:tcMar>
              <w:top w:w="60" w:type="dxa"/>
              <w:left w:w="75" w:type="dxa"/>
              <w:bottom w:w="60" w:type="dxa"/>
              <w:right w:w="75" w:type="dxa"/>
            </w:tcMar>
            <w:vAlign w:val="center"/>
          </w:tcPr>
          <w:p w14:paraId="7D52EB2D" w14:textId="77777777" w:rsidR="00002A81" w:rsidRPr="00A5477A" w:rsidRDefault="00002A81" w:rsidP="00B16EBE">
            <w:pPr>
              <w:jc w:val="right"/>
              <w:rPr>
                <w:sz w:val="18"/>
                <w:szCs w:val="18"/>
              </w:rPr>
            </w:pPr>
            <w:r w:rsidRPr="00A5477A">
              <w:rPr>
                <w:sz w:val="18"/>
                <w:szCs w:val="18"/>
              </w:rPr>
              <w:t xml:space="preserve">4.55% </w:t>
            </w:r>
          </w:p>
        </w:tc>
        <w:tc>
          <w:tcPr>
            <w:tcW w:w="1275" w:type="dxa"/>
            <w:vAlign w:val="center"/>
          </w:tcPr>
          <w:p w14:paraId="71152B56" w14:textId="77777777" w:rsidR="00002A81" w:rsidRPr="00A5477A" w:rsidRDefault="00002A81" w:rsidP="00B16EBE">
            <w:pPr>
              <w:jc w:val="right"/>
              <w:rPr>
                <w:sz w:val="18"/>
                <w:szCs w:val="18"/>
              </w:rPr>
            </w:pPr>
            <w:r w:rsidRPr="00A5477A">
              <w:rPr>
                <w:sz w:val="18"/>
                <w:szCs w:val="18"/>
              </w:rPr>
              <w:t>65.92%</w:t>
            </w:r>
          </w:p>
        </w:tc>
      </w:tr>
      <w:tr w:rsidR="00002A81" w:rsidRPr="00A5477A" w14:paraId="6C3004B8" w14:textId="77777777" w:rsidTr="00B16EBE">
        <w:tc>
          <w:tcPr>
            <w:tcW w:w="400" w:type="dxa"/>
          </w:tcPr>
          <w:p w14:paraId="460BD569" w14:textId="77777777" w:rsidR="00002A81" w:rsidRPr="00A5477A" w:rsidRDefault="00002A81" w:rsidP="00B16EBE">
            <w:pPr>
              <w:jc w:val="center"/>
              <w:rPr>
                <w:b/>
                <w:bCs/>
                <w:sz w:val="18"/>
                <w:szCs w:val="18"/>
              </w:rPr>
            </w:pPr>
            <w:r w:rsidRPr="00A5477A">
              <w:rPr>
                <w:b/>
                <w:bCs/>
                <w:sz w:val="18"/>
                <w:szCs w:val="18"/>
              </w:rPr>
              <w:t>7</w:t>
            </w:r>
          </w:p>
        </w:tc>
        <w:tc>
          <w:tcPr>
            <w:tcW w:w="2626" w:type="dxa"/>
            <w:tcMar>
              <w:top w:w="60" w:type="dxa"/>
              <w:left w:w="75" w:type="dxa"/>
              <w:bottom w:w="60" w:type="dxa"/>
              <w:right w:w="75" w:type="dxa"/>
            </w:tcMar>
            <w:hideMark/>
          </w:tcPr>
          <w:p w14:paraId="4F06E66C" w14:textId="77777777" w:rsidR="00002A81" w:rsidRPr="00A5477A" w:rsidRDefault="00002A81" w:rsidP="00B16EBE">
            <w:pPr>
              <w:rPr>
                <w:sz w:val="18"/>
                <w:szCs w:val="18"/>
              </w:rPr>
            </w:pPr>
            <w:r w:rsidRPr="00A5477A">
              <w:rPr>
                <w:b/>
                <w:sz w:val="18"/>
                <w:szCs w:val="18"/>
              </w:rPr>
              <w:t xml:space="preserve">73333, </w:t>
            </w:r>
            <w:r w:rsidRPr="00A5477A">
              <w:rPr>
                <w:sz w:val="18"/>
                <w:szCs w:val="18"/>
              </w:rPr>
              <w:t>65070, 65120, 65123, 66512, 66518, 69354, 69363, 73939</w:t>
            </w:r>
          </w:p>
        </w:tc>
        <w:tc>
          <w:tcPr>
            <w:tcW w:w="992" w:type="dxa"/>
            <w:tcMar>
              <w:top w:w="60" w:type="dxa"/>
              <w:left w:w="75" w:type="dxa"/>
              <w:bottom w:w="60" w:type="dxa"/>
              <w:right w:w="75" w:type="dxa"/>
            </w:tcMar>
            <w:vAlign w:val="center"/>
          </w:tcPr>
          <w:p w14:paraId="56C2AFCC"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05DF1AE7" w14:textId="77777777" w:rsidR="00002A81" w:rsidRPr="00A5477A" w:rsidRDefault="00002A81" w:rsidP="00B16EBE">
            <w:pPr>
              <w:jc w:val="center"/>
              <w:rPr>
                <w:sz w:val="18"/>
                <w:szCs w:val="18"/>
              </w:rPr>
            </w:pPr>
            <w:r w:rsidRPr="00A5477A">
              <w:rPr>
                <w:sz w:val="18"/>
                <w:szCs w:val="18"/>
              </w:rPr>
              <w:t>12</w:t>
            </w:r>
          </w:p>
        </w:tc>
        <w:tc>
          <w:tcPr>
            <w:tcW w:w="1612" w:type="dxa"/>
            <w:tcMar>
              <w:top w:w="60" w:type="dxa"/>
              <w:left w:w="75" w:type="dxa"/>
              <w:bottom w:w="60" w:type="dxa"/>
              <w:right w:w="75" w:type="dxa"/>
            </w:tcMar>
            <w:vAlign w:val="center"/>
          </w:tcPr>
          <w:p w14:paraId="5B17B1B6" w14:textId="77777777" w:rsidR="00002A81" w:rsidRPr="00A5477A" w:rsidRDefault="00002A81" w:rsidP="00B16EBE">
            <w:pPr>
              <w:jc w:val="right"/>
              <w:rPr>
                <w:sz w:val="18"/>
                <w:szCs w:val="18"/>
              </w:rPr>
            </w:pPr>
            <w:r w:rsidRPr="00A5477A">
              <w:rPr>
                <w:sz w:val="18"/>
                <w:szCs w:val="18"/>
              </w:rPr>
              <w:t xml:space="preserve">$788 </w:t>
            </w:r>
          </w:p>
        </w:tc>
        <w:tc>
          <w:tcPr>
            <w:tcW w:w="1134" w:type="dxa"/>
            <w:tcMar>
              <w:top w:w="60" w:type="dxa"/>
              <w:left w:w="75" w:type="dxa"/>
              <w:bottom w:w="60" w:type="dxa"/>
              <w:right w:w="75" w:type="dxa"/>
            </w:tcMar>
            <w:vAlign w:val="center"/>
          </w:tcPr>
          <w:p w14:paraId="370969E3" w14:textId="77777777" w:rsidR="00002A81" w:rsidRPr="00A5477A" w:rsidRDefault="00002A81" w:rsidP="00B16EBE">
            <w:pPr>
              <w:jc w:val="right"/>
              <w:rPr>
                <w:sz w:val="18"/>
                <w:szCs w:val="18"/>
              </w:rPr>
            </w:pPr>
            <w:r w:rsidRPr="00A5477A">
              <w:rPr>
                <w:sz w:val="18"/>
                <w:szCs w:val="18"/>
              </w:rPr>
              <w:t xml:space="preserve">2.27% </w:t>
            </w:r>
          </w:p>
        </w:tc>
        <w:tc>
          <w:tcPr>
            <w:tcW w:w="1275" w:type="dxa"/>
            <w:vAlign w:val="center"/>
          </w:tcPr>
          <w:p w14:paraId="7F2FE9F9" w14:textId="77777777" w:rsidR="00002A81" w:rsidRPr="00A5477A" w:rsidRDefault="00002A81" w:rsidP="00B16EBE">
            <w:pPr>
              <w:jc w:val="right"/>
              <w:rPr>
                <w:sz w:val="18"/>
                <w:szCs w:val="18"/>
              </w:rPr>
            </w:pPr>
            <w:r w:rsidRPr="00A5477A">
              <w:rPr>
                <w:sz w:val="18"/>
                <w:szCs w:val="18"/>
              </w:rPr>
              <w:t>68.19%</w:t>
            </w:r>
          </w:p>
        </w:tc>
      </w:tr>
      <w:tr w:rsidR="00002A81" w:rsidRPr="00A5477A" w14:paraId="6A43E919" w14:textId="77777777" w:rsidTr="00B16EBE">
        <w:tc>
          <w:tcPr>
            <w:tcW w:w="400" w:type="dxa"/>
          </w:tcPr>
          <w:p w14:paraId="0931EC13" w14:textId="77777777" w:rsidR="00002A81" w:rsidRPr="00A5477A" w:rsidRDefault="00002A81" w:rsidP="00B16EBE">
            <w:pPr>
              <w:jc w:val="center"/>
              <w:rPr>
                <w:b/>
                <w:bCs/>
                <w:sz w:val="18"/>
                <w:szCs w:val="18"/>
              </w:rPr>
            </w:pPr>
            <w:r w:rsidRPr="00A5477A">
              <w:rPr>
                <w:b/>
                <w:bCs/>
                <w:sz w:val="18"/>
                <w:szCs w:val="18"/>
              </w:rPr>
              <w:t>8</w:t>
            </w:r>
          </w:p>
        </w:tc>
        <w:tc>
          <w:tcPr>
            <w:tcW w:w="2626" w:type="dxa"/>
            <w:tcMar>
              <w:top w:w="60" w:type="dxa"/>
              <w:left w:w="75" w:type="dxa"/>
              <w:bottom w:w="60" w:type="dxa"/>
              <w:right w:w="75" w:type="dxa"/>
            </w:tcMar>
            <w:hideMark/>
          </w:tcPr>
          <w:p w14:paraId="5B3A57AA" w14:textId="77777777" w:rsidR="00002A81" w:rsidRPr="00A5477A" w:rsidRDefault="00002A81" w:rsidP="00B16EBE">
            <w:pPr>
              <w:rPr>
                <w:sz w:val="18"/>
                <w:szCs w:val="18"/>
              </w:rPr>
            </w:pPr>
            <w:r w:rsidRPr="00A5477A">
              <w:rPr>
                <w:b/>
                <w:sz w:val="18"/>
                <w:szCs w:val="18"/>
              </w:rPr>
              <w:t xml:space="preserve">73333, </w:t>
            </w:r>
            <w:r w:rsidRPr="00A5477A">
              <w:rPr>
                <w:sz w:val="18"/>
                <w:szCs w:val="18"/>
              </w:rPr>
              <w:t>65070, 65123, 66512, 66569, 73339, 73939</w:t>
            </w:r>
          </w:p>
        </w:tc>
        <w:tc>
          <w:tcPr>
            <w:tcW w:w="992" w:type="dxa"/>
            <w:tcMar>
              <w:top w:w="60" w:type="dxa"/>
              <w:left w:w="75" w:type="dxa"/>
              <w:bottom w:w="60" w:type="dxa"/>
              <w:right w:w="75" w:type="dxa"/>
            </w:tcMar>
            <w:vAlign w:val="center"/>
          </w:tcPr>
          <w:p w14:paraId="6841E887"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43825FBB" w14:textId="77777777" w:rsidR="00002A81" w:rsidRPr="00A5477A" w:rsidRDefault="00002A81" w:rsidP="00B16EBE">
            <w:pPr>
              <w:jc w:val="center"/>
              <w:rPr>
                <w:sz w:val="18"/>
                <w:szCs w:val="18"/>
              </w:rPr>
            </w:pPr>
            <w:r w:rsidRPr="00A5477A">
              <w:rPr>
                <w:sz w:val="18"/>
                <w:szCs w:val="18"/>
              </w:rPr>
              <w:t>7</w:t>
            </w:r>
          </w:p>
        </w:tc>
        <w:tc>
          <w:tcPr>
            <w:tcW w:w="1612" w:type="dxa"/>
            <w:tcMar>
              <w:top w:w="60" w:type="dxa"/>
              <w:left w:w="75" w:type="dxa"/>
              <w:bottom w:w="60" w:type="dxa"/>
              <w:right w:w="75" w:type="dxa"/>
            </w:tcMar>
            <w:vAlign w:val="center"/>
          </w:tcPr>
          <w:p w14:paraId="7B9F56DB" w14:textId="77777777" w:rsidR="00002A81" w:rsidRPr="00A5477A" w:rsidRDefault="00002A81" w:rsidP="00B16EBE">
            <w:pPr>
              <w:jc w:val="right"/>
              <w:rPr>
                <w:sz w:val="18"/>
                <w:szCs w:val="18"/>
              </w:rPr>
            </w:pPr>
            <w:r w:rsidRPr="00A5477A">
              <w:rPr>
                <w:sz w:val="18"/>
                <w:szCs w:val="18"/>
              </w:rPr>
              <w:t xml:space="preserve">$1,100 </w:t>
            </w:r>
          </w:p>
        </w:tc>
        <w:tc>
          <w:tcPr>
            <w:tcW w:w="1134" w:type="dxa"/>
            <w:tcMar>
              <w:top w:w="60" w:type="dxa"/>
              <w:left w:w="75" w:type="dxa"/>
              <w:bottom w:w="60" w:type="dxa"/>
              <w:right w:w="75" w:type="dxa"/>
            </w:tcMar>
            <w:vAlign w:val="center"/>
          </w:tcPr>
          <w:p w14:paraId="2AD40C2A" w14:textId="77777777" w:rsidR="00002A81" w:rsidRPr="00A5477A" w:rsidRDefault="00002A81" w:rsidP="00B16EBE">
            <w:pPr>
              <w:jc w:val="right"/>
              <w:rPr>
                <w:sz w:val="18"/>
                <w:szCs w:val="18"/>
              </w:rPr>
            </w:pPr>
            <w:r w:rsidRPr="00A5477A">
              <w:rPr>
                <w:sz w:val="18"/>
                <w:szCs w:val="18"/>
              </w:rPr>
              <w:t xml:space="preserve">2.27% </w:t>
            </w:r>
          </w:p>
        </w:tc>
        <w:tc>
          <w:tcPr>
            <w:tcW w:w="1275" w:type="dxa"/>
            <w:vAlign w:val="center"/>
          </w:tcPr>
          <w:p w14:paraId="23E383CC" w14:textId="77777777" w:rsidR="00002A81" w:rsidRPr="00A5477A" w:rsidRDefault="00002A81" w:rsidP="00B16EBE">
            <w:pPr>
              <w:jc w:val="right"/>
              <w:rPr>
                <w:sz w:val="18"/>
                <w:szCs w:val="18"/>
              </w:rPr>
            </w:pPr>
            <w:r w:rsidRPr="00A5477A">
              <w:rPr>
                <w:sz w:val="18"/>
                <w:szCs w:val="18"/>
              </w:rPr>
              <w:t>70.46%</w:t>
            </w:r>
          </w:p>
        </w:tc>
      </w:tr>
      <w:tr w:rsidR="00002A81" w:rsidRPr="00A5477A" w14:paraId="31DD60E4" w14:textId="77777777" w:rsidTr="00B16EBE">
        <w:tc>
          <w:tcPr>
            <w:tcW w:w="400" w:type="dxa"/>
          </w:tcPr>
          <w:p w14:paraId="4A524291" w14:textId="77777777" w:rsidR="00002A81" w:rsidRPr="00A5477A" w:rsidRDefault="00002A81" w:rsidP="00B16EBE">
            <w:pPr>
              <w:jc w:val="center"/>
              <w:rPr>
                <w:b/>
                <w:bCs/>
                <w:sz w:val="18"/>
                <w:szCs w:val="18"/>
              </w:rPr>
            </w:pPr>
            <w:r w:rsidRPr="00A5477A">
              <w:rPr>
                <w:b/>
                <w:bCs/>
                <w:sz w:val="18"/>
                <w:szCs w:val="18"/>
              </w:rPr>
              <w:t>9</w:t>
            </w:r>
          </w:p>
        </w:tc>
        <w:tc>
          <w:tcPr>
            <w:tcW w:w="2626" w:type="dxa"/>
            <w:tcMar>
              <w:top w:w="60" w:type="dxa"/>
              <w:left w:w="75" w:type="dxa"/>
              <w:bottom w:w="60" w:type="dxa"/>
              <w:right w:w="75" w:type="dxa"/>
            </w:tcMar>
            <w:hideMark/>
          </w:tcPr>
          <w:p w14:paraId="50D09063" w14:textId="77777777" w:rsidR="00002A81" w:rsidRPr="00A5477A" w:rsidRDefault="00002A81" w:rsidP="00B16EBE">
            <w:pPr>
              <w:rPr>
                <w:sz w:val="18"/>
                <w:szCs w:val="18"/>
              </w:rPr>
            </w:pPr>
            <w:r w:rsidRPr="00A5477A">
              <w:rPr>
                <w:b/>
                <w:sz w:val="18"/>
                <w:szCs w:val="18"/>
              </w:rPr>
              <w:t xml:space="preserve">73333, </w:t>
            </w:r>
            <w:r w:rsidRPr="00A5477A">
              <w:rPr>
                <w:sz w:val="18"/>
                <w:szCs w:val="18"/>
              </w:rPr>
              <w:t>65070, 66503, 66512, 73931</w:t>
            </w:r>
          </w:p>
        </w:tc>
        <w:tc>
          <w:tcPr>
            <w:tcW w:w="992" w:type="dxa"/>
            <w:tcMar>
              <w:top w:w="60" w:type="dxa"/>
              <w:left w:w="75" w:type="dxa"/>
              <w:bottom w:w="60" w:type="dxa"/>
              <w:right w:w="75" w:type="dxa"/>
            </w:tcMar>
            <w:vAlign w:val="center"/>
          </w:tcPr>
          <w:p w14:paraId="6C400C64"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70283DC7"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52D6F93F" w14:textId="77777777" w:rsidR="00002A81" w:rsidRPr="00A5477A" w:rsidRDefault="00002A81" w:rsidP="00B16EBE">
            <w:pPr>
              <w:jc w:val="right"/>
              <w:rPr>
                <w:sz w:val="18"/>
                <w:szCs w:val="18"/>
              </w:rPr>
            </w:pPr>
            <w:r w:rsidRPr="00A5477A">
              <w:rPr>
                <w:sz w:val="18"/>
                <w:szCs w:val="18"/>
              </w:rPr>
              <w:t xml:space="preserve">$651 </w:t>
            </w:r>
          </w:p>
        </w:tc>
        <w:tc>
          <w:tcPr>
            <w:tcW w:w="1134" w:type="dxa"/>
            <w:tcMar>
              <w:top w:w="60" w:type="dxa"/>
              <w:left w:w="75" w:type="dxa"/>
              <w:bottom w:w="60" w:type="dxa"/>
              <w:right w:w="75" w:type="dxa"/>
            </w:tcMar>
            <w:vAlign w:val="center"/>
          </w:tcPr>
          <w:p w14:paraId="1C24CCC4" w14:textId="77777777" w:rsidR="00002A81" w:rsidRPr="00A5477A" w:rsidRDefault="00002A81" w:rsidP="00B16EBE">
            <w:pPr>
              <w:jc w:val="right"/>
              <w:rPr>
                <w:sz w:val="18"/>
                <w:szCs w:val="18"/>
              </w:rPr>
            </w:pPr>
            <w:r w:rsidRPr="00A5477A">
              <w:rPr>
                <w:sz w:val="18"/>
                <w:szCs w:val="18"/>
              </w:rPr>
              <w:t xml:space="preserve">2.27% </w:t>
            </w:r>
          </w:p>
        </w:tc>
        <w:tc>
          <w:tcPr>
            <w:tcW w:w="1275" w:type="dxa"/>
            <w:vAlign w:val="center"/>
          </w:tcPr>
          <w:p w14:paraId="4AD03DBD" w14:textId="77777777" w:rsidR="00002A81" w:rsidRPr="00A5477A" w:rsidRDefault="00002A81" w:rsidP="00B16EBE">
            <w:pPr>
              <w:jc w:val="right"/>
              <w:rPr>
                <w:sz w:val="18"/>
                <w:szCs w:val="18"/>
              </w:rPr>
            </w:pPr>
            <w:r w:rsidRPr="00A5477A">
              <w:rPr>
                <w:sz w:val="18"/>
                <w:szCs w:val="18"/>
              </w:rPr>
              <w:t>72.73%</w:t>
            </w:r>
          </w:p>
        </w:tc>
      </w:tr>
      <w:tr w:rsidR="00002A81" w:rsidRPr="00A5477A" w14:paraId="3B09FB32" w14:textId="77777777" w:rsidTr="00B16EBE">
        <w:tc>
          <w:tcPr>
            <w:tcW w:w="400" w:type="dxa"/>
          </w:tcPr>
          <w:p w14:paraId="14DACD84" w14:textId="77777777" w:rsidR="00002A81" w:rsidRPr="00A5477A" w:rsidRDefault="00002A81" w:rsidP="00B16EBE">
            <w:pPr>
              <w:jc w:val="center"/>
              <w:rPr>
                <w:b/>
                <w:bCs/>
                <w:sz w:val="18"/>
                <w:szCs w:val="18"/>
              </w:rPr>
            </w:pPr>
            <w:r w:rsidRPr="00A5477A">
              <w:rPr>
                <w:b/>
                <w:bCs/>
                <w:sz w:val="18"/>
                <w:szCs w:val="18"/>
              </w:rPr>
              <w:t>10</w:t>
            </w:r>
          </w:p>
        </w:tc>
        <w:tc>
          <w:tcPr>
            <w:tcW w:w="2626" w:type="dxa"/>
            <w:tcMar>
              <w:top w:w="60" w:type="dxa"/>
              <w:left w:w="75" w:type="dxa"/>
              <w:bottom w:w="60" w:type="dxa"/>
              <w:right w:w="75" w:type="dxa"/>
            </w:tcMar>
            <w:hideMark/>
          </w:tcPr>
          <w:p w14:paraId="290B0DC2" w14:textId="77777777" w:rsidR="00002A81" w:rsidRPr="00A5477A" w:rsidRDefault="00002A81" w:rsidP="00B16EBE">
            <w:pPr>
              <w:rPr>
                <w:sz w:val="18"/>
                <w:szCs w:val="18"/>
              </w:rPr>
            </w:pPr>
            <w:r w:rsidRPr="00A5477A">
              <w:rPr>
                <w:b/>
                <w:sz w:val="18"/>
                <w:szCs w:val="18"/>
              </w:rPr>
              <w:t xml:space="preserve">73333, </w:t>
            </w:r>
            <w:r w:rsidRPr="00A5477A">
              <w:rPr>
                <w:sz w:val="18"/>
                <w:szCs w:val="18"/>
              </w:rPr>
              <w:t>65070, 66509, 73931</w:t>
            </w:r>
          </w:p>
        </w:tc>
        <w:tc>
          <w:tcPr>
            <w:tcW w:w="992" w:type="dxa"/>
            <w:tcMar>
              <w:top w:w="60" w:type="dxa"/>
              <w:left w:w="75" w:type="dxa"/>
              <w:bottom w:w="60" w:type="dxa"/>
              <w:right w:w="75" w:type="dxa"/>
            </w:tcMar>
            <w:vAlign w:val="center"/>
          </w:tcPr>
          <w:p w14:paraId="281B85EC" w14:textId="77777777" w:rsidR="00002A81" w:rsidRPr="00A5477A" w:rsidRDefault="00002A81" w:rsidP="00B16EBE">
            <w:pPr>
              <w:jc w:val="center"/>
              <w:rPr>
                <w:sz w:val="18"/>
                <w:szCs w:val="18"/>
              </w:rPr>
            </w:pPr>
            <w:r w:rsidRPr="00A5477A">
              <w:rPr>
                <w:sz w:val="18"/>
                <w:szCs w:val="18"/>
              </w:rPr>
              <w:t>np</w:t>
            </w:r>
          </w:p>
        </w:tc>
        <w:tc>
          <w:tcPr>
            <w:tcW w:w="1082" w:type="dxa"/>
            <w:tcMar>
              <w:top w:w="60" w:type="dxa"/>
              <w:left w:w="75" w:type="dxa"/>
              <w:bottom w:w="60" w:type="dxa"/>
              <w:right w:w="75" w:type="dxa"/>
            </w:tcMar>
            <w:vAlign w:val="center"/>
          </w:tcPr>
          <w:p w14:paraId="42ED7C49" w14:textId="77777777" w:rsidR="00002A81" w:rsidRPr="00A5477A" w:rsidRDefault="00002A81" w:rsidP="00B16EBE">
            <w:pPr>
              <w:jc w:val="center"/>
              <w:rPr>
                <w:sz w:val="18"/>
                <w:szCs w:val="18"/>
              </w:rPr>
            </w:pPr>
            <w:r w:rsidRPr="00A5477A">
              <w:rPr>
                <w:sz w:val="18"/>
                <w:szCs w:val="18"/>
              </w:rPr>
              <w:t>np</w:t>
            </w:r>
          </w:p>
        </w:tc>
        <w:tc>
          <w:tcPr>
            <w:tcW w:w="1612" w:type="dxa"/>
            <w:tcMar>
              <w:top w:w="60" w:type="dxa"/>
              <w:left w:w="75" w:type="dxa"/>
              <w:bottom w:w="60" w:type="dxa"/>
              <w:right w:w="75" w:type="dxa"/>
            </w:tcMar>
            <w:vAlign w:val="center"/>
          </w:tcPr>
          <w:p w14:paraId="2BC5D649" w14:textId="77777777" w:rsidR="00002A81" w:rsidRPr="00A5477A" w:rsidRDefault="00002A81" w:rsidP="00B16EBE">
            <w:pPr>
              <w:jc w:val="right"/>
              <w:rPr>
                <w:sz w:val="18"/>
                <w:szCs w:val="18"/>
              </w:rPr>
            </w:pPr>
            <w:r w:rsidRPr="00A5477A">
              <w:rPr>
                <w:sz w:val="18"/>
                <w:szCs w:val="18"/>
              </w:rPr>
              <w:t xml:space="preserve">$635 </w:t>
            </w:r>
          </w:p>
        </w:tc>
        <w:tc>
          <w:tcPr>
            <w:tcW w:w="1134" w:type="dxa"/>
            <w:tcMar>
              <w:top w:w="60" w:type="dxa"/>
              <w:left w:w="75" w:type="dxa"/>
              <w:bottom w:w="60" w:type="dxa"/>
              <w:right w:w="75" w:type="dxa"/>
            </w:tcMar>
            <w:vAlign w:val="center"/>
          </w:tcPr>
          <w:p w14:paraId="5FBA7939" w14:textId="77777777" w:rsidR="00002A81" w:rsidRPr="00A5477A" w:rsidRDefault="00002A81" w:rsidP="00B16EBE">
            <w:pPr>
              <w:jc w:val="right"/>
              <w:rPr>
                <w:sz w:val="18"/>
                <w:szCs w:val="18"/>
              </w:rPr>
            </w:pPr>
            <w:r w:rsidRPr="00A5477A">
              <w:rPr>
                <w:sz w:val="18"/>
                <w:szCs w:val="18"/>
              </w:rPr>
              <w:t xml:space="preserve">2.27% </w:t>
            </w:r>
          </w:p>
        </w:tc>
        <w:tc>
          <w:tcPr>
            <w:tcW w:w="1275" w:type="dxa"/>
            <w:vAlign w:val="center"/>
          </w:tcPr>
          <w:p w14:paraId="0FC95D39" w14:textId="77777777" w:rsidR="00002A81" w:rsidRPr="00A5477A" w:rsidRDefault="00002A81" w:rsidP="00B16EBE">
            <w:pPr>
              <w:jc w:val="right"/>
              <w:rPr>
                <w:sz w:val="18"/>
                <w:szCs w:val="18"/>
              </w:rPr>
            </w:pPr>
            <w:r w:rsidRPr="00A5477A">
              <w:rPr>
                <w:sz w:val="18"/>
                <w:szCs w:val="18"/>
              </w:rPr>
              <w:t>75%</w:t>
            </w:r>
          </w:p>
        </w:tc>
      </w:tr>
    </w:tbl>
    <w:p w14:paraId="058A7F28" w14:textId="5D76DC2C" w:rsidR="00B82087" w:rsidRPr="00EB164D" w:rsidRDefault="00002A81">
      <w:pPr>
        <w:rPr>
          <w:i/>
          <w:sz w:val="16"/>
        </w:rPr>
      </w:pPr>
      <w:r>
        <w:rPr>
          <w:i/>
          <w:sz w:val="16"/>
        </w:rPr>
        <w:t>Source: MBS Analytics Section – December 2017</w:t>
      </w:r>
    </w:p>
    <w:p w14:paraId="1D417A08" w14:textId="0B1A2858" w:rsidR="00002A81" w:rsidRPr="00EB164D" w:rsidRDefault="00002A81" w:rsidP="00002A81">
      <w:pPr>
        <w:pStyle w:val="Heading1"/>
        <w:ind w:left="0" w:firstLine="0"/>
        <w:rPr>
          <w:sz w:val="24"/>
          <w:szCs w:val="24"/>
        </w:rPr>
      </w:pPr>
      <w:r w:rsidRPr="00EB164D">
        <w:rPr>
          <w:sz w:val="24"/>
          <w:szCs w:val="24"/>
        </w:rPr>
        <w:lastRenderedPageBreak/>
        <w:t>Background</w:t>
      </w:r>
    </w:p>
    <w:p w14:paraId="73F34E7C" w14:textId="77777777" w:rsidR="00002A81" w:rsidRPr="00957489" w:rsidRDefault="00002A81" w:rsidP="00002A81">
      <w:pPr>
        <w:pStyle w:val="BodyText"/>
      </w:pPr>
      <w:r w:rsidRPr="00103021">
        <w:t>MBS items 73333, 73334, 73335 for the Genetic Testing for Hereditary Mutation of the von Hippel -Lindau (VHL) Gene was listed onto the MBS on 1 November 2012.</w:t>
      </w:r>
    </w:p>
    <w:p w14:paraId="5816D31F" w14:textId="77777777" w:rsidR="00002A81" w:rsidRPr="00103021" w:rsidRDefault="00002A81" w:rsidP="00002A81">
      <w:pPr>
        <w:pStyle w:val="BodyText"/>
        <w:rPr>
          <w:highlight w:val="yellow"/>
        </w:rPr>
      </w:pPr>
      <w:r w:rsidRPr="00103021">
        <w:t>MSAC considered the real world impacts of the outcome of Application 1153 for the Genetic Testing for Hereditary Mutation of the von Hippel -Lindau (VHL) Gene (MBS item 73333, 73334, 73335) by examining the available data for this item number.</w:t>
      </w:r>
    </w:p>
    <w:p w14:paraId="7EAE31A3" w14:textId="77777777" w:rsidR="00002A81" w:rsidRPr="00103021" w:rsidRDefault="00002A81" w:rsidP="00002A81">
      <w:pPr>
        <w:pStyle w:val="BodyText"/>
        <w:rPr>
          <w:spacing w:val="-3"/>
          <w:szCs w:val="24"/>
        </w:rPr>
      </w:pPr>
      <w:r w:rsidRPr="00103021">
        <w:rPr>
          <w:spacing w:val="-3"/>
          <w:szCs w:val="24"/>
        </w:rPr>
        <w:t>On November 2010, the Pathology Services Table Committee (PSTC) requested that the Medical Services Advisory Committee (MSAC) undertake an assessment of genetic testing for hereditary mutations in the VHL gene that cause von Hippel-Lindau (VHL) syndrome for (</w:t>
      </w:r>
      <w:proofErr w:type="spellStart"/>
      <w:r w:rsidRPr="00103021">
        <w:rPr>
          <w:spacing w:val="-3"/>
          <w:szCs w:val="24"/>
        </w:rPr>
        <w:t>i</w:t>
      </w:r>
      <w:proofErr w:type="spellEnd"/>
      <w:r w:rsidRPr="00103021">
        <w:rPr>
          <w:spacing w:val="-3"/>
          <w:szCs w:val="24"/>
        </w:rPr>
        <w:t>) patients with symptoms of VHL syndrome, and (ii) family members of a patient with a confi</w:t>
      </w:r>
      <w:r>
        <w:rPr>
          <w:spacing w:val="-3"/>
          <w:szCs w:val="24"/>
        </w:rPr>
        <w:t>rmed diagnosis of VHL syndrome.</w:t>
      </w:r>
    </w:p>
    <w:p w14:paraId="7BB33133" w14:textId="77777777" w:rsidR="00002A81" w:rsidRPr="00103021" w:rsidRDefault="00002A81" w:rsidP="00002A81">
      <w:pPr>
        <w:pStyle w:val="BodyText"/>
        <w:rPr>
          <w:spacing w:val="-3"/>
          <w:szCs w:val="24"/>
        </w:rPr>
      </w:pPr>
      <w:r w:rsidRPr="00103021">
        <w:rPr>
          <w:spacing w:val="-3"/>
          <w:szCs w:val="24"/>
        </w:rPr>
        <w:t>VHL syndrome is a relatively rare clinical diagnosis of what is largely an inherited disorder that affects approximately 1 in 91,000 people worldwide.  It is characterised by both benign and malignant tumours in specific organs of the body, including the central nervous system, eye, inner ear, kidney, pancreas, adrenal gland, and epididymis in the male an</w:t>
      </w:r>
      <w:r>
        <w:rPr>
          <w:spacing w:val="-3"/>
          <w:szCs w:val="24"/>
        </w:rPr>
        <w:t>d broad ligament in the female.</w:t>
      </w:r>
    </w:p>
    <w:p w14:paraId="24735C74" w14:textId="77777777" w:rsidR="00002A81" w:rsidRPr="00103021" w:rsidRDefault="00002A81" w:rsidP="00002A81">
      <w:pPr>
        <w:pStyle w:val="BodyText"/>
        <w:rPr>
          <w:spacing w:val="-3"/>
          <w:szCs w:val="24"/>
        </w:rPr>
      </w:pPr>
      <w:r w:rsidRPr="00103021">
        <w:rPr>
          <w:spacing w:val="-3"/>
          <w:szCs w:val="24"/>
        </w:rPr>
        <w:t>It was expected that the MBS item for the testing of relatives would primarily be used for first- and second-degree relatives, but the proposed listing was kept broad to allow for exceptional circumstances where wider use may be required. The comparator used for assessing the performance of VHL testing was patien</w:t>
      </w:r>
      <w:r>
        <w:rPr>
          <w:spacing w:val="-3"/>
          <w:szCs w:val="24"/>
        </w:rPr>
        <w:t>ts with diagnosed VHL syndrome.</w:t>
      </w:r>
    </w:p>
    <w:p w14:paraId="78AE8968" w14:textId="77777777" w:rsidR="00002A81" w:rsidRPr="00103021" w:rsidRDefault="00002A81" w:rsidP="00002A81">
      <w:pPr>
        <w:pStyle w:val="BodyText"/>
        <w:rPr>
          <w:spacing w:val="-3"/>
          <w:szCs w:val="24"/>
        </w:rPr>
      </w:pPr>
      <w:r w:rsidRPr="00103021">
        <w:rPr>
          <w:spacing w:val="-3"/>
          <w:szCs w:val="24"/>
        </w:rPr>
        <w:t xml:space="preserve">MSAC suggested that diagnostic testing for heritable mutation in affected patients and diagnostic testing for somatic mutations in patients with VHL syndrome and normal germline study be made available to specialists involved in the management of patients with VHL syndrome, but that predictive test for heritable mutation in relative of person with a heritable mutation </w:t>
      </w:r>
      <w:proofErr w:type="gramStart"/>
      <w:r w:rsidRPr="00103021">
        <w:rPr>
          <w:spacing w:val="-3"/>
          <w:szCs w:val="24"/>
        </w:rPr>
        <w:t>be</w:t>
      </w:r>
      <w:proofErr w:type="gramEnd"/>
      <w:r w:rsidRPr="00103021">
        <w:rPr>
          <w:spacing w:val="-3"/>
          <w:szCs w:val="24"/>
        </w:rPr>
        <w:t xml:space="preserve"> rest</w:t>
      </w:r>
      <w:r>
        <w:rPr>
          <w:spacing w:val="-3"/>
          <w:szCs w:val="24"/>
        </w:rPr>
        <w:t>ricted to clinical geneticists.</w:t>
      </w:r>
    </w:p>
    <w:p w14:paraId="5ADA4E9E" w14:textId="77777777" w:rsidR="00002A81" w:rsidRPr="00103021" w:rsidRDefault="00002A81" w:rsidP="00002A81">
      <w:pPr>
        <w:pStyle w:val="BodyText"/>
        <w:rPr>
          <w:spacing w:val="-3"/>
          <w:szCs w:val="24"/>
        </w:rPr>
      </w:pPr>
      <w:r w:rsidRPr="00103021">
        <w:rPr>
          <w:spacing w:val="-3"/>
          <w:szCs w:val="24"/>
        </w:rPr>
        <w:t>MSAC noted that most current testing is done outside the Medicare system and 16% of laboratories performed less than 100 genotype tests in one year, with many laboratories performing very few diagnostic tests falling outside the scope of NATA volume threshold criteria.  MSAC suggested that all testing should be ordered by a clinical geneticist or through a family cancer clinic or general genetics clinic – whose roles would include interpretation of unclassified variants and negative tests.  MSAC also noted that MBS listing of this test would be contingent on an accredited quality assurance program to su</w:t>
      </w:r>
      <w:r>
        <w:rPr>
          <w:spacing w:val="-3"/>
          <w:szCs w:val="24"/>
        </w:rPr>
        <w:t>pport the delivery of the test.</w:t>
      </w:r>
    </w:p>
    <w:p w14:paraId="1C2022DD" w14:textId="17E64996" w:rsidR="006E5B77" w:rsidRDefault="00002A81" w:rsidP="006E5B77">
      <w:pPr>
        <w:pStyle w:val="BodyText"/>
        <w:rPr>
          <w:spacing w:val="-3"/>
          <w:szCs w:val="24"/>
        </w:rPr>
      </w:pPr>
      <w:r w:rsidRPr="00103021">
        <w:rPr>
          <w:spacing w:val="-3"/>
          <w:szCs w:val="24"/>
        </w:rPr>
        <w:t>MSAC noted that laboratories offering the test in-house must have National Association of Testing Authorities accreditation, with demonstrated compliance with the suite of standards on the validation of in-house IVDs, as published by the National Pathology Accreditation Advisory Committee, for each test manufactured.</w:t>
      </w:r>
      <w:r w:rsidR="006E5B77">
        <w:rPr>
          <w:spacing w:val="-3"/>
          <w:szCs w:val="24"/>
        </w:rPr>
        <w:br w:type="page"/>
      </w:r>
    </w:p>
    <w:p w14:paraId="1B13C8C7" w14:textId="2D3CC413" w:rsidR="00002A81" w:rsidRPr="006E5B77" w:rsidRDefault="00002A81" w:rsidP="00002A81">
      <w:pPr>
        <w:pStyle w:val="Heading1"/>
        <w:ind w:left="0" w:firstLine="0"/>
        <w:rPr>
          <w:sz w:val="24"/>
          <w:szCs w:val="24"/>
        </w:rPr>
      </w:pPr>
      <w:r w:rsidRPr="006E5B77">
        <w:rPr>
          <w:sz w:val="24"/>
          <w:szCs w:val="24"/>
        </w:rPr>
        <w:lastRenderedPageBreak/>
        <w:t>Item descriptor</w:t>
      </w:r>
    </w:p>
    <w:tbl>
      <w:tblPr>
        <w:tblStyle w:val="TableGrid"/>
        <w:tblW w:w="0" w:type="auto"/>
        <w:tblInd w:w="108" w:type="dxa"/>
        <w:tblCellMar>
          <w:top w:w="57" w:type="dxa"/>
          <w:left w:w="57" w:type="dxa"/>
          <w:bottom w:w="57" w:type="dxa"/>
          <w:right w:w="57" w:type="dxa"/>
        </w:tblCellMar>
        <w:tblLook w:val="04A0" w:firstRow="1" w:lastRow="0" w:firstColumn="1" w:lastColumn="0" w:noHBand="0" w:noVBand="1"/>
        <w:tblCaption w:val="Short Descriptor of each co-claimed service"/>
      </w:tblPr>
      <w:tblGrid>
        <w:gridCol w:w="942"/>
        <w:gridCol w:w="7938"/>
      </w:tblGrid>
      <w:tr w:rsidR="00002A81" w:rsidRPr="00A5477A" w14:paraId="7DB220BC" w14:textId="77777777" w:rsidTr="00B16EBE">
        <w:trPr>
          <w:tblHeader/>
        </w:trPr>
        <w:tc>
          <w:tcPr>
            <w:tcW w:w="942" w:type="dxa"/>
            <w:shd w:val="clear" w:color="auto" w:fill="C6D9F1" w:themeFill="text2" w:themeFillTint="33"/>
          </w:tcPr>
          <w:p w14:paraId="610A3110" w14:textId="77777777" w:rsidR="00002A81" w:rsidRPr="00A5477A" w:rsidRDefault="00002A81" w:rsidP="00B16EBE">
            <w:pPr>
              <w:rPr>
                <w:b/>
                <w:sz w:val="18"/>
                <w:szCs w:val="18"/>
              </w:rPr>
            </w:pPr>
            <w:r w:rsidRPr="00A5477A">
              <w:rPr>
                <w:b/>
                <w:sz w:val="18"/>
                <w:szCs w:val="18"/>
              </w:rPr>
              <w:t xml:space="preserve">MBS </w:t>
            </w:r>
            <w:r>
              <w:rPr>
                <w:b/>
                <w:sz w:val="18"/>
                <w:szCs w:val="18"/>
              </w:rPr>
              <w:br/>
            </w:r>
            <w:r w:rsidRPr="00A5477A">
              <w:rPr>
                <w:b/>
                <w:sz w:val="18"/>
                <w:szCs w:val="18"/>
              </w:rPr>
              <w:t>Item #</w:t>
            </w:r>
          </w:p>
        </w:tc>
        <w:tc>
          <w:tcPr>
            <w:tcW w:w="7938" w:type="dxa"/>
            <w:shd w:val="clear" w:color="auto" w:fill="C6D9F1" w:themeFill="text2" w:themeFillTint="33"/>
          </w:tcPr>
          <w:p w14:paraId="5F092A8C" w14:textId="77777777" w:rsidR="00002A81" w:rsidRPr="00A5477A" w:rsidRDefault="00002A81" w:rsidP="00B16EBE">
            <w:pPr>
              <w:rPr>
                <w:b/>
                <w:sz w:val="18"/>
                <w:szCs w:val="18"/>
              </w:rPr>
            </w:pPr>
            <w:r w:rsidRPr="00A5477A">
              <w:rPr>
                <w:b/>
                <w:sz w:val="18"/>
                <w:szCs w:val="18"/>
              </w:rPr>
              <w:t xml:space="preserve">Descriptor </w:t>
            </w:r>
          </w:p>
        </w:tc>
      </w:tr>
      <w:tr w:rsidR="00002A81" w:rsidRPr="00A5477A" w14:paraId="6D41CAC8" w14:textId="77777777" w:rsidTr="00B16EBE">
        <w:tc>
          <w:tcPr>
            <w:tcW w:w="942" w:type="dxa"/>
          </w:tcPr>
          <w:p w14:paraId="359ED15F" w14:textId="77777777" w:rsidR="00002A81" w:rsidRPr="00A5477A" w:rsidDel="00C65DC9" w:rsidRDefault="00002A81" w:rsidP="00B16EBE">
            <w:pPr>
              <w:rPr>
                <w:sz w:val="18"/>
                <w:szCs w:val="18"/>
              </w:rPr>
            </w:pPr>
            <w:r w:rsidRPr="00A5477A">
              <w:rPr>
                <w:sz w:val="18"/>
                <w:szCs w:val="18"/>
              </w:rPr>
              <w:t>65070</w:t>
            </w:r>
          </w:p>
        </w:tc>
        <w:tc>
          <w:tcPr>
            <w:tcW w:w="7938" w:type="dxa"/>
          </w:tcPr>
          <w:p w14:paraId="28D2F3C4" w14:textId="77777777" w:rsidR="00002A81" w:rsidRPr="00A5477A" w:rsidRDefault="00002A81" w:rsidP="00B16EBE">
            <w:pPr>
              <w:autoSpaceDE w:val="0"/>
              <w:autoSpaceDN w:val="0"/>
              <w:adjustRightInd w:val="0"/>
              <w:jc w:val="both"/>
              <w:rPr>
                <w:sz w:val="18"/>
                <w:szCs w:val="18"/>
              </w:rPr>
            </w:pPr>
            <w:r w:rsidRPr="00A5477A">
              <w:rPr>
                <w:sz w:val="18"/>
                <w:szCs w:val="18"/>
              </w:rPr>
              <w:t xml:space="preserve">Erythrocyte count, haematocrit, haemoglobin, calculation or measurement of red cell index or indices, platelet count, leucocyte count and manual or instrument generated differential count - not being a service where haemoglobin only is requested - one or more instrument generated set of results from a single sample; and (if performed) </w:t>
            </w:r>
          </w:p>
          <w:p w14:paraId="3FDE8044" w14:textId="657C1A77" w:rsidR="00002A81" w:rsidRPr="00A5477A" w:rsidRDefault="00002A81" w:rsidP="00B16EBE">
            <w:pPr>
              <w:autoSpaceDE w:val="0"/>
              <w:autoSpaceDN w:val="0"/>
              <w:adjustRightInd w:val="0"/>
              <w:jc w:val="both"/>
              <w:rPr>
                <w:sz w:val="18"/>
                <w:szCs w:val="18"/>
              </w:rPr>
            </w:pPr>
            <w:r w:rsidRPr="00A5477A">
              <w:rPr>
                <w:sz w:val="18"/>
                <w:szCs w:val="18"/>
              </w:rPr>
              <w:t>(a)</w:t>
            </w:r>
            <w:r w:rsidR="00250FC7">
              <w:rPr>
                <w:sz w:val="18"/>
                <w:szCs w:val="18"/>
              </w:rPr>
              <w:t xml:space="preserve"> </w:t>
            </w:r>
            <w:r w:rsidRPr="00A5477A">
              <w:rPr>
                <w:sz w:val="18"/>
                <w:szCs w:val="18"/>
              </w:rPr>
              <w:t xml:space="preserve">a morphological assessment of a blood film; </w:t>
            </w:r>
          </w:p>
          <w:p w14:paraId="4A17722F" w14:textId="768F9C98" w:rsidR="00002A81" w:rsidRPr="00A5477A" w:rsidRDefault="00250FC7" w:rsidP="00EB164D">
            <w:pPr>
              <w:autoSpaceDE w:val="0"/>
              <w:autoSpaceDN w:val="0"/>
              <w:adjustRightInd w:val="0"/>
              <w:spacing w:after="240"/>
              <w:jc w:val="both"/>
              <w:rPr>
                <w:sz w:val="18"/>
                <w:szCs w:val="18"/>
              </w:rPr>
            </w:pPr>
            <w:r>
              <w:rPr>
                <w:sz w:val="18"/>
                <w:szCs w:val="18"/>
              </w:rPr>
              <w:t xml:space="preserve">(b) </w:t>
            </w:r>
            <w:r w:rsidR="00002A81" w:rsidRPr="00A5477A">
              <w:rPr>
                <w:sz w:val="18"/>
                <w:szCs w:val="18"/>
              </w:rPr>
              <w:t xml:space="preserve">any service in item 65060 or 65072 </w:t>
            </w:r>
          </w:p>
          <w:p w14:paraId="0084446D" w14:textId="77777777" w:rsidR="00002A81" w:rsidRPr="00A5477A" w:rsidDel="00C65DC9" w:rsidRDefault="00002A81" w:rsidP="00B16EBE">
            <w:pPr>
              <w:autoSpaceDE w:val="0"/>
              <w:autoSpaceDN w:val="0"/>
              <w:adjustRightInd w:val="0"/>
              <w:jc w:val="both"/>
              <w:rPr>
                <w:sz w:val="18"/>
                <w:szCs w:val="18"/>
              </w:rPr>
            </w:pPr>
            <w:r w:rsidRPr="00A5477A">
              <w:rPr>
                <w:b/>
                <w:sz w:val="18"/>
                <w:szCs w:val="18"/>
              </w:rPr>
              <w:t>Fee:</w:t>
            </w:r>
            <w:r w:rsidRPr="00A5477A">
              <w:rPr>
                <w:sz w:val="18"/>
                <w:szCs w:val="18"/>
              </w:rPr>
              <w:t xml:space="preserve"> $16.95 </w:t>
            </w:r>
            <w:r w:rsidRPr="00A5477A">
              <w:rPr>
                <w:b/>
                <w:sz w:val="18"/>
                <w:szCs w:val="18"/>
              </w:rPr>
              <w:t>Benefit:</w:t>
            </w:r>
            <w:r w:rsidRPr="00A5477A">
              <w:rPr>
                <w:sz w:val="18"/>
                <w:szCs w:val="18"/>
              </w:rPr>
              <w:t xml:space="preserve"> 75% = $12.75 85% = $14.45</w:t>
            </w:r>
          </w:p>
        </w:tc>
      </w:tr>
      <w:tr w:rsidR="00002A81" w:rsidRPr="00A5477A" w14:paraId="59B1B692" w14:textId="77777777" w:rsidTr="00B16EBE">
        <w:tc>
          <w:tcPr>
            <w:tcW w:w="942" w:type="dxa"/>
          </w:tcPr>
          <w:p w14:paraId="100D5BE9" w14:textId="77777777" w:rsidR="00002A81" w:rsidRPr="00A5477A" w:rsidDel="00C65DC9" w:rsidRDefault="00002A81" w:rsidP="00B16EBE">
            <w:pPr>
              <w:rPr>
                <w:sz w:val="18"/>
                <w:szCs w:val="18"/>
              </w:rPr>
            </w:pPr>
            <w:r w:rsidRPr="00A5477A">
              <w:rPr>
                <w:sz w:val="18"/>
                <w:szCs w:val="18"/>
              </w:rPr>
              <w:t>65120</w:t>
            </w:r>
          </w:p>
        </w:tc>
        <w:tc>
          <w:tcPr>
            <w:tcW w:w="7938" w:type="dxa"/>
          </w:tcPr>
          <w:p w14:paraId="6C1AE64A" w14:textId="4CF6E8AA" w:rsidR="00002A81" w:rsidRPr="00A5477A" w:rsidRDefault="00002A81" w:rsidP="00EB164D">
            <w:pPr>
              <w:autoSpaceDE w:val="0"/>
              <w:autoSpaceDN w:val="0"/>
              <w:adjustRightInd w:val="0"/>
              <w:spacing w:after="240"/>
              <w:jc w:val="both"/>
              <w:rPr>
                <w:sz w:val="18"/>
                <w:szCs w:val="18"/>
              </w:rPr>
            </w:pPr>
            <w:r w:rsidRPr="00A5477A">
              <w:rPr>
                <w:sz w:val="18"/>
                <w:szCs w:val="18"/>
              </w:rPr>
              <w:t xml:space="preserve">Prothrombin time (including INR where appropriate), activated partial thromboplastin time, thrombin time (including test for the presence of heparin), test for factor XIII deficiency (qualitative), </w:t>
            </w:r>
            <w:proofErr w:type="spellStart"/>
            <w:r w:rsidRPr="00A5477A">
              <w:rPr>
                <w:sz w:val="18"/>
                <w:szCs w:val="18"/>
              </w:rPr>
              <w:t>Echis</w:t>
            </w:r>
            <w:proofErr w:type="spellEnd"/>
            <w:r w:rsidRPr="00A5477A">
              <w:rPr>
                <w:sz w:val="18"/>
                <w:szCs w:val="18"/>
              </w:rPr>
              <w:t xml:space="preserve"> test, </w:t>
            </w:r>
            <w:proofErr w:type="spellStart"/>
            <w:r w:rsidRPr="00A5477A">
              <w:rPr>
                <w:sz w:val="18"/>
                <w:szCs w:val="18"/>
              </w:rPr>
              <w:t>Stypven</w:t>
            </w:r>
            <w:proofErr w:type="spellEnd"/>
            <w:r w:rsidRPr="00A5477A">
              <w:rPr>
                <w:sz w:val="18"/>
                <w:szCs w:val="18"/>
              </w:rPr>
              <w:t xml:space="preserve"> test, </w:t>
            </w:r>
            <w:proofErr w:type="spellStart"/>
            <w:r w:rsidRPr="00A5477A">
              <w:rPr>
                <w:sz w:val="18"/>
                <w:szCs w:val="18"/>
              </w:rPr>
              <w:t>reptilase</w:t>
            </w:r>
            <w:proofErr w:type="spellEnd"/>
            <w:r w:rsidRPr="00A5477A">
              <w:rPr>
                <w:sz w:val="18"/>
                <w:szCs w:val="18"/>
              </w:rPr>
              <w:t xml:space="preserve"> time, fibrinogen, or 1 of fibrinogen degradation products, fibrin monomer or D-dimer - 1 test </w:t>
            </w:r>
          </w:p>
          <w:p w14:paraId="5F018E01" w14:textId="77777777" w:rsidR="00002A81" w:rsidRPr="00A5477A" w:rsidDel="00C65DC9" w:rsidRDefault="00002A81" w:rsidP="00B16EBE">
            <w:pPr>
              <w:autoSpaceDE w:val="0"/>
              <w:autoSpaceDN w:val="0"/>
              <w:adjustRightInd w:val="0"/>
              <w:jc w:val="both"/>
              <w:rPr>
                <w:sz w:val="18"/>
                <w:szCs w:val="18"/>
              </w:rPr>
            </w:pPr>
            <w:r w:rsidRPr="00A5477A">
              <w:rPr>
                <w:b/>
                <w:sz w:val="18"/>
                <w:szCs w:val="18"/>
              </w:rPr>
              <w:t>Fee:</w:t>
            </w:r>
            <w:r w:rsidRPr="00A5477A">
              <w:rPr>
                <w:sz w:val="18"/>
                <w:szCs w:val="18"/>
              </w:rPr>
              <w:t xml:space="preserve"> $13.70 </w:t>
            </w:r>
            <w:r w:rsidRPr="00A5477A">
              <w:rPr>
                <w:b/>
                <w:sz w:val="18"/>
                <w:szCs w:val="18"/>
              </w:rPr>
              <w:t>Benefit:</w:t>
            </w:r>
            <w:r w:rsidRPr="00A5477A">
              <w:rPr>
                <w:sz w:val="18"/>
                <w:szCs w:val="18"/>
              </w:rPr>
              <w:t xml:space="preserve"> 75% = $10.30 85% = $11.65</w:t>
            </w:r>
          </w:p>
        </w:tc>
      </w:tr>
      <w:tr w:rsidR="00002A81" w:rsidRPr="00A5477A" w14:paraId="48FB1ABA" w14:textId="77777777" w:rsidTr="00B16EBE">
        <w:tc>
          <w:tcPr>
            <w:tcW w:w="942" w:type="dxa"/>
          </w:tcPr>
          <w:p w14:paraId="11B5E2B2" w14:textId="77777777" w:rsidR="00002A81" w:rsidRPr="00A5477A" w:rsidDel="00C65DC9" w:rsidRDefault="00002A81" w:rsidP="00B16EBE">
            <w:pPr>
              <w:rPr>
                <w:sz w:val="18"/>
                <w:szCs w:val="18"/>
              </w:rPr>
            </w:pPr>
            <w:r w:rsidRPr="00A5477A">
              <w:rPr>
                <w:sz w:val="18"/>
                <w:szCs w:val="18"/>
              </w:rPr>
              <w:t>65123</w:t>
            </w:r>
          </w:p>
        </w:tc>
        <w:tc>
          <w:tcPr>
            <w:tcW w:w="7938" w:type="dxa"/>
          </w:tcPr>
          <w:p w14:paraId="21A12237" w14:textId="576C3DFC" w:rsidR="00002A81" w:rsidRPr="00A5477A" w:rsidRDefault="00002A81" w:rsidP="00EB164D">
            <w:pPr>
              <w:autoSpaceDE w:val="0"/>
              <w:autoSpaceDN w:val="0"/>
              <w:adjustRightInd w:val="0"/>
              <w:spacing w:after="240"/>
              <w:jc w:val="both"/>
              <w:rPr>
                <w:sz w:val="18"/>
                <w:szCs w:val="18"/>
              </w:rPr>
            </w:pPr>
            <w:r w:rsidRPr="00A5477A">
              <w:rPr>
                <w:sz w:val="18"/>
                <w:szCs w:val="18"/>
              </w:rPr>
              <w:t xml:space="preserve">2 tests described in item 65120 </w:t>
            </w:r>
          </w:p>
          <w:p w14:paraId="3DAA4A8F" w14:textId="77777777" w:rsidR="00002A81" w:rsidRPr="00A5477A" w:rsidDel="00C65DC9" w:rsidRDefault="00002A81" w:rsidP="00B16EBE">
            <w:pPr>
              <w:autoSpaceDE w:val="0"/>
              <w:autoSpaceDN w:val="0"/>
              <w:adjustRightInd w:val="0"/>
              <w:jc w:val="both"/>
              <w:rPr>
                <w:sz w:val="18"/>
                <w:szCs w:val="18"/>
              </w:rPr>
            </w:pPr>
            <w:r w:rsidRPr="00A5477A">
              <w:rPr>
                <w:sz w:val="18"/>
                <w:szCs w:val="18"/>
              </w:rPr>
              <w:t>Fee: $20.35 Benefit: 75% = $15.30 85% = $17.30</w:t>
            </w:r>
          </w:p>
        </w:tc>
      </w:tr>
      <w:tr w:rsidR="00002A81" w:rsidRPr="00A5477A" w14:paraId="399374D2" w14:textId="77777777" w:rsidTr="00B16EBE">
        <w:tc>
          <w:tcPr>
            <w:tcW w:w="942" w:type="dxa"/>
          </w:tcPr>
          <w:p w14:paraId="643D360C" w14:textId="77777777" w:rsidR="00002A81" w:rsidRPr="00A5477A" w:rsidRDefault="00002A81" w:rsidP="00B16EBE">
            <w:pPr>
              <w:rPr>
                <w:sz w:val="18"/>
                <w:szCs w:val="18"/>
              </w:rPr>
            </w:pPr>
            <w:r w:rsidRPr="00A5477A">
              <w:rPr>
                <w:sz w:val="18"/>
                <w:szCs w:val="18"/>
              </w:rPr>
              <w:t>66500</w:t>
            </w:r>
          </w:p>
        </w:tc>
        <w:tc>
          <w:tcPr>
            <w:tcW w:w="7938" w:type="dxa"/>
          </w:tcPr>
          <w:p w14:paraId="4E4DE3CA" w14:textId="2B740CD4" w:rsidR="00002A81" w:rsidRPr="00A5477A" w:rsidRDefault="00002A81" w:rsidP="00EB164D">
            <w:pPr>
              <w:autoSpaceDE w:val="0"/>
              <w:autoSpaceDN w:val="0"/>
              <w:adjustRightInd w:val="0"/>
              <w:spacing w:after="240"/>
              <w:jc w:val="both"/>
              <w:rPr>
                <w:sz w:val="18"/>
                <w:szCs w:val="18"/>
              </w:rPr>
            </w:pPr>
            <w:r w:rsidRPr="00A5477A">
              <w:rPr>
                <w:sz w:val="18"/>
                <w:szCs w:val="18"/>
              </w:rPr>
              <w:t xml:space="preserve">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w:t>
            </w:r>
            <w:proofErr w:type="spellStart"/>
            <w:r w:rsidRPr="00A5477A">
              <w:rPr>
                <w:sz w:val="18"/>
                <w:szCs w:val="18"/>
              </w:rPr>
              <w:t>creatine</w:t>
            </w:r>
            <w:proofErr w:type="spellEnd"/>
            <w:r w:rsidRPr="00A5477A">
              <w:rPr>
                <w:sz w:val="18"/>
                <w:szCs w:val="18"/>
              </w:rPr>
              <w:t xml:space="preserve"> kinase, creatinine, gamma </w:t>
            </w:r>
            <w:proofErr w:type="spellStart"/>
            <w:r w:rsidRPr="00A5477A">
              <w:rPr>
                <w:sz w:val="18"/>
                <w:szCs w:val="18"/>
              </w:rPr>
              <w:t>glutamyl</w:t>
            </w:r>
            <w:proofErr w:type="spellEnd"/>
            <w:r w:rsidRPr="00A5477A">
              <w:rPr>
                <w:sz w:val="18"/>
                <w:szCs w:val="18"/>
              </w:rPr>
              <w:t xml:space="preserve"> transferase, globulin, glucose, lactate dehydrogenase, lipase, magnesium, phosphate, potassium, sodium, total protein, total cholesterol, triglycerides, urate or urea - 1 test </w:t>
            </w:r>
          </w:p>
          <w:p w14:paraId="1D289972" w14:textId="77777777" w:rsidR="00002A81" w:rsidRPr="00A5477A" w:rsidRDefault="00002A81" w:rsidP="00B16EBE">
            <w:pPr>
              <w:autoSpaceDE w:val="0"/>
              <w:autoSpaceDN w:val="0"/>
              <w:adjustRightInd w:val="0"/>
              <w:jc w:val="both"/>
              <w:rPr>
                <w:sz w:val="18"/>
                <w:szCs w:val="18"/>
              </w:rPr>
            </w:pPr>
            <w:r w:rsidRPr="00A5477A">
              <w:rPr>
                <w:b/>
                <w:sz w:val="18"/>
                <w:szCs w:val="18"/>
              </w:rPr>
              <w:t>Fee:</w:t>
            </w:r>
            <w:r w:rsidRPr="00A5477A">
              <w:rPr>
                <w:sz w:val="18"/>
                <w:szCs w:val="18"/>
              </w:rPr>
              <w:t xml:space="preserve"> $9.70 </w:t>
            </w:r>
            <w:r w:rsidRPr="00A5477A">
              <w:rPr>
                <w:b/>
                <w:sz w:val="18"/>
                <w:szCs w:val="18"/>
              </w:rPr>
              <w:t>Benefit:</w:t>
            </w:r>
            <w:r w:rsidRPr="00A5477A">
              <w:rPr>
                <w:sz w:val="18"/>
                <w:szCs w:val="18"/>
              </w:rPr>
              <w:t xml:space="preserve"> 75% = $7.30 85% = $8.25</w:t>
            </w:r>
          </w:p>
        </w:tc>
      </w:tr>
      <w:tr w:rsidR="00002A81" w:rsidRPr="00A5477A" w14:paraId="22F14A75" w14:textId="77777777" w:rsidTr="00B16EBE">
        <w:tc>
          <w:tcPr>
            <w:tcW w:w="942" w:type="dxa"/>
          </w:tcPr>
          <w:p w14:paraId="68F55DED" w14:textId="77777777" w:rsidR="00002A81" w:rsidRPr="00A5477A" w:rsidDel="00C65DC9" w:rsidRDefault="00002A81" w:rsidP="00B16EBE">
            <w:pPr>
              <w:rPr>
                <w:sz w:val="18"/>
                <w:szCs w:val="18"/>
              </w:rPr>
            </w:pPr>
            <w:r w:rsidRPr="00A5477A">
              <w:rPr>
                <w:sz w:val="18"/>
                <w:szCs w:val="18"/>
              </w:rPr>
              <w:t>66503</w:t>
            </w:r>
          </w:p>
        </w:tc>
        <w:tc>
          <w:tcPr>
            <w:tcW w:w="7938" w:type="dxa"/>
          </w:tcPr>
          <w:p w14:paraId="1B8C0F1A" w14:textId="5C508091" w:rsidR="00002A81" w:rsidRPr="00A5477A" w:rsidRDefault="00002A81" w:rsidP="00EB164D">
            <w:pPr>
              <w:autoSpaceDE w:val="0"/>
              <w:autoSpaceDN w:val="0"/>
              <w:adjustRightInd w:val="0"/>
              <w:spacing w:after="240"/>
              <w:jc w:val="both"/>
              <w:rPr>
                <w:sz w:val="18"/>
                <w:szCs w:val="18"/>
              </w:rPr>
            </w:pPr>
            <w:r w:rsidRPr="00A5477A">
              <w:rPr>
                <w:sz w:val="18"/>
                <w:szCs w:val="18"/>
              </w:rPr>
              <w:t xml:space="preserve">2 tests described in item 66500 </w:t>
            </w:r>
          </w:p>
          <w:p w14:paraId="672C20C0" w14:textId="3459DD68" w:rsidR="00EB164D" w:rsidRPr="00A5477A" w:rsidDel="00C65DC9" w:rsidRDefault="00002A81" w:rsidP="00EB164D">
            <w:pPr>
              <w:autoSpaceDE w:val="0"/>
              <w:autoSpaceDN w:val="0"/>
              <w:adjustRightInd w:val="0"/>
              <w:spacing w:after="240"/>
              <w:jc w:val="both"/>
              <w:rPr>
                <w:sz w:val="18"/>
                <w:szCs w:val="18"/>
              </w:rPr>
            </w:pPr>
            <w:r w:rsidRPr="00A5477A">
              <w:rPr>
                <w:b/>
                <w:sz w:val="18"/>
                <w:szCs w:val="18"/>
              </w:rPr>
              <w:t>Fee:</w:t>
            </w:r>
            <w:r w:rsidRPr="00A5477A">
              <w:rPr>
                <w:sz w:val="18"/>
                <w:szCs w:val="18"/>
              </w:rPr>
              <w:t xml:space="preserve"> $11.65 </w:t>
            </w:r>
            <w:r w:rsidRPr="00A5477A">
              <w:rPr>
                <w:b/>
                <w:sz w:val="18"/>
                <w:szCs w:val="18"/>
              </w:rPr>
              <w:t>Benefit:</w:t>
            </w:r>
            <w:r w:rsidRPr="00A5477A">
              <w:rPr>
                <w:sz w:val="18"/>
                <w:szCs w:val="18"/>
              </w:rPr>
              <w:t xml:space="preserve"> 75% = $8.75 85% = $9.95</w:t>
            </w:r>
          </w:p>
        </w:tc>
      </w:tr>
      <w:tr w:rsidR="00002A81" w:rsidRPr="00A5477A" w14:paraId="72F49D3B" w14:textId="77777777" w:rsidTr="00B16EBE">
        <w:tc>
          <w:tcPr>
            <w:tcW w:w="942" w:type="dxa"/>
          </w:tcPr>
          <w:p w14:paraId="1DC222C7" w14:textId="77777777" w:rsidR="00002A81" w:rsidRPr="00A5477A" w:rsidRDefault="00002A81" w:rsidP="00B16EBE">
            <w:pPr>
              <w:rPr>
                <w:sz w:val="18"/>
                <w:szCs w:val="18"/>
              </w:rPr>
            </w:pPr>
            <w:r w:rsidRPr="00A5477A">
              <w:rPr>
                <w:sz w:val="18"/>
                <w:szCs w:val="18"/>
              </w:rPr>
              <w:t>66509</w:t>
            </w:r>
          </w:p>
        </w:tc>
        <w:tc>
          <w:tcPr>
            <w:tcW w:w="7938" w:type="dxa"/>
          </w:tcPr>
          <w:p w14:paraId="5A3FDEF3" w14:textId="6EF5B514" w:rsidR="00002A81" w:rsidRPr="00A5477A" w:rsidRDefault="00002A81" w:rsidP="00EB164D">
            <w:pPr>
              <w:spacing w:after="240"/>
              <w:rPr>
                <w:sz w:val="18"/>
                <w:szCs w:val="18"/>
              </w:rPr>
            </w:pPr>
            <w:r w:rsidRPr="00A5477A">
              <w:rPr>
                <w:sz w:val="18"/>
                <w:szCs w:val="18"/>
              </w:rPr>
              <w:t xml:space="preserve">4 tests described in item 66500 </w:t>
            </w:r>
          </w:p>
          <w:p w14:paraId="5F58F67A" w14:textId="77777777" w:rsidR="00002A81" w:rsidRPr="00A5477A" w:rsidRDefault="00002A81" w:rsidP="00B16EB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sz w:val="18"/>
                <w:szCs w:val="18"/>
              </w:rPr>
            </w:pPr>
            <w:r w:rsidRPr="00A5477A">
              <w:rPr>
                <w:b/>
                <w:sz w:val="18"/>
                <w:szCs w:val="18"/>
              </w:rPr>
              <w:t>Fee:</w:t>
            </w:r>
            <w:r w:rsidRPr="00A5477A">
              <w:rPr>
                <w:sz w:val="18"/>
                <w:szCs w:val="18"/>
              </w:rPr>
              <w:t xml:space="preserve"> $15.65 </w:t>
            </w:r>
            <w:r w:rsidRPr="00A5477A">
              <w:rPr>
                <w:b/>
                <w:sz w:val="18"/>
                <w:szCs w:val="18"/>
              </w:rPr>
              <w:t>Benefit:</w:t>
            </w:r>
            <w:r w:rsidRPr="00A5477A">
              <w:rPr>
                <w:sz w:val="18"/>
                <w:szCs w:val="18"/>
              </w:rPr>
              <w:t xml:space="preserve"> 75% = $11.75 85% = $13.35</w:t>
            </w:r>
          </w:p>
        </w:tc>
      </w:tr>
      <w:tr w:rsidR="00002A81" w:rsidRPr="00A5477A" w14:paraId="17B01EAA" w14:textId="77777777" w:rsidTr="00B16EBE">
        <w:tc>
          <w:tcPr>
            <w:tcW w:w="942" w:type="dxa"/>
          </w:tcPr>
          <w:p w14:paraId="2D40C464" w14:textId="77777777" w:rsidR="00002A81" w:rsidRPr="00A5477A" w:rsidRDefault="00002A81" w:rsidP="00B16EBE">
            <w:pPr>
              <w:rPr>
                <w:sz w:val="18"/>
                <w:szCs w:val="18"/>
              </w:rPr>
            </w:pPr>
            <w:r w:rsidRPr="00A5477A">
              <w:rPr>
                <w:sz w:val="18"/>
                <w:szCs w:val="18"/>
              </w:rPr>
              <w:t>66512</w:t>
            </w:r>
          </w:p>
        </w:tc>
        <w:tc>
          <w:tcPr>
            <w:tcW w:w="7938" w:type="dxa"/>
          </w:tcPr>
          <w:p w14:paraId="26885313" w14:textId="03CA1E5F" w:rsidR="00002A81" w:rsidRPr="00A5477A" w:rsidRDefault="00002A81" w:rsidP="00EB164D">
            <w:pPr>
              <w:spacing w:after="240"/>
              <w:rPr>
                <w:sz w:val="18"/>
                <w:szCs w:val="18"/>
              </w:rPr>
            </w:pPr>
            <w:r w:rsidRPr="00A5477A">
              <w:rPr>
                <w:sz w:val="18"/>
                <w:szCs w:val="18"/>
              </w:rPr>
              <w:t xml:space="preserve">5 or more tests described in item 66500 </w:t>
            </w:r>
          </w:p>
          <w:p w14:paraId="56E7DA57" w14:textId="77777777" w:rsidR="00002A81" w:rsidRPr="00A5477A" w:rsidRDefault="00002A81" w:rsidP="00B16EBE">
            <w:pPr>
              <w:rPr>
                <w:sz w:val="18"/>
                <w:szCs w:val="18"/>
              </w:rPr>
            </w:pPr>
            <w:r w:rsidRPr="00A5477A">
              <w:rPr>
                <w:b/>
                <w:sz w:val="18"/>
                <w:szCs w:val="18"/>
              </w:rPr>
              <w:t>Fee:</w:t>
            </w:r>
            <w:r w:rsidRPr="00A5477A">
              <w:rPr>
                <w:sz w:val="18"/>
                <w:szCs w:val="18"/>
              </w:rPr>
              <w:t xml:space="preserve"> $17.70 </w:t>
            </w:r>
            <w:r w:rsidRPr="00A5477A">
              <w:rPr>
                <w:b/>
                <w:sz w:val="18"/>
                <w:szCs w:val="18"/>
              </w:rPr>
              <w:t>Benefit:</w:t>
            </w:r>
            <w:r w:rsidRPr="00A5477A">
              <w:rPr>
                <w:sz w:val="18"/>
                <w:szCs w:val="18"/>
              </w:rPr>
              <w:t xml:space="preserve"> 75% = $13.30 85% = $15.05</w:t>
            </w:r>
          </w:p>
        </w:tc>
      </w:tr>
      <w:tr w:rsidR="00002A81" w:rsidRPr="00A5477A" w14:paraId="69BDAD09" w14:textId="77777777" w:rsidTr="00B16EBE">
        <w:tc>
          <w:tcPr>
            <w:tcW w:w="942" w:type="dxa"/>
          </w:tcPr>
          <w:p w14:paraId="5A95182D" w14:textId="77777777" w:rsidR="00002A81" w:rsidRPr="00A5477A" w:rsidRDefault="00002A81" w:rsidP="00B16EBE">
            <w:pPr>
              <w:rPr>
                <w:sz w:val="18"/>
                <w:szCs w:val="18"/>
              </w:rPr>
            </w:pPr>
            <w:r w:rsidRPr="00A5477A">
              <w:rPr>
                <w:sz w:val="18"/>
                <w:szCs w:val="18"/>
              </w:rPr>
              <w:t>66518</w:t>
            </w:r>
          </w:p>
        </w:tc>
        <w:tc>
          <w:tcPr>
            <w:tcW w:w="7938" w:type="dxa"/>
          </w:tcPr>
          <w:p w14:paraId="77FF3FC4" w14:textId="105182E6" w:rsidR="00002A81" w:rsidRPr="00A5477A" w:rsidRDefault="00002A81" w:rsidP="00EB164D">
            <w:pPr>
              <w:spacing w:after="240"/>
              <w:rPr>
                <w:sz w:val="18"/>
                <w:szCs w:val="18"/>
              </w:rPr>
            </w:pPr>
            <w:r w:rsidRPr="00A5477A">
              <w:rPr>
                <w:sz w:val="18"/>
                <w:szCs w:val="18"/>
              </w:rPr>
              <w:t xml:space="preserve">Investigation of cardiac or skeletal muscle damage by quantitative measurement of </w:t>
            </w:r>
            <w:proofErr w:type="spellStart"/>
            <w:r w:rsidRPr="00A5477A">
              <w:rPr>
                <w:sz w:val="18"/>
                <w:szCs w:val="18"/>
              </w:rPr>
              <w:t>creatine</w:t>
            </w:r>
            <w:proofErr w:type="spellEnd"/>
            <w:r w:rsidRPr="00A5477A">
              <w:rPr>
                <w:sz w:val="18"/>
                <w:szCs w:val="18"/>
              </w:rPr>
              <w:t xml:space="preserve"> kinase isoenzymes, troponin or myoglobin in blood - testing on 1 specimen in a 24 hour period </w:t>
            </w:r>
          </w:p>
          <w:p w14:paraId="163E2928" w14:textId="77777777" w:rsidR="00002A81" w:rsidRPr="00A5477A" w:rsidRDefault="00002A81" w:rsidP="00B16EBE">
            <w:pPr>
              <w:autoSpaceDE w:val="0"/>
              <w:autoSpaceDN w:val="0"/>
              <w:adjustRightInd w:val="0"/>
              <w:jc w:val="both"/>
              <w:rPr>
                <w:sz w:val="18"/>
                <w:szCs w:val="18"/>
              </w:rPr>
            </w:pPr>
            <w:r w:rsidRPr="00A5477A">
              <w:rPr>
                <w:b/>
                <w:sz w:val="18"/>
                <w:szCs w:val="18"/>
              </w:rPr>
              <w:t>Fee:</w:t>
            </w:r>
            <w:r w:rsidRPr="00A5477A">
              <w:rPr>
                <w:sz w:val="18"/>
                <w:szCs w:val="18"/>
              </w:rPr>
              <w:t xml:space="preserve"> $20.05 </w:t>
            </w:r>
            <w:r w:rsidRPr="00A5477A">
              <w:rPr>
                <w:b/>
                <w:sz w:val="18"/>
                <w:szCs w:val="18"/>
              </w:rPr>
              <w:t>Benefit:</w:t>
            </w:r>
            <w:r w:rsidRPr="00A5477A">
              <w:rPr>
                <w:sz w:val="18"/>
                <w:szCs w:val="18"/>
              </w:rPr>
              <w:t xml:space="preserve"> 75% = $15.05 85% = $17.05</w:t>
            </w:r>
          </w:p>
        </w:tc>
      </w:tr>
      <w:tr w:rsidR="00002A81" w:rsidRPr="00A5477A" w14:paraId="4793105A" w14:textId="77777777" w:rsidTr="00B16EBE">
        <w:tc>
          <w:tcPr>
            <w:tcW w:w="942" w:type="dxa"/>
          </w:tcPr>
          <w:p w14:paraId="2CA41361" w14:textId="77777777" w:rsidR="00002A81" w:rsidRPr="00A5477A" w:rsidRDefault="00002A81" w:rsidP="00B16EBE">
            <w:pPr>
              <w:rPr>
                <w:sz w:val="18"/>
                <w:szCs w:val="18"/>
              </w:rPr>
            </w:pPr>
            <w:r w:rsidRPr="00A5477A">
              <w:rPr>
                <w:sz w:val="18"/>
                <w:szCs w:val="18"/>
              </w:rPr>
              <w:t>66569</w:t>
            </w:r>
          </w:p>
        </w:tc>
        <w:tc>
          <w:tcPr>
            <w:tcW w:w="7938" w:type="dxa"/>
          </w:tcPr>
          <w:p w14:paraId="5D24DA40" w14:textId="11FEE213" w:rsidR="00002A81" w:rsidRPr="00A5477A" w:rsidRDefault="00002A81" w:rsidP="00EB164D">
            <w:pPr>
              <w:spacing w:after="240"/>
              <w:rPr>
                <w:sz w:val="18"/>
                <w:szCs w:val="18"/>
              </w:rPr>
            </w:pPr>
            <w:r w:rsidRPr="00A5477A">
              <w:rPr>
                <w:sz w:val="18"/>
                <w:szCs w:val="18"/>
              </w:rPr>
              <w:t xml:space="preserve">Quantitation of blood gases, bicarbonate and pH as described in item 66566 on 2 specimens performed within any 1 day </w:t>
            </w:r>
          </w:p>
          <w:p w14:paraId="69D5BBD0" w14:textId="77777777" w:rsidR="00002A81" w:rsidRPr="00A5477A" w:rsidRDefault="00002A81" w:rsidP="00B16EB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sz w:val="18"/>
                <w:szCs w:val="18"/>
              </w:rPr>
            </w:pPr>
            <w:r w:rsidRPr="00A5477A">
              <w:rPr>
                <w:b/>
                <w:sz w:val="18"/>
                <w:szCs w:val="18"/>
              </w:rPr>
              <w:t>Fee:</w:t>
            </w:r>
            <w:r w:rsidRPr="00A5477A">
              <w:rPr>
                <w:sz w:val="18"/>
                <w:szCs w:val="18"/>
              </w:rPr>
              <w:t xml:space="preserve"> $42.60 </w:t>
            </w:r>
            <w:r w:rsidRPr="00A5477A">
              <w:rPr>
                <w:b/>
                <w:sz w:val="18"/>
                <w:szCs w:val="18"/>
              </w:rPr>
              <w:t>Benefit:</w:t>
            </w:r>
            <w:r w:rsidRPr="00A5477A">
              <w:rPr>
                <w:sz w:val="18"/>
                <w:szCs w:val="18"/>
              </w:rPr>
              <w:t xml:space="preserve"> 75% = $31.95 85% = $36.25</w:t>
            </w:r>
          </w:p>
        </w:tc>
      </w:tr>
      <w:tr w:rsidR="00002A81" w:rsidRPr="00A5477A" w14:paraId="4DE55876" w14:textId="77777777" w:rsidTr="00B16EBE">
        <w:tc>
          <w:tcPr>
            <w:tcW w:w="942" w:type="dxa"/>
          </w:tcPr>
          <w:p w14:paraId="6FE714D9" w14:textId="77777777" w:rsidR="00002A81" w:rsidRPr="00A5477A" w:rsidRDefault="00002A81" w:rsidP="00B16EBE">
            <w:pPr>
              <w:rPr>
                <w:sz w:val="18"/>
                <w:szCs w:val="18"/>
              </w:rPr>
            </w:pPr>
            <w:r w:rsidRPr="00A5477A">
              <w:rPr>
                <w:sz w:val="18"/>
                <w:szCs w:val="18"/>
              </w:rPr>
              <w:t>66716</w:t>
            </w:r>
          </w:p>
        </w:tc>
        <w:tc>
          <w:tcPr>
            <w:tcW w:w="7938" w:type="dxa"/>
          </w:tcPr>
          <w:p w14:paraId="1E12553F" w14:textId="6BA30ABE" w:rsidR="00002A81" w:rsidRPr="00A5477A" w:rsidRDefault="00002A81" w:rsidP="00EB164D">
            <w:pPr>
              <w:spacing w:after="240"/>
              <w:rPr>
                <w:sz w:val="18"/>
                <w:szCs w:val="18"/>
              </w:rPr>
            </w:pPr>
            <w:r w:rsidRPr="00A5477A">
              <w:rPr>
                <w:sz w:val="18"/>
                <w:szCs w:val="18"/>
              </w:rPr>
              <w:t xml:space="preserve">TSH quantitation </w:t>
            </w:r>
          </w:p>
          <w:p w14:paraId="405D146C" w14:textId="77777777" w:rsidR="00002A81" w:rsidRPr="00A5477A" w:rsidRDefault="00002A81" w:rsidP="00B16EBE">
            <w:pPr>
              <w:rPr>
                <w:sz w:val="18"/>
                <w:szCs w:val="18"/>
              </w:rPr>
            </w:pPr>
            <w:r w:rsidRPr="00A5477A">
              <w:rPr>
                <w:b/>
                <w:sz w:val="18"/>
                <w:szCs w:val="18"/>
              </w:rPr>
              <w:t>Fee:</w:t>
            </w:r>
            <w:r w:rsidRPr="00A5477A">
              <w:rPr>
                <w:sz w:val="18"/>
                <w:szCs w:val="18"/>
              </w:rPr>
              <w:t xml:space="preserve"> $25.05 </w:t>
            </w:r>
            <w:r w:rsidRPr="00A5477A">
              <w:rPr>
                <w:b/>
                <w:sz w:val="18"/>
                <w:szCs w:val="18"/>
              </w:rPr>
              <w:t>Benefit:</w:t>
            </w:r>
            <w:r w:rsidRPr="00A5477A">
              <w:rPr>
                <w:sz w:val="18"/>
                <w:szCs w:val="18"/>
              </w:rPr>
              <w:t xml:space="preserve"> 75% = $18.80 85% = $21.30</w:t>
            </w:r>
          </w:p>
        </w:tc>
      </w:tr>
      <w:tr w:rsidR="00002A81" w:rsidRPr="00A5477A" w14:paraId="7DA74E89" w14:textId="77777777" w:rsidTr="00B16EBE">
        <w:tc>
          <w:tcPr>
            <w:tcW w:w="942" w:type="dxa"/>
          </w:tcPr>
          <w:p w14:paraId="727F8FEA" w14:textId="77777777" w:rsidR="00002A81" w:rsidRPr="00A5477A" w:rsidRDefault="00002A81" w:rsidP="00B16EBE">
            <w:pPr>
              <w:rPr>
                <w:sz w:val="18"/>
                <w:szCs w:val="18"/>
              </w:rPr>
            </w:pPr>
            <w:r w:rsidRPr="00A5477A">
              <w:rPr>
                <w:sz w:val="18"/>
                <w:szCs w:val="18"/>
              </w:rPr>
              <w:t>69354</w:t>
            </w:r>
          </w:p>
        </w:tc>
        <w:tc>
          <w:tcPr>
            <w:tcW w:w="7938" w:type="dxa"/>
          </w:tcPr>
          <w:p w14:paraId="22C0F72D" w14:textId="77777777" w:rsidR="00002A81" w:rsidRPr="00A5477A" w:rsidRDefault="00002A81" w:rsidP="00B16EBE">
            <w:pPr>
              <w:rPr>
                <w:sz w:val="18"/>
                <w:szCs w:val="18"/>
              </w:rPr>
            </w:pPr>
            <w:r w:rsidRPr="00A5477A">
              <w:rPr>
                <w:sz w:val="18"/>
                <w:szCs w:val="18"/>
              </w:rPr>
              <w:t xml:space="preserve">Blood culture for pathogenic micro-organisms (other than viruses), including sub-cultures and (if performed): </w:t>
            </w:r>
          </w:p>
          <w:p w14:paraId="5FD733DD" w14:textId="4E2AC2E0" w:rsidR="00002A81" w:rsidRPr="00A5477A" w:rsidRDefault="00002A81" w:rsidP="00B16EBE">
            <w:pPr>
              <w:rPr>
                <w:sz w:val="18"/>
                <w:szCs w:val="18"/>
              </w:rPr>
            </w:pPr>
            <w:r w:rsidRPr="00A5477A">
              <w:rPr>
                <w:sz w:val="18"/>
                <w:szCs w:val="18"/>
              </w:rPr>
              <w:t xml:space="preserve">(a) identification of any cultured pathogen;  and </w:t>
            </w:r>
          </w:p>
          <w:p w14:paraId="00266745" w14:textId="20A353B9" w:rsidR="00002A81" w:rsidRPr="00A5477A" w:rsidRDefault="00002A81" w:rsidP="00EB164D">
            <w:pPr>
              <w:spacing w:after="240"/>
              <w:rPr>
                <w:sz w:val="18"/>
                <w:szCs w:val="18"/>
              </w:rPr>
            </w:pPr>
            <w:r w:rsidRPr="00A5477A">
              <w:rPr>
                <w:sz w:val="18"/>
                <w:szCs w:val="18"/>
              </w:rPr>
              <w:t>(b)</w:t>
            </w:r>
            <w:r w:rsidR="00250FC7">
              <w:rPr>
                <w:sz w:val="18"/>
                <w:szCs w:val="18"/>
              </w:rPr>
              <w:t xml:space="preserve"> </w:t>
            </w:r>
            <w:r w:rsidRPr="00A5477A">
              <w:rPr>
                <w:sz w:val="18"/>
                <w:szCs w:val="18"/>
              </w:rPr>
              <w:t xml:space="preserve">necessary antibiotic susceptibility testing; </w:t>
            </w:r>
          </w:p>
          <w:p w14:paraId="2CF7E0A6" w14:textId="12FC3DDA" w:rsidR="00002A81" w:rsidRPr="00A5477A" w:rsidRDefault="00002A81" w:rsidP="00EB164D">
            <w:pPr>
              <w:spacing w:after="240"/>
              <w:rPr>
                <w:sz w:val="18"/>
                <w:szCs w:val="18"/>
              </w:rPr>
            </w:pPr>
            <w:r w:rsidRPr="00A5477A">
              <w:rPr>
                <w:sz w:val="18"/>
                <w:szCs w:val="18"/>
              </w:rPr>
              <w:t xml:space="preserve">to a maximum of 3 sets of cultures - 1 set of cultures </w:t>
            </w:r>
          </w:p>
          <w:p w14:paraId="6A1126F0" w14:textId="77777777" w:rsidR="00002A81" w:rsidRDefault="00002A81" w:rsidP="006E5B77">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240"/>
              <w:jc w:val="both"/>
              <w:rPr>
                <w:sz w:val="18"/>
                <w:szCs w:val="18"/>
              </w:rPr>
            </w:pPr>
            <w:r w:rsidRPr="00A5477A">
              <w:rPr>
                <w:b/>
                <w:sz w:val="18"/>
                <w:szCs w:val="18"/>
              </w:rPr>
              <w:t>Fee:</w:t>
            </w:r>
            <w:r w:rsidRPr="00A5477A">
              <w:rPr>
                <w:sz w:val="18"/>
                <w:szCs w:val="18"/>
              </w:rPr>
              <w:t xml:space="preserve"> $30.75 </w:t>
            </w:r>
            <w:r w:rsidRPr="00A5477A">
              <w:rPr>
                <w:b/>
                <w:sz w:val="18"/>
                <w:szCs w:val="18"/>
              </w:rPr>
              <w:t>Benefit:</w:t>
            </w:r>
            <w:r w:rsidRPr="00A5477A">
              <w:rPr>
                <w:sz w:val="18"/>
                <w:szCs w:val="18"/>
              </w:rPr>
              <w:t xml:space="preserve"> 75% = $23.10 85% = $26.15</w:t>
            </w:r>
          </w:p>
          <w:p w14:paraId="3C7207F0" w14:textId="77777777" w:rsidR="002D50ED" w:rsidRPr="00A5477A" w:rsidRDefault="002D50ED" w:rsidP="006E5B77">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240"/>
              <w:jc w:val="both"/>
              <w:rPr>
                <w:sz w:val="18"/>
                <w:szCs w:val="18"/>
              </w:rPr>
            </w:pPr>
          </w:p>
        </w:tc>
      </w:tr>
      <w:tr w:rsidR="00002A81" w:rsidRPr="00A5477A" w14:paraId="04BC4054" w14:textId="77777777" w:rsidTr="00B16EBE">
        <w:tc>
          <w:tcPr>
            <w:tcW w:w="942" w:type="dxa"/>
          </w:tcPr>
          <w:p w14:paraId="167CE17F" w14:textId="77777777" w:rsidR="00002A81" w:rsidRPr="00A5477A" w:rsidRDefault="00002A81" w:rsidP="00B16EBE">
            <w:pPr>
              <w:rPr>
                <w:sz w:val="18"/>
                <w:szCs w:val="18"/>
              </w:rPr>
            </w:pPr>
            <w:r w:rsidRPr="00A5477A">
              <w:rPr>
                <w:sz w:val="18"/>
                <w:szCs w:val="18"/>
              </w:rPr>
              <w:lastRenderedPageBreak/>
              <w:t>69363</w:t>
            </w:r>
          </w:p>
        </w:tc>
        <w:tc>
          <w:tcPr>
            <w:tcW w:w="7938" w:type="dxa"/>
          </w:tcPr>
          <w:p w14:paraId="66741B3D" w14:textId="081DFEE4" w:rsidR="00002A81" w:rsidRPr="00A5477A" w:rsidRDefault="00002A81" w:rsidP="006E5B77">
            <w:pPr>
              <w:spacing w:after="240"/>
              <w:rPr>
                <w:sz w:val="18"/>
                <w:szCs w:val="18"/>
              </w:rPr>
            </w:pPr>
            <w:r w:rsidRPr="00A5477A">
              <w:rPr>
                <w:sz w:val="18"/>
                <w:szCs w:val="18"/>
              </w:rPr>
              <w:t xml:space="preserve">Detection of Clostridium difficile or Clostridium difficile toxin (except if a service described in item 69345 has been performed) - one or more tests </w:t>
            </w:r>
          </w:p>
          <w:p w14:paraId="0F45D2FF" w14:textId="77777777" w:rsidR="00002A81" w:rsidRPr="00A5477A" w:rsidRDefault="00002A81" w:rsidP="00B16EBE">
            <w:pPr>
              <w:autoSpaceDE w:val="0"/>
              <w:autoSpaceDN w:val="0"/>
              <w:adjustRightInd w:val="0"/>
              <w:jc w:val="both"/>
              <w:rPr>
                <w:sz w:val="18"/>
                <w:szCs w:val="18"/>
              </w:rPr>
            </w:pPr>
            <w:r w:rsidRPr="00A5477A">
              <w:rPr>
                <w:b/>
                <w:sz w:val="18"/>
                <w:szCs w:val="18"/>
              </w:rPr>
              <w:t>Fee:</w:t>
            </w:r>
            <w:r w:rsidRPr="00A5477A">
              <w:rPr>
                <w:sz w:val="18"/>
                <w:szCs w:val="18"/>
              </w:rPr>
              <w:t xml:space="preserve"> $28.65 </w:t>
            </w:r>
            <w:r w:rsidRPr="00A5477A">
              <w:rPr>
                <w:b/>
                <w:sz w:val="18"/>
                <w:szCs w:val="18"/>
              </w:rPr>
              <w:t>Benefit:</w:t>
            </w:r>
            <w:r w:rsidRPr="00A5477A">
              <w:rPr>
                <w:sz w:val="18"/>
                <w:szCs w:val="18"/>
              </w:rPr>
              <w:t xml:space="preserve"> 75% = $21.50 85% = $24.40</w:t>
            </w:r>
          </w:p>
        </w:tc>
      </w:tr>
      <w:tr w:rsidR="00002A81" w:rsidRPr="00A5477A" w14:paraId="19D30842" w14:textId="77777777" w:rsidTr="00B16EBE">
        <w:tc>
          <w:tcPr>
            <w:tcW w:w="942" w:type="dxa"/>
          </w:tcPr>
          <w:p w14:paraId="44FC9920" w14:textId="77777777" w:rsidR="00002A81" w:rsidRPr="00A5477A" w:rsidRDefault="00002A81" w:rsidP="00B16EBE">
            <w:pPr>
              <w:rPr>
                <w:sz w:val="18"/>
                <w:szCs w:val="18"/>
              </w:rPr>
            </w:pPr>
            <w:r w:rsidRPr="00A5477A">
              <w:rPr>
                <w:sz w:val="18"/>
                <w:szCs w:val="18"/>
              </w:rPr>
              <w:t>73339</w:t>
            </w:r>
          </w:p>
        </w:tc>
        <w:tc>
          <w:tcPr>
            <w:tcW w:w="7938" w:type="dxa"/>
          </w:tcPr>
          <w:p w14:paraId="298B4CD3" w14:textId="77777777" w:rsidR="00002A81" w:rsidRPr="00A5477A" w:rsidRDefault="00002A81" w:rsidP="00B16EBE">
            <w:pPr>
              <w:rPr>
                <w:sz w:val="18"/>
                <w:szCs w:val="18"/>
              </w:rPr>
            </w:pPr>
            <w:r w:rsidRPr="00A5477A">
              <w:rPr>
                <w:sz w:val="18"/>
                <w:szCs w:val="18"/>
              </w:rPr>
              <w:t xml:space="preserve">Detection of germline mutations in the RET gene in patients with a suspected clinical diagnosis of multiple endocrine neoplasia type 2 (MEN2) requested by a specialist or consultant physician who manages the treatment of the patient. </w:t>
            </w:r>
          </w:p>
          <w:p w14:paraId="397BA685" w14:textId="0D7A606D" w:rsidR="00002A81" w:rsidRPr="00A5477A" w:rsidRDefault="00002A81" w:rsidP="00EB164D">
            <w:pPr>
              <w:spacing w:after="240"/>
              <w:rPr>
                <w:sz w:val="18"/>
                <w:szCs w:val="18"/>
              </w:rPr>
            </w:pPr>
            <w:r w:rsidRPr="00A5477A">
              <w:rPr>
                <w:i/>
                <w:sz w:val="18"/>
                <w:szCs w:val="18"/>
              </w:rPr>
              <w:t>One test.  (Item is  subject to rule 25</w:t>
            </w:r>
            <w:r w:rsidRPr="00A5477A">
              <w:rPr>
                <w:sz w:val="18"/>
                <w:szCs w:val="18"/>
              </w:rPr>
              <w:t xml:space="preserve">) </w:t>
            </w:r>
          </w:p>
          <w:p w14:paraId="57B0199A" w14:textId="77777777" w:rsidR="00002A81" w:rsidRPr="00A5477A" w:rsidRDefault="00002A81" w:rsidP="00B16EBE">
            <w:pPr>
              <w:rPr>
                <w:sz w:val="18"/>
                <w:szCs w:val="18"/>
              </w:rPr>
            </w:pPr>
            <w:r w:rsidRPr="00A5477A">
              <w:rPr>
                <w:b/>
                <w:sz w:val="18"/>
                <w:szCs w:val="18"/>
              </w:rPr>
              <w:t>Fee:</w:t>
            </w:r>
            <w:r w:rsidRPr="00A5477A">
              <w:rPr>
                <w:sz w:val="18"/>
                <w:szCs w:val="18"/>
              </w:rPr>
              <w:t xml:space="preserve"> $400.00 </w:t>
            </w:r>
            <w:r w:rsidRPr="00A5477A">
              <w:rPr>
                <w:b/>
                <w:sz w:val="18"/>
                <w:szCs w:val="18"/>
              </w:rPr>
              <w:t>Benefit:</w:t>
            </w:r>
            <w:r w:rsidRPr="00A5477A">
              <w:rPr>
                <w:sz w:val="18"/>
                <w:szCs w:val="18"/>
              </w:rPr>
              <w:t xml:space="preserve"> 75% = $300.00 85% = $340.00</w:t>
            </w:r>
          </w:p>
        </w:tc>
      </w:tr>
      <w:tr w:rsidR="00002A81" w:rsidRPr="00A5477A" w14:paraId="1313BE49" w14:textId="77777777" w:rsidTr="00B16EBE">
        <w:tc>
          <w:tcPr>
            <w:tcW w:w="942" w:type="dxa"/>
          </w:tcPr>
          <w:p w14:paraId="4FF08140" w14:textId="77777777" w:rsidR="00002A81" w:rsidRPr="00A5477A" w:rsidRDefault="00002A81" w:rsidP="00B16EBE">
            <w:pPr>
              <w:rPr>
                <w:sz w:val="18"/>
                <w:szCs w:val="18"/>
              </w:rPr>
            </w:pPr>
            <w:r w:rsidRPr="00A5477A">
              <w:rPr>
                <w:sz w:val="18"/>
                <w:szCs w:val="18"/>
              </w:rPr>
              <w:t>73931</w:t>
            </w:r>
          </w:p>
        </w:tc>
        <w:tc>
          <w:tcPr>
            <w:tcW w:w="7938" w:type="dxa"/>
          </w:tcPr>
          <w:p w14:paraId="589B53B5" w14:textId="77777777" w:rsidR="00002A81" w:rsidRPr="00A5477A" w:rsidRDefault="00002A81" w:rsidP="00B16EBE">
            <w:pPr>
              <w:rPr>
                <w:sz w:val="18"/>
                <w:szCs w:val="18"/>
              </w:rPr>
            </w:pPr>
            <w:r w:rsidRPr="00A5477A">
              <w:rPr>
                <w:sz w:val="18"/>
                <w:szCs w:val="18"/>
              </w:rPr>
              <w:t xml:space="preserve">Initiation of a patient episode by collection of a specimen for 1 or more services  (other than those services described in items 73922, 73924 or 73926) if: </w:t>
            </w:r>
          </w:p>
          <w:p w14:paraId="59E73054" w14:textId="2526F6A9" w:rsidR="00002A81" w:rsidRPr="00A5477A" w:rsidRDefault="00002A81" w:rsidP="00B16EBE">
            <w:pPr>
              <w:rPr>
                <w:sz w:val="18"/>
                <w:szCs w:val="18"/>
              </w:rPr>
            </w:pPr>
            <w:r w:rsidRPr="00A5477A">
              <w:rPr>
                <w:sz w:val="18"/>
                <w:szCs w:val="18"/>
              </w:rPr>
              <w:t>(a)</w:t>
            </w:r>
            <w:r w:rsidR="00250FC7">
              <w:rPr>
                <w:sz w:val="18"/>
                <w:szCs w:val="18"/>
              </w:rPr>
              <w:t xml:space="preserve"> </w:t>
            </w:r>
            <w:r w:rsidRPr="00A5477A">
              <w:rPr>
                <w:sz w:val="18"/>
                <w:szCs w:val="18"/>
              </w:rPr>
              <w:t>the specimen is collected by an approved pathology practitioner for a prescribed laboratory or by an employee of an approved pathology authority, who conducts a prescribed laboratory, from a person who is a private patient in a hospital or;</w:t>
            </w:r>
          </w:p>
          <w:p w14:paraId="4E883942" w14:textId="3DD50021" w:rsidR="00002A81" w:rsidRPr="00A5477A" w:rsidRDefault="00002A81" w:rsidP="00EB164D">
            <w:pPr>
              <w:spacing w:after="240"/>
              <w:rPr>
                <w:sz w:val="18"/>
                <w:szCs w:val="18"/>
              </w:rPr>
            </w:pPr>
            <w:r w:rsidRPr="00A5477A">
              <w:rPr>
                <w:sz w:val="18"/>
                <w:szCs w:val="18"/>
              </w:rPr>
              <w:t>(b)</w:t>
            </w:r>
            <w:r w:rsidR="00250FC7">
              <w:rPr>
                <w:sz w:val="18"/>
                <w:szCs w:val="18"/>
              </w:rPr>
              <w:t xml:space="preserve"> </w:t>
            </w:r>
            <w:r w:rsidRPr="00A5477A">
              <w:rPr>
                <w:sz w:val="18"/>
                <w:szCs w:val="18"/>
              </w:rPr>
              <w:t xml:space="preserve">the person is a private patient in a recognised hospital and the specimen is collected by an approved pathology practitioner or an employee of an approved pathology authority </w:t>
            </w:r>
          </w:p>
          <w:p w14:paraId="5B096926" w14:textId="77777777" w:rsidR="00002A81" w:rsidRPr="00A5477A" w:rsidRDefault="00002A81" w:rsidP="00B16EBE">
            <w:pPr>
              <w:rPr>
                <w:sz w:val="18"/>
                <w:szCs w:val="18"/>
              </w:rPr>
            </w:pPr>
            <w:r w:rsidRPr="00A5477A">
              <w:rPr>
                <w:b/>
                <w:sz w:val="18"/>
                <w:szCs w:val="18"/>
              </w:rPr>
              <w:t>Fee:</w:t>
            </w:r>
            <w:r w:rsidRPr="00A5477A">
              <w:rPr>
                <w:sz w:val="18"/>
                <w:szCs w:val="18"/>
              </w:rPr>
              <w:t xml:space="preserve"> $2.40 </w:t>
            </w:r>
            <w:r w:rsidRPr="00A5477A">
              <w:rPr>
                <w:b/>
                <w:sz w:val="18"/>
                <w:szCs w:val="18"/>
              </w:rPr>
              <w:t>Benefit:</w:t>
            </w:r>
            <w:r w:rsidRPr="00A5477A">
              <w:rPr>
                <w:sz w:val="18"/>
                <w:szCs w:val="18"/>
              </w:rPr>
              <w:t xml:space="preserve"> 75% = $1.80 85% = $2.05</w:t>
            </w:r>
          </w:p>
        </w:tc>
      </w:tr>
      <w:tr w:rsidR="00002A81" w:rsidRPr="00A5477A" w14:paraId="4E0B44AC" w14:textId="77777777" w:rsidTr="00B16EBE">
        <w:tc>
          <w:tcPr>
            <w:tcW w:w="942" w:type="dxa"/>
          </w:tcPr>
          <w:p w14:paraId="7777A413" w14:textId="77777777" w:rsidR="00002A81" w:rsidRPr="00A5477A" w:rsidRDefault="00002A81" w:rsidP="00B16EBE">
            <w:pPr>
              <w:rPr>
                <w:sz w:val="18"/>
                <w:szCs w:val="18"/>
              </w:rPr>
            </w:pPr>
            <w:r w:rsidRPr="00A5477A">
              <w:rPr>
                <w:sz w:val="18"/>
                <w:szCs w:val="18"/>
              </w:rPr>
              <w:t>73939</w:t>
            </w:r>
          </w:p>
        </w:tc>
        <w:tc>
          <w:tcPr>
            <w:tcW w:w="7938" w:type="dxa"/>
          </w:tcPr>
          <w:p w14:paraId="43DE5787" w14:textId="77777777" w:rsidR="00002A81" w:rsidRPr="00A5477A" w:rsidRDefault="00002A81" w:rsidP="00B16EBE">
            <w:pPr>
              <w:jc w:val="both"/>
              <w:rPr>
                <w:sz w:val="18"/>
                <w:szCs w:val="18"/>
              </w:rPr>
            </w:pPr>
            <w:r w:rsidRPr="00A5477A">
              <w:rPr>
                <w:sz w:val="18"/>
                <w:szCs w:val="18"/>
              </w:rPr>
              <w:t>Initiation of a patient episode by collection of a specimen for 1 or more services  (other than those services described in items 73922, 73924 or 73926), if the specimen is collected by or on behalf of the treating practitioner and if:</w:t>
            </w:r>
          </w:p>
          <w:p w14:paraId="43D09BCD" w14:textId="77777777" w:rsidR="00002A81" w:rsidRPr="00A5477A" w:rsidRDefault="00002A81" w:rsidP="00002A81">
            <w:pPr>
              <w:numPr>
                <w:ilvl w:val="0"/>
                <w:numId w:val="5"/>
              </w:numPr>
              <w:tabs>
                <w:tab w:val="left" w:pos="1215"/>
              </w:tabs>
              <w:autoSpaceDE w:val="0"/>
              <w:autoSpaceDN w:val="0"/>
              <w:adjustRightInd w:val="0"/>
              <w:ind w:left="1215" w:hanging="720"/>
              <w:jc w:val="both"/>
              <w:rPr>
                <w:sz w:val="18"/>
                <w:szCs w:val="18"/>
              </w:rPr>
            </w:pPr>
            <w:r w:rsidRPr="00A5477A">
              <w:rPr>
                <w:sz w:val="18"/>
                <w:szCs w:val="18"/>
              </w:rPr>
              <w:t>the service is performed in a prescribed laboratory or</w:t>
            </w:r>
          </w:p>
          <w:p w14:paraId="34F5E56F" w14:textId="77777777" w:rsidR="00002A81" w:rsidRPr="00A5477A" w:rsidRDefault="00002A81" w:rsidP="00002A81">
            <w:pPr>
              <w:numPr>
                <w:ilvl w:val="0"/>
                <w:numId w:val="5"/>
              </w:numPr>
              <w:tabs>
                <w:tab w:val="left" w:pos="1215"/>
              </w:tabs>
              <w:autoSpaceDE w:val="0"/>
              <w:autoSpaceDN w:val="0"/>
              <w:adjustRightInd w:val="0"/>
              <w:ind w:left="1215" w:hanging="720"/>
              <w:jc w:val="both"/>
              <w:rPr>
                <w:sz w:val="18"/>
                <w:szCs w:val="18"/>
              </w:rPr>
            </w:pPr>
            <w:r w:rsidRPr="00A5477A">
              <w:rPr>
                <w:sz w:val="18"/>
                <w:szCs w:val="18"/>
              </w:rPr>
              <w:t>the person is a private patient in a recognised hospital</w:t>
            </w:r>
          </w:p>
          <w:p w14:paraId="586FA49F" w14:textId="77777777" w:rsidR="00002A81" w:rsidRPr="00A5477A" w:rsidRDefault="00002A81" w:rsidP="00B16EBE">
            <w:pPr>
              <w:rPr>
                <w:sz w:val="18"/>
                <w:szCs w:val="18"/>
              </w:rPr>
            </w:pPr>
            <w:r w:rsidRPr="00A5477A">
              <w:rPr>
                <w:b/>
                <w:sz w:val="18"/>
                <w:szCs w:val="18"/>
              </w:rPr>
              <w:t xml:space="preserve">Fee: </w:t>
            </w:r>
            <w:r w:rsidRPr="00A5477A">
              <w:rPr>
                <w:sz w:val="18"/>
                <w:szCs w:val="18"/>
              </w:rPr>
              <w:t>$2.40</w:t>
            </w:r>
            <w:r w:rsidRPr="00A5477A">
              <w:rPr>
                <w:sz w:val="18"/>
                <w:szCs w:val="18"/>
              </w:rPr>
              <w:tab/>
            </w:r>
            <w:r w:rsidRPr="00A5477A">
              <w:rPr>
                <w:b/>
                <w:sz w:val="18"/>
                <w:szCs w:val="18"/>
              </w:rPr>
              <w:t xml:space="preserve">Benefit: </w:t>
            </w:r>
            <w:r w:rsidRPr="00A5477A">
              <w:rPr>
                <w:sz w:val="18"/>
                <w:szCs w:val="18"/>
              </w:rPr>
              <w:t>75% = $1.80</w:t>
            </w:r>
            <w:r w:rsidRPr="00A5477A">
              <w:rPr>
                <w:sz w:val="18"/>
                <w:szCs w:val="18"/>
              </w:rPr>
              <w:tab/>
              <w:t>85% = $2.05</w:t>
            </w:r>
          </w:p>
        </w:tc>
      </w:tr>
      <w:tr w:rsidR="00002A81" w:rsidRPr="00A5477A" w14:paraId="738E569D" w14:textId="77777777" w:rsidTr="00B16EBE">
        <w:tc>
          <w:tcPr>
            <w:tcW w:w="942" w:type="dxa"/>
          </w:tcPr>
          <w:p w14:paraId="21565D51" w14:textId="77777777" w:rsidR="00002A81" w:rsidRPr="00A5477A" w:rsidRDefault="00002A81" w:rsidP="00B16EBE">
            <w:pPr>
              <w:rPr>
                <w:sz w:val="18"/>
                <w:szCs w:val="18"/>
              </w:rPr>
            </w:pPr>
            <w:r w:rsidRPr="00A5477A">
              <w:rPr>
                <w:sz w:val="18"/>
                <w:szCs w:val="18"/>
              </w:rPr>
              <w:t>73940</w:t>
            </w:r>
          </w:p>
        </w:tc>
        <w:tc>
          <w:tcPr>
            <w:tcW w:w="7938" w:type="dxa"/>
          </w:tcPr>
          <w:p w14:paraId="78CCABEB" w14:textId="5EACBC7E" w:rsidR="00002A81" w:rsidRPr="00A5477A" w:rsidRDefault="00002A81" w:rsidP="00EB164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240"/>
              <w:jc w:val="both"/>
              <w:rPr>
                <w:sz w:val="18"/>
                <w:szCs w:val="18"/>
              </w:rPr>
            </w:pPr>
            <w:r w:rsidRPr="00A5477A">
              <w:rPr>
                <w:sz w:val="18"/>
                <w:szCs w:val="18"/>
              </w:rPr>
              <w:t>Receipt of a specimen by an approved pathology practitioner of an approved pathology authority from another approved pathology practitioner of a different approved pathology authority or another approved pathology authority</w:t>
            </w:r>
          </w:p>
          <w:p w14:paraId="5EEC518D" w14:textId="77777777" w:rsidR="00002A81" w:rsidRPr="00A5477A" w:rsidRDefault="00002A81" w:rsidP="00B16EB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i/>
                <w:sz w:val="18"/>
                <w:szCs w:val="18"/>
              </w:rPr>
            </w:pPr>
            <w:r w:rsidRPr="00A5477A">
              <w:rPr>
                <w:i/>
                <w:sz w:val="18"/>
                <w:szCs w:val="18"/>
              </w:rPr>
              <w:t>(Item is subject to rules 14, 15 and 16)</w:t>
            </w:r>
          </w:p>
          <w:p w14:paraId="2B017FBE" w14:textId="77777777" w:rsidR="00002A81" w:rsidRPr="00A5477A" w:rsidRDefault="00002A81" w:rsidP="00B16EBE">
            <w:pPr>
              <w:jc w:val="both"/>
              <w:rPr>
                <w:sz w:val="18"/>
                <w:szCs w:val="18"/>
              </w:rPr>
            </w:pPr>
            <w:r w:rsidRPr="00A5477A">
              <w:rPr>
                <w:b/>
                <w:sz w:val="18"/>
                <w:szCs w:val="18"/>
              </w:rPr>
              <w:t xml:space="preserve">Fee: </w:t>
            </w:r>
            <w:r w:rsidRPr="00A5477A">
              <w:rPr>
                <w:sz w:val="18"/>
                <w:szCs w:val="18"/>
              </w:rPr>
              <w:t>$10.25</w:t>
            </w:r>
            <w:r w:rsidRPr="00A5477A">
              <w:rPr>
                <w:sz w:val="18"/>
                <w:szCs w:val="18"/>
              </w:rPr>
              <w:tab/>
            </w:r>
            <w:r w:rsidRPr="00A5477A">
              <w:rPr>
                <w:b/>
                <w:sz w:val="18"/>
                <w:szCs w:val="18"/>
              </w:rPr>
              <w:t xml:space="preserve">Benefit: </w:t>
            </w:r>
            <w:r w:rsidRPr="00A5477A">
              <w:rPr>
                <w:sz w:val="18"/>
                <w:szCs w:val="18"/>
              </w:rPr>
              <w:t>75% = $7.70</w:t>
            </w:r>
            <w:r w:rsidRPr="00A5477A">
              <w:rPr>
                <w:sz w:val="18"/>
                <w:szCs w:val="18"/>
              </w:rPr>
              <w:tab/>
              <w:t>85% = $8.75</w:t>
            </w:r>
          </w:p>
        </w:tc>
      </w:tr>
    </w:tbl>
    <w:p w14:paraId="5DE3C40F" w14:textId="77777777" w:rsidR="00002A81" w:rsidRPr="00EB164D" w:rsidRDefault="00002A81" w:rsidP="00002A81">
      <w:pPr>
        <w:pStyle w:val="Heading1"/>
        <w:ind w:left="0" w:firstLine="0"/>
        <w:rPr>
          <w:sz w:val="24"/>
          <w:szCs w:val="24"/>
        </w:rPr>
      </w:pPr>
      <w:r w:rsidRPr="00EB164D">
        <w:rPr>
          <w:sz w:val="24"/>
          <w:szCs w:val="24"/>
        </w:rPr>
        <w:t>Applicant’s comments on MSAC’s public summary document</w:t>
      </w:r>
    </w:p>
    <w:p w14:paraId="05E56C3D" w14:textId="56B7853D" w:rsidR="00002A81" w:rsidRPr="00775EF8" w:rsidRDefault="00EB164D" w:rsidP="00002A81">
      <w:r>
        <w:t>The applicant had no comment.</w:t>
      </w:r>
    </w:p>
    <w:p w14:paraId="4D760C24" w14:textId="77777777" w:rsidR="00002A81" w:rsidRPr="00EB164D" w:rsidRDefault="00002A81" w:rsidP="00002A81">
      <w:pPr>
        <w:pStyle w:val="Heading1"/>
        <w:ind w:left="0" w:firstLine="0"/>
        <w:rPr>
          <w:sz w:val="24"/>
          <w:szCs w:val="24"/>
        </w:rPr>
      </w:pPr>
      <w:r w:rsidRPr="00EB164D">
        <w:rPr>
          <w:sz w:val="24"/>
          <w:szCs w:val="24"/>
        </w:rPr>
        <w:t>Further information on MSAC</w:t>
      </w:r>
    </w:p>
    <w:p w14:paraId="64D3433E" w14:textId="13E7CAE1" w:rsidR="00BC1364" w:rsidRPr="00EB164D" w:rsidRDefault="00002A81" w:rsidP="00002A81">
      <w:pPr>
        <w:rPr>
          <w:szCs w:val="24"/>
        </w:rPr>
      </w:pPr>
      <w:r>
        <w:rPr>
          <w:szCs w:val="24"/>
        </w:rPr>
        <w:t xml:space="preserve">MSAC Terms of Reference and other </w:t>
      </w:r>
      <w:r w:rsidRPr="00DD2858">
        <w:rPr>
          <w:szCs w:val="24"/>
        </w:rPr>
        <w:t xml:space="preserve">information are available on the MSAC Website at: </w:t>
      </w:r>
      <w:hyperlink r:id="rId17" w:tooltip="Link to MSAC website" w:history="1">
        <w:r w:rsidRPr="007B3BA8">
          <w:rPr>
            <w:rStyle w:val="Hyperlink"/>
            <w:szCs w:val="24"/>
          </w:rPr>
          <w:t>www.msac.gov.au</w:t>
        </w:r>
      </w:hyperlink>
      <w:r>
        <w:rPr>
          <w:szCs w:val="24"/>
        </w:rPr>
        <w:t>.</w:t>
      </w:r>
    </w:p>
    <w:sectPr w:rsidR="00BC1364" w:rsidRPr="00EB164D" w:rsidSect="00C911D2">
      <w:footerReference w:type="default" r:id="rId18"/>
      <w:pgSz w:w="11906" w:h="16838"/>
      <w:pgMar w:top="993" w:right="1274"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875F20" w:rsidRDefault="00875F20" w:rsidP="00065623">
      <w:r>
        <w:separator/>
      </w:r>
    </w:p>
  </w:endnote>
  <w:endnote w:type="continuationSeparator" w:id="0">
    <w:p w14:paraId="2811E6D5" w14:textId="77777777" w:rsidR="00875F20" w:rsidRDefault="00875F2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3EDD" w14:textId="337FA4A2" w:rsidR="00875F20" w:rsidRPr="00355020" w:rsidRDefault="00875F20" w:rsidP="00716342">
    <w:pPr>
      <w:pStyle w:val="Footer"/>
      <w:spacing w:after="240"/>
      <w:jc w:val="right"/>
      <w:rPr>
        <w:sz w:val="20"/>
      </w:rPr>
    </w:pPr>
    <w:r w:rsidRPr="00355020">
      <w:rPr>
        <w:sz w:val="20"/>
      </w:rPr>
      <w:t xml:space="preserve">Page </w:t>
    </w:r>
    <w:r w:rsidRPr="00355020">
      <w:rPr>
        <w:sz w:val="20"/>
      </w:rPr>
      <w:fldChar w:fldCharType="begin"/>
    </w:r>
    <w:r w:rsidRPr="00355020">
      <w:rPr>
        <w:sz w:val="20"/>
      </w:rPr>
      <w:instrText xml:space="preserve"> PAGE  \* Arabic  \* MERGEFORMAT </w:instrText>
    </w:r>
    <w:r w:rsidRPr="00355020">
      <w:rPr>
        <w:sz w:val="20"/>
      </w:rPr>
      <w:fldChar w:fldCharType="separate"/>
    </w:r>
    <w:r w:rsidR="00E95041">
      <w:rPr>
        <w:noProof/>
        <w:sz w:val="20"/>
      </w:rPr>
      <w:t>1</w:t>
    </w:r>
    <w:r w:rsidRPr="00355020">
      <w:rPr>
        <w:sz w:val="20"/>
      </w:rPr>
      <w:fldChar w:fldCharType="end"/>
    </w:r>
    <w:r w:rsidRPr="00355020">
      <w:rPr>
        <w:sz w:val="20"/>
      </w:rPr>
      <w:t xml:space="preserve"> of </w:t>
    </w:r>
    <w:r w:rsidRPr="00355020">
      <w:rPr>
        <w:sz w:val="20"/>
      </w:rPr>
      <w:fldChar w:fldCharType="begin"/>
    </w:r>
    <w:r w:rsidRPr="00355020">
      <w:rPr>
        <w:sz w:val="20"/>
      </w:rPr>
      <w:instrText xml:space="preserve"> NUMPAGES  \* Arabic  \* MERGEFORMAT </w:instrText>
    </w:r>
    <w:r w:rsidRPr="00355020">
      <w:rPr>
        <w:sz w:val="20"/>
      </w:rPr>
      <w:fldChar w:fldCharType="separate"/>
    </w:r>
    <w:r w:rsidR="00E95041">
      <w:rPr>
        <w:noProof/>
        <w:sz w:val="20"/>
      </w:rPr>
      <w:t>10</w:t>
    </w:r>
    <w:r w:rsidRPr="0035502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875F20" w:rsidRDefault="00875F20" w:rsidP="00065623">
      <w:r>
        <w:separator/>
      </w:r>
    </w:p>
  </w:footnote>
  <w:footnote w:type="continuationSeparator" w:id="0">
    <w:p w14:paraId="27382C39" w14:textId="77777777" w:rsidR="00875F20" w:rsidRDefault="00875F20"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1">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6787896"/>
    <w:multiLevelType w:val="multilevel"/>
    <w:tmpl w:val="567ADE74"/>
    <w:numStyleLink w:val="TableListBullets"/>
  </w:abstractNum>
  <w:abstractNum w:abstractNumId="4">
    <w:nsid w:val="6A934C99"/>
    <w:multiLevelType w:val="hybridMultilevel"/>
    <w:tmpl w:val="000ACF4C"/>
    <w:lvl w:ilvl="0" w:tplc="3072E4C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7931AF7"/>
    <w:multiLevelType w:val="hybridMultilevel"/>
    <w:tmpl w:val="7BCA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4"/>
  </w:num>
  <w:num w:numId="8">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2A81"/>
    <w:rsid w:val="00011A36"/>
    <w:rsid w:val="00014A6B"/>
    <w:rsid w:val="00026E58"/>
    <w:rsid w:val="00036C20"/>
    <w:rsid w:val="0003739B"/>
    <w:rsid w:val="00042F11"/>
    <w:rsid w:val="000452C7"/>
    <w:rsid w:val="00047606"/>
    <w:rsid w:val="0005223A"/>
    <w:rsid w:val="00065623"/>
    <w:rsid w:val="000746BA"/>
    <w:rsid w:val="000756B9"/>
    <w:rsid w:val="000922FA"/>
    <w:rsid w:val="00096B67"/>
    <w:rsid w:val="00096DAF"/>
    <w:rsid w:val="000A11F9"/>
    <w:rsid w:val="000A51E4"/>
    <w:rsid w:val="000A5B70"/>
    <w:rsid w:val="000B6956"/>
    <w:rsid w:val="000C2F47"/>
    <w:rsid w:val="000C30D0"/>
    <w:rsid w:val="000C4BBA"/>
    <w:rsid w:val="000C6B40"/>
    <w:rsid w:val="000D1443"/>
    <w:rsid w:val="000D6C00"/>
    <w:rsid w:val="000E155F"/>
    <w:rsid w:val="000E341E"/>
    <w:rsid w:val="000E3B33"/>
    <w:rsid w:val="000E48CF"/>
    <w:rsid w:val="000E4E04"/>
    <w:rsid w:val="000F14B4"/>
    <w:rsid w:val="000F391E"/>
    <w:rsid w:val="000F600C"/>
    <w:rsid w:val="000F75DF"/>
    <w:rsid w:val="00103021"/>
    <w:rsid w:val="00115C4F"/>
    <w:rsid w:val="001328FA"/>
    <w:rsid w:val="00147AAF"/>
    <w:rsid w:val="00150894"/>
    <w:rsid w:val="00153970"/>
    <w:rsid w:val="001552C0"/>
    <w:rsid w:val="001638D7"/>
    <w:rsid w:val="001640B1"/>
    <w:rsid w:val="00182148"/>
    <w:rsid w:val="0018435E"/>
    <w:rsid w:val="00190792"/>
    <w:rsid w:val="0019118C"/>
    <w:rsid w:val="001C1BE6"/>
    <w:rsid w:val="002041A1"/>
    <w:rsid w:val="002054F0"/>
    <w:rsid w:val="00210420"/>
    <w:rsid w:val="0021107B"/>
    <w:rsid w:val="00230D6B"/>
    <w:rsid w:val="00232068"/>
    <w:rsid w:val="002330F2"/>
    <w:rsid w:val="00243D9E"/>
    <w:rsid w:val="00250FC7"/>
    <w:rsid w:val="00253B66"/>
    <w:rsid w:val="00261DF1"/>
    <w:rsid w:val="00271F18"/>
    <w:rsid w:val="00282779"/>
    <w:rsid w:val="0028334D"/>
    <w:rsid w:val="002B7FFA"/>
    <w:rsid w:val="002C2135"/>
    <w:rsid w:val="002C2BCF"/>
    <w:rsid w:val="002D50ED"/>
    <w:rsid w:val="002D73A2"/>
    <w:rsid w:val="002E4AF9"/>
    <w:rsid w:val="002F279D"/>
    <w:rsid w:val="002F43B8"/>
    <w:rsid w:val="003050B8"/>
    <w:rsid w:val="003206F3"/>
    <w:rsid w:val="00320D06"/>
    <w:rsid w:val="00336856"/>
    <w:rsid w:val="00345167"/>
    <w:rsid w:val="0034554D"/>
    <w:rsid w:val="00352224"/>
    <w:rsid w:val="00355020"/>
    <w:rsid w:val="003671E6"/>
    <w:rsid w:val="00376575"/>
    <w:rsid w:val="00384272"/>
    <w:rsid w:val="00386D67"/>
    <w:rsid w:val="003945B8"/>
    <w:rsid w:val="003955EE"/>
    <w:rsid w:val="003D7F29"/>
    <w:rsid w:val="003F36DA"/>
    <w:rsid w:val="003F5DD6"/>
    <w:rsid w:val="00402FA7"/>
    <w:rsid w:val="00405A6B"/>
    <w:rsid w:val="00407B1F"/>
    <w:rsid w:val="00414C57"/>
    <w:rsid w:val="0041758C"/>
    <w:rsid w:val="00420DE9"/>
    <w:rsid w:val="004372A7"/>
    <w:rsid w:val="00442254"/>
    <w:rsid w:val="0044532F"/>
    <w:rsid w:val="004539DE"/>
    <w:rsid w:val="0045582A"/>
    <w:rsid w:val="00455E04"/>
    <w:rsid w:val="004617ED"/>
    <w:rsid w:val="00464960"/>
    <w:rsid w:val="004656CE"/>
    <w:rsid w:val="00471DF6"/>
    <w:rsid w:val="0048056B"/>
    <w:rsid w:val="004847A5"/>
    <w:rsid w:val="004A205B"/>
    <w:rsid w:val="004A2CF1"/>
    <w:rsid w:val="004B2B03"/>
    <w:rsid w:val="004B41AD"/>
    <w:rsid w:val="004C3035"/>
    <w:rsid w:val="004C307F"/>
    <w:rsid w:val="004E015F"/>
    <w:rsid w:val="004E0D06"/>
    <w:rsid w:val="004E4BA8"/>
    <w:rsid w:val="004F340F"/>
    <w:rsid w:val="004F7B7C"/>
    <w:rsid w:val="0052243D"/>
    <w:rsid w:val="00525917"/>
    <w:rsid w:val="00531C81"/>
    <w:rsid w:val="00532435"/>
    <w:rsid w:val="0053288F"/>
    <w:rsid w:val="00532F68"/>
    <w:rsid w:val="00535E34"/>
    <w:rsid w:val="00550354"/>
    <w:rsid w:val="00552BBA"/>
    <w:rsid w:val="00564662"/>
    <w:rsid w:val="00571236"/>
    <w:rsid w:val="005840D3"/>
    <w:rsid w:val="0058426A"/>
    <w:rsid w:val="005953A1"/>
    <w:rsid w:val="005A012A"/>
    <w:rsid w:val="005A5929"/>
    <w:rsid w:val="005B43F1"/>
    <w:rsid w:val="005B52E3"/>
    <w:rsid w:val="005D0332"/>
    <w:rsid w:val="005D0D8C"/>
    <w:rsid w:val="005D3322"/>
    <w:rsid w:val="005D3670"/>
    <w:rsid w:val="005E3F81"/>
    <w:rsid w:val="005F0BD4"/>
    <w:rsid w:val="005F557C"/>
    <w:rsid w:val="00613AC3"/>
    <w:rsid w:val="00616256"/>
    <w:rsid w:val="00623DEC"/>
    <w:rsid w:val="006263B1"/>
    <w:rsid w:val="0064434C"/>
    <w:rsid w:val="0066089A"/>
    <w:rsid w:val="00670B7C"/>
    <w:rsid w:val="006776AE"/>
    <w:rsid w:val="0069213A"/>
    <w:rsid w:val="00696234"/>
    <w:rsid w:val="006A0D97"/>
    <w:rsid w:val="006B1F86"/>
    <w:rsid w:val="006C0A91"/>
    <w:rsid w:val="006E4A48"/>
    <w:rsid w:val="006E5B77"/>
    <w:rsid w:val="006E7B36"/>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63C9"/>
    <w:rsid w:val="007B32D1"/>
    <w:rsid w:val="007B3BA8"/>
    <w:rsid w:val="007B7095"/>
    <w:rsid w:val="007D24E1"/>
    <w:rsid w:val="007F35C8"/>
    <w:rsid w:val="007F4CE9"/>
    <w:rsid w:val="007F4E20"/>
    <w:rsid w:val="007F66B0"/>
    <w:rsid w:val="008156EC"/>
    <w:rsid w:val="00822C7E"/>
    <w:rsid w:val="00825661"/>
    <w:rsid w:val="00832590"/>
    <w:rsid w:val="00833EA2"/>
    <w:rsid w:val="00847060"/>
    <w:rsid w:val="00856A33"/>
    <w:rsid w:val="00860499"/>
    <w:rsid w:val="008620D3"/>
    <w:rsid w:val="00875B33"/>
    <w:rsid w:val="00875F20"/>
    <w:rsid w:val="00892620"/>
    <w:rsid w:val="008B104E"/>
    <w:rsid w:val="008C7D37"/>
    <w:rsid w:val="008D5885"/>
    <w:rsid w:val="008E027D"/>
    <w:rsid w:val="008E4152"/>
    <w:rsid w:val="009149D0"/>
    <w:rsid w:val="00916EBC"/>
    <w:rsid w:val="00923FA2"/>
    <w:rsid w:val="009461B5"/>
    <w:rsid w:val="00957489"/>
    <w:rsid w:val="0096060D"/>
    <w:rsid w:val="0096455F"/>
    <w:rsid w:val="00974A50"/>
    <w:rsid w:val="0097585A"/>
    <w:rsid w:val="009924B0"/>
    <w:rsid w:val="009942C9"/>
    <w:rsid w:val="009B35C4"/>
    <w:rsid w:val="009B433F"/>
    <w:rsid w:val="009B650A"/>
    <w:rsid w:val="009C630A"/>
    <w:rsid w:val="009D5A48"/>
    <w:rsid w:val="009E0D98"/>
    <w:rsid w:val="009F4192"/>
    <w:rsid w:val="00A068A1"/>
    <w:rsid w:val="00A1207D"/>
    <w:rsid w:val="00A12FD8"/>
    <w:rsid w:val="00A346FC"/>
    <w:rsid w:val="00A44FBD"/>
    <w:rsid w:val="00A5477A"/>
    <w:rsid w:val="00A57FCD"/>
    <w:rsid w:val="00A73760"/>
    <w:rsid w:val="00A74D4C"/>
    <w:rsid w:val="00A76468"/>
    <w:rsid w:val="00A84F93"/>
    <w:rsid w:val="00A907A0"/>
    <w:rsid w:val="00A91AFD"/>
    <w:rsid w:val="00AB1AC5"/>
    <w:rsid w:val="00AB3BFC"/>
    <w:rsid w:val="00AB47DE"/>
    <w:rsid w:val="00AC4F2E"/>
    <w:rsid w:val="00AC58CB"/>
    <w:rsid w:val="00AC657D"/>
    <w:rsid w:val="00AD0C37"/>
    <w:rsid w:val="00AD385F"/>
    <w:rsid w:val="00AE6E2A"/>
    <w:rsid w:val="00B11472"/>
    <w:rsid w:val="00B16BD9"/>
    <w:rsid w:val="00B31E9C"/>
    <w:rsid w:val="00B35595"/>
    <w:rsid w:val="00B51C6D"/>
    <w:rsid w:val="00B55B8A"/>
    <w:rsid w:val="00B82087"/>
    <w:rsid w:val="00B86D64"/>
    <w:rsid w:val="00B9099B"/>
    <w:rsid w:val="00B915E6"/>
    <w:rsid w:val="00B91882"/>
    <w:rsid w:val="00BA4AC5"/>
    <w:rsid w:val="00BB19D5"/>
    <w:rsid w:val="00BC1364"/>
    <w:rsid w:val="00BC7DE9"/>
    <w:rsid w:val="00BD1F63"/>
    <w:rsid w:val="00BD5323"/>
    <w:rsid w:val="00BF479B"/>
    <w:rsid w:val="00C00794"/>
    <w:rsid w:val="00C022A5"/>
    <w:rsid w:val="00C02577"/>
    <w:rsid w:val="00C03C9A"/>
    <w:rsid w:val="00C12F71"/>
    <w:rsid w:val="00C204FB"/>
    <w:rsid w:val="00C20BEE"/>
    <w:rsid w:val="00C2158D"/>
    <w:rsid w:val="00C231EE"/>
    <w:rsid w:val="00C238C8"/>
    <w:rsid w:val="00C65C25"/>
    <w:rsid w:val="00C65F63"/>
    <w:rsid w:val="00C66FD5"/>
    <w:rsid w:val="00C67DD2"/>
    <w:rsid w:val="00C725CB"/>
    <w:rsid w:val="00C7667C"/>
    <w:rsid w:val="00C76F5C"/>
    <w:rsid w:val="00C84D7E"/>
    <w:rsid w:val="00C90F15"/>
    <w:rsid w:val="00C90F65"/>
    <w:rsid w:val="00C911D2"/>
    <w:rsid w:val="00C96BAD"/>
    <w:rsid w:val="00CA277C"/>
    <w:rsid w:val="00CA6944"/>
    <w:rsid w:val="00CB0AF3"/>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62FAD"/>
    <w:rsid w:val="00D70450"/>
    <w:rsid w:val="00D734F2"/>
    <w:rsid w:val="00D83BFD"/>
    <w:rsid w:val="00D90A38"/>
    <w:rsid w:val="00DA0515"/>
    <w:rsid w:val="00DA171E"/>
    <w:rsid w:val="00DA56AA"/>
    <w:rsid w:val="00DB1FC4"/>
    <w:rsid w:val="00DB5833"/>
    <w:rsid w:val="00DB66AD"/>
    <w:rsid w:val="00DD2858"/>
    <w:rsid w:val="00DE60F6"/>
    <w:rsid w:val="00E03E33"/>
    <w:rsid w:val="00E15ABF"/>
    <w:rsid w:val="00E23A30"/>
    <w:rsid w:val="00E23C2F"/>
    <w:rsid w:val="00E3642A"/>
    <w:rsid w:val="00E40BC5"/>
    <w:rsid w:val="00E415C4"/>
    <w:rsid w:val="00E50016"/>
    <w:rsid w:val="00E50EAA"/>
    <w:rsid w:val="00E523B1"/>
    <w:rsid w:val="00E56355"/>
    <w:rsid w:val="00E60FC1"/>
    <w:rsid w:val="00E61026"/>
    <w:rsid w:val="00E656D6"/>
    <w:rsid w:val="00E95041"/>
    <w:rsid w:val="00E977EE"/>
    <w:rsid w:val="00EA67A2"/>
    <w:rsid w:val="00EA6A42"/>
    <w:rsid w:val="00EB164D"/>
    <w:rsid w:val="00EB1D77"/>
    <w:rsid w:val="00EB6B6F"/>
    <w:rsid w:val="00EC2B3C"/>
    <w:rsid w:val="00EC4F98"/>
    <w:rsid w:val="00ED3D0C"/>
    <w:rsid w:val="00ED5185"/>
    <w:rsid w:val="00ED556D"/>
    <w:rsid w:val="00EF4DEE"/>
    <w:rsid w:val="00EF60DD"/>
    <w:rsid w:val="00F03659"/>
    <w:rsid w:val="00F06FF9"/>
    <w:rsid w:val="00F12F02"/>
    <w:rsid w:val="00F21117"/>
    <w:rsid w:val="00F3088E"/>
    <w:rsid w:val="00F32E0D"/>
    <w:rsid w:val="00F35134"/>
    <w:rsid w:val="00F375CA"/>
    <w:rsid w:val="00F41812"/>
    <w:rsid w:val="00F479DE"/>
    <w:rsid w:val="00F523B5"/>
    <w:rsid w:val="00F73333"/>
    <w:rsid w:val="00F85270"/>
    <w:rsid w:val="00F92897"/>
    <w:rsid w:val="00F93545"/>
    <w:rsid w:val="00F95332"/>
    <w:rsid w:val="00F95D8F"/>
    <w:rsid w:val="00FA5AC7"/>
    <w:rsid w:val="00FB1F0A"/>
    <w:rsid w:val="00FB350A"/>
    <w:rsid w:val="00FC5E8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75F20"/>
    <w:pPr>
      <w:keepNext/>
      <w:keepLines/>
      <w:numPr>
        <w:numId w:val="6"/>
      </w:numPr>
      <w:tabs>
        <w:tab w:val="left" w:pos="567"/>
      </w:tabs>
      <w:spacing w:before="360" w:after="120"/>
      <w:ind w:hanging="720"/>
      <w:outlineLvl w:val="0"/>
    </w:pPr>
    <w:rPr>
      <w:rFonts w:ascii="Arial" w:hAnsi="Arial"/>
      <w:b/>
      <w:bCs/>
      <w:sz w:val="28"/>
      <w:szCs w:val="28"/>
    </w:rPr>
  </w:style>
  <w:style w:type="paragraph" w:styleId="Heading2">
    <w:name w:val="heading 2"/>
    <w:basedOn w:val="Heading1"/>
    <w:next w:val="Normal"/>
    <w:link w:val="Heading2Char"/>
    <w:unhideWhenUsed/>
    <w:qFormat/>
    <w:locked/>
    <w:rsid w:val="00A5477A"/>
    <w:pPr>
      <w:numPr>
        <w:numId w:val="0"/>
      </w:numPr>
      <w:spacing w:before="0" w:after="0"/>
      <w:outlineLvl w:val="1"/>
    </w:pPr>
    <w:rPr>
      <w:sz w:val="24"/>
      <w:szCs w:val="24"/>
      <w:u w:val="single"/>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5F20"/>
    <w:rPr>
      <w:rFonts w:ascii="Arial" w:eastAsia="Times New Roman" w:hAnsi="Arial"/>
      <w:b/>
      <w:bCs/>
      <w:sz w:val="28"/>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5477A"/>
    <w:rPr>
      <w:rFonts w:ascii="Arial" w:eastAsia="Times New Roman" w:hAnsi="Arial"/>
      <w:b/>
      <w:bCs/>
      <w:sz w:val="24"/>
      <w:szCs w:val="24"/>
      <w:u w:val="single"/>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957489"/>
    <w:pPr>
      <w:spacing w:before="120" w:after="240"/>
    </w:pPr>
  </w:style>
  <w:style w:type="character" w:customStyle="1" w:styleId="BodyTextChar">
    <w:name w:val="Body Text Char"/>
    <w:basedOn w:val="DefaultParagraphFont"/>
    <w:link w:val="BodyText"/>
    <w:uiPriority w:val="2"/>
    <w:rsid w:val="00957489"/>
    <w:rPr>
      <w:rFonts w:eastAsia="Times New Roman"/>
      <w:sz w:val="24"/>
      <w:szCs w:val="20"/>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4"/>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4"/>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1"/>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2"/>
      </w:numPr>
    </w:pPr>
  </w:style>
  <w:style w:type="numbering" w:customStyle="1" w:styleId="TableListNumbers">
    <w:name w:val="TableListNumbers"/>
    <w:uiPriority w:val="99"/>
    <w:rsid w:val="00BB19D5"/>
    <w:pPr>
      <w:numPr>
        <w:numId w:val="1"/>
      </w:numPr>
    </w:pPr>
  </w:style>
  <w:style w:type="character" w:customStyle="1" w:styleId="ListBulletChar">
    <w:name w:val="List Bullet Char"/>
    <w:link w:val="ListBullet"/>
    <w:uiPriority w:val="2"/>
    <w:locked/>
    <w:rsid w:val="00BB19D5"/>
    <w:rPr>
      <w:rFonts w:eastAsia="Times New Roman"/>
      <w:sz w:val="24"/>
      <w:szCs w:val="20"/>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E15ABF"/>
    <w:rPr>
      <w:color w:val="800080" w:themeColor="followedHyperlink"/>
      <w:u w:val="single"/>
    </w:rPr>
  </w:style>
  <w:style w:type="paragraph" w:customStyle="1" w:styleId="TableHeader">
    <w:name w:val="Table Header"/>
    <w:basedOn w:val="Heading1"/>
    <w:link w:val="TableHeaderChar"/>
    <w:qFormat/>
    <w:rsid w:val="00A5477A"/>
    <w:pPr>
      <w:numPr>
        <w:numId w:val="0"/>
      </w:numPr>
    </w:pPr>
    <w:rPr>
      <w:sz w:val="20"/>
      <w:szCs w:val="20"/>
    </w:rPr>
  </w:style>
  <w:style w:type="character" w:customStyle="1" w:styleId="TableHeaderChar">
    <w:name w:val="Table Header Char"/>
    <w:basedOn w:val="DefaultParagraphFont"/>
    <w:link w:val="TableHeader"/>
    <w:rsid w:val="00A5477A"/>
    <w:rPr>
      <w:rFonts w:ascii="Arial" w:eastAsia="Times New Roman" w:hAnsi="Arial"/>
      <w:b/>
      <w:bCs/>
      <w:sz w:val="20"/>
      <w:szCs w:val="20"/>
    </w:rPr>
  </w:style>
  <w:style w:type="paragraph" w:customStyle="1" w:styleId="TableText1left">
    <w:name w:val="Table Text 1 (left)"/>
    <w:basedOn w:val="Normal"/>
    <w:link w:val="TableText1leftChar"/>
    <w:qFormat/>
    <w:rsid w:val="00957489"/>
    <w:pPr>
      <w:spacing w:before="40" w:after="40"/>
    </w:pPr>
    <w:rPr>
      <w:rFonts w:eastAsia="SimSun"/>
      <w:sz w:val="20"/>
      <w:lang w:val="en-GB" w:eastAsia="en-US"/>
    </w:rPr>
  </w:style>
  <w:style w:type="character" w:customStyle="1" w:styleId="TableText1leftChar">
    <w:name w:val="Table Text 1 (left) Char"/>
    <w:link w:val="TableText1left"/>
    <w:rsid w:val="00957489"/>
    <w:rPr>
      <w:rFonts w:eastAsia="SimSun"/>
      <w:sz w:val="20"/>
      <w:szCs w:val="20"/>
      <w:lang w:val="en-GB" w:eastAsia="en-US"/>
    </w:rPr>
  </w:style>
  <w:style w:type="paragraph" w:styleId="NoSpacing">
    <w:name w:val="No Spacing"/>
    <w:uiPriority w:val="1"/>
    <w:qFormat/>
    <w:rsid w:val="00957489"/>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75F20"/>
    <w:pPr>
      <w:keepNext/>
      <w:keepLines/>
      <w:numPr>
        <w:numId w:val="6"/>
      </w:numPr>
      <w:tabs>
        <w:tab w:val="left" w:pos="567"/>
      </w:tabs>
      <w:spacing w:before="360" w:after="120"/>
      <w:ind w:hanging="720"/>
      <w:outlineLvl w:val="0"/>
    </w:pPr>
    <w:rPr>
      <w:rFonts w:ascii="Arial" w:hAnsi="Arial"/>
      <w:b/>
      <w:bCs/>
      <w:sz w:val="28"/>
      <w:szCs w:val="28"/>
    </w:rPr>
  </w:style>
  <w:style w:type="paragraph" w:styleId="Heading2">
    <w:name w:val="heading 2"/>
    <w:basedOn w:val="Heading1"/>
    <w:next w:val="Normal"/>
    <w:link w:val="Heading2Char"/>
    <w:unhideWhenUsed/>
    <w:qFormat/>
    <w:locked/>
    <w:rsid w:val="00A5477A"/>
    <w:pPr>
      <w:numPr>
        <w:numId w:val="0"/>
      </w:numPr>
      <w:spacing w:before="0" w:after="0"/>
      <w:outlineLvl w:val="1"/>
    </w:pPr>
    <w:rPr>
      <w:sz w:val="24"/>
      <w:szCs w:val="24"/>
      <w:u w:val="single"/>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5F20"/>
    <w:rPr>
      <w:rFonts w:ascii="Arial" w:eastAsia="Times New Roman" w:hAnsi="Arial"/>
      <w:b/>
      <w:bCs/>
      <w:sz w:val="28"/>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5477A"/>
    <w:rPr>
      <w:rFonts w:ascii="Arial" w:eastAsia="Times New Roman" w:hAnsi="Arial"/>
      <w:b/>
      <w:bCs/>
      <w:sz w:val="24"/>
      <w:szCs w:val="24"/>
      <w:u w:val="single"/>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957489"/>
    <w:pPr>
      <w:spacing w:before="120" w:after="240"/>
    </w:pPr>
  </w:style>
  <w:style w:type="character" w:customStyle="1" w:styleId="BodyTextChar">
    <w:name w:val="Body Text Char"/>
    <w:basedOn w:val="DefaultParagraphFont"/>
    <w:link w:val="BodyText"/>
    <w:uiPriority w:val="2"/>
    <w:rsid w:val="00957489"/>
    <w:rPr>
      <w:rFonts w:eastAsia="Times New Roman"/>
      <w:sz w:val="24"/>
      <w:szCs w:val="20"/>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4"/>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4"/>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1"/>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2"/>
      </w:numPr>
    </w:pPr>
  </w:style>
  <w:style w:type="numbering" w:customStyle="1" w:styleId="TableListNumbers">
    <w:name w:val="TableListNumbers"/>
    <w:uiPriority w:val="99"/>
    <w:rsid w:val="00BB19D5"/>
    <w:pPr>
      <w:numPr>
        <w:numId w:val="1"/>
      </w:numPr>
    </w:pPr>
  </w:style>
  <w:style w:type="character" w:customStyle="1" w:styleId="ListBulletChar">
    <w:name w:val="List Bullet Char"/>
    <w:link w:val="ListBullet"/>
    <w:uiPriority w:val="2"/>
    <w:locked/>
    <w:rsid w:val="00BB19D5"/>
    <w:rPr>
      <w:rFonts w:eastAsia="Times New Roman"/>
      <w:sz w:val="24"/>
      <w:szCs w:val="20"/>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E15ABF"/>
    <w:rPr>
      <w:color w:val="800080" w:themeColor="followedHyperlink"/>
      <w:u w:val="single"/>
    </w:rPr>
  </w:style>
  <w:style w:type="paragraph" w:customStyle="1" w:styleId="TableHeader">
    <w:name w:val="Table Header"/>
    <w:basedOn w:val="Heading1"/>
    <w:link w:val="TableHeaderChar"/>
    <w:qFormat/>
    <w:rsid w:val="00A5477A"/>
    <w:pPr>
      <w:numPr>
        <w:numId w:val="0"/>
      </w:numPr>
    </w:pPr>
    <w:rPr>
      <w:sz w:val="20"/>
      <w:szCs w:val="20"/>
    </w:rPr>
  </w:style>
  <w:style w:type="character" w:customStyle="1" w:styleId="TableHeaderChar">
    <w:name w:val="Table Header Char"/>
    <w:basedOn w:val="DefaultParagraphFont"/>
    <w:link w:val="TableHeader"/>
    <w:rsid w:val="00A5477A"/>
    <w:rPr>
      <w:rFonts w:ascii="Arial" w:eastAsia="Times New Roman" w:hAnsi="Arial"/>
      <w:b/>
      <w:bCs/>
      <w:sz w:val="20"/>
      <w:szCs w:val="20"/>
    </w:rPr>
  </w:style>
  <w:style w:type="paragraph" w:customStyle="1" w:styleId="TableText1left">
    <w:name w:val="Table Text 1 (left)"/>
    <w:basedOn w:val="Normal"/>
    <w:link w:val="TableText1leftChar"/>
    <w:qFormat/>
    <w:rsid w:val="00957489"/>
    <w:pPr>
      <w:spacing w:before="40" w:after="40"/>
    </w:pPr>
    <w:rPr>
      <w:rFonts w:eastAsia="SimSun"/>
      <w:sz w:val="20"/>
      <w:lang w:val="en-GB" w:eastAsia="en-US"/>
    </w:rPr>
  </w:style>
  <w:style w:type="character" w:customStyle="1" w:styleId="TableText1leftChar">
    <w:name w:val="Table Text 1 (left) Char"/>
    <w:link w:val="TableText1left"/>
    <w:rsid w:val="00957489"/>
    <w:rPr>
      <w:rFonts w:eastAsia="SimSun"/>
      <w:sz w:val="20"/>
      <w:szCs w:val="20"/>
      <w:lang w:val="en-GB" w:eastAsia="en-US"/>
    </w:rPr>
  </w:style>
  <w:style w:type="paragraph" w:styleId="NoSpacing">
    <w:name w:val="No Spacing"/>
    <w:uiPriority w:val="1"/>
    <w:qFormat/>
    <w:rsid w:val="0095748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Users\burchr\AppData\Local\Microsoft\Windows\Temporary%20Internet%20Files\Content.Outlook\MFO1ON2C\www.msac.gov.a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 number of Services</c:v>
                </c:pt>
              </c:strCache>
            </c:strRef>
          </c:tx>
          <c:marker>
            <c:symbol val="none"/>
          </c:marker>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10</c:v>
                </c:pt>
                <c:pt idx="1">
                  <c:v>14</c:v>
                </c:pt>
                <c:pt idx="2">
                  <c:v>31</c:v>
                </c:pt>
                <c:pt idx="3">
                  <c:v>47</c:v>
                </c:pt>
                <c:pt idx="4">
                  <c:v>2</c:v>
                </c:pt>
              </c:numCache>
            </c:numRef>
          </c:val>
          <c:smooth val="0"/>
        </c:ser>
        <c:ser>
          <c:idx val="1"/>
          <c:order val="1"/>
          <c:tx>
            <c:strRef>
              <c:f>Sheet1!$C$1</c:f>
              <c:strCache>
                <c:ptCount val="1"/>
                <c:pt idx="0">
                  <c:v>Total services projected (public and private)</c:v>
                </c:pt>
              </c:strCache>
            </c:strRef>
          </c:tx>
          <c:marker>
            <c:symbol val="none"/>
          </c:marker>
          <c:cat>
            <c:strRef>
              <c:f>Sheet1!$A$2:$A$6</c:f>
              <c:strCache>
                <c:ptCount val="5"/>
                <c:pt idx="0">
                  <c:v>2012-13</c:v>
                </c:pt>
                <c:pt idx="1">
                  <c:v>2013-14</c:v>
                </c:pt>
                <c:pt idx="2">
                  <c:v>2014-15</c:v>
                </c:pt>
                <c:pt idx="3">
                  <c:v>2015-16</c:v>
                </c:pt>
                <c:pt idx="4">
                  <c:v>2016-17</c:v>
                </c:pt>
              </c:strCache>
            </c:strRef>
          </c:cat>
          <c:val>
            <c:numRef>
              <c:f>Sheet1!$C$2:$C$6</c:f>
              <c:numCache>
                <c:formatCode>General</c:formatCode>
                <c:ptCount val="5"/>
                <c:pt idx="0">
                  <c:v>80</c:v>
                </c:pt>
                <c:pt idx="1">
                  <c:v>100</c:v>
                </c:pt>
                <c:pt idx="2">
                  <c:v>120</c:v>
                </c:pt>
                <c:pt idx="3">
                  <c:v>140</c:v>
                </c:pt>
                <c:pt idx="4">
                  <c:v>160</c:v>
                </c:pt>
              </c:numCache>
            </c:numRef>
          </c:val>
          <c:smooth val="0"/>
        </c:ser>
        <c:dLbls>
          <c:showLegendKey val="0"/>
          <c:showVal val="0"/>
          <c:showCatName val="0"/>
          <c:showSerName val="0"/>
          <c:showPercent val="0"/>
          <c:showBubbleSize val="0"/>
        </c:dLbls>
        <c:marker val="1"/>
        <c:smooth val="0"/>
        <c:axId val="243153920"/>
        <c:axId val="243155712"/>
      </c:lineChart>
      <c:catAx>
        <c:axId val="243153920"/>
        <c:scaling>
          <c:orientation val="minMax"/>
        </c:scaling>
        <c:delete val="0"/>
        <c:axPos val="b"/>
        <c:majorTickMark val="out"/>
        <c:minorTickMark val="none"/>
        <c:tickLblPos val="nextTo"/>
        <c:crossAx val="243155712"/>
        <c:crosses val="autoZero"/>
        <c:auto val="1"/>
        <c:lblAlgn val="ctr"/>
        <c:lblOffset val="100"/>
        <c:noMultiLvlLbl val="0"/>
      </c:catAx>
      <c:valAx>
        <c:axId val="243155712"/>
        <c:scaling>
          <c:orientation val="minMax"/>
        </c:scaling>
        <c:delete val="0"/>
        <c:axPos val="l"/>
        <c:majorGridlines/>
        <c:numFmt formatCode="General" sourceLinked="1"/>
        <c:majorTickMark val="out"/>
        <c:minorTickMark val="none"/>
        <c:tickLblPos val="nextTo"/>
        <c:crossAx val="243153920"/>
        <c:crosses val="autoZero"/>
        <c:crossBetween val="between"/>
      </c:valAx>
    </c:plotArea>
    <c:legend>
      <c:legendPos val="r"/>
      <c:overlay val="0"/>
    </c:legend>
    <c:plotVisOnly val="1"/>
    <c:dispBlanksAs val="gap"/>
    <c:showDLblsOverMax val="0"/>
  </c:chart>
  <c:spPr>
    <a:ln w="1270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 number of Services</c:v>
                </c:pt>
              </c:strCache>
            </c:strRef>
          </c:tx>
          <c:marker>
            <c:symbol val="none"/>
          </c:marker>
          <c:cat>
            <c:strRef>
              <c:f>Sheet1!$A$2:$A$6</c:f>
              <c:strCache>
                <c:ptCount val="5"/>
                <c:pt idx="0">
                  <c:v>2012-13</c:v>
                </c:pt>
                <c:pt idx="1">
                  <c:v>2013-14</c:v>
                </c:pt>
                <c:pt idx="2">
                  <c:v>2014-15</c:v>
                </c:pt>
                <c:pt idx="3">
                  <c:v>2015-16</c:v>
                </c:pt>
                <c:pt idx="4">
                  <c:v>2016-17</c:v>
                </c:pt>
              </c:strCache>
            </c:strRef>
          </c:cat>
          <c:val>
            <c:numRef>
              <c:f>Sheet1!$B$2:$B$6</c:f>
              <c:numCache>
                <c:formatCode>General</c:formatCode>
                <c:ptCount val="5"/>
                <c:pt idx="0">
                  <c:v>0</c:v>
                </c:pt>
                <c:pt idx="1">
                  <c:v>0</c:v>
                </c:pt>
                <c:pt idx="2">
                  <c:v>2</c:v>
                </c:pt>
                <c:pt idx="3">
                  <c:v>1</c:v>
                </c:pt>
                <c:pt idx="4">
                  <c:v>3</c:v>
                </c:pt>
              </c:numCache>
            </c:numRef>
          </c:val>
          <c:smooth val="0"/>
        </c:ser>
        <c:ser>
          <c:idx val="1"/>
          <c:order val="1"/>
          <c:tx>
            <c:strRef>
              <c:f>Sheet1!$C$1</c:f>
              <c:strCache>
                <c:ptCount val="1"/>
                <c:pt idx="0">
                  <c:v>Total services projected (public and private)</c:v>
                </c:pt>
              </c:strCache>
            </c:strRef>
          </c:tx>
          <c:marker>
            <c:symbol val="none"/>
          </c:marker>
          <c:cat>
            <c:strRef>
              <c:f>Sheet1!$A$2:$A$6</c:f>
              <c:strCache>
                <c:ptCount val="5"/>
                <c:pt idx="0">
                  <c:v>2012-13</c:v>
                </c:pt>
                <c:pt idx="1">
                  <c:v>2013-14</c:v>
                </c:pt>
                <c:pt idx="2">
                  <c:v>2014-15</c:v>
                </c:pt>
                <c:pt idx="3">
                  <c:v>2015-16</c:v>
                </c:pt>
                <c:pt idx="4">
                  <c:v>2016-17</c:v>
                </c:pt>
              </c:strCache>
            </c:strRef>
          </c:cat>
          <c:val>
            <c:numRef>
              <c:f>Sheet1!$C$2:$C$6</c:f>
              <c:numCache>
                <c:formatCode>General</c:formatCode>
                <c:ptCount val="5"/>
                <c:pt idx="0">
                  <c:v>30</c:v>
                </c:pt>
                <c:pt idx="1">
                  <c:v>30</c:v>
                </c:pt>
                <c:pt idx="2">
                  <c:v>30</c:v>
                </c:pt>
                <c:pt idx="3">
                  <c:v>30</c:v>
                </c:pt>
                <c:pt idx="4">
                  <c:v>30</c:v>
                </c:pt>
              </c:numCache>
            </c:numRef>
          </c:val>
          <c:smooth val="0"/>
        </c:ser>
        <c:dLbls>
          <c:showLegendKey val="0"/>
          <c:showVal val="0"/>
          <c:showCatName val="0"/>
          <c:showSerName val="0"/>
          <c:showPercent val="0"/>
          <c:showBubbleSize val="0"/>
        </c:dLbls>
        <c:marker val="1"/>
        <c:smooth val="0"/>
        <c:axId val="243189248"/>
        <c:axId val="243190784"/>
      </c:lineChart>
      <c:catAx>
        <c:axId val="243189248"/>
        <c:scaling>
          <c:orientation val="minMax"/>
        </c:scaling>
        <c:delete val="0"/>
        <c:axPos val="b"/>
        <c:majorTickMark val="out"/>
        <c:minorTickMark val="none"/>
        <c:tickLblPos val="nextTo"/>
        <c:crossAx val="243190784"/>
        <c:crosses val="autoZero"/>
        <c:auto val="1"/>
        <c:lblAlgn val="ctr"/>
        <c:lblOffset val="100"/>
        <c:noMultiLvlLbl val="0"/>
      </c:catAx>
      <c:valAx>
        <c:axId val="243190784"/>
        <c:scaling>
          <c:orientation val="minMax"/>
        </c:scaling>
        <c:delete val="0"/>
        <c:axPos val="l"/>
        <c:majorGridlines/>
        <c:numFmt formatCode="General" sourceLinked="1"/>
        <c:majorTickMark val="out"/>
        <c:minorTickMark val="none"/>
        <c:tickLblPos val="nextTo"/>
        <c:crossAx val="243189248"/>
        <c:crosses val="autoZero"/>
        <c:crossBetween val="between"/>
      </c:valAx>
    </c:plotArea>
    <c:legend>
      <c:legendPos val="r"/>
      <c:overlay val="0"/>
    </c:legend>
    <c:plotVisOnly val="1"/>
    <c:dispBlanksAs val="gap"/>
    <c:showDLblsOverMax val="0"/>
  </c:chart>
  <c:spPr>
    <a:ln w="12700">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B4F9-67DC-4683-B1F1-B80981AC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3738</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1153 - PvA PSD - November 2017</dc:title>
  <dc:creator/>
  <cp:lastModifiedBy/>
  <cp:revision>1</cp:revision>
  <dcterms:created xsi:type="dcterms:W3CDTF">2018-03-28T03:14:00Z</dcterms:created>
  <dcterms:modified xsi:type="dcterms:W3CDTF">2018-04-11T23:21:00Z</dcterms:modified>
</cp:coreProperties>
</file>