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A86C12" w:rsidRPr="00A86C12" w:rsidRDefault="00BC1364" w:rsidP="000F070E">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A86C12">
        <w:rPr>
          <w:rFonts w:ascii="Arial" w:hAnsi="Arial" w:cs="Arial"/>
          <w:b/>
          <w:bCs/>
          <w:i/>
          <w:color w:val="000080"/>
          <w:sz w:val="28"/>
          <w:szCs w:val="28"/>
        </w:rPr>
        <w:t>1158.1</w:t>
      </w:r>
      <w:r w:rsidR="001032C1">
        <w:rPr>
          <w:rFonts w:ascii="Arial" w:hAnsi="Arial" w:cs="Arial"/>
          <w:b/>
          <w:bCs/>
          <w:i/>
          <w:color w:val="000080"/>
          <w:sz w:val="28"/>
          <w:szCs w:val="28"/>
        </w:rPr>
        <w:t xml:space="preserve"> – </w:t>
      </w:r>
      <w:r w:rsidR="00A86C12" w:rsidRPr="00A86C12">
        <w:rPr>
          <w:rFonts w:ascii="Arial" w:hAnsi="Arial" w:cs="Arial"/>
          <w:b/>
          <w:bCs/>
          <w:i/>
          <w:color w:val="000080"/>
          <w:sz w:val="28"/>
          <w:szCs w:val="28"/>
        </w:rPr>
        <w:t>Robotic Image-guided stereotactic precise beam radiosurgery and radiotherapy for lung (Cyberknife)</w:t>
      </w:r>
    </w:p>
    <w:p w:rsidR="00BC1364" w:rsidRDefault="00BC1364" w:rsidP="00A86C12">
      <w:pPr>
        <w:jc w:val="center"/>
        <w:rPr>
          <w:szCs w:val="24"/>
        </w:rPr>
      </w:pPr>
    </w:p>
    <w:p w:rsidR="00BC1364" w:rsidRPr="00707064" w:rsidRDefault="00BC1364" w:rsidP="00065623">
      <w:pPr>
        <w:tabs>
          <w:tab w:val="left" w:pos="3600"/>
        </w:tabs>
        <w:ind w:left="3600" w:hanging="3600"/>
        <w:rPr>
          <w:szCs w:val="24"/>
        </w:rPr>
      </w:pPr>
    </w:p>
    <w:p w:rsidR="00BC1364" w:rsidRPr="00D90A38" w:rsidRDefault="00B35595" w:rsidP="000B17FC">
      <w:pPr>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proofErr w:type="spellStart"/>
      <w:r w:rsidR="00A86C12">
        <w:rPr>
          <w:rFonts w:ascii="Arial" w:hAnsi="Arial" w:cs="Arial"/>
          <w:b/>
          <w:szCs w:val="24"/>
        </w:rPr>
        <w:t>Accuray</w:t>
      </w:r>
      <w:proofErr w:type="spellEnd"/>
      <w:r w:rsidR="000B17FC">
        <w:rPr>
          <w:rFonts w:ascii="Arial" w:hAnsi="Arial" w:cs="Arial"/>
          <w:b/>
          <w:szCs w:val="24"/>
        </w:rPr>
        <w:t xml:space="preserve"> </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B17FC">
        <w:rPr>
          <w:rFonts w:ascii="Arial" w:hAnsi="Arial" w:cs="Arial"/>
          <w:b/>
          <w:szCs w:val="24"/>
        </w:rPr>
        <w:t>5th</w:t>
      </w:r>
      <w:r w:rsidRPr="00D90A38">
        <w:rPr>
          <w:rFonts w:ascii="Arial" w:hAnsi="Arial" w:cs="Arial"/>
          <w:b/>
          <w:szCs w:val="24"/>
        </w:rPr>
        <w:t xml:space="preserve"> Meeting, </w:t>
      </w:r>
      <w:r w:rsidR="00B35595">
        <w:rPr>
          <w:rFonts w:ascii="Arial" w:hAnsi="Arial" w:cs="Arial"/>
          <w:b/>
          <w:szCs w:val="24"/>
        </w:rPr>
        <w:t>26 November 201</w:t>
      </w:r>
      <w:r w:rsidR="000B17FC">
        <w:rPr>
          <w:rFonts w:ascii="Arial" w:hAnsi="Arial" w:cs="Arial"/>
          <w:b/>
          <w:szCs w:val="24"/>
        </w:rPr>
        <w:t>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Link to Medical Services Advisory Committee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Default="003D7F29" w:rsidP="003D7F29">
      <w:pPr>
        <w:tabs>
          <w:tab w:val="left" w:pos="720"/>
          <w:tab w:val="left" w:pos="1140"/>
        </w:tabs>
        <w:ind w:left="720"/>
        <w:rPr>
          <w:b/>
          <w:bCs/>
          <w:szCs w:val="24"/>
        </w:rPr>
      </w:pPr>
    </w:p>
    <w:p w:rsidR="004017C6" w:rsidRPr="00B47CDE" w:rsidRDefault="004017C6" w:rsidP="004017C6">
      <w:pPr>
        <w:tabs>
          <w:tab w:val="left" w:pos="720"/>
          <w:tab w:val="left" w:pos="1140"/>
        </w:tabs>
      </w:pPr>
      <w:r>
        <w:rPr>
          <w:szCs w:val="24"/>
          <w:lang w:eastAsia="en-US"/>
        </w:rPr>
        <w:t xml:space="preserve">A Submission Based Assessment Report for MSAC Application 1158.1 (the </w:t>
      </w:r>
      <w:r w:rsidR="000F070E">
        <w:rPr>
          <w:szCs w:val="24"/>
          <w:lang w:eastAsia="en-US"/>
        </w:rPr>
        <w:t>resubmission</w:t>
      </w:r>
      <w:r>
        <w:rPr>
          <w:szCs w:val="24"/>
          <w:lang w:eastAsia="en-US"/>
        </w:rPr>
        <w:t xml:space="preserve">) </w:t>
      </w:r>
      <w:r w:rsidRPr="004B0F37">
        <w:rPr>
          <w:szCs w:val="24"/>
          <w:lang w:eastAsia="en-US"/>
        </w:rPr>
        <w:t xml:space="preserve">requesting </w:t>
      </w:r>
      <w:r w:rsidR="00575B9C">
        <w:rPr>
          <w:szCs w:val="24"/>
          <w:lang w:eastAsia="en-US"/>
        </w:rPr>
        <w:t xml:space="preserve">a separate </w:t>
      </w:r>
      <w:r w:rsidRPr="004B0F37">
        <w:rPr>
          <w:szCs w:val="24"/>
          <w:lang w:eastAsia="en-US"/>
        </w:rPr>
        <w:t xml:space="preserve">MBS listing </w:t>
      </w:r>
      <w:r w:rsidR="008717B3">
        <w:rPr>
          <w:szCs w:val="24"/>
          <w:lang w:eastAsia="en-US"/>
        </w:rPr>
        <w:t>for</w:t>
      </w:r>
      <w:r w:rsidR="008717B3" w:rsidRPr="004B0F37">
        <w:rPr>
          <w:szCs w:val="24"/>
          <w:lang w:eastAsia="en-US"/>
        </w:rPr>
        <w:t xml:space="preserve"> </w:t>
      </w:r>
      <w:r w:rsidRPr="004B0F37">
        <w:rPr>
          <w:szCs w:val="24"/>
          <w:lang w:eastAsia="en-US"/>
        </w:rPr>
        <w:t xml:space="preserve">robotic </w:t>
      </w:r>
      <w:r w:rsidR="00575B9C">
        <w:t>image-guided stereotactic precise beam</w:t>
      </w:r>
      <w:r w:rsidR="00575B9C" w:rsidRPr="004B0F37">
        <w:rPr>
          <w:szCs w:val="24"/>
          <w:lang w:eastAsia="en-US"/>
        </w:rPr>
        <w:t xml:space="preserve"> </w:t>
      </w:r>
      <w:r w:rsidRPr="004B0F37">
        <w:rPr>
          <w:szCs w:val="24"/>
          <w:lang w:eastAsia="en-US"/>
        </w:rPr>
        <w:t xml:space="preserve">radiosurgery </w:t>
      </w:r>
      <w:r w:rsidR="00575B9C">
        <w:rPr>
          <w:szCs w:val="24"/>
          <w:lang w:eastAsia="en-US"/>
        </w:rPr>
        <w:t xml:space="preserve">and radiotherapy delivered using </w:t>
      </w:r>
      <w:r w:rsidR="00575B9C" w:rsidRPr="004B0F37">
        <w:rPr>
          <w:szCs w:val="24"/>
          <w:lang w:eastAsia="en-US"/>
        </w:rPr>
        <w:t>CyberKnife</w:t>
      </w:r>
      <w:r w:rsidR="00575B9C" w:rsidRPr="002410A8">
        <w:rPr>
          <w:szCs w:val="24"/>
          <w:vertAlign w:val="superscript"/>
          <w:lang w:eastAsia="en-US"/>
        </w:rPr>
        <w:t>®</w:t>
      </w:r>
      <w:r w:rsidR="00575B9C">
        <w:rPr>
          <w:szCs w:val="24"/>
          <w:vertAlign w:val="superscript"/>
          <w:lang w:eastAsia="en-US"/>
        </w:rPr>
        <w:t xml:space="preserve"> </w:t>
      </w:r>
      <w:r w:rsidR="00EE68CA">
        <w:rPr>
          <w:szCs w:val="24"/>
          <w:lang w:eastAsia="en-US"/>
        </w:rPr>
        <w:t>(Cyberknife) f</w:t>
      </w:r>
      <w:r w:rsidRPr="004B0F37">
        <w:rPr>
          <w:szCs w:val="24"/>
          <w:lang w:eastAsia="en-US"/>
        </w:rPr>
        <w:t xml:space="preserve">or primary non-small cell lung cancer (NSCLC) and lung metastases </w:t>
      </w:r>
      <w:r w:rsidRPr="009D5BE1">
        <w:rPr>
          <w:szCs w:val="24"/>
          <w:lang w:eastAsia="en-US"/>
        </w:rPr>
        <w:t xml:space="preserve">from other primary sites was received from </w:t>
      </w:r>
      <w:proofErr w:type="spellStart"/>
      <w:r w:rsidRPr="009D5BE1">
        <w:rPr>
          <w:szCs w:val="24"/>
          <w:lang w:eastAsia="en-US"/>
        </w:rPr>
        <w:t>Accuray</w:t>
      </w:r>
      <w:proofErr w:type="spellEnd"/>
      <w:r w:rsidRPr="009D5BE1">
        <w:rPr>
          <w:szCs w:val="24"/>
          <w:lang w:eastAsia="en-US"/>
        </w:rPr>
        <w:t xml:space="preserve"> Incorporated </w:t>
      </w:r>
      <w:r>
        <w:rPr>
          <w:szCs w:val="24"/>
          <w:lang w:eastAsia="en-US"/>
        </w:rPr>
        <w:t xml:space="preserve">(the Applicant) </w:t>
      </w:r>
      <w:r w:rsidRPr="009D5BE1">
        <w:rPr>
          <w:szCs w:val="24"/>
          <w:lang w:eastAsia="en-US"/>
        </w:rPr>
        <w:t xml:space="preserve">in October 2014. </w:t>
      </w:r>
      <w:r w:rsidR="00575B9C">
        <w:t xml:space="preserve">The applicant subsequently withdrew two indications – operable early stage NSCLC and operable pulmonary metastases.  </w:t>
      </w:r>
      <w:r w:rsidR="00EE68CA">
        <w:t xml:space="preserve">As a result, the </w:t>
      </w:r>
      <w:r w:rsidR="00575B9C">
        <w:t xml:space="preserve">resubmission </w:t>
      </w:r>
      <w:r w:rsidR="00EE68CA">
        <w:t>wa</w:t>
      </w:r>
      <w:r w:rsidR="00575B9C">
        <w:t>s restricted to stereotactic radiosurgery and radiotherapy delivered with Cyberknife</w:t>
      </w:r>
      <w:r w:rsidR="00575B9C" w:rsidRPr="00A639B6">
        <w:t xml:space="preserve"> </w:t>
      </w:r>
      <w:r w:rsidR="00575B9C">
        <w:t xml:space="preserve">for patients with </w:t>
      </w:r>
      <w:r w:rsidR="00575B9C" w:rsidRPr="00F832BA">
        <w:rPr>
          <w:bCs/>
          <w:szCs w:val="24"/>
        </w:rPr>
        <w:t xml:space="preserve">inoperable </w:t>
      </w:r>
      <w:r w:rsidR="00575B9C">
        <w:rPr>
          <w:szCs w:val="24"/>
        </w:rPr>
        <w:t>s</w:t>
      </w:r>
      <w:r w:rsidR="00575B9C" w:rsidRPr="00F832BA">
        <w:rPr>
          <w:szCs w:val="24"/>
        </w:rPr>
        <w:t xml:space="preserve">tage </w:t>
      </w:r>
      <w:r w:rsidR="00575B9C">
        <w:rPr>
          <w:szCs w:val="24"/>
        </w:rPr>
        <w:t>one</w:t>
      </w:r>
      <w:r w:rsidR="00575B9C" w:rsidRPr="00F832BA">
        <w:rPr>
          <w:bCs/>
          <w:szCs w:val="24"/>
        </w:rPr>
        <w:t xml:space="preserve"> </w:t>
      </w:r>
      <w:r w:rsidR="00575B9C">
        <w:rPr>
          <w:szCs w:val="24"/>
        </w:rPr>
        <w:t>NSCLC</w:t>
      </w:r>
      <w:r w:rsidR="00575B9C">
        <w:t>.</w:t>
      </w:r>
    </w:p>
    <w:p w:rsidR="0036272C" w:rsidRPr="00F35134" w:rsidRDefault="0036272C" w:rsidP="003D7F29">
      <w:pPr>
        <w:tabs>
          <w:tab w:val="left" w:pos="720"/>
          <w:tab w:val="left" w:pos="1140"/>
        </w:tabs>
        <w:ind w:left="720"/>
        <w:rPr>
          <w:b/>
          <w:bCs/>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7331F1" w:rsidRDefault="007331F1" w:rsidP="007331F1">
      <w:r>
        <w:t xml:space="preserve">MSAC considered the available evidence for the safety, clinical effectiveness and cost-effectiveness of </w:t>
      </w:r>
      <w:r w:rsidR="00EE68CA">
        <w:t>Cyberknife</w:t>
      </w:r>
      <w:r>
        <w:t xml:space="preserve"> for treatment of inoperable primary non-small cell lung cancer (NSCLC).  MSAC noted the service is funded under existing arrangements and recommended against any increase in public funding for this service</w:t>
      </w:r>
      <w:r w:rsidR="007D7B42">
        <w:t xml:space="preserve"> due to considerable </w:t>
      </w:r>
      <w:r w:rsidR="00113CB5">
        <w:t>residual uncertainty in relation to clinical effectiveness and cost effectiveness.</w:t>
      </w:r>
    </w:p>
    <w:p w:rsidR="007331F1" w:rsidRDefault="007331F1" w:rsidP="007331F1"/>
    <w:p w:rsidR="007331F1" w:rsidRDefault="007331F1" w:rsidP="007331F1">
      <w:r>
        <w:t>MSAC agreed the application had not established that stereotactic radiosurgery (SRS) and stereotactic body radiotherapy (SBRT) services delivered with Cyberknife were different in outcome to services delivered using</w:t>
      </w:r>
      <w:r w:rsidR="00EE68CA">
        <w:t xml:space="preserve"> three-dimensional conformal radiotherapy (3D-CRT) and Image Guided Radiotherapy (IMRT) (</w:t>
      </w:r>
      <w:r>
        <w:t>the comparators</w:t>
      </w:r>
      <w:r w:rsidR="00EE68CA">
        <w:t>)</w:t>
      </w:r>
      <w:r>
        <w:t>.  MSAC</w:t>
      </w:r>
      <w:r w:rsidR="00C4453D">
        <w:t>’</w:t>
      </w:r>
      <w:r>
        <w:t>s key concerns were:</w:t>
      </w:r>
    </w:p>
    <w:p w:rsidR="007331F1" w:rsidRDefault="007331F1" w:rsidP="007331F1">
      <w:pPr>
        <w:pStyle w:val="ListParagraph"/>
        <w:numPr>
          <w:ilvl w:val="0"/>
          <w:numId w:val="30"/>
        </w:numPr>
      </w:pPr>
      <w:r>
        <w:t>whether there was a distinct clinical need for the proposed service which justified the significant increase in the proposed MBS fee</w:t>
      </w:r>
      <w:r w:rsidR="00AA61B7">
        <w:t>;</w:t>
      </w:r>
    </w:p>
    <w:p w:rsidR="007331F1" w:rsidRDefault="007331F1" w:rsidP="007331F1">
      <w:pPr>
        <w:pStyle w:val="ListParagraph"/>
        <w:numPr>
          <w:ilvl w:val="0"/>
          <w:numId w:val="30"/>
        </w:numPr>
      </w:pPr>
      <w:r>
        <w:t>whether it could be demonstrated that the proposed service delivered superior patient outcomes compared to comparator services given the poor quality evidence of safety and effectiveness</w:t>
      </w:r>
      <w:r w:rsidR="00AA61B7">
        <w:t>;</w:t>
      </w:r>
    </w:p>
    <w:p w:rsidR="007331F1" w:rsidRDefault="007331F1" w:rsidP="007331F1">
      <w:pPr>
        <w:pStyle w:val="ListParagraph"/>
        <w:numPr>
          <w:ilvl w:val="0"/>
          <w:numId w:val="30"/>
        </w:numPr>
      </w:pPr>
      <w:r>
        <w:lastRenderedPageBreak/>
        <w:t>significant economic uncertainty attributed to the structure of the Markov model, use of uncertain clinical data and extrapolation well beyond the clinical trial follow up</w:t>
      </w:r>
      <w:r w:rsidR="00AA61B7">
        <w:t>; and</w:t>
      </w:r>
    </w:p>
    <w:p w:rsidR="007331F1" w:rsidRDefault="007331F1" w:rsidP="007331F1">
      <w:pPr>
        <w:pStyle w:val="ListParagraph"/>
        <w:numPr>
          <w:ilvl w:val="0"/>
          <w:numId w:val="30"/>
        </w:numPr>
      </w:pPr>
      <w:r>
        <w:t>significant financial uncertainty due to epidemiological inputs, the justification of higher fees with evidence, the inclusion of treatment verification as a separate service and the late request for reimbursement of the capital cost of Cyberknife equipment.</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7331F1" w:rsidRDefault="007331F1" w:rsidP="007331F1">
      <w:r>
        <w:t>The application sought:</w:t>
      </w:r>
    </w:p>
    <w:p w:rsidR="007331F1" w:rsidRDefault="007331F1" w:rsidP="007331F1">
      <w:pPr>
        <w:pStyle w:val="ListParagraph"/>
        <w:numPr>
          <w:ilvl w:val="0"/>
          <w:numId w:val="31"/>
        </w:numPr>
      </w:pPr>
      <w:r>
        <w:t>an MBS item for SRS/SBRT treatment delivered with Cyberknife with a higher MBS Schedule fee than the comparators or generic stereotactic radiosurgery</w:t>
      </w:r>
      <w:r w:rsidR="00AA61B7">
        <w:t>;</w:t>
      </w:r>
    </w:p>
    <w:p w:rsidR="007331F1" w:rsidRDefault="007331F1" w:rsidP="007331F1">
      <w:pPr>
        <w:pStyle w:val="ListParagraph"/>
        <w:numPr>
          <w:ilvl w:val="0"/>
          <w:numId w:val="31"/>
        </w:numPr>
      </w:pPr>
      <w:r>
        <w:t>a separate MBS item for Cyberknife treatment verification with a higher MBS Schedule fee than the current fee for verification of conformal radiotherapy</w:t>
      </w:r>
      <w:r w:rsidR="00AA61B7">
        <w:t>; and</w:t>
      </w:r>
    </w:p>
    <w:p w:rsidR="007331F1" w:rsidRDefault="007331F1" w:rsidP="007331F1">
      <w:pPr>
        <w:pStyle w:val="ListParagraph"/>
        <w:numPr>
          <w:ilvl w:val="0"/>
          <w:numId w:val="31"/>
        </w:numPr>
      </w:pPr>
      <w:proofErr w:type="gramStart"/>
      <w:r>
        <w:t>reimbursement</w:t>
      </w:r>
      <w:proofErr w:type="gramEnd"/>
      <w:r>
        <w:t xml:space="preserve"> for the capital cost of equipment through the Radiation Oncology Health Program Grants Scheme (ROHPG) with a higher reimbursement rate for the equipment than is currently paid for dual modality linear accelerators.</w:t>
      </w:r>
    </w:p>
    <w:p w:rsidR="007331F1" w:rsidRDefault="007331F1" w:rsidP="007331F1"/>
    <w:p w:rsidR="007331F1" w:rsidRDefault="007331F1" w:rsidP="007331F1">
      <w:r>
        <w:t xml:space="preserve">MSAC noted that </w:t>
      </w:r>
      <w:r w:rsidR="008717B3">
        <w:t>SRS</w:t>
      </w:r>
      <w:r>
        <w:t xml:space="preserve"> </w:t>
      </w:r>
      <w:r w:rsidR="008717B3">
        <w:t xml:space="preserve">services </w:t>
      </w:r>
      <w:r>
        <w:t xml:space="preserve">reimbursed under MBS item 15600 include a component for the capital cost of equipment.  Therefore, </w:t>
      </w:r>
      <w:r w:rsidR="008717B3">
        <w:t xml:space="preserve">these services do </w:t>
      </w:r>
      <w:r>
        <w:t xml:space="preserve">not attract ROHGP payments.  However, SBRT services delivered with Cyberknife are claimed under MBS items for 3D-CRT and these do attract ROHGP payments. </w:t>
      </w:r>
    </w:p>
    <w:p w:rsidR="007331F1" w:rsidRDefault="007331F1" w:rsidP="007331F1"/>
    <w:p w:rsidR="007331F1" w:rsidRDefault="007331F1" w:rsidP="007331F1">
      <w:r>
        <w:t xml:space="preserve">MSAC considered that the request for higher fees </w:t>
      </w:r>
      <w:r w:rsidR="008717B3">
        <w:t xml:space="preserve">for treatment with Cyberknife </w:t>
      </w:r>
      <w:r>
        <w:t xml:space="preserve">may be being driven by the high cost of Cyberknife equipment and </w:t>
      </w:r>
      <w:r w:rsidR="008717B3">
        <w:t xml:space="preserve">lower </w:t>
      </w:r>
      <w:r>
        <w:t xml:space="preserve">patient throughput, rather than improved patient outcomes.  While Cyberknife may treat around 250 patients per year, a modified </w:t>
      </w:r>
      <w:proofErr w:type="spellStart"/>
      <w:r>
        <w:t>linac</w:t>
      </w:r>
      <w:proofErr w:type="spellEnd"/>
      <w:r>
        <w:t xml:space="preserve"> may treat around 100 patients requiring SRS/SBRT plus another 200–250 patients requiring conformal radiotherapy per year. </w:t>
      </w:r>
    </w:p>
    <w:p w:rsidR="007331F1" w:rsidRDefault="007331F1" w:rsidP="007331F1"/>
    <w:p w:rsidR="007331F1" w:rsidRDefault="007331F1" w:rsidP="007331F1">
      <w:r>
        <w:t xml:space="preserve">MSAC agreed that the applicant had not established that there was a clinical need for the proposed service at the proposed price point.  The Committee also noted that some </w:t>
      </w:r>
      <w:proofErr w:type="spellStart"/>
      <w:r>
        <w:t>linacs</w:t>
      </w:r>
      <w:proofErr w:type="spellEnd"/>
      <w:r>
        <w:t xml:space="preserve"> with capacity to deliver SRS/SBRT may be underutilised at present.</w:t>
      </w:r>
    </w:p>
    <w:p w:rsidR="007331F1" w:rsidRDefault="007331F1" w:rsidP="007331F1"/>
    <w:p w:rsidR="007331F1" w:rsidRDefault="007331F1" w:rsidP="007331F1">
      <w:r>
        <w:t xml:space="preserve">MSAC agreed that with Cyberknife technology, treatment verification is not a separate service.  It is part of treatment delivery with </w:t>
      </w:r>
      <w:r w:rsidRPr="00AB7195">
        <w:t>continual image guidance allow</w:t>
      </w:r>
      <w:r>
        <w:t>ing</w:t>
      </w:r>
      <w:r w:rsidRPr="00AB7195">
        <w:t xml:space="preserve"> for intra-fraction motion tracking</w:t>
      </w:r>
      <w:r>
        <w:t xml:space="preserve"> and adjustment.</w:t>
      </w:r>
      <w:r w:rsidR="008717B3" w:rsidRPr="008717B3">
        <w:t xml:space="preserve"> </w:t>
      </w:r>
      <w:r w:rsidR="008717B3">
        <w:t xml:space="preserve"> MSAC found no justification for the inclusion of a separate, higher MBS fee for treatment verification in association with the proposed service.</w:t>
      </w:r>
    </w:p>
    <w:p w:rsidR="007331F1" w:rsidRDefault="007331F1" w:rsidP="007331F1"/>
    <w:p w:rsidR="007331F1" w:rsidRDefault="007331F1" w:rsidP="007331F1">
      <w:r>
        <w:t>MSAC agreed that limiting the comparator to IMRT and 3D-CRT was reasonable but was concerned that the evidence did not demonstrate that Cyberknife provided superior outcomes for patients.  MSAC agreed that Cyberknife appeared marginally better than the comparators in terms of effectiveness but was concerned at the poor quality of the evidence.  MSAC noted that the applicant had corrected errors relating to the inclusion of Grade 0 adverse events but remained concerned about the exclusion of uncommon adverse events.</w:t>
      </w:r>
    </w:p>
    <w:p w:rsidR="007331F1" w:rsidRDefault="007331F1" w:rsidP="007331F1"/>
    <w:p w:rsidR="007331F1" w:rsidRDefault="007331F1" w:rsidP="007331F1">
      <w:r>
        <w:t xml:space="preserve">MSAC </w:t>
      </w:r>
      <w:r w:rsidR="008717B3">
        <w:t xml:space="preserve">expressed concern that </w:t>
      </w:r>
      <w:r>
        <w:t>the economic model was biased in support of Cyberknife and:</w:t>
      </w:r>
    </w:p>
    <w:p w:rsidR="007331F1" w:rsidRDefault="007331F1" w:rsidP="007331F1">
      <w:pPr>
        <w:pStyle w:val="ListParagraph"/>
        <w:numPr>
          <w:ilvl w:val="0"/>
          <w:numId w:val="32"/>
        </w:numPr>
      </w:pPr>
      <w:r>
        <w:t>that the Markov model did not allow transitions between recurrence health states</w:t>
      </w:r>
      <w:r w:rsidR="00AA61B7">
        <w:t>;</w:t>
      </w:r>
    </w:p>
    <w:p w:rsidR="007331F1" w:rsidRDefault="007331F1" w:rsidP="007331F1">
      <w:pPr>
        <w:pStyle w:val="ListParagraph"/>
        <w:numPr>
          <w:ilvl w:val="0"/>
          <w:numId w:val="32"/>
        </w:numPr>
      </w:pPr>
      <w:r>
        <w:t>with the increase in the maximum recurrence time horizon well beyond the clinical trial follow up</w:t>
      </w:r>
      <w:r w:rsidR="00AA61B7">
        <w:t>; and</w:t>
      </w:r>
    </w:p>
    <w:p w:rsidR="007331F1" w:rsidRDefault="007331F1" w:rsidP="007331F1">
      <w:pPr>
        <w:pStyle w:val="ListParagraph"/>
        <w:numPr>
          <w:ilvl w:val="0"/>
          <w:numId w:val="32"/>
        </w:numPr>
      </w:pPr>
      <w:proofErr w:type="gramStart"/>
      <w:r>
        <w:t>that</w:t>
      </w:r>
      <w:proofErr w:type="gramEnd"/>
      <w:r>
        <w:t xml:space="preserve"> the economic model relied upon a small number of non-comparative case studies.</w:t>
      </w:r>
    </w:p>
    <w:p w:rsidR="007331F1" w:rsidRDefault="007331F1" w:rsidP="007331F1"/>
    <w:p w:rsidR="007331F1" w:rsidRDefault="007331F1" w:rsidP="007331F1">
      <w:r>
        <w:lastRenderedPageBreak/>
        <w:t xml:space="preserve">MSAC noted additional material provided by the applicant had not addressed key issues relating to the sensitivity analysis and the high uncertainty of the clinical data.  MSAC agreed the analysis showed Cyberknife to be marginally preferred at low willingness-to-pay thresholds while IMRT is marginally preferred at thresholds above $20,000. </w:t>
      </w:r>
    </w:p>
    <w:p w:rsidR="007331F1" w:rsidRDefault="007331F1" w:rsidP="007331F1"/>
    <w:p w:rsidR="007331F1" w:rsidRDefault="007331F1" w:rsidP="007331F1">
      <w:r>
        <w:t xml:space="preserve">MSAC </w:t>
      </w:r>
      <w:r w:rsidR="009673F2">
        <w:t xml:space="preserve">noted applications for funding of equipment under the ROHPG Scheme are a matter for the Department but </w:t>
      </w:r>
      <w:r>
        <w:t xml:space="preserve">agreed the </w:t>
      </w:r>
      <w:r w:rsidR="009673F2">
        <w:t xml:space="preserve">proposed </w:t>
      </w:r>
      <w:r>
        <w:t>capital reimbursement of Cyberknife through the ROHPG must be factored into the financial model.  MSAC also noted the impact of the Extended Medicare Safety Net in funding radiation oncology services.  Subject to the passage of legislation, the safety net is expected to be capped from 1 January 2016</w:t>
      </w:r>
      <w:r>
        <w:rPr>
          <w:rStyle w:val="FootnoteReference"/>
          <w:rFonts w:eastAsiaTheme="majorEastAsia"/>
        </w:rPr>
        <w:footnoteReference w:id="1"/>
      </w:r>
      <w:r>
        <w:t>.</w:t>
      </w:r>
    </w:p>
    <w:p w:rsidR="007331F1" w:rsidRDefault="007331F1" w:rsidP="007331F1"/>
    <w:p w:rsidR="007331F1" w:rsidRDefault="007331F1" w:rsidP="007331F1">
      <w:r>
        <w:t xml:space="preserve">MSAC </w:t>
      </w:r>
      <w:r w:rsidR="000434DD">
        <w:t>agreed there was</w:t>
      </w:r>
      <w:r>
        <w:t xml:space="preserve"> uncertainty in relation to: the patient population, epidemiological inputs used, and the applicability of included studies to the Australian context. </w:t>
      </w:r>
      <w:r w:rsidR="000434DD">
        <w:t xml:space="preserve"> </w:t>
      </w:r>
      <w:r>
        <w:t>MSAC noted the total cost of treatment delivered using Cyberknife was estimated at $700,833 in the first year, increasing to $6.9 million in year five.  The Committee agreed the additional cost of this proposed service was not justified as the application had not demonstrated the clinical need for the service at the specific price point nor did the evidence support the claim that the service provided superior patient outcomes to the comparators.</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AE7F55" w:rsidRPr="0021018C" w:rsidRDefault="00EC2E47" w:rsidP="0021018C">
      <w:pPr>
        <w:tabs>
          <w:tab w:val="left" w:pos="840"/>
        </w:tabs>
        <w:ind w:right="-20"/>
        <w:rPr>
          <w:szCs w:val="24"/>
        </w:rPr>
      </w:pPr>
      <w:r>
        <w:rPr>
          <w:szCs w:val="24"/>
        </w:rPr>
        <w:t xml:space="preserve">MSAC considered </w:t>
      </w:r>
      <w:r w:rsidR="006B07E4">
        <w:rPr>
          <w:szCs w:val="24"/>
        </w:rPr>
        <w:t xml:space="preserve">the original </w:t>
      </w:r>
      <w:r>
        <w:rPr>
          <w:szCs w:val="24"/>
        </w:rPr>
        <w:t xml:space="preserve">application 1158 </w:t>
      </w:r>
      <w:r w:rsidR="006B07E4">
        <w:t>for new MBS items with higher Schedule fee</w:t>
      </w:r>
      <w:r w:rsidR="0021018C">
        <w:t>s</w:t>
      </w:r>
      <w:r w:rsidR="006B07E4">
        <w:t xml:space="preserve"> for Cyberknife for prostate </w:t>
      </w:r>
      <w:r w:rsidR="00F51A73">
        <w:t>and lung indications (primary operable and inoperable NSCLC and lung metastases from other primary sites)</w:t>
      </w:r>
      <w:r>
        <w:rPr>
          <w:szCs w:val="24"/>
        </w:rPr>
        <w:t xml:space="preserve">.  </w:t>
      </w:r>
      <w:r w:rsidR="00A81AD9">
        <w:rPr>
          <w:szCs w:val="24"/>
        </w:rPr>
        <w:t xml:space="preserve">The clinical claim was that Cyberknife was superior to 3D-CRT, IMRT and surgery.  </w:t>
      </w:r>
      <w:r w:rsidR="00E705E9" w:rsidRPr="0021018C">
        <w:rPr>
          <w:szCs w:val="24"/>
        </w:rPr>
        <w:t>MSAC considered the application in December 2012 and concluded that there was insufficient evidence to support public funding</w:t>
      </w:r>
    </w:p>
    <w:p w:rsidR="00A81AD9" w:rsidRDefault="00A81AD9" w:rsidP="006B07E4">
      <w:pPr>
        <w:tabs>
          <w:tab w:val="left" w:pos="840"/>
        </w:tabs>
        <w:ind w:right="-20"/>
        <w:rPr>
          <w:szCs w:val="24"/>
        </w:rPr>
      </w:pPr>
    </w:p>
    <w:p w:rsidR="00A81AD9" w:rsidRDefault="006B07E4" w:rsidP="00F7644A">
      <w:pPr>
        <w:ind w:right="-126"/>
        <w:rPr>
          <w:szCs w:val="24"/>
        </w:rPr>
      </w:pPr>
      <w:r w:rsidRPr="00F51A73">
        <w:rPr>
          <w:szCs w:val="24"/>
        </w:rPr>
        <w:t xml:space="preserve">In </w:t>
      </w:r>
      <w:r w:rsidR="00F51A73">
        <w:rPr>
          <w:szCs w:val="24"/>
        </w:rPr>
        <w:t>October 2014, MSAC received a revised a</w:t>
      </w:r>
      <w:r w:rsidR="00F51A73" w:rsidRPr="00F51A73">
        <w:rPr>
          <w:szCs w:val="24"/>
        </w:rPr>
        <w:t>pp</w:t>
      </w:r>
      <w:r w:rsidR="00F51A73">
        <w:rPr>
          <w:szCs w:val="24"/>
        </w:rPr>
        <w:t xml:space="preserve">lication </w:t>
      </w:r>
      <w:r w:rsidR="00F51A73" w:rsidRPr="00F51A73">
        <w:rPr>
          <w:szCs w:val="24"/>
        </w:rPr>
        <w:t xml:space="preserve">for </w:t>
      </w:r>
      <w:r w:rsidR="00F51A73">
        <w:rPr>
          <w:szCs w:val="24"/>
        </w:rPr>
        <w:t xml:space="preserve">Cyberknife for the </w:t>
      </w:r>
      <w:r w:rsidR="00F51A73" w:rsidRPr="00F51A73">
        <w:rPr>
          <w:szCs w:val="24"/>
        </w:rPr>
        <w:t>lung indication only</w:t>
      </w:r>
      <w:r w:rsidR="00F51A73">
        <w:rPr>
          <w:szCs w:val="24"/>
        </w:rPr>
        <w:t xml:space="preserve"> (primary o</w:t>
      </w:r>
      <w:r w:rsidR="00F51A73" w:rsidRPr="00F51A73">
        <w:rPr>
          <w:szCs w:val="24"/>
        </w:rPr>
        <w:t xml:space="preserve">perable </w:t>
      </w:r>
      <w:r w:rsidR="00F51A73">
        <w:rPr>
          <w:szCs w:val="24"/>
        </w:rPr>
        <w:t>and</w:t>
      </w:r>
      <w:r w:rsidR="00F51A73" w:rsidRPr="00F51A73">
        <w:rPr>
          <w:szCs w:val="24"/>
        </w:rPr>
        <w:t xml:space="preserve"> inoperable</w:t>
      </w:r>
      <w:r w:rsidR="00F51A73">
        <w:rPr>
          <w:szCs w:val="24"/>
        </w:rPr>
        <w:t xml:space="preserve"> NSCLC and lung</w:t>
      </w:r>
      <w:r w:rsidR="00F51A73" w:rsidRPr="00F51A73">
        <w:rPr>
          <w:szCs w:val="24"/>
        </w:rPr>
        <w:t xml:space="preserve"> metastases from other primary sites</w:t>
      </w:r>
      <w:r w:rsidR="00F51A73">
        <w:rPr>
          <w:szCs w:val="24"/>
        </w:rPr>
        <w:t xml:space="preserve">). </w:t>
      </w:r>
      <w:r w:rsidR="00F51A73" w:rsidRPr="00F51A73">
        <w:rPr>
          <w:szCs w:val="24"/>
        </w:rPr>
        <w:t xml:space="preserve"> </w:t>
      </w:r>
      <w:r w:rsidR="00A81AD9">
        <w:rPr>
          <w:szCs w:val="24"/>
        </w:rPr>
        <w:t>The clinical claim was that Cyberknife was n</w:t>
      </w:r>
      <w:r w:rsidR="00A81AD9" w:rsidRPr="00F7644A">
        <w:rPr>
          <w:szCs w:val="24"/>
        </w:rPr>
        <w:t xml:space="preserve">on-inferior </w:t>
      </w:r>
      <w:r w:rsidR="00A81AD9">
        <w:rPr>
          <w:szCs w:val="24"/>
        </w:rPr>
        <w:t xml:space="preserve">in </w:t>
      </w:r>
      <w:r w:rsidR="00A81AD9" w:rsidRPr="00F7644A">
        <w:rPr>
          <w:szCs w:val="24"/>
        </w:rPr>
        <w:t xml:space="preserve">effectiveness </w:t>
      </w:r>
      <w:r w:rsidR="00A81AD9">
        <w:rPr>
          <w:szCs w:val="24"/>
        </w:rPr>
        <w:t>and</w:t>
      </w:r>
      <w:r w:rsidR="00A81AD9" w:rsidRPr="00F7644A">
        <w:rPr>
          <w:szCs w:val="24"/>
        </w:rPr>
        <w:t xml:space="preserve"> safety </w:t>
      </w:r>
      <w:r w:rsidR="00A81AD9">
        <w:rPr>
          <w:szCs w:val="24"/>
        </w:rPr>
        <w:t>to</w:t>
      </w:r>
      <w:r w:rsidR="00A81AD9" w:rsidRPr="00F7644A">
        <w:rPr>
          <w:szCs w:val="24"/>
        </w:rPr>
        <w:t xml:space="preserve"> curative surgery</w:t>
      </w:r>
      <w:r w:rsidR="00A81AD9">
        <w:rPr>
          <w:szCs w:val="24"/>
        </w:rPr>
        <w:t xml:space="preserve"> and e</w:t>
      </w:r>
      <w:r w:rsidR="00A81AD9" w:rsidRPr="00F7644A">
        <w:rPr>
          <w:szCs w:val="24"/>
        </w:rPr>
        <w:t xml:space="preserve">quivalent </w:t>
      </w:r>
      <w:r w:rsidR="00A81AD9">
        <w:rPr>
          <w:szCs w:val="24"/>
        </w:rPr>
        <w:t xml:space="preserve">in </w:t>
      </w:r>
      <w:r w:rsidR="00A81AD9" w:rsidRPr="00F7644A">
        <w:rPr>
          <w:szCs w:val="24"/>
        </w:rPr>
        <w:t xml:space="preserve">effectiveness </w:t>
      </w:r>
      <w:r w:rsidR="00A81AD9">
        <w:rPr>
          <w:szCs w:val="24"/>
        </w:rPr>
        <w:t>and</w:t>
      </w:r>
      <w:r w:rsidR="00A81AD9" w:rsidRPr="00F7644A">
        <w:rPr>
          <w:szCs w:val="24"/>
        </w:rPr>
        <w:t xml:space="preserve"> safety to </w:t>
      </w:r>
      <w:r w:rsidR="00A81AD9">
        <w:rPr>
          <w:szCs w:val="24"/>
        </w:rPr>
        <w:t>3D-CRT and IMRT.</w:t>
      </w:r>
    </w:p>
    <w:p w:rsidR="00A81AD9" w:rsidRDefault="00A81AD9" w:rsidP="00F7644A">
      <w:pPr>
        <w:ind w:right="-126"/>
        <w:rPr>
          <w:szCs w:val="24"/>
        </w:rPr>
      </w:pPr>
    </w:p>
    <w:p w:rsidR="00F51A73" w:rsidRPr="00A81AD9" w:rsidRDefault="00F51A73" w:rsidP="00F7644A">
      <w:pPr>
        <w:ind w:right="-126"/>
        <w:rPr>
          <w:szCs w:val="24"/>
        </w:rPr>
      </w:pPr>
      <w:r w:rsidRPr="00A81AD9">
        <w:rPr>
          <w:szCs w:val="24"/>
        </w:rPr>
        <w:t xml:space="preserve">In </w:t>
      </w:r>
      <w:r w:rsidR="006B07E4" w:rsidRPr="00A81AD9">
        <w:rPr>
          <w:szCs w:val="24"/>
        </w:rPr>
        <w:t xml:space="preserve">February 2015, </w:t>
      </w:r>
      <w:r w:rsidR="000A1629">
        <w:rPr>
          <w:szCs w:val="24"/>
        </w:rPr>
        <w:t xml:space="preserve">the </w:t>
      </w:r>
      <w:r w:rsidR="00EC2E47" w:rsidRPr="00A81AD9">
        <w:rPr>
          <w:szCs w:val="24"/>
        </w:rPr>
        <w:t>E</w:t>
      </w:r>
      <w:r w:rsidR="000A1629">
        <w:rPr>
          <w:szCs w:val="24"/>
        </w:rPr>
        <w:t xml:space="preserve">valuation </w:t>
      </w:r>
      <w:r w:rsidR="00EC2E47" w:rsidRPr="00A81AD9">
        <w:rPr>
          <w:szCs w:val="24"/>
        </w:rPr>
        <w:t>S</w:t>
      </w:r>
      <w:r w:rsidR="000A1629">
        <w:rPr>
          <w:szCs w:val="24"/>
        </w:rPr>
        <w:t>ub-Committee (ESC)</w:t>
      </w:r>
      <w:r w:rsidR="00EC2E47" w:rsidRPr="00A81AD9">
        <w:rPr>
          <w:szCs w:val="24"/>
        </w:rPr>
        <w:t xml:space="preserve"> considered </w:t>
      </w:r>
      <w:r w:rsidRPr="00A81AD9">
        <w:rPr>
          <w:szCs w:val="24"/>
        </w:rPr>
        <w:t xml:space="preserve">the </w:t>
      </w:r>
      <w:r w:rsidR="00EC2E47" w:rsidRPr="00A81AD9">
        <w:rPr>
          <w:szCs w:val="24"/>
        </w:rPr>
        <w:t>re</w:t>
      </w:r>
      <w:r w:rsidRPr="00A81AD9">
        <w:rPr>
          <w:szCs w:val="24"/>
        </w:rPr>
        <w:t>vised application, noting the following concerns:</w:t>
      </w:r>
    </w:p>
    <w:p w:rsidR="00F51A73" w:rsidRPr="00F51A73" w:rsidRDefault="00F51A73" w:rsidP="00F51A73">
      <w:pPr>
        <w:pStyle w:val="ListParagraph"/>
        <w:numPr>
          <w:ilvl w:val="0"/>
          <w:numId w:val="38"/>
        </w:numPr>
        <w:autoSpaceDE w:val="0"/>
        <w:autoSpaceDN w:val="0"/>
        <w:adjustRightInd w:val="0"/>
        <w:rPr>
          <w:rFonts w:eastAsiaTheme="minorHAnsi"/>
          <w:color w:val="000000"/>
          <w:szCs w:val="24"/>
        </w:rPr>
      </w:pPr>
      <w:r>
        <w:rPr>
          <w:rFonts w:eastAsiaTheme="minorHAnsi"/>
          <w:color w:val="000000"/>
          <w:szCs w:val="24"/>
        </w:rPr>
        <w:t xml:space="preserve">the </w:t>
      </w:r>
      <w:r w:rsidRPr="00F51A73">
        <w:rPr>
          <w:rFonts w:eastAsiaTheme="minorHAnsi"/>
          <w:color w:val="000000"/>
          <w:szCs w:val="24"/>
        </w:rPr>
        <w:t xml:space="preserve">MBS descriptor should specify </w:t>
      </w:r>
      <w:r>
        <w:rPr>
          <w:rFonts w:eastAsiaTheme="minorHAnsi"/>
          <w:color w:val="000000"/>
          <w:szCs w:val="24"/>
        </w:rPr>
        <w:t xml:space="preserve">the </w:t>
      </w:r>
      <w:r w:rsidRPr="00F51A73">
        <w:rPr>
          <w:rFonts w:eastAsiaTheme="minorHAnsi"/>
          <w:color w:val="000000"/>
          <w:szCs w:val="24"/>
        </w:rPr>
        <w:t>tumour type and tumour stage</w:t>
      </w:r>
      <w:r w:rsidR="00AA61B7">
        <w:rPr>
          <w:rFonts w:eastAsiaTheme="minorHAnsi"/>
          <w:color w:val="000000"/>
          <w:szCs w:val="24"/>
        </w:rPr>
        <w:t>;</w:t>
      </w:r>
    </w:p>
    <w:p w:rsidR="00F51A73" w:rsidRPr="00F51A73" w:rsidRDefault="00F51A73" w:rsidP="00F51A73">
      <w:pPr>
        <w:pStyle w:val="ListParagraph"/>
        <w:numPr>
          <w:ilvl w:val="0"/>
          <w:numId w:val="38"/>
        </w:numPr>
        <w:autoSpaceDE w:val="0"/>
        <w:autoSpaceDN w:val="0"/>
        <w:adjustRightInd w:val="0"/>
        <w:rPr>
          <w:rFonts w:eastAsiaTheme="minorHAnsi"/>
          <w:color w:val="000000"/>
          <w:szCs w:val="24"/>
        </w:rPr>
      </w:pPr>
      <w:r>
        <w:rPr>
          <w:rFonts w:eastAsiaTheme="minorHAnsi"/>
          <w:color w:val="000000"/>
          <w:szCs w:val="24"/>
        </w:rPr>
        <w:t>f</w:t>
      </w:r>
      <w:r w:rsidRPr="00F51A73">
        <w:rPr>
          <w:rFonts w:eastAsiaTheme="minorHAnsi"/>
          <w:color w:val="000000"/>
          <w:szCs w:val="24"/>
        </w:rPr>
        <w:t>ees should be input based</w:t>
      </w:r>
      <w:r>
        <w:rPr>
          <w:rFonts w:eastAsiaTheme="minorHAnsi"/>
          <w:color w:val="000000"/>
          <w:szCs w:val="24"/>
        </w:rPr>
        <w:t>;</w:t>
      </w:r>
    </w:p>
    <w:p w:rsidR="00F51A73" w:rsidRPr="00F51A73" w:rsidRDefault="00F51A73" w:rsidP="00F51A73">
      <w:pPr>
        <w:pStyle w:val="ListParagraph"/>
        <w:numPr>
          <w:ilvl w:val="0"/>
          <w:numId w:val="38"/>
        </w:numPr>
        <w:autoSpaceDE w:val="0"/>
        <w:autoSpaceDN w:val="0"/>
        <w:adjustRightInd w:val="0"/>
        <w:rPr>
          <w:szCs w:val="24"/>
        </w:rPr>
      </w:pPr>
      <w:r>
        <w:rPr>
          <w:rFonts w:eastAsiaTheme="minorHAnsi"/>
          <w:color w:val="000000"/>
          <w:szCs w:val="24"/>
        </w:rPr>
        <w:t>inadequate reporting of s</w:t>
      </w:r>
      <w:r w:rsidRPr="00F51A73">
        <w:rPr>
          <w:rFonts w:eastAsiaTheme="minorHAnsi"/>
          <w:color w:val="000000"/>
          <w:szCs w:val="24"/>
        </w:rPr>
        <w:t>afety data</w:t>
      </w:r>
      <w:r>
        <w:rPr>
          <w:rFonts w:eastAsiaTheme="minorHAnsi"/>
          <w:color w:val="000000"/>
          <w:szCs w:val="24"/>
        </w:rPr>
        <w:t>;</w:t>
      </w:r>
    </w:p>
    <w:p w:rsidR="00F51A73" w:rsidRPr="00F51A73" w:rsidRDefault="00F51A73" w:rsidP="00F51A73">
      <w:pPr>
        <w:pStyle w:val="ListParagraph"/>
        <w:numPr>
          <w:ilvl w:val="0"/>
          <w:numId w:val="38"/>
        </w:numPr>
        <w:autoSpaceDE w:val="0"/>
        <w:autoSpaceDN w:val="0"/>
        <w:adjustRightInd w:val="0"/>
        <w:rPr>
          <w:szCs w:val="24"/>
        </w:rPr>
      </w:pPr>
      <w:r>
        <w:rPr>
          <w:rFonts w:eastAsiaTheme="minorHAnsi"/>
          <w:color w:val="000000"/>
          <w:szCs w:val="24"/>
        </w:rPr>
        <w:t>the o</w:t>
      </w:r>
      <w:r w:rsidRPr="00F51A73">
        <w:rPr>
          <w:rFonts w:eastAsiaTheme="minorHAnsi"/>
          <w:color w:val="000000"/>
          <w:szCs w:val="24"/>
        </w:rPr>
        <w:t xml:space="preserve">utcomes </w:t>
      </w:r>
      <w:r>
        <w:rPr>
          <w:rFonts w:eastAsiaTheme="minorHAnsi"/>
          <w:color w:val="000000"/>
          <w:szCs w:val="24"/>
        </w:rPr>
        <w:t xml:space="preserve">were </w:t>
      </w:r>
      <w:r w:rsidRPr="00F51A73">
        <w:rPr>
          <w:rFonts w:eastAsiaTheme="minorHAnsi"/>
          <w:color w:val="000000"/>
          <w:szCs w:val="24"/>
        </w:rPr>
        <w:t xml:space="preserve">extrapolated well beyond end of trial follow-up which </w:t>
      </w:r>
      <w:r>
        <w:rPr>
          <w:rFonts w:eastAsiaTheme="minorHAnsi"/>
          <w:color w:val="000000"/>
          <w:szCs w:val="24"/>
        </w:rPr>
        <w:t>favours CyberKnife;</w:t>
      </w:r>
    </w:p>
    <w:p w:rsidR="00F51A73" w:rsidRPr="00F51A73" w:rsidRDefault="00AD5834" w:rsidP="00F51A73">
      <w:pPr>
        <w:pStyle w:val="ListParagraph"/>
        <w:numPr>
          <w:ilvl w:val="0"/>
          <w:numId w:val="38"/>
        </w:numPr>
        <w:autoSpaceDE w:val="0"/>
        <w:autoSpaceDN w:val="0"/>
        <w:adjustRightInd w:val="0"/>
        <w:rPr>
          <w:rFonts w:eastAsiaTheme="minorHAnsi"/>
          <w:color w:val="000000"/>
          <w:szCs w:val="24"/>
        </w:rPr>
      </w:pPr>
      <w:r>
        <w:rPr>
          <w:rFonts w:eastAsiaTheme="minorHAnsi"/>
          <w:color w:val="000000"/>
          <w:szCs w:val="24"/>
        </w:rPr>
        <w:t xml:space="preserve">validity of </w:t>
      </w:r>
      <w:r w:rsidR="00F51A73">
        <w:rPr>
          <w:rFonts w:eastAsiaTheme="minorHAnsi"/>
          <w:color w:val="000000"/>
          <w:szCs w:val="24"/>
        </w:rPr>
        <w:t>the c</w:t>
      </w:r>
      <w:r w:rsidR="00F51A73" w:rsidRPr="00F51A73">
        <w:rPr>
          <w:rFonts w:eastAsiaTheme="minorHAnsi"/>
          <w:color w:val="000000"/>
          <w:szCs w:val="24"/>
        </w:rPr>
        <w:t>ostings and assumptions</w:t>
      </w:r>
      <w:r w:rsidR="00F51A73">
        <w:rPr>
          <w:rFonts w:eastAsiaTheme="minorHAnsi"/>
          <w:color w:val="000000"/>
          <w:szCs w:val="24"/>
        </w:rPr>
        <w:t>;</w:t>
      </w:r>
    </w:p>
    <w:p w:rsidR="00F51A73" w:rsidRPr="00F51A73" w:rsidRDefault="00F51A73" w:rsidP="00F51A73">
      <w:pPr>
        <w:pStyle w:val="ListParagraph"/>
        <w:numPr>
          <w:ilvl w:val="0"/>
          <w:numId w:val="38"/>
        </w:numPr>
        <w:autoSpaceDE w:val="0"/>
        <w:autoSpaceDN w:val="0"/>
        <w:adjustRightInd w:val="0"/>
        <w:ind w:right="-69"/>
        <w:rPr>
          <w:szCs w:val="24"/>
        </w:rPr>
      </w:pPr>
      <w:r w:rsidRPr="00F51A73">
        <w:rPr>
          <w:rFonts w:eastAsiaTheme="minorHAnsi"/>
          <w:color w:val="000000"/>
          <w:szCs w:val="24"/>
        </w:rPr>
        <w:t>the Markov model driven by rate of recurrence and transitioning between disease states is not possible</w:t>
      </w:r>
      <w:r>
        <w:rPr>
          <w:rFonts w:eastAsiaTheme="minorHAnsi"/>
          <w:color w:val="000000"/>
          <w:szCs w:val="24"/>
        </w:rPr>
        <w:t>;</w:t>
      </w:r>
      <w:r w:rsidR="00AA61B7">
        <w:rPr>
          <w:rFonts w:eastAsiaTheme="minorHAnsi"/>
          <w:color w:val="000000"/>
          <w:szCs w:val="24"/>
        </w:rPr>
        <w:t xml:space="preserve"> and</w:t>
      </w:r>
    </w:p>
    <w:p w:rsidR="00F51A73" w:rsidRPr="00F51A73" w:rsidRDefault="00F51A73" w:rsidP="00F51A73">
      <w:pPr>
        <w:pStyle w:val="ListParagraph"/>
        <w:numPr>
          <w:ilvl w:val="0"/>
          <w:numId w:val="38"/>
        </w:numPr>
        <w:autoSpaceDE w:val="0"/>
        <w:autoSpaceDN w:val="0"/>
        <w:adjustRightInd w:val="0"/>
        <w:ind w:right="-69"/>
        <w:rPr>
          <w:szCs w:val="24"/>
        </w:rPr>
      </w:pPr>
      <w:r>
        <w:rPr>
          <w:szCs w:val="24"/>
        </w:rPr>
        <w:t>n</w:t>
      </w:r>
      <w:r w:rsidRPr="00F51A73">
        <w:rPr>
          <w:szCs w:val="24"/>
        </w:rPr>
        <w:t xml:space="preserve">o evidence presented to support </w:t>
      </w:r>
      <w:r>
        <w:rPr>
          <w:szCs w:val="24"/>
        </w:rPr>
        <w:t xml:space="preserve">the </w:t>
      </w:r>
      <w:r w:rsidRPr="00F51A73">
        <w:rPr>
          <w:szCs w:val="24"/>
        </w:rPr>
        <w:t xml:space="preserve">forecast </w:t>
      </w:r>
      <w:r>
        <w:rPr>
          <w:szCs w:val="24"/>
        </w:rPr>
        <w:t>of the</w:t>
      </w:r>
      <w:r w:rsidRPr="00F51A73">
        <w:rPr>
          <w:szCs w:val="24"/>
        </w:rPr>
        <w:t xml:space="preserve"> eligible pop</w:t>
      </w:r>
      <w:r w:rsidR="00C4453D">
        <w:rPr>
          <w:szCs w:val="24"/>
        </w:rPr>
        <w:t>ulation</w:t>
      </w:r>
    </w:p>
    <w:p w:rsidR="00F51A73" w:rsidRDefault="00F51A73" w:rsidP="00F51A73">
      <w:pPr>
        <w:ind w:right="-69"/>
        <w:rPr>
          <w:szCs w:val="24"/>
        </w:rPr>
      </w:pPr>
    </w:p>
    <w:p w:rsidR="00EC2E47" w:rsidRDefault="00EC2E47" w:rsidP="00F51A73">
      <w:pPr>
        <w:ind w:right="-69"/>
      </w:pPr>
      <w:r w:rsidRPr="00F51A73">
        <w:rPr>
          <w:szCs w:val="24"/>
        </w:rPr>
        <w:t>After receiving the</w:t>
      </w:r>
      <w:r w:rsidRPr="00995C5B">
        <w:t xml:space="preserve"> ESC Report, the </w:t>
      </w:r>
      <w:r>
        <w:t>A</w:t>
      </w:r>
      <w:r w:rsidRPr="00995C5B">
        <w:t xml:space="preserve">pplicant </w:t>
      </w:r>
      <w:r w:rsidR="00A81AD9">
        <w:t>paused</w:t>
      </w:r>
      <w:r w:rsidRPr="00995C5B">
        <w:t xml:space="preserve"> the application </w:t>
      </w:r>
      <w:r w:rsidR="000434DD">
        <w:t>while</w:t>
      </w:r>
      <w:r w:rsidRPr="00995C5B">
        <w:t xml:space="preserve"> </w:t>
      </w:r>
      <w:r w:rsidR="000434DD">
        <w:t xml:space="preserve">developing a response to </w:t>
      </w:r>
      <w:r w:rsidRPr="00995C5B">
        <w:t xml:space="preserve">the issues </w:t>
      </w:r>
      <w:proofErr w:type="gramStart"/>
      <w:r w:rsidRPr="00995C5B">
        <w:t>raised</w:t>
      </w:r>
      <w:proofErr w:type="gramEnd"/>
      <w:r w:rsidRPr="00995C5B">
        <w:t>.</w:t>
      </w:r>
    </w:p>
    <w:p w:rsidR="00A81AD9" w:rsidRDefault="00A81AD9" w:rsidP="00EC2E47">
      <w:pPr>
        <w:rPr>
          <w:szCs w:val="24"/>
        </w:rPr>
      </w:pPr>
    </w:p>
    <w:p w:rsidR="007B32D1" w:rsidRDefault="00A81AD9" w:rsidP="00EC2E47">
      <w:r>
        <w:rPr>
          <w:szCs w:val="24"/>
        </w:rPr>
        <w:lastRenderedPageBreak/>
        <w:t>In Ju</w:t>
      </w:r>
      <w:r w:rsidR="00055DC4">
        <w:rPr>
          <w:szCs w:val="24"/>
        </w:rPr>
        <w:t>ly</w:t>
      </w:r>
      <w:r>
        <w:rPr>
          <w:szCs w:val="24"/>
        </w:rPr>
        <w:t xml:space="preserve"> 2015, MSAC received a further revised application for Cyberknife </w:t>
      </w:r>
      <w:r w:rsidRPr="00A81AD9">
        <w:rPr>
          <w:szCs w:val="24"/>
        </w:rPr>
        <w:t xml:space="preserve">for inoperable primary NSCLC only.  </w:t>
      </w:r>
      <w:r>
        <w:rPr>
          <w:szCs w:val="24"/>
        </w:rPr>
        <w:t>The clinical claim was that Cyberknife was at</w:t>
      </w:r>
      <w:r w:rsidRPr="00A81AD9">
        <w:rPr>
          <w:szCs w:val="24"/>
        </w:rPr>
        <w:t xml:space="preserve"> least as effective, safe </w:t>
      </w:r>
      <w:r>
        <w:rPr>
          <w:szCs w:val="24"/>
        </w:rPr>
        <w:t>and</w:t>
      </w:r>
      <w:r w:rsidRPr="00A81AD9">
        <w:rPr>
          <w:szCs w:val="24"/>
        </w:rPr>
        <w:t xml:space="preserve"> cost-effective as </w:t>
      </w:r>
      <w:r>
        <w:rPr>
          <w:szCs w:val="24"/>
        </w:rPr>
        <w:t xml:space="preserve">3D-CRT and IMRT.  </w:t>
      </w:r>
      <w:r w:rsidR="00EC2E47">
        <w:t xml:space="preserve">The </w:t>
      </w:r>
      <w:r>
        <w:t>revised application included</w:t>
      </w:r>
      <w:r w:rsidR="00EC2E47">
        <w:t xml:space="preserve"> a </w:t>
      </w:r>
      <w:r w:rsidR="00EC2E47" w:rsidRPr="00995C5B">
        <w:t>response to the</w:t>
      </w:r>
      <w:r w:rsidR="00EC2E47">
        <w:t xml:space="preserve"> February 2015 </w:t>
      </w:r>
      <w:r w:rsidR="00EC2E47" w:rsidRPr="00995C5B">
        <w:t>ESC report</w:t>
      </w:r>
      <w:r w:rsidR="00EC2E47">
        <w:t xml:space="preserve"> </w:t>
      </w:r>
      <w:r w:rsidR="00EC2E47" w:rsidRPr="00995C5B">
        <w:t xml:space="preserve">and a </w:t>
      </w:r>
      <w:r>
        <w:t>revised</w:t>
      </w:r>
      <w:r w:rsidRPr="00995C5B">
        <w:t xml:space="preserve"> </w:t>
      </w:r>
      <w:r w:rsidR="00EC2E47" w:rsidRPr="00995C5B">
        <w:t xml:space="preserve">economic </w:t>
      </w:r>
      <w:r w:rsidR="00EC2E47">
        <w:t>model</w:t>
      </w:r>
      <w:r w:rsidR="00EC2E47" w:rsidRPr="00995C5B">
        <w:t>.</w:t>
      </w:r>
      <w:r w:rsidR="00EC2E47">
        <w:t xml:space="preserve"> </w:t>
      </w:r>
    </w:p>
    <w:p w:rsidR="00EC2E47" w:rsidRPr="007B32D1" w:rsidRDefault="00EC2E47" w:rsidP="00EC2E47"/>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BC1364" w:rsidRPr="00EC2E47" w:rsidRDefault="00EC2E47" w:rsidP="009E0D98">
      <w:pPr>
        <w:tabs>
          <w:tab w:val="left" w:pos="720"/>
          <w:tab w:val="left" w:pos="1140"/>
        </w:tabs>
        <w:rPr>
          <w:szCs w:val="24"/>
        </w:rPr>
      </w:pPr>
      <w:r w:rsidRPr="00EC2E47">
        <w:rPr>
          <w:szCs w:val="24"/>
        </w:rPr>
        <w:t xml:space="preserve">Please </w:t>
      </w:r>
      <w:r w:rsidR="00EF2B3B">
        <w:rPr>
          <w:szCs w:val="24"/>
        </w:rPr>
        <w:t>see</w:t>
      </w:r>
      <w:r w:rsidR="00C35B29">
        <w:rPr>
          <w:szCs w:val="24"/>
        </w:rPr>
        <w:t xml:space="preserve"> the November 2012 PSD for</w:t>
      </w:r>
      <w:r w:rsidRPr="00EC2E47">
        <w:rPr>
          <w:szCs w:val="24"/>
        </w:rPr>
        <w:t xml:space="preserve"> MSAC Application 1158 for this </w:t>
      </w:r>
      <w:r w:rsidR="00EF2B3B">
        <w:rPr>
          <w:szCs w:val="24"/>
        </w:rPr>
        <w:t>advice</w:t>
      </w:r>
      <w:r w:rsidRPr="00EC2E47">
        <w:rPr>
          <w:szCs w:val="24"/>
        </w:rPr>
        <w:t>.</w:t>
      </w:r>
    </w:p>
    <w:p w:rsidR="00BC1364" w:rsidRPr="007070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F7644A" w:rsidRDefault="00F7644A" w:rsidP="00EC2E47">
      <w:r>
        <w:t>Between the origi</w:t>
      </w:r>
      <w:bookmarkStart w:id="0" w:name="_GoBack"/>
      <w:bookmarkEnd w:id="0"/>
      <w:r>
        <w:t xml:space="preserve">nal </w:t>
      </w:r>
      <w:r w:rsidR="00A52F93">
        <w:t>application considered by MSAC in November 2012</w:t>
      </w:r>
      <w:r>
        <w:t xml:space="preserve"> and the revised submission </w:t>
      </w:r>
      <w:r w:rsidR="00A52F93">
        <w:t>considered by MSAC in November 2015</w:t>
      </w:r>
      <w:r>
        <w:t>, the proposal for public funding change</w:t>
      </w:r>
      <w:r w:rsidR="00A52F93">
        <w:t>d</w:t>
      </w:r>
      <w:r>
        <w:t xml:space="preserve"> significantly.  </w:t>
      </w:r>
      <w:r w:rsidR="00276426">
        <w:t xml:space="preserve">Table </w:t>
      </w:r>
      <w:r w:rsidR="00AA61B7">
        <w:t>1</w:t>
      </w:r>
      <w:r w:rsidR="00276426">
        <w:t xml:space="preserve"> below sets out the PICO and MBS fees proposed at each stage of the </w:t>
      </w:r>
      <w:r w:rsidR="00A52F93">
        <w:t>application/</w:t>
      </w:r>
      <w:r w:rsidR="00276426">
        <w:t>submission.</w:t>
      </w:r>
    </w:p>
    <w:p w:rsidR="00F7644A" w:rsidRDefault="00F7644A" w:rsidP="00EC2E47"/>
    <w:p w:rsidR="00276426" w:rsidRPr="00DA45A5" w:rsidRDefault="00276426" w:rsidP="00EC2E47">
      <w:pPr>
        <w:rPr>
          <w:b/>
          <w:sz w:val="20"/>
        </w:rPr>
      </w:pPr>
      <w:r w:rsidRPr="00DA45A5">
        <w:rPr>
          <w:b/>
          <w:sz w:val="20"/>
        </w:rPr>
        <w:t xml:space="preserve">Table </w:t>
      </w:r>
      <w:r w:rsidR="00AA61B7" w:rsidRPr="00DA45A5">
        <w:rPr>
          <w:b/>
          <w:sz w:val="20"/>
        </w:rPr>
        <w:t>1</w:t>
      </w:r>
      <w:r w:rsidRPr="00DA45A5">
        <w:rPr>
          <w:b/>
          <w:sz w:val="20"/>
        </w:rPr>
        <w:t>: Summary of revisions associated with MSAC Application 1158.1</w:t>
      </w:r>
    </w:p>
    <w:tbl>
      <w:tblPr>
        <w:tblStyle w:val="TableGrid"/>
        <w:tblW w:w="9923" w:type="dxa"/>
        <w:tblInd w:w="-34" w:type="dxa"/>
        <w:tblLayout w:type="fixed"/>
        <w:tblLook w:val="04A0" w:firstRow="1" w:lastRow="0" w:firstColumn="1" w:lastColumn="0" w:noHBand="0" w:noVBand="1"/>
        <w:tblCaption w:val="Table 1: Summary of revisions associated with MSAC Application 1158.1"/>
        <w:tblDescription w:val="The table shows the changes made to the population, comparator, MBS fees and ROHPG costs from the original submission made in November 2012, the october 2014 submission and formal response dated july 2015. "/>
      </w:tblPr>
      <w:tblGrid>
        <w:gridCol w:w="1276"/>
        <w:gridCol w:w="3544"/>
        <w:gridCol w:w="3119"/>
        <w:gridCol w:w="1984"/>
      </w:tblGrid>
      <w:tr w:rsidR="00276426" w:rsidRPr="002C1734" w:rsidTr="005E7411">
        <w:trPr>
          <w:tblHeader/>
        </w:trPr>
        <w:tc>
          <w:tcPr>
            <w:tcW w:w="1276" w:type="dxa"/>
            <w:shd w:val="clear" w:color="auto" w:fill="FDE9D9" w:themeFill="accent6" w:themeFillTint="33"/>
            <w:vAlign w:val="center"/>
          </w:tcPr>
          <w:p w:rsidR="00276426" w:rsidRPr="002C1734" w:rsidRDefault="00276426" w:rsidP="00276426">
            <w:pPr>
              <w:spacing w:line="276" w:lineRule="auto"/>
              <w:rPr>
                <w:b/>
                <w:sz w:val="20"/>
              </w:rPr>
            </w:pPr>
          </w:p>
        </w:tc>
        <w:tc>
          <w:tcPr>
            <w:tcW w:w="3544" w:type="dxa"/>
            <w:shd w:val="clear" w:color="auto" w:fill="FDE9D9" w:themeFill="accent6" w:themeFillTint="33"/>
            <w:vAlign w:val="center"/>
          </w:tcPr>
          <w:p w:rsidR="00276426" w:rsidRDefault="00276426" w:rsidP="00276426">
            <w:pPr>
              <w:spacing w:line="276" w:lineRule="auto"/>
              <w:jc w:val="center"/>
              <w:rPr>
                <w:b/>
                <w:sz w:val="20"/>
              </w:rPr>
            </w:pPr>
            <w:r w:rsidRPr="002C1734">
              <w:rPr>
                <w:b/>
                <w:sz w:val="20"/>
              </w:rPr>
              <w:t xml:space="preserve">Original Application </w:t>
            </w:r>
            <w:r w:rsidR="00A52F93">
              <w:rPr>
                <w:b/>
                <w:sz w:val="20"/>
              </w:rPr>
              <w:t>1158</w:t>
            </w:r>
          </w:p>
          <w:p w:rsidR="00276426" w:rsidRPr="002C1734" w:rsidRDefault="00A52F93" w:rsidP="00A52F93">
            <w:pPr>
              <w:spacing w:line="276" w:lineRule="auto"/>
              <w:jc w:val="center"/>
              <w:rPr>
                <w:b/>
                <w:sz w:val="20"/>
              </w:rPr>
            </w:pPr>
            <w:r>
              <w:rPr>
                <w:b/>
                <w:sz w:val="20"/>
              </w:rPr>
              <w:t>MSAC Nov 2012</w:t>
            </w:r>
          </w:p>
        </w:tc>
        <w:tc>
          <w:tcPr>
            <w:tcW w:w="3119" w:type="dxa"/>
            <w:shd w:val="clear" w:color="auto" w:fill="FDE9D9" w:themeFill="accent6" w:themeFillTint="33"/>
            <w:vAlign w:val="center"/>
          </w:tcPr>
          <w:p w:rsidR="00276426" w:rsidRPr="002C1734" w:rsidRDefault="00A52F93" w:rsidP="00A52F93">
            <w:pPr>
              <w:spacing w:line="276" w:lineRule="auto"/>
              <w:jc w:val="center"/>
              <w:rPr>
                <w:b/>
                <w:sz w:val="20"/>
              </w:rPr>
            </w:pPr>
            <w:r>
              <w:rPr>
                <w:b/>
                <w:sz w:val="20"/>
              </w:rPr>
              <w:t>Submission Based Assessment</w:t>
            </w:r>
            <w:r w:rsidR="00276426" w:rsidRPr="002C1734">
              <w:rPr>
                <w:b/>
                <w:sz w:val="20"/>
              </w:rPr>
              <w:t xml:space="preserve"> </w:t>
            </w:r>
            <w:r>
              <w:rPr>
                <w:b/>
                <w:sz w:val="20"/>
              </w:rPr>
              <w:t>1158.1 dated Oct 2014</w:t>
            </w:r>
          </w:p>
        </w:tc>
        <w:tc>
          <w:tcPr>
            <w:tcW w:w="1984" w:type="dxa"/>
            <w:shd w:val="clear" w:color="auto" w:fill="FDE9D9" w:themeFill="accent6" w:themeFillTint="33"/>
            <w:vAlign w:val="center"/>
          </w:tcPr>
          <w:p w:rsidR="00276426" w:rsidRPr="002C1734" w:rsidRDefault="00A52F93" w:rsidP="00A52F93">
            <w:pPr>
              <w:spacing w:line="276" w:lineRule="auto"/>
              <w:jc w:val="center"/>
              <w:rPr>
                <w:b/>
                <w:sz w:val="20"/>
              </w:rPr>
            </w:pPr>
            <w:r>
              <w:rPr>
                <w:b/>
                <w:sz w:val="20"/>
              </w:rPr>
              <w:t>Formal Response to ESC Feb 2015</w:t>
            </w:r>
            <w:r w:rsidR="00276426" w:rsidRPr="002C1734">
              <w:rPr>
                <w:b/>
                <w:sz w:val="20"/>
              </w:rPr>
              <w:t xml:space="preserve"> </w:t>
            </w:r>
            <w:r>
              <w:rPr>
                <w:b/>
                <w:sz w:val="20"/>
              </w:rPr>
              <w:t xml:space="preserve">dated </w:t>
            </w:r>
            <w:r w:rsidR="00276426" w:rsidRPr="002C1734">
              <w:rPr>
                <w:b/>
                <w:sz w:val="20"/>
              </w:rPr>
              <w:t>Ju</w:t>
            </w:r>
            <w:r w:rsidR="00276426">
              <w:rPr>
                <w:b/>
                <w:sz w:val="20"/>
              </w:rPr>
              <w:t>l</w:t>
            </w:r>
            <w:r w:rsidR="00276426" w:rsidRPr="002C1734">
              <w:rPr>
                <w:b/>
                <w:sz w:val="20"/>
              </w:rPr>
              <w:t xml:space="preserve"> 2015</w:t>
            </w:r>
          </w:p>
        </w:tc>
      </w:tr>
      <w:tr w:rsidR="00276426" w:rsidRPr="00B617EB" w:rsidTr="00415CD9">
        <w:tc>
          <w:tcPr>
            <w:tcW w:w="1276" w:type="dxa"/>
            <w:vAlign w:val="center"/>
          </w:tcPr>
          <w:p w:rsidR="00276426" w:rsidRPr="00B617EB" w:rsidRDefault="00276426" w:rsidP="00276426">
            <w:pPr>
              <w:spacing w:line="276" w:lineRule="auto"/>
              <w:rPr>
                <w:sz w:val="20"/>
              </w:rPr>
            </w:pPr>
            <w:r w:rsidRPr="00B617EB">
              <w:rPr>
                <w:sz w:val="20"/>
              </w:rPr>
              <w:t>Population</w:t>
            </w:r>
          </w:p>
        </w:tc>
        <w:tc>
          <w:tcPr>
            <w:tcW w:w="3544" w:type="dxa"/>
          </w:tcPr>
          <w:p w:rsidR="00276426" w:rsidRPr="00B617EB" w:rsidRDefault="00276426" w:rsidP="00276426">
            <w:pPr>
              <w:spacing w:line="276" w:lineRule="auto"/>
              <w:rPr>
                <w:sz w:val="20"/>
              </w:rPr>
            </w:pPr>
            <w:r>
              <w:rPr>
                <w:sz w:val="20"/>
              </w:rPr>
              <w:t xml:space="preserve">1. </w:t>
            </w:r>
            <w:r w:rsidRPr="00B617EB">
              <w:rPr>
                <w:sz w:val="20"/>
              </w:rPr>
              <w:t xml:space="preserve">Prostate </w:t>
            </w:r>
            <w:r w:rsidR="008C386A">
              <w:rPr>
                <w:sz w:val="20"/>
              </w:rPr>
              <w:t>cancer</w:t>
            </w:r>
          </w:p>
          <w:p w:rsidR="00276426" w:rsidRPr="00B617EB" w:rsidRDefault="00276426" w:rsidP="00276426">
            <w:pPr>
              <w:spacing w:line="276" w:lineRule="auto"/>
              <w:ind w:right="-108"/>
              <w:rPr>
                <w:sz w:val="20"/>
              </w:rPr>
            </w:pPr>
            <w:r>
              <w:rPr>
                <w:sz w:val="20"/>
              </w:rPr>
              <w:t xml:space="preserve">2. </w:t>
            </w:r>
            <w:r w:rsidRPr="00B617EB">
              <w:rPr>
                <w:sz w:val="20"/>
              </w:rPr>
              <w:t xml:space="preserve">Primary operable </w:t>
            </w:r>
            <w:r w:rsidR="000434DD">
              <w:rPr>
                <w:sz w:val="20"/>
              </w:rPr>
              <w:t>&amp;</w:t>
            </w:r>
            <w:r w:rsidRPr="00B617EB">
              <w:rPr>
                <w:sz w:val="20"/>
              </w:rPr>
              <w:t xml:space="preserve"> inoperable NSCLC</w:t>
            </w:r>
          </w:p>
          <w:p w:rsidR="00276426" w:rsidRPr="00B617EB" w:rsidRDefault="00276426">
            <w:pPr>
              <w:spacing w:line="276" w:lineRule="auto"/>
              <w:ind w:right="-108"/>
              <w:rPr>
                <w:sz w:val="20"/>
              </w:rPr>
            </w:pPr>
            <w:r>
              <w:rPr>
                <w:sz w:val="20"/>
              </w:rPr>
              <w:t xml:space="preserve">3. </w:t>
            </w:r>
            <w:r w:rsidRPr="00B617EB">
              <w:rPr>
                <w:sz w:val="20"/>
              </w:rPr>
              <w:t xml:space="preserve">Lung metastases </w:t>
            </w:r>
            <w:r>
              <w:rPr>
                <w:sz w:val="20"/>
              </w:rPr>
              <w:t xml:space="preserve">when </w:t>
            </w:r>
            <w:r w:rsidRPr="00B617EB">
              <w:rPr>
                <w:sz w:val="20"/>
              </w:rPr>
              <w:t>primary tumour is unde</w:t>
            </w:r>
            <w:r>
              <w:rPr>
                <w:sz w:val="20"/>
              </w:rPr>
              <w:t xml:space="preserve">r treatment and control, </w:t>
            </w:r>
            <w:r w:rsidR="000434DD">
              <w:rPr>
                <w:sz w:val="20"/>
              </w:rPr>
              <w:t>&amp;</w:t>
            </w:r>
            <w:r>
              <w:rPr>
                <w:sz w:val="20"/>
              </w:rPr>
              <w:t xml:space="preserve"> lung is </w:t>
            </w:r>
            <w:r w:rsidRPr="00B617EB">
              <w:rPr>
                <w:sz w:val="20"/>
              </w:rPr>
              <w:t>sole site of metastatic lesions</w:t>
            </w:r>
          </w:p>
        </w:tc>
        <w:tc>
          <w:tcPr>
            <w:tcW w:w="3119" w:type="dxa"/>
            <w:vAlign w:val="center"/>
          </w:tcPr>
          <w:p w:rsidR="00276426" w:rsidRPr="00B617EB" w:rsidRDefault="00276426" w:rsidP="00276426">
            <w:pPr>
              <w:spacing w:line="276" w:lineRule="auto"/>
              <w:ind w:right="-108"/>
              <w:rPr>
                <w:sz w:val="20"/>
              </w:rPr>
            </w:pPr>
            <w:r>
              <w:rPr>
                <w:sz w:val="20"/>
              </w:rPr>
              <w:t xml:space="preserve">1. </w:t>
            </w:r>
            <w:r w:rsidRPr="00B617EB">
              <w:rPr>
                <w:sz w:val="20"/>
              </w:rPr>
              <w:t xml:space="preserve">Primary operable </w:t>
            </w:r>
            <w:r w:rsidR="000434DD">
              <w:rPr>
                <w:sz w:val="20"/>
              </w:rPr>
              <w:t>&amp;</w:t>
            </w:r>
            <w:r w:rsidRPr="00B617EB">
              <w:rPr>
                <w:sz w:val="20"/>
              </w:rPr>
              <w:t xml:space="preserve"> inoperable NSCLC</w:t>
            </w:r>
          </w:p>
          <w:p w:rsidR="00276426" w:rsidRPr="00B617EB" w:rsidRDefault="00276426">
            <w:pPr>
              <w:spacing w:line="276" w:lineRule="auto"/>
              <w:ind w:right="-68"/>
              <w:rPr>
                <w:sz w:val="20"/>
              </w:rPr>
            </w:pPr>
            <w:r>
              <w:rPr>
                <w:sz w:val="20"/>
              </w:rPr>
              <w:t xml:space="preserve">2. </w:t>
            </w:r>
            <w:r w:rsidRPr="00B617EB">
              <w:rPr>
                <w:sz w:val="20"/>
              </w:rPr>
              <w:t xml:space="preserve">Lung metastases </w:t>
            </w:r>
            <w:r>
              <w:rPr>
                <w:sz w:val="20"/>
              </w:rPr>
              <w:t xml:space="preserve">when </w:t>
            </w:r>
            <w:r w:rsidRPr="00B617EB">
              <w:rPr>
                <w:sz w:val="20"/>
              </w:rPr>
              <w:t>primary tumour is unde</w:t>
            </w:r>
            <w:r>
              <w:rPr>
                <w:sz w:val="20"/>
              </w:rPr>
              <w:t xml:space="preserve">r treatment </w:t>
            </w:r>
            <w:r w:rsidR="000434DD">
              <w:rPr>
                <w:sz w:val="20"/>
              </w:rPr>
              <w:t>&amp;</w:t>
            </w:r>
            <w:r>
              <w:rPr>
                <w:sz w:val="20"/>
              </w:rPr>
              <w:t xml:space="preserve"> control, </w:t>
            </w:r>
            <w:r w:rsidR="000434DD">
              <w:rPr>
                <w:sz w:val="20"/>
              </w:rPr>
              <w:t>&amp;</w:t>
            </w:r>
            <w:r>
              <w:rPr>
                <w:sz w:val="20"/>
              </w:rPr>
              <w:t xml:space="preserve"> lung is </w:t>
            </w:r>
            <w:r w:rsidRPr="00B617EB">
              <w:rPr>
                <w:sz w:val="20"/>
              </w:rPr>
              <w:t>sole site of metastatic lesions</w:t>
            </w:r>
          </w:p>
        </w:tc>
        <w:tc>
          <w:tcPr>
            <w:tcW w:w="1984" w:type="dxa"/>
            <w:vAlign w:val="center"/>
          </w:tcPr>
          <w:p w:rsidR="00276426" w:rsidRPr="00B617EB" w:rsidRDefault="00276426" w:rsidP="00276426">
            <w:pPr>
              <w:tabs>
                <w:tab w:val="left" w:pos="2160"/>
              </w:tabs>
              <w:spacing w:line="276" w:lineRule="auto"/>
              <w:rPr>
                <w:sz w:val="20"/>
              </w:rPr>
            </w:pPr>
            <w:r w:rsidRPr="00B617EB">
              <w:rPr>
                <w:sz w:val="20"/>
              </w:rPr>
              <w:t xml:space="preserve">Primary inoperable NSCLC </w:t>
            </w:r>
          </w:p>
        </w:tc>
      </w:tr>
      <w:tr w:rsidR="00276426" w:rsidRPr="002C1734" w:rsidTr="00415CD9">
        <w:tc>
          <w:tcPr>
            <w:tcW w:w="1276" w:type="dxa"/>
            <w:vAlign w:val="center"/>
          </w:tcPr>
          <w:p w:rsidR="00276426" w:rsidRPr="002C1734" w:rsidRDefault="00276426" w:rsidP="00276426">
            <w:pPr>
              <w:spacing w:line="276" w:lineRule="auto"/>
              <w:rPr>
                <w:sz w:val="20"/>
              </w:rPr>
            </w:pPr>
            <w:r w:rsidRPr="002C1734">
              <w:rPr>
                <w:sz w:val="20"/>
              </w:rPr>
              <w:t>Intervention</w:t>
            </w:r>
          </w:p>
        </w:tc>
        <w:tc>
          <w:tcPr>
            <w:tcW w:w="8647" w:type="dxa"/>
            <w:gridSpan w:val="3"/>
            <w:vAlign w:val="center"/>
          </w:tcPr>
          <w:p w:rsidR="00276426" w:rsidRPr="002C1734" w:rsidRDefault="00276426">
            <w:pPr>
              <w:tabs>
                <w:tab w:val="left" w:pos="2160"/>
              </w:tabs>
              <w:spacing w:line="276" w:lineRule="auto"/>
              <w:rPr>
                <w:sz w:val="20"/>
              </w:rPr>
            </w:pPr>
            <w:r w:rsidRPr="002C1734">
              <w:rPr>
                <w:sz w:val="20"/>
              </w:rPr>
              <w:t xml:space="preserve">Robotic, image guided, precise beam </w:t>
            </w:r>
            <w:r w:rsidR="000434DD">
              <w:rPr>
                <w:bCs/>
                <w:sz w:val="20"/>
              </w:rPr>
              <w:t>SRS &amp; SBRT</w:t>
            </w:r>
            <w:r w:rsidRPr="002C1734">
              <w:rPr>
                <w:bCs/>
                <w:sz w:val="20"/>
              </w:rPr>
              <w:t xml:space="preserve"> </w:t>
            </w:r>
            <w:r>
              <w:rPr>
                <w:bCs/>
                <w:sz w:val="20"/>
              </w:rPr>
              <w:t>delivered using Cyberknife</w:t>
            </w:r>
          </w:p>
        </w:tc>
      </w:tr>
      <w:tr w:rsidR="00276426" w:rsidRPr="002C1734" w:rsidTr="00415CD9">
        <w:tc>
          <w:tcPr>
            <w:tcW w:w="1276" w:type="dxa"/>
            <w:vAlign w:val="center"/>
          </w:tcPr>
          <w:p w:rsidR="00276426" w:rsidRPr="002C1734" w:rsidRDefault="00276426" w:rsidP="00276426">
            <w:pPr>
              <w:spacing w:line="276" w:lineRule="auto"/>
              <w:rPr>
                <w:sz w:val="20"/>
              </w:rPr>
            </w:pPr>
            <w:r w:rsidRPr="002C1734">
              <w:rPr>
                <w:sz w:val="20"/>
              </w:rPr>
              <w:t>Comparator</w:t>
            </w:r>
          </w:p>
        </w:tc>
        <w:tc>
          <w:tcPr>
            <w:tcW w:w="3544" w:type="dxa"/>
          </w:tcPr>
          <w:p w:rsidR="00276426" w:rsidRPr="002C1734" w:rsidRDefault="00276426" w:rsidP="00276426">
            <w:pPr>
              <w:spacing w:line="276" w:lineRule="auto"/>
              <w:rPr>
                <w:sz w:val="20"/>
              </w:rPr>
            </w:pPr>
            <w:r w:rsidRPr="002C1734">
              <w:rPr>
                <w:sz w:val="20"/>
              </w:rPr>
              <w:t>Prostate: 3D-CRT, IMRT, IGRT</w:t>
            </w:r>
          </w:p>
          <w:p w:rsidR="00276426" w:rsidRPr="002C1734" w:rsidRDefault="00276426" w:rsidP="00276426">
            <w:pPr>
              <w:spacing w:line="276" w:lineRule="auto"/>
              <w:rPr>
                <w:sz w:val="20"/>
              </w:rPr>
            </w:pPr>
            <w:r w:rsidRPr="002C1734">
              <w:rPr>
                <w:sz w:val="20"/>
              </w:rPr>
              <w:t>Lung</w:t>
            </w:r>
            <w:r>
              <w:rPr>
                <w:sz w:val="20"/>
              </w:rPr>
              <w:t>: s</w:t>
            </w:r>
            <w:r w:rsidRPr="002C1734">
              <w:rPr>
                <w:sz w:val="20"/>
              </w:rPr>
              <w:t>urgery, 3D-CRT, IMRT</w:t>
            </w:r>
          </w:p>
        </w:tc>
        <w:tc>
          <w:tcPr>
            <w:tcW w:w="3119" w:type="dxa"/>
            <w:vAlign w:val="center"/>
          </w:tcPr>
          <w:p w:rsidR="00276426" w:rsidRPr="002C1734" w:rsidRDefault="00276426" w:rsidP="00276426">
            <w:pPr>
              <w:spacing w:line="276" w:lineRule="auto"/>
              <w:rPr>
                <w:sz w:val="20"/>
              </w:rPr>
            </w:pPr>
            <w:r w:rsidRPr="002C1734">
              <w:rPr>
                <w:sz w:val="20"/>
              </w:rPr>
              <w:t>3D-CRT, IMRT</w:t>
            </w:r>
            <w:r>
              <w:rPr>
                <w:sz w:val="20"/>
              </w:rPr>
              <w:t>, surgery</w:t>
            </w:r>
          </w:p>
        </w:tc>
        <w:tc>
          <w:tcPr>
            <w:tcW w:w="1984" w:type="dxa"/>
            <w:vAlign w:val="center"/>
          </w:tcPr>
          <w:p w:rsidR="00276426" w:rsidRPr="002C1734" w:rsidRDefault="00276426" w:rsidP="00276426">
            <w:pPr>
              <w:spacing w:line="276" w:lineRule="auto"/>
              <w:rPr>
                <w:sz w:val="20"/>
              </w:rPr>
            </w:pPr>
            <w:r w:rsidRPr="002C1734">
              <w:rPr>
                <w:sz w:val="20"/>
              </w:rPr>
              <w:t xml:space="preserve">3D-CRT, IMRT </w:t>
            </w:r>
          </w:p>
        </w:tc>
      </w:tr>
      <w:tr w:rsidR="00276426" w:rsidRPr="002C1734" w:rsidTr="00415CD9">
        <w:tc>
          <w:tcPr>
            <w:tcW w:w="1276" w:type="dxa"/>
            <w:vAlign w:val="center"/>
          </w:tcPr>
          <w:p w:rsidR="00276426" w:rsidRPr="002C1734" w:rsidRDefault="00276426" w:rsidP="00276426">
            <w:pPr>
              <w:spacing w:line="276" w:lineRule="auto"/>
              <w:rPr>
                <w:sz w:val="20"/>
              </w:rPr>
            </w:pPr>
            <w:r w:rsidRPr="002C1734">
              <w:rPr>
                <w:sz w:val="20"/>
              </w:rPr>
              <w:t>Outcomes</w:t>
            </w:r>
          </w:p>
        </w:tc>
        <w:tc>
          <w:tcPr>
            <w:tcW w:w="8647" w:type="dxa"/>
            <w:gridSpan w:val="3"/>
            <w:vAlign w:val="center"/>
          </w:tcPr>
          <w:p w:rsidR="00276426" w:rsidRPr="002C1734" w:rsidRDefault="00276426" w:rsidP="00276426">
            <w:pPr>
              <w:spacing w:line="276" w:lineRule="auto"/>
              <w:rPr>
                <w:sz w:val="20"/>
              </w:rPr>
            </w:pPr>
            <w:r w:rsidRPr="002C1734">
              <w:rPr>
                <w:sz w:val="20"/>
              </w:rPr>
              <w:t>Adverse events; To</w:t>
            </w:r>
            <w:r w:rsidRPr="002C1734">
              <w:rPr>
                <w:spacing w:val="2"/>
                <w:sz w:val="20"/>
              </w:rPr>
              <w:t>x</w:t>
            </w:r>
            <w:r w:rsidRPr="002C1734">
              <w:rPr>
                <w:sz w:val="20"/>
              </w:rPr>
              <w:t>i</w:t>
            </w:r>
            <w:r w:rsidRPr="002C1734">
              <w:rPr>
                <w:spacing w:val="-1"/>
                <w:sz w:val="20"/>
              </w:rPr>
              <w:t>c</w:t>
            </w:r>
            <w:r w:rsidRPr="002C1734">
              <w:rPr>
                <w:sz w:val="20"/>
              </w:rPr>
              <w:t>i</w:t>
            </w:r>
            <w:r w:rsidRPr="002C1734">
              <w:rPr>
                <w:spacing w:val="3"/>
                <w:sz w:val="20"/>
              </w:rPr>
              <w:t xml:space="preserve">ties; </w:t>
            </w:r>
            <w:r w:rsidRPr="002C1734">
              <w:rPr>
                <w:spacing w:val="-1"/>
                <w:sz w:val="20"/>
              </w:rPr>
              <w:t xml:space="preserve">Survival; </w:t>
            </w:r>
            <w:r w:rsidRPr="002C1734">
              <w:rPr>
                <w:sz w:val="20"/>
              </w:rPr>
              <w:t>Rate of</w:t>
            </w:r>
            <w:r w:rsidRPr="002C1734">
              <w:rPr>
                <w:spacing w:val="-1"/>
                <w:sz w:val="20"/>
              </w:rPr>
              <w:t xml:space="preserve"> c</w:t>
            </w:r>
            <w:r w:rsidRPr="002C1734">
              <w:rPr>
                <w:sz w:val="20"/>
              </w:rPr>
              <w:t>ont</w:t>
            </w:r>
            <w:r w:rsidRPr="002C1734">
              <w:rPr>
                <w:spacing w:val="-1"/>
                <w:sz w:val="20"/>
              </w:rPr>
              <w:t>r</w:t>
            </w:r>
            <w:r w:rsidRPr="002C1734">
              <w:rPr>
                <w:sz w:val="20"/>
              </w:rPr>
              <w:t>ol (recurrence); Morbidity; Quality of life</w:t>
            </w:r>
          </w:p>
        </w:tc>
      </w:tr>
      <w:tr w:rsidR="00276426" w:rsidRPr="002C1734" w:rsidTr="00415CD9">
        <w:tc>
          <w:tcPr>
            <w:tcW w:w="1276" w:type="dxa"/>
            <w:vAlign w:val="center"/>
          </w:tcPr>
          <w:p w:rsidR="00276426" w:rsidRPr="002C1734" w:rsidRDefault="00276426" w:rsidP="00276426">
            <w:pPr>
              <w:spacing w:line="276" w:lineRule="auto"/>
              <w:rPr>
                <w:sz w:val="20"/>
              </w:rPr>
            </w:pPr>
            <w:r>
              <w:rPr>
                <w:sz w:val="20"/>
              </w:rPr>
              <w:t>MBS</w:t>
            </w:r>
            <w:r w:rsidRPr="002C1734">
              <w:rPr>
                <w:sz w:val="20"/>
              </w:rPr>
              <w:t xml:space="preserve"> fee </w:t>
            </w:r>
          </w:p>
        </w:tc>
        <w:tc>
          <w:tcPr>
            <w:tcW w:w="3544" w:type="dxa"/>
          </w:tcPr>
          <w:p w:rsidR="000434DD" w:rsidRDefault="00276426" w:rsidP="00276426">
            <w:pPr>
              <w:spacing w:line="276" w:lineRule="auto"/>
              <w:rPr>
                <w:sz w:val="20"/>
              </w:rPr>
            </w:pPr>
            <w:r>
              <w:rPr>
                <w:sz w:val="20"/>
              </w:rPr>
              <w:t xml:space="preserve">Prostate: $1,582 treatment, </w:t>
            </w:r>
          </w:p>
          <w:p w:rsidR="00276426" w:rsidRDefault="00276426" w:rsidP="00276426">
            <w:pPr>
              <w:spacing w:line="276" w:lineRule="auto"/>
              <w:rPr>
                <w:sz w:val="20"/>
              </w:rPr>
            </w:pPr>
            <w:r>
              <w:rPr>
                <w:sz w:val="20"/>
              </w:rPr>
              <w:t>$595.78 verification</w:t>
            </w:r>
          </w:p>
          <w:p w:rsidR="000434DD" w:rsidRDefault="00276426">
            <w:pPr>
              <w:spacing w:line="276" w:lineRule="auto"/>
              <w:rPr>
                <w:sz w:val="20"/>
              </w:rPr>
            </w:pPr>
            <w:r>
              <w:rPr>
                <w:sz w:val="20"/>
              </w:rPr>
              <w:t xml:space="preserve">Lung: </w:t>
            </w:r>
            <w:r w:rsidRPr="002C1734">
              <w:rPr>
                <w:sz w:val="20"/>
              </w:rPr>
              <w:t>$</w:t>
            </w:r>
            <w:r>
              <w:rPr>
                <w:sz w:val="20"/>
              </w:rPr>
              <w:t xml:space="preserve">2,034 treatment, </w:t>
            </w:r>
          </w:p>
          <w:p w:rsidR="00276426" w:rsidRPr="002C1734" w:rsidRDefault="00276426">
            <w:pPr>
              <w:spacing w:line="276" w:lineRule="auto"/>
              <w:rPr>
                <w:sz w:val="20"/>
              </w:rPr>
            </w:pPr>
            <w:r w:rsidRPr="002C1734">
              <w:rPr>
                <w:sz w:val="20"/>
              </w:rPr>
              <w:t>$</w:t>
            </w:r>
            <w:r>
              <w:rPr>
                <w:sz w:val="20"/>
              </w:rPr>
              <w:t>766 verification</w:t>
            </w:r>
          </w:p>
        </w:tc>
        <w:tc>
          <w:tcPr>
            <w:tcW w:w="3119" w:type="dxa"/>
            <w:vAlign w:val="center"/>
          </w:tcPr>
          <w:p w:rsidR="00276426" w:rsidRPr="002C1734" w:rsidRDefault="00276426" w:rsidP="00276426">
            <w:pPr>
              <w:spacing w:line="276" w:lineRule="auto"/>
              <w:rPr>
                <w:sz w:val="20"/>
              </w:rPr>
            </w:pPr>
            <w:r w:rsidRPr="002C1734">
              <w:rPr>
                <w:sz w:val="20"/>
              </w:rPr>
              <w:t>$2,500 treatment</w:t>
            </w:r>
          </w:p>
          <w:p w:rsidR="00276426" w:rsidRPr="002C1734" w:rsidRDefault="00276426" w:rsidP="00276426">
            <w:pPr>
              <w:spacing w:line="276" w:lineRule="auto"/>
              <w:rPr>
                <w:sz w:val="20"/>
              </w:rPr>
            </w:pPr>
            <w:r w:rsidRPr="002C1734">
              <w:rPr>
                <w:sz w:val="20"/>
              </w:rPr>
              <w:t>$300 verification</w:t>
            </w:r>
          </w:p>
        </w:tc>
        <w:tc>
          <w:tcPr>
            <w:tcW w:w="1984" w:type="dxa"/>
            <w:vAlign w:val="center"/>
          </w:tcPr>
          <w:p w:rsidR="00276426" w:rsidRPr="002C1734" w:rsidRDefault="00276426" w:rsidP="00276426">
            <w:pPr>
              <w:spacing w:line="276" w:lineRule="auto"/>
              <w:rPr>
                <w:sz w:val="20"/>
              </w:rPr>
            </w:pPr>
            <w:r w:rsidRPr="002C1734">
              <w:rPr>
                <w:sz w:val="20"/>
              </w:rPr>
              <w:t>$2,000 treatment</w:t>
            </w:r>
          </w:p>
          <w:p w:rsidR="00276426" w:rsidRPr="002C1734" w:rsidRDefault="00276426" w:rsidP="00276426">
            <w:pPr>
              <w:spacing w:line="276" w:lineRule="auto"/>
              <w:rPr>
                <w:sz w:val="20"/>
              </w:rPr>
            </w:pPr>
            <w:r w:rsidRPr="002C1734">
              <w:rPr>
                <w:sz w:val="20"/>
              </w:rPr>
              <w:t>$300 verification</w:t>
            </w:r>
          </w:p>
        </w:tc>
      </w:tr>
      <w:tr w:rsidR="00276426" w:rsidRPr="002C1734" w:rsidTr="00415CD9">
        <w:tc>
          <w:tcPr>
            <w:tcW w:w="1276" w:type="dxa"/>
            <w:vAlign w:val="center"/>
          </w:tcPr>
          <w:p w:rsidR="00276426" w:rsidRPr="002C1734" w:rsidRDefault="00276426" w:rsidP="00276426">
            <w:pPr>
              <w:spacing w:line="276" w:lineRule="auto"/>
              <w:rPr>
                <w:sz w:val="20"/>
              </w:rPr>
            </w:pPr>
            <w:r w:rsidRPr="002C1734">
              <w:rPr>
                <w:sz w:val="20"/>
              </w:rPr>
              <w:t>ROHPG</w:t>
            </w:r>
          </w:p>
        </w:tc>
        <w:tc>
          <w:tcPr>
            <w:tcW w:w="3544" w:type="dxa"/>
            <w:vAlign w:val="center"/>
          </w:tcPr>
          <w:p w:rsidR="00276426" w:rsidRDefault="00276426" w:rsidP="00276426">
            <w:pPr>
              <w:tabs>
                <w:tab w:val="left" w:pos="840"/>
              </w:tabs>
              <w:spacing w:line="276" w:lineRule="auto"/>
              <w:ind w:right="-108"/>
              <w:rPr>
                <w:sz w:val="20"/>
              </w:rPr>
            </w:pPr>
            <w:r>
              <w:rPr>
                <w:sz w:val="20"/>
              </w:rPr>
              <w:t>Prostate: $559.70 (treatment)</w:t>
            </w:r>
          </w:p>
          <w:p w:rsidR="00276426" w:rsidRPr="002C1734" w:rsidRDefault="00276426" w:rsidP="00276426">
            <w:pPr>
              <w:tabs>
                <w:tab w:val="left" w:pos="840"/>
              </w:tabs>
              <w:spacing w:line="276" w:lineRule="auto"/>
              <w:ind w:right="-108"/>
              <w:rPr>
                <w:sz w:val="20"/>
              </w:rPr>
            </w:pPr>
            <w:r>
              <w:rPr>
                <w:sz w:val="20"/>
              </w:rPr>
              <w:t xml:space="preserve">Lung: $435.32 (treatment) </w:t>
            </w:r>
          </w:p>
        </w:tc>
        <w:tc>
          <w:tcPr>
            <w:tcW w:w="3119" w:type="dxa"/>
            <w:vAlign w:val="center"/>
          </w:tcPr>
          <w:p w:rsidR="00276426" w:rsidRPr="002C1734" w:rsidRDefault="00276426" w:rsidP="00276426">
            <w:pPr>
              <w:spacing w:line="276" w:lineRule="auto"/>
              <w:rPr>
                <w:sz w:val="20"/>
              </w:rPr>
            </w:pPr>
            <w:r>
              <w:rPr>
                <w:sz w:val="20"/>
              </w:rPr>
              <w:t>$435.32 (treatment)</w:t>
            </w:r>
          </w:p>
        </w:tc>
        <w:tc>
          <w:tcPr>
            <w:tcW w:w="1984" w:type="dxa"/>
            <w:vAlign w:val="center"/>
          </w:tcPr>
          <w:p w:rsidR="00276426" w:rsidRPr="002C1734" w:rsidRDefault="00276426" w:rsidP="00276426">
            <w:pPr>
              <w:spacing w:line="276" w:lineRule="auto"/>
              <w:rPr>
                <w:sz w:val="20"/>
              </w:rPr>
            </w:pPr>
            <w:r w:rsidRPr="002C1734">
              <w:rPr>
                <w:sz w:val="20"/>
              </w:rPr>
              <w:t xml:space="preserve">$505.50 </w:t>
            </w:r>
            <w:r>
              <w:rPr>
                <w:sz w:val="20"/>
              </w:rPr>
              <w:t>(treatment)</w:t>
            </w:r>
            <w:r w:rsidRPr="002C1734">
              <w:rPr>
                <w:sz w:val="20"/>
              </w:rPr>
              <w:t xml:space="preserve"> </w:t>
            </w:r>
          </w:p>
        </w:tc>
      </w:tr>
    </w:tbl>
    <w:p w:rsidR="00F7644A" w:rsidRDefault="00F7644A" w:rsidP="00EC2E47"/>
    <w:p w:rsidR="00EC2E47" w:rsidRDefault="00EC2E47" w:rsidP="00EC2E47">
      <w:r>
        <w:t xml:space="preserve">In </w:t>
      </w:r>
      <w:r w:rsidR="00276426">
        <w:t xml:space="preserve">considering the </w:t>
      </w:r>
      <w:r w:rsidR="00A52F93">
        <w:t>submission based assessment</w:t>
      </w:r>
      <w:r w:rsidR="00276426">
        <w:t xml:space="preserve"> in February</w:t>
      </w:r>
      <w:r>
        <w:t xml:space="preserve"> 2015</w:t>
      </w:r>
      <w:r w:rsidR="00276426">
        <w:t>,</w:t>
      </w:r>
      <w:r>
        <w:t xml:space="preserve"> ESC </w:t>
      </w:r>
      <w:r w:rsidR="008C386A">
        <w:t>was</w:t>
      </w:r>
      <w:r w:rsidR="00276426">
        <w:t xml:space="preserve"> concern</w:t>
      </w:r>
      <w:r w:rsidR="008C386A">
        <w:t>ed</w:t>
      </w:r>
      <w:r w:rsidR="00276426" w:rsidRPr="00127F7D">
        <w:t xml:space="preserve"> </w:t>
      </w:r>
      <w:r w:rsidRPr="00127F7D">
        <w:t xml:space="preserve">that </w:t>
      </w:r>
      <w:r w:rsidRPr="00F90FB7">
        <w:t xml:space="preserve">the </w:t>
      </w:r>
      <w:r w:rsidR="008C386A">
        <w:t xml:space="preserve">MBS </w:t>
      </w:r>
      <w:r w:rsidRPr="00F90FB7">
        <w:t xml:space="preserve">fees </w:t>
      </w:r>
      <w:r w:rsidR="008C386A">
        <w:t xml:space="preserve">being </w:t>
      </w:r>
      <w:r w:rsidRPr="00F90FB7">
        <w:t xml:space="preserve">proposed </w:t>
      </w:r>
      <w:r>
        <w:t xml:space="preserve">were not </w:t>
      </w:r>
      <w:r w:rsidRPr="00F90FB7">
        <w:t>input-based</w:t>
      </w:r>
      <w:r w:rsidR="008C386A">
        <w:t xml:space="preserve">.  In addition, ESC noted </w:t>
      </w:r>
      <w:r>
        <w:t xml:space="preserve">the </w:t>
      </w:r>
      <w:r w:rsidR="000434DD">
        <w:t xml:space="preserve">proposed </w:t>
      </w:r>
      <w:r>
        <w:t>fee for the Cyberknife treatment items ($2,500)</w:t>
      </w:r>
      <w:r w:rsidRPr="00020EDF">
        <w:t xml:space="preserve"> </w:t>
      </w:r>
      <w:r w:rsidR="008C386A">
        <w:t xml:space="preserve">had increased from the original application, while </w:t>
      </w:r>
      <w:r>
        <w:t>the proposed fee for treatment verification ($300</w:t>
      </w:r>
      <w:r w:rsidRPr="00020EDF">
        <w:t xml:space="preserve">) </w:t>
      </w:r>
      <w:r w:rsidR="008C386A">
        <w:t>had decreased, with no explanation.</w:t>
      </w:r>
      <w:r>
        <w:t xml:space="preserve"> </w:t>
      </w:r>
    </w:p>
    <w:p w:rsidR="00F7644A" w:rsidRDefault="00F7644A" w:rsidP="00F7644A"/>
    <w:p w:rsidR="00EC2E47" w:rsidRPr="00E97F92" w:rsidRDefault="00A52F93" w:rsidP="00EC2E47">
      <w:r>
        <w:t xml:space="preserve">In November 2015, </w:t>
      </w:r>
      <w:r w:rsidR="008C386A">
        <w:t>MSAC noted</w:t>
      </w:r>
      <w:r w:rsidR="000D7A5C">
        <w:t xml:space="preserve"> further changes to </w:t>
      </w:r>
      <w:r w:rsidR="00822453">
        <w:t xml:space="preserve">the submission regarding </w:t>
      </w:r>
      <w:r w:rsidR="000D7A5C">
        <w:t xml:space="preserve">the </w:t>
      </w:r>
      <w:r w:rsidR="000434DD">
        <w:t xml:space="preserve">proposed </w:t>
      </w:r>
      <w:r w:rsidR="000D7A5C">
        <w:t xml:space="preserve">MBS fee and ROHPG component </w:t>
      </w:r>
      <w:r w:rsidR="00E705E9">
        <w:t>and rejected</w:t>
      </w:r>
      <w:r w:rsidR="008C386A">
        <w:t xml:space="preserve"> the explan</w:t>
      </w:r>
      <w:r w:rsidR="00E705E9">
        <w:t xml:space="preserve">ation provided by the applicant </w:t>
      </w:r>
      <w:r w:rsidR="008C386A">
        <w:t xml:space="preserve">that </w:t>
      </w:r>
      <w:r w:rsidR="00E705E9">
        <w:t xml:space="preserve">the </w:t>
      </w:r>
      <w:r w:rsidR="008C386A">
        <w:t>fluidity reflected</w:t>
      </w:r>
      <w:r w:rsidR="00E705E9">
        <w:t xml:space="preserve"> </w:t>
      </w:r>
      <w:r w:rsidR="00EC2E47">
        <w:t>“</w:t>
      </w:r>
      <w:r w:rsidR="00EC2E47" w:rsidRPr="00E705E9">
        <w:rPr>
          <w:i/>
        </w:rPr>
        <w:t>the present team inheriting the submission after substantial work had already been completed without an input-based fee</w:t>
      </w:r>
      <w:r w:rsidR="00EC2E47">
        <w:t xml:space="preserve">”. </w:t>
      </w:r>
      <w:r w:rsidR="000434DD">
        <w:t xml:space="preserve"> </w:t>
      </w:r>
      <w:r w:rsidR="00E705E9">
        <w:t xml:space="preserve">MSAC agreed with </w:t>
      </w:r>
      <w:r w:rsidR="00EC2E47">
        <w:t xml:space="preserve">ESC </w:t>
      </w:r>
      <w:r w:rsidR="00D80972">
        <w:t>that</w:t>
      </w:r>
      <w:r w:rsidR="00E705E9">
        <w:t xml:space="preserve"> the </w:t>
      </w:r>
      <w:r w:rsidR="000434DD">
        <w:t xml:space="preserve">proposed </w:t>
      </w:r>
      <w:r w:rsidR="00E705E9">
        <w:t xml:space="preserve">MBS descriptor </w:t>
      </w:r>
      <w:r w:rsidR="00D80972">
        <w:t xml:space="preserve">should </w:t>
      </w:r>
      <w:r w:rsidR="00E705E9">
        <w:t xml:space="preserve">specify the clinical indication for </w:t>
      </w:r>
      <w:r w:rsidR="00EC2E47">
        <w:t xml:space="preserve">treatment as follows: </w:t>
      </w:r>
    </w:p>
    <w:p w:rsidR="00EC2E47" w:rsidRDefault="00EC2E47" w:rsidP="00EC2E47">
      <w:pPr>
        <w:rPr>
          <w:rFonts w:ascii="Arial Narrow" w:hAnsi="Arial Narrow" w:cs="Arial"/>
          <w:b/>
          <w:bCs/>
          <w:iCs/>
          <w:sz w:val="20"/>
          <w:lang w:eastAsia="en-US"/>
        </w:rPr>
      </w:pPr>
      <w:bookmarkStart w:id="1" w:name="_Ref405458870"/>
    </w:p>
    <w:p w:rsidR="00471CF5" w:rsidRDefault="00471CF5">
      <w:pPr>
        <w:rPr>
          <w:rFonts w:ascii="Arial Narrow" w:eastAsiaTheme="minorHAnsi" w:hAnsi="Arial Narrow" w:cstheme="minorBidi"/>
          <w:b/>
          <w:iCs/>
          <w:sz w:val="20"/>
          <w:szCs w:val="18"/>
          <w:lang w:eastAsia="en-US"/>
        </w:rPr>
      </w:pPr>
      <w:r>
        <w:br w:type="page"/>
      </w:r>
    </w:p>
    <w:p w:rsidR="00EC2E47" w:rsidRDefault="00EC2E47" w:rsidP="00EC2E47">
      <w:pPr>
        <w:pStyle w:val="Caption"/>
        <w:spacing w:after="0"/>
        <w:ind w:hanging="1741"/>
      </w:pPr>
      <w:r w:rsidRPr="00C03585">
        <w:lastRenderedPageBreak/>
        <w:t>Proposed MBS item descriptor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roposed MBS item descriptor"/>
      </w:tblPr>
      <w:tblGrid>
        <w:gridCol w:w="9242"/>
      </w:tblGrid>
      <w:tr w:rsidR="00EC2E47" w:rsidRPr="006A25A0" w:rsidTr="00D2485E">
        <w:tc>
          <w:tcPr>
            <w:tcW w:w="9242" w:type="dxa"/>
          </w:tcPr>
          <w:p w:rsidR="00EC2E47" w:rsidRPr="00EF2B3B" w:rsidRDefault="00EC2E47" w:rsidP="00F54FEB">
            <w:pPr>
              <w:widowControl w:val="0"/>
              <w:autoSpaceDE w:val="0"/>
              <w:autoSpaceDN w:val="0"/>
              <w:adjustRightInd w:val="0"/>
              <w:jc w:val="right"/>
              <w:rPr>
                <w:rFonts w:ascii="Arial" w:hAnsi="Arial"/>
                <w:sz w:val="20"/>
              </w:rPr>
            </w:pPr>
            <w:r w:rsidRPr="00EF2B3B">
              <w:rPr>
                <w:rFonts w:ascii="Arial" w:hAnsi="Arial"/>
                <w:sz w:val="20"/>
              </w:rPr>
              <w:t>Category 3 –Therapeutic procedures</w:t>
            </w:r>
          </w:p>
        </w:tc>
      </w:tr>
      <w:tr w:rsidR="00EC2E47" w:rsidRPr="006A25A0" w:rsidTr="00D2485E">
        <w:tc>
          <w:tcPr>
            <w:tcW w:w="9242" w:type="dxa"/>
          </w:tcPr>
          <w:p w:rsidR="00EC2E47" w:rsidRPr="00EF2B3B" w:rsidRDefault="00EC2E47" w:rsidP="00D2485E">
            <w:pPr>
              <w:widowControl w:val="0"/>
              <w:autoSpaceDE w:val="0"/>
              <w:autoSpaceDN w:val="0"/>
              <w:adjustRightInd w:val="0"/>
              <w:rPr>
                <w:rFonts w:ascii="Arial" w:hAnsi="Arial"/>
                <w:sz w:val="20"/>
              </w:rPr>
            </w:pPr>
            <w:r w:rsidRPr="00EF2B3B">
              <w:rPr>
                <w:rFonts w:ascii="Arial" w:hAnsi="Arial"/>
                <w:sz w:val="20"/>
              </w:rPr>
              <w:t>MBS 152XX</w:t>
            </w:r>
          </w:p>
          <w:p w:rsidR="00EC2E47" w:rsidRPr="00EF2B3B" w:rsidRDefault="00EC2E47" w:rsidP="00D2485E">
            <w:pPr>
              <w:widowControl w:val="0"/>
              <w:autoSpaceDE w:val="0"/>
              <w:autoSpaceDN w:val="0"/>
              <w:adjustRightInd w:val="0"/>
              <w:rPr>
                <w:rFonts w:ascii="Arial" w:hAnsi="Arial"/>
                <w:sz w:val="20"/>
              </w:rPr>
            </w:pPr>
          </w:p>
          <w:p w:rsidR="00EC2E47" w:rsidRPr="00EF2B3B" w:rsidRDefault="00EC2E47" w:rsidP="00D2485E">
            <w:pPr>
              <w:widowControl w:val="0"/>
              <w:autoSpaceDE w:val="0"/>
              <w:autoSpaceDN w:val="0"/>
              <w:adjustRightInd w:val="0"/>
              <w:rPr>
                <w:rFonts w:ascii="Arial" w:hAnsi="Arial"/>
                <w:color w:val="FF0000"/>
                <w:sz w:val="20"/>
              </w:rPr>
            </w:pPr>
            <w:r w:rsidRPr="00EF2B3B">
              <w:rPr>
                <w:rFonts w:ascii="Arial" w:hAnsi="Arial"/>
                <w:sz w:val="20"/>
              </w:rPr>
              <w:t xml:space="preserve">RADIATION ONCOLOGY TREATMENT, delivered by an image guided robotic stereotactic system – each attendance at which treatment is given – treatment delivered to primary site </w:t>
            </w:r>
            <w:r w:rsidRPr="00EF2B3B">
              <w:rPr>
                <w:rFonts w:ascii="Arial" w:hAnsi="Arial"/>
                <w:strike/>
                <w:sz w:val="20"/>
              </w:rPr>
              <w:t>(lung)</w:t>
            </w:r>
            <w:r w:rsidRPr="00EF2B3B">
              <w:rPr>
                <w:rFonts w:ascii="Arial" w:hAnsi="Arial"/>
                <w:sz w:val="20"/>
              </w:rPr>
              <w:t xml:space="preserve"> </w:t>
            </w:r>
            <w:r w:rsidRPr="00EF2B3B">
              <w:rPr>
                <w:rFonts w:ascii="Arial" w:hAnsi="Arial"/>
                <w:color w:val="FF0000"/>
                <w:sz w:val="20"/>
              </w:rPr>
              <w:t>for non-small cell lung carcinoma (NSCLC) Stage I.</w:t>
            </w:r>
          </w:p>
          <w:p w:rsidR="00EC2E47" w:rsidRPr="00EF2B3B" w:rsidRDefault="00EC2E47" w:rsidP="00D2485E">
            <w:pPr>
              <w:widowControl w:val="0"/>
              <w:autoSpaceDE w:val="0"/>
              <w:autoSpaceDN w:val="0"/>
              <w:adjustRightInd w:val="0"/>
              <w:rPr>
                <w:rFonts w:ascii="Arial" w:hAnsi="Arial"/>
                <w:sz w:val="20"/>
              </w:rPr>
            </w:pPr>
          </w:p>
          <w:p w:rsidR="00EC2E47" w:rsidRPr="00EF2B3B" w:rsidRDefault="00EC2E47" w:rsidP="00D2485E">
            <w:pPr>
              <w:widowControl w:val="0"/>
              <w:autoSpaceDE w:val="0"/>
              <w:autoSpaceDN w:val="0"/>
              <w:adjustRightInd w:val="0"/>
              <w:rPr>
                <w:rFonts w:ascii="Arial" w:hAnsi="Arial"/>
                <w:sz w:val="20"/>
              </w:rPr>
            </w:pPr>
          </w:p>
          <w:p w:rsidR="00EC2E47" w:rsidRPr="00EF2B3B" w:rsidRDefault="00EC2E47" w:rsidP="00D2485E">
            <w:pPr>
              <w:widowControl w:val="0"/>
              <w:autoSpaceDE w:val="0"/>
              <w:autoSpaceDN w:val="0"/>
              <w:adjustRightInd w:val="0"/>
              <w:rPr>
                <w:rFonts w:ascii="Arial" w:hAnsi="Arial"/>
                <w:strike/>
                <w:sz w:val="20"/>
              </w:rPr>
            </w:pPr>
            <w:r w:rsidRPr="00EF2B3B">
              <w:rPr>
                <w:rFonts w:ascii="Arial" w:hAnsi="Arial"/>
                <w:b/>
                <w:strike/>
                <w:sz w:val="20"/>
              </w:rPr>
              <w:t>Fee:</w:t>
            </w:r>
            <w:r w:rsidRPr="00EF2B3B">
              <w:rPr>
                <w:rFonts w:ascii="Arial" w:hAnsi="Arial"/>
                <w:strike/>
                <w:sz w:val="20"/>
              </w:rPr>
              <w:t xml:space="preserve"> $2,500.00  </w:t>
            </w:r>
            <w:r w:rsidRPr="00EF2B3B">
              <w:rPr>
                <w:rFonts w:ascii="Arial" w:hAnsi="Arial"/>
                <w:b/>
                <w:strike/>
                <w:sz w:val="20"/>
              </w:rPr>
              <w:t>Benefit:</w:t>
            </w:r>
            <w:r w:rsidRPr="00EF2B3B">
              <w:rPr>
                <w:rFonts w:ascii="Arial" w:hAnsi="Arial"/>
                <w:strike/>
                <w:sz w:val="20"/>
              </w:rPr>
              <w:t xml:space="preserve"> 75% = $1,875.00   85% = $2,125.00a</w:t>
            </w:r>
          </w:p>
          <w:p w:rsidR="00EC2E47" w:rsidRPr="00EF2B3B" w:rsidRDefault="00EC2E47" w:rsidP="00D2485E">
            <w:pPr>
              <w:widowControl w:val="0"/>
              <w:autoSpaceDE w:val="0"/>
              <w:autoSpaceDN w:val="0"/>
              <w:adjustRightInd w:val="0"/>
              <w:rPr>
                <w:rFonts w:ascii="Arial" w:hAnsi="Arial"/>
                <w:color w:val="FF0000"/>
                <w:sz w:val="20"/>
              </w:rPr>
            </w:pPr>
            <w:r w:rsidRPr="00EF2B3B">
              <w:rPr>
                <w:rFonts w:ascii="Arial" w:hAnsi="Arial"/>
                <w:b/>
                <w:color w:val="FF0000"/>
                <w:sz w:val="20"/>
              </w:rPr>
              <w:t>Fee:</w:t>
            </w:r>
            <w:r w:rsidRPr="00EF2B3B">
              <w:rPr>
                <w:rFonts w:ascii="Arial" w:hAnsi="Arial"/>
                <w:color w:val="FF0000"/>
                <w:sz w:val="20"/>
              </w:rPr>
              <w:t xml:space="preserve"> $2,000.00   </w:t>
            </w:r>
            <w:r w:rsidRPr="00EF2B3B">
              <w:rPr>
                <w:rFonts w:ascii="Arial" w:hAnsi="Arial"/>
                <w:b/>
                <w:color w:val="FF0000"/>
                <w:sz w:val="20"/>
              </w:rPr>
              <w:t>Benefit:</w:t>
            </w:r>
            <w:r w:rsidRPr="00EF2B3B">
              <w:rPr>
                <w:rFonts w:ascii="Arial" w:hAnsi="Arial"/>
                <w:color w:val="FF0000"/>
                <w:sz w:val="20"/>
              </w:rPr>
              <w:t xml:space="preserve"> 75% = $1,500.00   85% = $1,700.00</w:t>
            </w:r>
          </w:p>
          <w:p w:rsidR="00EC2E47" w:rsidRPr="00EF2B3B" w:rsidRDefault="00EC2E47" w:rsidP="00D2485E">
            <w:pPr>
              <w:widowControl w:val="0"/>
              <w:autoSpaceDE w:val="0"/>
              <w:autoSpaceDN w:val="0"/>
              <w:adjustRightInd w:val="0"/>
              <w:rPr>
                <w:rFonts w:ascii="Arial" w:hAnsi="Arial"/>
                <w:sz w:val="20"/>
              </w:rPr>
            </w:pPr>
          </w:p>
          <w:p w:rsidR="00EC2E47" w:rsidRPr="00EF2B3B" w:rsidRDefault="00EC2E47" w:rsidP="00D2485E">
            <w:pPr>
              <w:widowControl w:val="0"/>
              <w:autoSpaceDE w:val="0"/>
              <w:autoSpaceDN w:val="0"/>
              <w:adjustRightInd w:val="0"/>
              <w:rPr>
                <w:rFonts w:ascii="Arial" w:hAnsi="Arial"/>
                <w:sz w:val="20"/>
              </w:rPr>
            </w:pPr>
          </w:p>
        </w:tc>
      </w:tr>
      <w:tr w:rsidR="00EC2E47" w:rsidRPr="006A25A0" w:rsidTr="00D2485E">
        <w:tc>
          <w:tcPr>
            <w:tcW w:w="9242" w:type="dxa"/>
          </w:tcPr>
          <w:p w:rsidR="00EC2E47" w:rsidRPr="00EF2B3B" w:rsidRDefault="00EC2E47" w:rsidP="00F54FEB">
            <w:pPr>
              <w:widowControl w:val="0"/>
              <w:autoSpaceDE w:val="0"/>
              <w:autoSpaceDN w:val="0"/>
              <w:adjustRightInd w:val="0"/>
              <w:jc w:val="right"/>
              <w:rPr>
                <w:rFonts w:ascii="Arial" w:hAnsi="Arial"/>
                <w:sz w:val="20"/>
              </w:rPr>
            </w:pPr>
            <w:r w:rsidRPr="00EF2B3B">
              <w:rPr>
                <w:rFonts w:ascii="Arial" w:hAnsi="Arial"/>
                <w:sz w:val="20"/>
              </w:rPr>
              <w:t>Category 3 –Therapeutic procedures</w:t>
            </w:r>
          </w:p>
        </w:tc>
      </w:tr>
      <w:tr w:rsidR="00EC2E47" w:rsidRPr="006A25A0" w:rsidTr="00D2485E">
        <w:tc>
          <w:tcPr>
            <w:tcW w:w="9242" w:type="dxa"/>
          </w:tcPr>
          <w:p w:rsidR="00EC2E47" w:rsidRPr="00EF2B3B" w:rsidRDefault="00EC2E47" w:rsidP="00D2485E">
            <w:pPr>
              <w:widowControl w:val="0"/>
              <w:autoSpaceDE w:val="0"/>
              <w:autoSpaceDN w:val="0"/>
              <w:adjustRightInd w:val="0"/>
              <w:rPr>
                <w:rFonts w:ascii="Arial" w:hAnsi="Arial"/>
                <w:sz w:val="20"/>
              </w:rPr>
            </w:pPr>
            <w:r w:rsidRPr="00EF2B3B">
              <w:rPr>
                <w:rFonts w:ascii="Arial" w:hAnsi="Arial"/>
                <w:sz w:val="20"/>
              </w:rPr>
              <w:t>MBS 157XX</w:t>
            </w:r>
          </w:p>
          <w:p w:rsidR="00EC2E47" w:rsidRPr="00EF2B3B" w:rsidRDefault="00EC2E47" w:rsidP="00D2485E">
            <w:pPr>
              <w:widowControl w:val="0"/>
              <w:autoSpaceDE w:val="0"/>
              <w:autoSpaceDN w:val="0"/>
              <w:adjustRightInd w:val="0"/>
              <w:rPr>
                <w:rFonts w:ascii="Arial" w:hAnsi="Arial"/>
                <w:sz w:val="20"/>
              </w:rPr>
            </w:pPr>
          </w:p>
          <w:p w:rsidR="00EC2E47" w:rsidRPr="00EF2B3B" w:rsidRDefault="00EC2E47" w:rsidP="00D2485E">
            <w:pPr>
              <w:widowControl w:val="0"/>
              <w:autoSpaceDE w:val="0"/>
              <w:autoSpaceDN w:val="0"/>
              <w:adjustRightInd w:val="0"/>
              <w:rPr>
                <w:rFonts w:ascii="Arial" w:hAnsi="Arial"/>
                <w:sz w:val="20"/>
              </w:rPr>
            </w:pPr>
            <w:r w:rsidRPr="00EF2B3B">
              <w:rPr>
                <w:rFonts w:ascii="Arial" w:hAnsi="Arial"/>
                <w:sz w:val="20"/>
              </w:rPr>
              <w:t>RADIATION ONCOLOGY TREATMENT VERIFICATION - multiple projection acquisition when prescribed and reviewed by a radiation oncologist and not associated with item 15700 or 15705 or 15710 - each attendance (lung).</w:t>
            </w:r>
          </w:p>
          <w:p w:rsidR="00EC2E47" w:rsidRPr="00EF2B3B" w:rsidRDefault="00EC2E47" w:rsidP="00D2485E">
            <w:pPr>
              <w:widowControl w:val="0"/>
              <w:autoSpaceDE w:val="0"/>
              <w:autoSpaceDN w:val="0"/>
              <w:adjustRightInd w:val="0"/>
              <w:rPr>
                <w:rFonts w:ascii="Arial" w:hAnsi="Arial"/>
                <w:sz w:val="20"/>
              </w:rPr>
            </w:pPr>
          </w:p>
          <w:p w:rsidR="00EC2E47" w:rsidRPr="00EF2B3B" w:rsidRDefault="00EC2E47" w:rsidP="00D2485E">
            <w:pPr>
              <w:widowControl w:val="0"/>
              <w:autoSpaceDE w:val="0"/>
              <w:autoSpaceDN w:val="0"/>
              <w:adjustRightInd w:val="0"/>
              <w:rPr>
                <w:rFonts w:ascii="Arial" w:hAnsi="Arial"/>
                <w:sz w:val="20"/>
              </w:rPr>
            </w:pPr>
            <w:r w:rsidRPr="00EF2B3B">
              <w:rPr>
                <w:rFonts w:ascii="Arial" w:hAnsi="Arial"/>
                <w:b/>
                <w:sz w:val="20"/>
              </w:rPr>
              <w:t>Fee:</w:t>
            </w:r>
            <w:r w:rsidRPr="00EF2B3B">
              <w:rPr>
                <w:rFonts w:ascii="Arial" w:hAnsi="Arial"/>
                <w:sz w:val="20"/>
              </w:rPr>
              <w:t xml:space="preserve"> $300.00   </w:t>
            </w:r>
            <w:r w:rsidRPr="00EF2B3B">
              <w:rPr>
                <w:rFonts w:ascii="Arial" w:hAnsi="Arial"/>
                <w:b/>
                <w:sz w:val="20"/>
              </w:rPr>
              <w:t>Benefit:</w:t>
            </w:r>
            <w:r w:rsidRPr="00EF2B3B">
              <w:rPr>
                <w:rFonts w:ascii="Arial" w:hAnsi="Arial"/>
                <w:sz w:val="20"/>
              </w:rPr>
              <w:t xml:space="preserve"> 75% = $225.00   85% = $255.00</w:t>
            </w:r>
          </w:p>
          <w:p w:rsidR="00EC2E47" w:rsidRPr="00EF2B3B" w:rsidRDefault="00EC2E47" w:rsidP="00D2485E">
            <w:pPr>
              <w:widowControl w:val="0"/>
              <w:autoSpaceDE w:val="0"/>
              <w:autoSpaceDN w:val="0"/>
              <w:adjustRightInd w:val="0"/>
              <w:rPr>
                <w:rFonts w:ascii="Arial" w:hAnsi="Arial"/>
                <w:sz w:val="20"/>
              </w:rPr>
            </w:pPr>
          </w:p>
        </w:tc>
      </w:tr>
    </w:tbl>
    <w:p w:rsidR="00BC1364" w:rsidRPr="00707064" w:rsidRDefault="00BC1364"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F54FEB" w:rsidRPr="00EC2E47" w:rsidRDefault="00F54FEB" w:rsidP="00F54FEB">
      <w:pPr>
        <w:tabs>
          <w:tab w:val="left" w:pos="720"/>
          <w:tab w:val="left" w:pos="1140"/>
        </w:tabs>
        <w:rPr>
          <w:szCs w:val="24"/>
        </w:rPr>
      </w:pPr>
      <w:r w:rsidRPr="00EC2E47">
        <w:rPr>
          <w:szCs w:val="24"/>
        </w:rPr>
        <w:t xml:space="preserve">Please </w:t>
      </w:r>
      <w:r>
        <w:rPr>
          <w:szCs w:val="24"/>
        </w:rPr>
        <w:t>see the November 2012 PSD for</w:t>
      </w:r>
      <w:r w:rsidRPr="00EC2E47">
        <w:rPr>
          <w:szCs w:val="24"/>
        </w:rPr>
        <w:t xml:space="preserve"> MSAC Application 1158 for this </w:t>
      </w:r>
      <w:r>
        <w:rPr>
          <w:szCs w:val="24"/>
        </w:rPr>
        <w:t>advice</w:t>
      </w:r>
      <w:r w:rsidRPr="00EC2E47">
        <w:rPr>
          <w:szCs w:val="24"/>
        </w:rPr>
        <w:t>.</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F54FEB" w:rsidRDefault="00822453" w:rsidP="00415CD9">
      <w:pPr>
        <w:tabs>
          <w:tab w:val="left" w:pos="720"/>
          <w:tab w:val="left" w:pos="1140"/>
        </w:tabs>
      </w:pPr>
      <w:r>
        <w:rPr>
          <w:szCs w:val="24"/>
        </w:rPr>
        <w:t>MSAC noted that SRS and SBRT delivered using Cyberknife receives existing MBS funding</w:t>
      </w:r>
      <w:r w:rsidR="00D80972">
        <w:rPr>
          <w:szCs w:val="24"/>
        </w:rPr>
        <w:t xml:space="preserve"> under </w:t>
      </w:r>
      <w:r>
        <w:rPr>
          <w:szCs w:val="24"/>
        </w:rPr>
        <w:t>MBS item 15600 for generic stereotactic radiosurgery</w:t>
      </w:r>
      <w:r w:rsidR="00D80972">
        <w:rPr>
          <w:szCs w:val="24"/>
        </w:rPr>
        <w:t xml:space="preserve"> (SRS with Cyberknife) and relevant MBS items for 3D-CRT (</w:t>
      </w:r>
      <w:r>
        <w:rPr>
          <w:szCs w:val="24"/>
        </w:rPr>
        <w:t>SBRT using Cyberknife</w:t>
      </w:r>
      <w:r w:rsidR="00D80972">
        <w:rPr>
          <w:szCs w:val="24"/>
        </w:rPr>
        <w:t>)</w:t>
      </w:r>
      <w:r>
        <w:rPr>
          <w:szCs w:val="24"/>
        </w:rPr>
        <w:t>.</w:t>
      </w:r>
    </w:p>
    <w:p w:rsidR="00822453" w:rsidRDefault="00822453" w:rsidP="00415CD9">
      <w:pPr>
        <w:tabs>
          <w:tab w:val="left" w:pos="720"/>
          <w:tab w:val="left" w:pos="1140"/>
        </w:tabs>
      </w:pPr>
    </w:p>
    <w:p w:rsidR="00822453" w:rsidRDefault="00822453" w:rsidP="00415CD9">
      <w:pPr>
        <w:tabs>
          <w:tab w:val="left" w:pos="720"/>
          <w:tab w:val="left" w:pos="1140"/>
        </w:tabs>
      </w:pPr>
      <w:r>
        <w:t xml:space="preserve">The enhanced external beam radiotherapy modalities of 3D-CRT and IMRT are also used to treat primary inoperable NSCLC and receive existing MBS funding. </w:t>
      </w:r>
    </w:p>
    <w:p w:rsidR="00BC1364" w:rsidRPr="00707064" w:rsidRDefault="00BC1364" w:rsidP="00DD2858">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472407" w:rsidRDefault="00D80972" w:rsidP="004539DE">
      <w:pPr>
        <w:rPr>
          <w:szCs w:val="24"/>
        </w:rPr>
      </w:pPr>
      <w:r>
        <w:rPr>
          <w:szCs w:val="24"/>
        </w:rPr>
        <w:t xml:space="preserve">MSAC agreed that </w:t>
      </w:r>
      <w:r w:rsidR="00472407">
        <w:rPr>
          <w:szCs w:val="24"/>
        </w:rPr>
        <w:t xml:space="preserve">3D-CRT and IMRT are </w:t>
      </w:r>
      <w:r>
        <w:rPr>
          <w:szCs w:val="24"/>
        </w:rPr>
        <w:t xml:space="preserve">appropriate comparators.  These are </w:t>
      </w:r>
      <w:r w:rsidR="00472407">
        <w:rPr>
          <w:szCs w:val="24"/>
        </w:rPr>
        <w:t xml:space="preserve">enhanced modes of external beam radiotherapy that are used to treat </w:t>
      </w:r>
      <w:r w:rsidR="00472407">
        <w:t xml:space="preserve">patients with </w:t>
      </w:r>
      <w:r w:rsidR="00472407" w:rsidRPr="00551811">
        <w:t>stage I NSCLC who are unsuitable for, or who refuse, surgery</w:t>
      </w:r>
      <w:r w:rsidR="00F54FEB" w:rsidRPr="00B76395">
        <w:rPr>
          <w:szCs w:val="24"/>
        </w:rPr>
        <w:t xml:space="preserve">.  </w:t>
      </w:r>
      <w:r w:rsidR="005D0EE9">
        <w:rPr>
          <w:szCs w:val="24"/>
        </w:rPr>
        <w:t>T</w:t>
      </w:r>
      <w:r w:rsidR="004E53BB" w:rsidRPr="0021656B">
        <w:rPr>
          <w:szCs w:val="24"/>
        </w:rPr>
        <w:t xml:space="preserve">he MBS </w:t>
      </w:r>
      <w:r w:rsidR="004E53BB">
        <w:rPr>
          <w:szCs w:val="24"/>
        </w:rPr>
        <w:t xml:space="preserve">items for the </w:t>
      </w:r>
      <w:r w:rsidR="004E53BB" w:rsidRPr="0021656B">
        <w:rPr>
          <w:szCs w:val="24"/>
        </w:rPr>
        <w:t xml:space="preserve">comparators </w:t>
      </w:r>
      <w:r w:rsidR="005D0EE9">
        <w:rPr>
          <w:szCs w:val="24"/>
        </w:rPr>
        <w:t>are MBS</w:t>
      </w:r>
      <w:r w:rsidR="004E53BB" w:rsidRPr="00541F75">
        <w:rPr>
          <w:szCs w:val="24"/>
        </w:rPr>
        <w:t xml:space="preserve"> 15215, 15230, </w:t>
      </w:r>
      <w:r w:rsidR="004E53BB" w:rsidRPr="0021656B">
        <w:rPr>
          <w:szCs w:val="24"/>
        </w:rPr>
        <w:t>15245</w:t>
      </w:r>
      <w:r w:rsidR="004E53BB" w:rsidRPr="00541F75">
        <w:rPr>
          <w:szCs w:val="24"/>
        </w:rPr>
        <w:t xml:space="preserve">, </w:t>
      </w:r>
      <w:r w:rsidR="004E53BB" w:rsidRPr="00EE247B">
        <w:rPr>
          <w:szCs w:val="24"/>
        </w:rPr>
        <w:t xml:space="preserve">15260 (treatment), 15550 (simulation), </w:t>
      </w:r>
      <w:r w:rsidR="004E53BB" w:rsidRPr="00541F75">
        <w:rPr>
          <w:szCs w:val="24"/>
        </w:rPr>
        <w:t xml:space="preserve">15559, </w:t>
      </w:r>
      <w:r w:rsidR="004E53BB" w:rsidRPr="00EE247B">
        <w:rPr>
          <w:szCs w:val="24"/>
        </w:rPr>
        <w:t>15562 (dosimetry) and 15705 (treatment verification).</w:t>
      </w:r>
      <w:r w:rsidR="004E53BB">
        <w:rPr>
          <w:szCs w:val="24"/>
        </w:rPr>
        <w:t xml:space="preserve"> </w:t>
      </w:r>
    </w:p>
    <w:p w:rsidR="00BC1364" w:rsidRPr="00D90A38" w:rsidRDefault="00BC1364" w:rsidP="004539DE">
      <w:pPr>
        <w:rPr>
          <w:color w:val="FF0000"/>
          <w:szCs w:val="24"/>
        </w:rPr>
      </w:pPr>
    </w:p>
    <w:p w:rsidR="00BC1364" w:rsidRPr="008D5885" w:rsidRDefault="00BC1364" w:rsidP="00FA2222">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FA2222" w:rsidRPr="00FA2222" w:rsidRDefault="00FA2222" w:rsidP="00FA2222">
      <w:r>
        <w:t xml:space="preserve">MSAC was concerned about the approach to reporting infrequent </w:t>
      </w:r>
      <w:r w:rsidR="000D1146">
        <w:t xml:space="preserve">adverse </w:t>
      </w:r>
      <w:r w:rsidRPr="00FA2222">
        <w:t>events</w:t>
      </w:r>
      <w:r w:rsidR="000D1146">
        <w:t xml:space="preserve">, noting that this issue had been identified by ESC in February 2015.  MSAC reiterated the importance of </w:t>
      </w:r>
      <w:r w:rsidR="00D80972">
        <w:t xml:space="preserve">this </w:t>
      </w:r>
      <w:r w:rsidR="000D1146">
        <w:t>evidence and rejected th</w:t>
      </w:r>
      <w:r w:rsidR="00D80972">
        <w:t>e</w:t>
      </w:r>
      <w:r w:rsidR="000D1146">
        <w:t xml:space="preserve"> </w:t>
      </w:r>
      <w:r w:rsidR="00D80972">
        <w:t>notion</w:t>
      </w:r>
      <w:r w:rsidR="000D1146">
        <w:t xml:space="preserve"> that</w:t>
      </w:r>
      <w:r w:rsidR="00D80972">
        <w:t xml:space="preserve"> the</w:t>
      </w:r>
      <w:r w:rsidR="000D1146">
        <w:t xml:space="preserve"> </w:t>
      </w:r>
      <w:r w:rsidR="000D1146" w:rsidRPr="00247D9F">
        <w:t>inclu</w:t>
      </w:r>
      <w:r w:rsidR="00D80972">
        <w:t xml:space="preserve">sion of </w:t>
      </w:r>
      <w:r w:rsidR="000D1146">
        <w:t xml:space="preserve">these </w:t>
      </w:r>
      <w:r w:rsidR="000D1146" w:rsidRPr="00247D9F">
        <w:t xml:space="preserve">events </w:t>
      </w:r>
      <w:r w:rsidR="000D1146">
        <w:t xml:space="preserve">could render an assessment of relative safety of the radiotherapy modalities </w:t>
      </w:r>
      <w:r w:rsidR="000D1146" w:rsidRPr="00247D9F">
        <w:t>unsuitable</w:t>
      </w:r>
      <w:r w:rsidR="000D1146">
        <w:t>.</w:t>
      </w:r>
    </w:p>
    <w:p w:rsidR="00FA2222" w:rsidRPr="005E7411" w:rsidRDefault="00FA2222" w:rsidP="005E7411">
      <w:bookmarkStart w:id="2" w:name="_Toc408487272"/>
      <w:bookmarkStart w:id="3" w:name="_Toc315099766"/>
    </w:p>
    <w:p w:rsidR="000D1146" w:rsidRPr="005E7411" w:rsidRDefault="000D1146" w:rsidP="005E7411">
      <w:r w:rsidRPr="005E7411">
        <w:t xml:space="preserve">MSAC </w:t>
      </w:r>
      <w:r w:rsidR="00D80972" w:rsidRPr="005E7411">
        <w:t>noted</w:t>
      </w:r>
      <w:r w:rsidRPr="005E7411">
        <w:t xml:space="preserve"> </w:t>
      </w:r>
      <w:r w:rsidR="00D80972" w:rsidRPr="005E7411">
        <w:t xml:space="preserve">revised probabilities for acute and late adverse events based on recalculation following </w:t>
      </w:r>
      <w:r w:rsidRPr="005E7411">
        <w:t xml:space="preserve">the </w:t>
      </w:r>
      <w:r w:rsidR="00D76462" w:rsidRPr="005E7411">
        <w:t>ex</w:t>
      </w:r>
      <w:r w:rsidRPr="005E7411">
        <w:t xml:space="preserve">clusion of Grade 0 events.  MSAC </w:t>
      </w:r>
      <w:r w:rsidR="00D80972" w:rsidRPr="005E7411">
        <w:t>agreed</w:t>
      </w:r>
      <w:r w:rsidRPr="005E7411">
        <w:t xml:space="preserve"> </w:t>
      </w:r>
      <w:r w:rsidR="00D80972" w:rsidRPr="005E7411">
        <w:t>the</w:t>
      </w:r>
      <w:r w:rsidR="0024787A" w:rsidRPr="005E7411">
        <w:t xml:space="preserve"> change did not greatly impact the safety data</w:t>
      </w:r>
      <w:r w:rsidR="006F3896">
        <w:t>.</w:t>
      </w:r>
    </w:p>
    <w:bookmarkEnd w:id="2"/>
    <w:bookmarkEnd w:id="3"/>
    <w:p w:rsidR="0024787A" w:rsidRPr="00D80972" w:rsidRDefault="0024787A" w:rsidP="00FA2222"/>
    <w:p w:rsidR="00BC1364" w:rsidRPr="008D5885" w:rsidRDefault="00BC1364" w:rsidP="007B32D1">
      <w:pPr>
        <w:pStyle w:val="Heading1"/>
        <w:numPr>
          <w:ilvl w:val="0"/>
          <w:numId w:val="23"/>
        </w:numPr>
        <w:ind w:hanging="720"/>
      </w:pPr>
      <w:r w:rsidRPr="008D5885">
        <w:lastRenderedPageBreak/>
        <w:t>Comparative effectiveness</w:t>
      </w:r>
    </w:p>
    <w:p w:rsidR="00BC1364" w:rsidRDefault="00BC1364" w:rsidP="00DD2858">
      <w:pPr>
        <w:rPr>
          <w:b/>
        </w:rPr>
      </w:pPr>
    </w:p>
    <w:p w:rsidR="00004BD5" w:rsidRDefault="00212D68" w:rsidP="006F5E85">
      <w:r>
        <w:t xml:space="preserve">MSAC observed the poor quality evidence presented in support of the comparative effectiveness of treatment delivered using Cyberknife.  The evidence is limited to 35 single-arm case series.  </w:t>
      </w:r>
      <w:r>
        <w:rPr>
          <w:bCs/>
          <w:iCs/>
          <w:szCs w:val="24"/>
          <w:lang w:eastAsia="en-US"/>
        </w:rPr>
        <w:t xml:space="preserve">While </w:t>
      </w:r>
      <w:r w:rsidR="0024787A">
        <w:rPr>
          <w:bCs/>
          <w:iCs/>
          <w:szCs w:val="24"/>
          <w:lang w:eastAsia="en-US"/>
        </w:rPr>
        <w:t xml:space="preserve">the applicant </w:t>
      </w:r>
      <w:r w:rsidR="00004BD5" w:rsidRPr="00B47CDE">
        <w:rPr>
          <w:bCs/>
          <w:iCs/>
          <w:szCs w:val="24"/>
          <w:lang w:eastAsia="en-US"/>
        </w:rPr>
        <w:t>provided a list of excluded studies and a quality assessment of the included studies</w:t>
      </w:r>
      <w:r w:rsidR="00A52F93">
        <w:rPr>
          <w:bCs/>
          <w:iCs/>
          <w:szCs w:val="24"/>
          <w:lang w:eastAsia="en-US"/>
        </w:rPr>
        <w:t xml:space="preserve"> in response to ESC concerns (Table </w:t>
      </w:r>
      <w:r w:rsidR="00AA61B7">
        <w:rPr>
          <w:bCs/>
          <w:iCs/>
          <w:szCs w:val="24"/>
          <w:lang w:eastAsia="en-US"/>
        </w:rPr>
        <w:t>2</w:t>
      </w:r>
      <w:r w:rsidR="00A52F93">
        <w:rPr>
          <w:bCs/>
          <w:iCs/>
          <w:szCs w:val="24"/>
          <w:lang w:eastAsia="en-US"/>
        </w:rPr>
        <w:t>)</w:t>
      </w:r>
      <w:r>
        <w:rPr>
          <w:bCs/>
          <w:iCs/>
          <w:szCs w:val="24"/>
          <w:lang w:eastAsia="en-US"/>
        </w:rPr>
        <w:t xml:space="preserve">, MSAC </w:t>
      </w:r>
      <w:r>
        <w:rPr>
          <w:bCs/>
        </w:rPr>
        <w:t>agreed that e</w:t>
      </w:r>
      <w:r w:rsidRPr="00937E13">
        <w:rPr>
          <w:bCs/>
        </w:rPr>
        <w:t>xclu</w:t>
      </w:r>
      <w:r w:rsidR="004220CB">
        <w:rPr>
          <w:bCs/>
        </w:rPr>
        <w:t>ding</w:t>
      </w:r>
      <w:r w:rsidRPr="00937E13">
        <w:rPr>
          <w:bCs/>
        </w:rPr>
        <w:t xml:space="preserve"> the studies </w:t>
      </w:r>
      <w:r>
        <w:rPr>
          <w:bCs/>
        </w:rPr>
        <w:t xml:space="preserve">only slightly </w:t>
      </w:r>
      <w:r w:rsidRPr="00937E13">
        <w:rPr>
          <w:bCs/>
        </w:rPr>
        <w:t>reduced the difference in effectiveness between CyberKnife and the comparators</w:t>
      </w:r>
      <w:r>
        <w:rPr>
          <w:bCs/>
          <w:iCs/>
          <w:szCs w:val="24"/>
          <w:lang w:eastAsia="en-US"/>
        </w:rPr>
        <w:t xml:space="preserve"> </w:t>
      </w:r>
      <w:r w:rsidR="00004BD5" w:rsidRPr="00B47CDE">
        <w:rPr>
          <w:szCs w:val="24"/>
        </w:rPr>
        <w:t>(</w:t>
      </w:r>
      <w:r w:rsidR="00004BD5">
        <w:rPr>
          <w:szCs w:val="24"/>
        </w:rPr>
        <w:fldChar w:fldCharType="begin"/>
      </w:r>
      <w:r w:rsidR="00004BD5">
        <w:rPr>
          <w:szCs w:val="24"/>
        </w:rPr>
        <w:instrText xml:space="preserve"> REF _Ref431303634 \h </w:instrText>
      </w:r>
      <w:r w:rsidR="00004BD5">
        <w:rPr>
          <w:szCs w:val="24"/>
        </w:rPr>
      </w:r>
      <w:r w:rsidR="00004BD5">
        <w:rPr>
          <w:szCs w:val="24"/>
        </w:rPr>
        <w:fldChar w:fldCharType="separate"/>
      </w:r>
      <w:r w:rsidR="00C5742B">
        <w:t xml:space="preserve">Table </w:t>
      </w:r>
      <w:r w:rsidR="00C5742B">
        <w:rPr>
          <w:noProof/>
        </w:rPr>
        <w:t>2</w:t>
      </w:r>
      <w:r w:rsidR="00004BD5">
        <w:rPr>
          <w:szCs w:val="24"/>
        </w:rPr>
        <w:fldChar w:fldCharType="end"/>
      </w:r>
      <w:r w:rsidR="00004BD5" w:rsidRPr="00B47CDE">
        <w:rPr>
          <w:bCs/>
          <w:iCs/>
          <w:szCs w:val="24"/>
          <w:lang w:eastAsia="en-US"/>
        </w:rPr>
        <w:t>).</w:t>
      </w:r>
      <w:r w:rsidR="00A52F93">
        <w:rPr>
          <w:bCs/>
          <w:iCs/>
          <w:szCs w:val="24"/>
          <w:lang w:eastAsia="en-US"/>
        </w:rPr>
        <w:t xml:space="preserve"> </w:t>
      </w:r>
    </w:p>
    <w:p w:rsidR="00004BD5" w:rsidRDefault="00004BD5" w:rsidP="00004BD5">
      <w:pPr>
        <w:rPr>
          <w:rFonts w:ascii="Arial" w:hAnsi="Arial" w:cs="Arial"/>
          <w:b/>
          <w:sz w:val="18"/>
          <w:szCs w:val="18"/>
        </w:rPr>
      </w:pPr>
      <w:bookmarkStart w:id="4" w:name="Table1"/>
    </w:p>
    <w:p w:rsidR="00004BD5" w:rsidRDefault="00004BD5" w:rsidP="00004BD5">
      <w:pPr>
        <w:pStyle w:val="Caption"/>
        <w:ind w:hanging="1741"/>
      </w:pPr>
      <w:bookmarkStart w:id="5" w:name="_Ref431303563"/>
      <w:r>
        <w:t xml:space="preserve">Table </w:t>
      </w:r>
      <w:bookmarkEnd w:id="5"/>
      <w:r w:rsidR="00AA61B7">
        <w:t>2</w:t>
      </w:r>
      <w:r>
        <w:t>: Studies providing efficacy and safety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77"/>
        <w:gridCol w:w="1134"/>
        <w:gridCol w:w="1134"/>
      </w:tblGrid>
      <w:tr w:rsidR="00004BD5" w:rsidRPr="00004BD5" w:rsidTr="00D2485E">
        <w:tc>
          <w:tcPr>
            <w:tcW w:w="5637" w:type="dxa"/>
            <w:gridSpan w:val="2"/>
          </w:tcPr>
          <w:bookmarkEnd w:id="4"/>
          <w:p w:rsidR="00004BD5" w:rsidRPr="00004BD5" w:rsidRDefault="00004BD5" w:rsidP="00D2485E">
            <w:pPr>
              <w:rPr>
                <w:rFonts w:ascii="Arial Narrow" w:hAnsi="Arial Narrow"/>
                <w:b/>
                <w:sz w:val="20"/>
                <w:szCs w:val="24"/>
              </w:rPr>
            </w:pPr>
            <w:r w:rsidRPr="00004BD5">
              <w:rPr>
                <w:rFonts w:ascii="Arial Narrow" w:hAnsi="Arial Narrow"/>
                <w:b/>
                <w:sz w:val="20"/>
                <w:szCs w:val="24"/>
              </w:rPr>
              <w:t>Publications</w:t>
            </w:r>
          </w:p>
        </w:tc>
        <w:tc>
          <w:tcPr>
            <w:tcW w:w="1134" w:type="dxa"/>
          </w:tcPr>
          <w:p w:rsidR="00004BD5" w:rsidRPr="00004BD5" w:rsidRDefault="00004BD5" w:rsidP="00D2485E">
            <w:pPr>
              <w:rPr>
                <w:rFonts w:ascii="Arial Narrow" w:hAnsi="Arial Narrow"/>
                <w:b/>
                <w:sz w:val="20"/>
                <w:szCs w:val="24"/>
              </w:rPr>
            </w:pPr>
            <w:r w:rsidRPr="00004BD5">
              <w:rPr>
                <w:rFonts w:ascii="Arial Narrow" w:hAnsi="Arial Narrow"/>
                <w:b/>
                <w:sz w:val="20"/>
                <w:szCs w:val="24"/>
              </w:rPr>
              <w:t>Efficacy</w:t>
            </w:r>
          </w:p>
        </w:tc>
        <w:tc>
          <w:tcPr>
            <w:tcW w:w="1134" w:type="dxa"/>
          </w:tcPr>
          <w:p w:rsidR="00004BD5" w:rsidRPr="00004BD5" w:rsidRDefault="00004BD5" w:rsidP="00D2485E">
            <w:pPr>
              <w:rPr>
                <w:rFonts w:ascii="Arial Narrow" w:hAnsi="Arial Narrow"/>
                <w:b/>
                <w:sz w:val="20"/>
                <w:szCs w:val="24"/>
              </w:rPr>
            </w:pPr>
            <w:r w:rsidRPr="00004BD5">
              <w:rPr>
                <w:rFonts w:ascii="Arial Narrow" w:hAnsi="Arial Narrow"/>
                <w:b/>
                <w:sz w:val="20"/>
                <w:szCs w:val="24"/>
              </w:rPr>
              <w:t xml:space="preserve">Safety </w:t>
            </w:r>
          </w:p>
        </w:tc>
      </w:tr>
      <w:tr w:rsidR="00004BD5" w:rsidRPr="00004BD5" w:rsidTr="00D2485E">
        <w:tc>
          <w:tcPr>
            <w:tcW w:w="2660" w:type="dxa"/>
            <w:vMerge w:val="restart"/>
          </w:tcPr>
          <w:p w:rsidR="00004BD5" w:rsidRPr="00004BD5" w:rsidRDefault="00004BD5" w:rsidP="00D2485E">
            <w:pPr>
              <w:rPr>
                <w:rFonts w:ascii="Arial Narrow" w:hAnsi="Arial Narrow"/>
                <w:sz w:val="20"/>
                <w:szCs w:val="24"/>
              </w:rPr>
            </w:pPr>
            <w:r w:rsidRPr="00004BD5">
              <w:rPr>
                <w:rFonts w:ascii="Arial Narrow" w:hAnsi="Arial Narrow"/>
                <w:sz w:val="20"/>
                <w:szCs w:val="24"/>
              </w:rPr>
              <w:t xml:space="preserve">Cyberknife </w:t>
            </w:r>
          </w:p>
        </w:tc>
        <w:tc>
          <w:tcPr>
            <w:tcW w:w="2977" w:type="dxa"/>
          </w:tcPr>
          <w:p w:rsidR="00004BD5" w:rsidRPr="00004BD5" w:rsidRDefault="000F070E" w:rsidP="00D2485E">
            <w:pPr>
              <w:jc w:val="right"/>
              <w:rPr>
                <w:rFonts w:ascii="Arial Narrow" w:hAnsi="Arial Narrow"/>
                <w:sz w:val="20"/>
              </w:rPr>
            </w:pPr>
            <w:r>
              <w:rPr>
                <w:rFonts w:ascii="Arial Narrow" w:hAnsi="Arial Narrow"/>
                <w:sz w:val="20"/>
              </w:rPr>
              <w:t>Resubmission</w:t>
            </w:r>
            <w:r w:rsidR="00004BD5" w:rsidRPr="00004BD5">
              <w:rPr>
                <w:rFonts w:ascii="Arial Narrow" w:hAnsi="Arial Narrow"/>
                <w:sz w:val="20"/>
              </w:rPr>
              <w:t xml:space="preserve"> (14 studies)</w:t>
            </w:r>
          </w:p>
        </w:tc>
        <w:tc>
          <w:tcPr>
            <w:tcW w:w="1134" w:type="dxa"/>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6</w:t>
            </w:r>
          </w:p>
        </w:tc>
        <w:tc>
          <w:tcPr>
            <w:tcW w:w="1134" w:type="dxa"/>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10</w:t>
            </w:r>
          </w:p>
        </w:tc>
      </w:tr>
      <w:tr w:rsidR="00004BD5" w:rsidRPr="00004BD5" w:rsidTr="00D2485E">
        <w:tc>
          <w:tcPr>
            <w:tcW w:w="2660" w:type="dxa"/>
            <w:vMerge/>
          </w:tcPr>
          <w:p w:rsidR="00004BD5" w:rsidRPr="00004BD5" w:rsidRDefault="00004BD5" w:rsidP="00D2485E">
            <w:pPr>
              <w:rPr>
                <w:rFonts w:ascii="Arial Narrow" w:hAnsi="Arial Narrow"/>
                <w:sz w:val="20"/>
                <w:szCs w:val="24"/>
              </w:rPr>
            </w:pPr>
          </w:p>
        </w:tc>
        <w:tc>
          <w:tcPr>
            <w:tcW w:w="2977" w:type="dxa"/>
          </w:tcPr>
          <w:p w:rsidR="00004BD5" w:rsidRPr="00004BD5" w:rsidRDefault="00004BD5" w:rsidP="00D2485E">
            <w:pPr>
              <w:jc w:val="right"/>
              <w:rPr>
                <w:rFonts w:ascii="Arial Narrow" w:hAnsi="Arial Narrow"/>
                <w:sz w:val="20"/>
              </w:rPr>
            </w:pPr>
            <w:r w:rsidRPr="00004BD5">
              <w:rPr>
                <w:rFonts w:ascii="Arial Narrow" w:hAnsi="Arial Narrow"/>
                <w:sz w:val="20"/>
              </w:rPr>
              <w:t>Formal Response</w:t>
            </w:r>
          </w:p>
        </w:tc>
        <w:tc>
          <w:tcPr>
            <w:tcW w:w="1134" w:type="dxa"/>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3</w:t>
            </w:r>
          </w:p>
        </w:tc>
        <w:tc>
          <w:tcPr>
            <w:tcW w:w="1134" w:type="dxa"/>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8</w:t>
            </w:r>
          </w:p>
        </w:tc>
      </w:tr>
      <w:tr w:rsidR="00004BD5" w:rsidRPr="00004BD5" w:rsidTr="00D2485E">
        <w:tc>
          <w:tcPr>
            <w:tcW w:w="2660" w:type="dxa"/>
            <w:vMerge w:val="restart"/>
            <w:shd w:val="pct10" w:color="auto" w:fill="auto"/>
          </w:tcPr>
          <w:p w:rsidR="00004BD5" w:rsidRPr="00004BD5" w:rsidRDefault="00004BD5" w:rsidP="00D2485E">
            <w:pPr>
              <w:rPr>
                <w:rFonts w:ascii="Arial Narrow" w:hAnsi="Arial Narrow"/>
                <w:sz w:val="20"/>
                <w:szCs w:val="24"/>
              </w:rPr>
            </w:pPr>
            <w:r w:rsidRPr="00004BD5">
              <w:rPr>
                <w:rFonts w:ascii="Arial Narrow" w:hAnsi="Arial Narrow"/>
                <w:sz w:val="20"/>
                <w:szCs w:val="24"/>
              </w:rPr>
              <w:t xml:space="preserve">IMRT </w:t>
            </w:r>
          </w:p>
        </w:tc>
        <w:tc>
          <w:tcPr>
            <w:tcW w:w="2977" w:type="dxa"/>
            <w:shd w:val="pct10" w:color="auto" w:fill="auto"/>
          </w:tcPr>
          <w:p w:rsidR="00004BD5" w:rsidRPr="00004BD5" w:rsidRDefault="000F070E" w:rsidP="00D2485E">
            <w:pPr>
              <w:jc w:val="right"/>
              <w:rPr>
                <w:rFonts w:ascii="Arial Narrow" w:hAnsi="Arial Narrow"/>
                <w:sz w:val="20"/>
              </w:rPr>
            </w:pPr>
            <w:r>
              <w:rPr>
                <w:rFonts w:ascii="Arial Narrow" w:hAnsi="Arial Narrow"/>
                <w:sz w:val="20"/>
              </w:rPr>
              <w:t>Resubmission</w:t>
            </w:r>
            <w:r w:rsidR="00004BD5" w:rsidRPr="00004BD5">
              <w:rPr>
                <w:rFonts w:ascii="Arial Narrow" w:hAnsi="Arial Narrow"/>
                <w:sz w:val="20"/>
              </w:rPr>
              <w:t xml:space="preserve"> (8 studies)</w:t>
            </w:r>
          </w:p>
        </w:tc>
        <w:tc>
          <w:tcPr>
            <w:tcW w:w="1134" w:type="dxa"/>
            <w:shd w:val="pct10" w:color="auto" w:fill="auto"/>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4</w:t>
            </w:r>
          </w:p>
        </w:tc>
        <w:tc>
          <w:tcPr>
            <w:tcW w:w="1134" w:type="dxa"/>
            <w:shd w:val="pct10" w:color="auto" w:fill="auto"/>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8</w:t>
            </w:r>
          </w:p>
        </w:tc>
      </w:tr>
      <w:tr w:rsidR="00004BD5" w:rsidRPr="00004BD5" w:rsidTr="00D2485E">
        <w:tc>
          <w:tcPr>
            <w:tcW w:w="2660" w:type="dxa"/>
            <w:vMerge/>
            <w:shd w:val="pct10" w:color="auto" w:fill="auto"/>
          </w:tcPr>
          <w:p w:rsidR="00004BD5" w:rsidRPr="00004BD5" w:rsidRDefault="00004BD5" w:rsidP="00D2485E">
            <w:pPr>
              <w:rPr>
                <w:rFonts w:ascii="Arial Narrow" w:hAnsi="Arial Narrow"/>
                <w:sz w:val="20"/>
                <w:szCs w:val="24"/>
              </w:rPr>
            </w:pPr>
          </w:p>
        </w:tc>
        <w:tc>
          <w:tcPr>
            <w:tcW w:w="2977" w:type="dxa"/>
            <w:shd w:val="pct10" w:color="auto" w:fill="auto"/>
          </w:tcPr>
          <w:p w:rsidR="00004BD5" w:rsidRPr="00004BD5" w:rsidRDefault="00004BD5" w:rsidP="00D2485E">
            <w:pPr>
              <w:jc w:val="right"/>
              <w:rPr>
                <w:rFonts w:ascii="Arial Narrow" w:hAnsi="Arial Narrow"/>
                <w:sz w:val="20"/>
              </w:rPr>
            </w:pPr>
            <w:r w:rsidRPr="00004BD5">
              <w:rPr>
                <w:rFonts w:ascii="Arial Narrow" w:hAnsi="Arial Narrow"/>
                <w:sz w:val="20"/>
              </w:rPr>
              <w:t>Formal Response</w:t>
            </w:r>
          </w:p>
        </w:tc>
        <w:tc>
          <w:tcPr>
            <w:tcW w:w="1134" w:type="dxa"/>
            <w:shd w:val="pct10" w:color="auto" w:fill="auto"/>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3</w:t>
            </w:r>
          </w:p>
        </w:tc>
        <w:tc>
          <w:tcPr>
            <w:tcW w:w="1134" w:type="dxa"/>
            <w:shd w:val="pct10" w:color="auto" w:fill="auto"/>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7</w:t>
            </w:r>
          </w:p>
        </w:tc>
      </w:tr>
      <w:tr w:rsidR="00004BD5" w:rsidRPr="00004BD5" w:rsidTr="00D2485E">
        <w:tc>
          <w:tcPr>
            <w:tcW w:w="2660" w:type="dxa"/>
            <w:vMerge w:val="restart"/>
          </w:tcPr>
          <w:p w:rsidR="00004BD5" w:rsidRPr="00004BD5" w:rsidRDefault="00004BD5" w:rsidP="00D2485E">
            <w:pPr>
              <w:rPr>
                <w:rFonts w:ascii="Arial Narrow" w:hAnsi="Arial Narrow"/>
                <w:sz w:val="20"/>
                <w:szCs w:val="24"/>
              </w:rPr>
            </w:pPr>
            <w:r w:rsidRPr="00004BD5">
              <w:rPr>
                <w:rFonts w:ascii="Arial Narrow" w:hAnsi="Arial Narrow"/>
                <w:sz w:val="20"/>
                <w:szCs w:val="24"/>
              </w:rPr>
              <w:t>3DCRT</w:t>
            </w:r>
          </w:p>
        </w:tc>
        <w:tc>
          <w:tcPr>
            <w:tcW w:w="2977" w:type="dxa"/>
          </w:tcPr>
          <w:p w:rsidR="00004BD5" w:rsidRPr="00004BD5" w:rsidRDefault="000F070E" w:rsidP="00D2485E">
            <w:pPr>
              <w:jc w:val="right"/>
              <w:rPr>
                <w:rFonts w:ascii="Arial Narrow" w:hAnsi="Arial Narrow"/>
                <w:sz w:val="20"/>
              </w:rPr>
            </w:pPr>
            <w:r>
              <w:rPr>
                <w:rFonts w:ascii="Arial Narrow" w:hAnsi="Arial Narrow"/>
                <w:sz w:val="20"/>
              </w:rPr>
              <w:t>Resubmission</w:t>
            </w:r>
            <w:r w:rsidR="00004BD5" w:rsidRPr="00004BD5">
              <w:rPr>
                <w:rFonts w:ascii="Arial Narrow" w:hAnsi="Arial Narrow"/>
                <w:sz w:val="20"/>
              </w:rPr>
              <w:t xml:space="preserve"> (12 studies)</w:t>
            </w:r>
          </w:p>
        </w:tc>
        <w:tc>
          <w:tcPr>
            <w:tcW w:w="1134" w:type="dxa"/>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12</w:t>
            </w:r>
          </w:p>
        </w:tc>
        <w:tc>
          <w:tcPr>
            <w:tcW w:w="1134" w:type="dxa"/>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9</w:t>
            </w:r>
          </w:p>
        </w:tc>
      </w:tr>
      <w:tr w:rsidR="00004BD5" w:rsidRPr="00004BD5" w:rsidTr="00D2485E">
        <w:tc>
          <w:tcPr>
            <w:tcW w:w="2660" w:type="dxa"/>
            <w:vMerge/>
          </w:tcPr>
          <w:p w:rsidR="00004BD5" w:rsidRPr="00004BD5" w:rsidRDefault="00004BD5" w:rsidP="00D2485E">
            <w:pPr>
              <w:rPr>
                <w:rFonts w:ascii="Arial Narrow" w:hAnsi="Arial Narrow"/>
                <w:sz w:val="20"/>
                <w:szCs w:val="24"/>
              </w:rPr>
            </w:pPr>
          </w:p>
        </w:tc>
        <w:tc>
          <w:tcPr>
            <w:tcW w:w="2977" w:type="dxa"/>
          </w:tcPr>
          <w:p w:rsidR="00004BD5" w:rsidRPr="00004BD5" w:rsidRDefault="00004BD5" w:rsidP="00D2485E">
            <w:pPr>
              <w:jc w:val="right"/>
              <w:rPr>
                <w:rFonts w:ascii="Arial Narrow" w:hAnsi="Arial Narrow"/>
                <w:sz w:val="20"/>
              </w:rPr>
            </w:pPr>
            <w:r w:rsidRPr="00004BD5">
              <w:rPr>
                <w:rFonts w:ascii="Arial Narrow" w:hAnsi="Arial Narrow"/>
                <w:sz w:val="20"/>
              </w:rPr>
              <w:t>Formal Response</w:t>
            </w:r>
          </w:p>
        </w:tc>
        <w:tc>
          <w:tcPr>
            <w:tcW w:w="1134" w:type="dxa"/>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10</w:t>
            </w:r>
          </w:p>
        </w:tc>
        <w:tc>
          <w:tcPr>
            <w:tcW w:w="1134" w:type="dxa"/>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9</w:t>
            </w:r>
          </w:p>
        </w:tc>
      </w:tr>
      <w:tr w:rsidR="00004BD5" w:rsidRPr="00004BD5" w:rsidTr="00D2485E">
        <w:trPr>
          <w:trHeight w:val="77"/>
        </w:trPr>
        <w:tc>
          <w:tcPr>
            <w:tcW w:w="2660" w:type="dxa"/>
            <w:vMerge w:val="restart"/>
            <w:shd w:val="pct10" w:color="auto" w:fill="auto"/>
          </w:tcPr>
          <w:p w:rsidR="00004BD5" w:rsidRPr="00004BD5" w:rsidRDefault="00004BD5" w:rsidP="00D2485E">
            <w:pPr>
              <w:rPr>
                <w:rFonts w:ascii="Arial Narrow" w:hAnsi="Arial Narrow"/>
                <w:sz w:val="20"/>
                <w:szCs w:val="24"/>
              </w:rPr>
            </w:pPr>
            <w:r w:rsidRPr="00004BD5">
              <w:rPr>
                <w:rFonts w:ascii="Arial Narrow" w:hAnsi="Arial Narrow"/>
                <w:sz w:val="20"/>
                <w:szCs w:val="24"/>
              </w:rPr>
              <w:t>Surgery</w:t>
            </w:r>
          </w:p>
        </w:tc>
        <w:tc>
          <w:tcPr>
            <w:tcW w:w="2977" w:type="dxa"/>
            <w:shd w:val="pct10" w:color="auto" w:fill="auto"/>
          </w:tcPr>
          <w:p w:rsidR="00004BD5" w:rsidRPr="00004BD5" w:rsidRDefault="000F070E" w:rsidP="00D2485E">
            <w:pPr>
              <w:jc w:val="right"/>
              <w:rPr>
                <w:rFonts w:ascii="Arial Narrow" w:hAnsi="Arial Narrow"/>
                <w:sz w:val="20"/>
              </w:rPr>
            </w:pPr>
            <w:r>
              <w:rPr>
                <w:rFonts w:ascii="Arial Narrow" w:hAnsi="Arial Narrow"/>
                <w:sz w:val="20"/>
              </w:rPr>
              <w:t>Resubmission</w:t>
            </w:r>
            <w:r w:rsidR="00004BD5" w:rsidRPr="00004BD5">
              <w:rPr>
                <w:rFonts w:ascii="Arial Narrow" w:hAnsi="Arial Narrow"/>
                <w:sz w:val="20"/>
              </w:rPr>
              <w:t xml:space="preserve"> (6 studies)</w:t>
            </w:r>
          </w:p>
        </w:tc>
        <w:tc>
          <w:tcPr>
            <w:tcW w:w="1134" w:type="dxa"/>
            <w:shd w:val="pct10" w:color="auto" w:fill="auto"/>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4</w:t>
            </w:r>
          </w:p>
        </w:tc>
        <w:tc>
          <w:tcPr>
            <w:tcW w:w="1134" w:type="dxa"/>
            <w:shd w:val="pct10" w:color="auto" w:fill="auto"/>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4</w:t>
            </w:r>
          </w:p>
        </w:tc>
      </w:tr>
      <w:tr w:rsidR="00004BD5" w:rsidRPr="00004BD5" w:rsidTr="00D2485E">
        <w:tc>
          <w:tcPr>
            <w:tcW w:w="2660" w:type="dxa"/>
            <w:vMerge/>
            <w:shd w:val="pct10" w:color="auto" w:fill="auto"/>
          </w:tcPr>
          <w:p w:rsidR="00004BD5" w:rsidRPr="00004BD5" w:rsidRDefault="00004BD5" w:rsidP="00D2485E">
            <w:pPr>
              <w:rPr>
                <w:rFonts w:ascii="Arial Narrow" w:hAnsi="Arial Narrow"/>
                <w:sz w:val="20"/>
                <w:szCs w:val="24"/>
              </w:rPr>
            </w:pPr>
          </w:p>
        </w:tc>
        <w:tc>
          <w:tcPr>
            <w:tcW w:w="2977" w:type="dxa"/>
            <w:shd w:val="pct10" w:color="auto" w:fill="auto"/>
          </w:tcPr>
          <w:p w:rsidR="00004BD5" w:rsidRPr="00004BD5" w:rsidRDefault="00004BD5" w:rsidP="00D2485E">
            <w:pPr>
              <w:jc w:val="right"/>
              <w:rPr>
                <w:rFonts w:ascii="Arial Narrow" w:hAnsi="Arial Narrow"/>
                <w:sz w:val="20"/>
              </w:rPr>
            </w:pPr>
            <w:r w:rsidRPr="00004BD5">
              <w:rPr>
                <w:rFonts w:ascii="Arial Narrow" w:hAnsi="Arial Narrow"/>
                <w:sz w:val="20"/>
              </w:rPr>
              <w:t>Formal Response</w:t>
            </w:r>
          </w:p>
        </w:tc>
        <w:tc>
          <w:tcPr>
            <w:tcW w:w="1134" w:type="dxa"/>
            <w:shd w:val="pct10" w:color="auto" w:fill="auto"/>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0</w:t>
            </w:r>
          </w:p>
        </w:tc>
        <w:tc>
          <w:tcPr>
            <w:tcW w:w="1134" w:type="dxa"/>
            <w:shd w:val="pct10" w:color="auto" w:fill="auto"/>
          </w:tcPr>
          <w:p w:rsidR="00004BD5" w:rsidRPr="00004BD5" w:rsidRDefault="00004BD5" w:rsidP="00D2485E">
            <w:pPr>
              <w:jc w:val="right"/>
              <w:rPr>
                <w:rFonts w:ascii="Arial Narrow" w:hAnsi="Arial Narrow"/>
                <w:sz w:val="20"/>
                <w:szCs w:val="24"/>
              </w:rPr>
            </w:pPr>
            <w:r w:rsidRPr="00004BD5">
              <w:rPr>
                <w:rFonts w:ascii="Arial Narrow" w:hAnsi="Arial Narrow"/>
                <w:sz w:val="20"/>
                <w:szCs w:val="24"/>
              </w:rPr>
              <w:t>0</w:t>
            </w:r>
          </w:p>
        </w:tc>
      </w:tr>
    </w:tbl>
    <w:p w:rsidR="00004BD5" w:rsidRDefault="00004BD5" w:rsidP="00004BD5"/>
    <w:p w:rsidR="00004BD5" w:rsidRDefault="00004BD5" w:rsidP="00004BD5">
      <w:pPr>
        <w:pStyle w:val="Caption"/>
        <w:spacing w:after="0"/>
        <w:ind w:hanging="1741"/>
      </w:pPr>
      <w:bookmarkStart w:id="6" w:name="_Ref431303634"/>
      <w:bookmarkStart w:id="7" w:name="Table2"/>
      <w:r>
        <w:t xml:space="preserve">Table </w:t>
      </w:r>
      <w:bookmarkEnd w:id="6"/>
      <w:r w:rsidR="00AA61B7">
        <w:t>3</w:t>
      </w:r>
      <w:r w:rsidRPr="005800BD">
        <w:t>: Revised clinical outcome parameters (2014 original estimates in black and June 2015 estimates in red)</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1728"/>
        <w:gridCol w:w="1296"/>
        <w:gridCol w:w="1296"/>
        <w:gridCol w:w="1440"/>
        <w:gridCol w:w="1440"/>
      </w:tblGrid>
      <w:tr w:rsidR="00004BD5" w:rsidRPr="005B7A5C" w:rsidTr="00D2485E">
        <w:trPr>
          <w:tblHeader/>
        </w:trPr>
        <w:tc>
          <w:tcPr>
            <w:tcW w:w="2016" w:type="dxa"/>
            <w:tcBorders>
              <w:bottom w:val="single" w:sz="4" w:space="0" w:color="auto"/>
            </w:tcBorders>
            <w:shd w:val="clear" w:color="auto" w:fill="595959"/>
          </w:tcPr>
          <w:bookmarkEnd w:id="7"/>
          <w:p w:rsidR="00004BD5" w:rsidRPr="005B7A5C" w:rsidRDefault="00004BD5" w:rsidP="00D2485E">
            <w:pPr>
              <w:rPr>
                <w:rFonts w:ascii="Arial Narrow" w:hAnsi="Arial Narrow" w:cs="Arial"/>
                <w:bCs/>
                <w:color w:val="FFFFFF"/>
                <w:sz w:val="20"/>
              </w:rPr>
            </w:pPr>
            <w:r w:rsidRPr="005B7A5C">
              <w:rPr>
                <w:rFonts w:ascii="Arial Narrow" w:hAnsi="Arial Narrow" w:cs="Arial"/>
                <w:bCs/>
                <w:color w:val="FFFFFF"/>
                <w:sz w:val="20"/>
              </w:rPr>
              <w:t>Clinical Outcome / Modality</w:t>
            </w:r>
          </w:p>
        </w:tc>
        <w:tc>
          <w:tcPr>
            <w:tcW w:w="1728" w:type="dxa"/>
            <w:tcBorders>
              <w:bottom w:val="single" w:sz="4" w:space="0" w:color="auto"/>
            </w:tcBorders>
            <w:shd w:val="clear" w:color="auto" w:fill="595959"/>
          </w:tcPr>
          <w:p w:rsidR="00004BD5" w:rsidRPr="005B7A5C" w:rsidRDefault="00004BD5" w:rsidP="00D2485E">
            <w:pPr>
              <w:jc w:val="center"/>
              <w:rPr>
                <w:rFonts w:ascii="Arial Narrow" w:hAnsi="Arial Narrow" w:cs="Arial"/>
                <w:bCs/>
                <w:color w:val="FFFFFF"/>
                <w:sz w:val="20"/>
              </w:rPr>
            </w:pPr>
            <w:r w:rsidRPr="005B7A5C">
              <w:rPr>
                <w:rFonts w:ascii="Arial Narrow" w:hAnsi="Arial Narrow" w:cs="Arial"/>
                <w:bCs/>
                <w:color w:val="FFFFFF"/>
                <w:sz w:val="20"/>
              </w:rPr>
              <w:t>Mean Annualized Rate</w:t>
            </w:r>
          </w:p>
          <w:p w:rsidR="00004BD5" w:rsidRPr="005B7A5C" w:rsidRDefault="00004BD5" w:rsidP="00D2485E">
            <w:pPr>
              <w:jc w:val="center"/>
              <w:rPr>
                <w:rFonts w:ascii="Arial Narrow" w:hAnsi="Arial Narrow" w:cs="Arial"/>
                <w:bCs/>
                <w:color w:val="FFFFFF"/>
                <w:sz w:val="20"/>
              </w:rPr>
            </w:pPr>
            <w:r w:rsidRPr="005B7A5C">
              <w:rPr>
                <w:rFonts w:ascii="Arial Narrow" w:hAnsi="Arial Narrow" w:cs="Arial"/>
                <w:bCs/>
                <w:color w:val="FFFFFF"/>
                <w:sz w:val="20"/>
              </w:rPr>
              <w:t>(</w:t>
            </w:r>
            <w:proofErr w:type="spellStart"/>
            <w:r w:rsidRPr="005B7A5C">
              <w:rPr>
                <w:rFonts w:ascii="Arial Narrow" w:hAnsi="Arial Narrow" w:cs="Arial"/>
                <w:bCs/>
                <w:color w:val="FFFFFF"/>
                <w:sz w:val="20"/>
              </w:rPr>
              <w:t>Yr</w:t>
            </w:r>
            <w:proofErr w:type="spellEnd"/>
            <w:r w:rsidRPr="005B7A5C">
              <w:rPr>
                <w:rFonts w:ascii="Arial Narrow" w:hAnsi="Arial Narrow" w:cs="Arial"/>
                <w:bCs/>
                <w:color w:val="FFFFFF"/>
                <w:sz w:val="20"/>
              </w:rPr>
              <w:t xml:space="preserve"> 1 – 5)</w:t>
            </w:r>
          </w:p>
        </w:tc>
        <w:tc>
          <w:tcPr>
            <w:tcW w:w="1296" w:type="dxa"/>
            <w:tcBorders>
              <w:bottom w:val="single" w:sz="4" w:space="0" w:color="auto"/>
            </w:tcBorders>
            <w:shd w:val="clear" w:color="auto" w:fill="595959"/>
          </w:tcPr>
          <w:p w:rsidR="00004BD5" w:rsidRPr="005B7A5C" w:rsidRDefault="00004BD5" w:rsidP="00D2485E">
            <w:pPr>
              <w:jc w:val="center"/>
              <w:rPr>
                <w:rFonts w:ascii="Arial Narrow" w:hAnsi="Arial Narrow" w:cs="Arial"/>
                <w:bCs/>
                <w:color w:val="FFFFFF"/>
                <w:sz w:val="20"/>
              </w:rPr>
            </w:pPr>
            <w:r w:rsidRPr="005B7A5C">
              <w:rPr>
                <w:rFonts w:ascii="Arial Narrow" w:hAnsi="Arial Narrow" w:cs="Arial"/>
                <w:bCs/>
                <w:color w:val="FFFFFF"/>
                <w:sz w:val="20"/>
              </w:rPr>
              <w:t>Standard Deviation</w:t>
            </w:r>
          </w:p>
        </w:tc>
        <w:tc>
          <w:tcPr>
            <w:tcW w:w="1296" w:type="dxa"/>
            <w:tcBorders>
              <w:bottom w:val="single" w:sz="4" w:space="0" w:color="auto"/>
            </w:tcBorders>
            <w:shd w:val="clear" w:color="auto" w:fill="595959"/>
          </w:tcPr>
          <w:p w:rsidR="00004BD5" w:rsidRPr="005B7A5C" w:rsidRDefault="00004BD5" w:rsidP="00D2485E">
            <w:pPr>
              <w:jc w:val="center"/>
              <w:rPr>
                <w:rFonts w:ascii="Arial Narrow" w:hAnsi="Arial Narrow" w:cs="Arial"/>
                <w:bCs/>
                <w:color w:val="FFFFFF"/>
                <w:sz w:val="20"/>
              </w:rPr>
            </w:pPr>
            <w:r w:rsidRPr="005B7A5C">
              <w:rPr>
                <w:rFonts w:ascii="Arial Narrow" w:hAnsi="Arial Narrow" w:cs="Arial"/>
                <w:bCs/>
                <w:color w:val="FFFFFF"/>
                <w:sz w:val="20"/>
              </w:rPr>
              <w:t>Standard Error</w:t>
            </w:r>
          </w:p>
        </w:tc>
        <w:tc>
          <w:tcPr>
            <w:tcW w:w="1440" w:type="dxa"/>
            <w:tcBorders>
              <w:bottom w:val="single" w:sz="4" w:space="0" w:color="auto"/>
            </w:tcBorders>
            <w:shd w:val="clear" w:color="auto" w:fill="595959"/>
          </w:tcPr>
          <w:p w:rsidR="00004BD5" w:rsidRPr="005B7A5C" w:rsidRDefault="00004BD5" w:rsidP="00D2485E">
            <w:pPr>
              <w:jc w:val="center"/>
              <w:rPr>
                <w:rFonts w:ascii="Arial Narrow" w:hAnsi="Arial Narrow" w:cs="Arial"/>
                <w:bCs/>
                <w:color w:val="FFFFFF"/>
                <w:sz w:val="20"/>
              </w:rPr>
            </w:pPr>
            <w:r w:rsidRPr="005B7A5C">
              <w:rPr>
                <w:rFonts w:ascii="Arial Narrow" w:hAnsi="Arial Narrow" w:cs="Arial"/>
                <w:bCs/>
                <w:color w:val="FFFFFF"/>
                <w:sz w:val="20"/>
              </w:rPr>
              <w:t>Distribution Parameter (</w:t>
            </w:r>
            <w:r w:rsidRPr="005B7A5C">
              <w:rPr>
                <w:rFonts w:ascii="Arial Narrow" w:hAnsi="Arial Narrow" w:cs="Arial"/>
                <w:bCs/>
                <w:color w:val="FFFFFF"/>
                <w:sz w:val="20"/>
              </w:rPr>
              <w:sym w:font="Symbol" w:char="F061"/>
            </w:r>
            <w:r w:rsidRPr="005B7A5C">
              <w:rPr>
                <w:rFonts w:ascii="Arial Narrow" w:hAnsi="Arial Narrow" w:cs="Arial"/>
                <w:bCs/>
                <w:color w:val="FFFFFF"/>
                <w:sz w:val="20"/>
              </w:rPr>
              <w:t>)</w:t>
            </w:r>
          </w:p>
        </w:tc>
        <w:tc>
          <w:tcPr>
            <w:tcW w:w="1440" w:type="dxa"/>
            <w:tcBorders>
              <w:bottom w:val="single" w:sz="4" w:space="0" w:color="auto"/>
            </w:tcBorders>
            <w:shd w:val="clear" w:color="auto" w:fill="595959"/>
          </w:tcPr>
          <w:p w:rsidR="00004BD5" w:rsidRPr="005B7A5C" w:rsidRDefault="00004BD5" w:rsidP="00D2485E">
            <w:pPr>
              <w:jc w:val="center"/>
              <w:rPr>
                <w:rFonts w:ascii="Arial Narrow" w:hAnsi="Arial Narrow" w:cs="Arial"/>
                <w:bCs/>
                <w:color w:val="FFFFFF"/>
                <w:sz w:val="20"/>
              </w:rPr>
            </w:pPr>
            <w:r w:rsidRPr="005B7A5C">
              <w:rPr>
                <w:rFonts w:ascii="Arial Narrow" w:hAnsi="Arial Narrow" w:cs="Arial"/>
                <w:bCs/>
                <w:color w:val="FFFFFF"/>
                <w:sz w:val="20"/>
              </w:rPr>
              <w:t>Distribution Parameter (</w:t>
            </w:r>
            <w:r w:rsidRPr="005B7A5C">
              <w:rPr>
                <w:rFonts w:ascii="Arial Narrow" w:hAnsi="Arial Narrow" w:cs="Arial"/>
                <w:bCs/>
                <w:color w:val="FFFFFF"/>
                <w:sz w:val="20"/>
              </w:rPr>
              <w:sym w:font="Symbol" w:char="F062"/>
            </w:r>
            <w:r w:rsidRPr="005B7A5C">
              <w:rPr>
                <w:rFonts w:ascii="Arial Narrow" w:hAnsi="Arial Narrow" w:cs="Arial"/>
                <w:bCs/>
                <w:color w:val="FFFFFF"/>
                <w:sz w:val="20"/>
              </w:rPr>
              <w:t>)</w:t>
            </w:r>
          </w:p>
        </w:tc>
      </w:tr>
      <w:tr w:rsidR="00004BD5" w:rsidRPr="005B7A5C" w:rsidTr="00D2485E">
        <w:tc>
          <w:tcPr>
            <w:tcW w:w="2016" w:type="dxa"/>
            <w:tcBorders>
              <w:right w:val="nil"/>
            </w:tcBorders>
            <w:shd w:val="clear" w:color="auto" w:fill="D9D9D9"/>
          </w:tcPr>
          <w:p w:rsidR="00004BD5" w:rsidRPr="005B7A5C" w:rsidRDefault="00004BD5" w:rsidP="00D2485E">
            <w:pPr>
              <w:rPr>
                <w:rFonts w:ascii="Arial Narrow" w:hAnsi="Arial Narrow" w:cs="Arial"/>
                <w:b/>
                <w:bCs/>
                <w:sz w:val="20"/>
              </w:rPr>
            </w:pPr>
            <w:r w:rsidRPr="005B7A5C">
              <w:rPr>
                <w:rFonts w:ascii="Arial Narrow" w:hAnsi="Arial Narrow" w:cs="Arial"/>
                <w:b/>
                <w:bCs/>
                <w:sz w:val="20"/>
              </w:rPr>
              <w:t>Local Recurrence</w:t>
            </w:r>
          </w:p>
        </w:tc>
        <w:tc>
          <w:tcPr>
            <w:tcW w:w="1728"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296"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296"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440"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440" w:type="dxa"/>
            <w:tcBorders>
              <w:lef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CyberKnife</w:t>
            </w:r>
          </w:p>
        </w:tc>
        <w:tc>
          <w:tcPr>
            <w:tcW w:w="1728"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5.05%</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(5.17%)</w:t>
            </w:r>
          </w:p>
        </w:tc>
        <w:tc>
          <w:tcPr>
            <w:tcW w:w="1296"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2.32%</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(3.02%)</w:t>
            </w:r>
          </w:p>
        </w:tc>
        <w:tc>
          <w:tcPr>
            <w:tcW w:w="1296" w:type="dxa"/>
          </w:tcPr>
          <w:p w:rsidR="00004BD5" w:rsidRPr="00B47CDE" w:rsidRDefault="00004BD5" w:rsidP="00D2485E">
            <w:pPr>
              <w:jc w:val="center"/>
              <w:rPr>
                <w:rFonts w:ascii="Arial Narrow" w:hAnsi="Arial Narrow" w:cs="Arial"/>
                <w:bCs/>
                <w:strike/>
                <w:sz w:val="20"/>
              </w:rPr>
            </w:pPr>
            <w:r w:rsidRPr="00B47CDE">
              <w:rPr>
                <w:rFonts w:ascii="Arial Narrow" w:hAnsi="Arial Narrow" w:cs="Arial"/>
                <w:bCs/>
                <w:strike/>
                <w:sz w:val="20"/>
              </w:rPr>
              <w:t>0.95%</w:t>
            </w:r>
          </w:p>
          <w:p w:rsidR="00004BD5" w:rsidRPr="005B7A5C" w:rsidRDefault="00004BD5" w:rsidP="00D2485E">
            <w:pPr>
              <w:jc w:val="center"/>
              <w:rPr>
                <w:rFonts w:ascii="Arial Narrow" w:hAnsi="Arial Narrow" w:cs="Arial"/>
                <w:bCs/>
                <w:sz w:val="20"/>
              </w:rPr>
            </w:pPr>
            <w:r w:rsidRPr="005B7A5C">
              <w:rPr>
                <w:rFonts w:ascii="Arial Narrow" w:hAnsi="Arial Narrow"/>
                <w:color w:val="FF0000"/>
                <w:sz w:val="20"/>
              </w:rPr>
              <w:t>(1.74%)</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26.78</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(8.30)</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503.5</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(152.1)</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IMRT</w:t>
            </w:r>
          </w:p>
        </w:tc>
        <w:tc>
          <w:tcPr>
            <w:tcW w:w="1728"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13.47%</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(11.49%)</w:t>
            </w:r>
          </w:p>
        </w:tc>
        <w:tc>
          <w:tcPr>
            <w:tcW w:w="1296"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13.20%</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(15.42%)</w:t>
            </w:r>
          </w:p>
        </w:tc>
        <w:tc>
          <w:tcPr>
            <w:tcW w:w="1296" w:type="dxa"/>
          </w:tcPr>
          <w:p w:rsidR="00004BD5" w:rsidRPr="00B47CDE" w:rsidRDefault="00004BD5" w:rsidP="00D2485E">
            <w:pPr>
              <w:jc w:val="center"/>
              <w:rPr>
                <w:rFonts w:ascii="Arial Narrow" w:hAnsi="Arial Narrow" w:cs="Arial"/>
                <w:bCs/>
                <w:strike/>
                <w:sz w:val="20"/>
              </w:rPr>
            </w:pPr>
            <w:r w:rsidRPr="00B47CDE">
              <w:rPr>
                <w:rFonts w:ascii="Arial Narrow" w:hAnsi="Arial Narrow" w:cs="Arial"/>
                <w:bCs/>
                <w:strike/>
                <w:sz w:val="20"/>
              </w:rPr>
              <w:t>6.60%</w:t>
            </w:r>
          </w:p>
          <w:p w:rsidR="00004BD5" w:rsidRPr="005B7A5C" w:rsidRDefault="00004BD5" w:rsidP="00D2485E">
            <w:pPr>
              <w:jc w:val="center"/>
              <w:rPr>
                <w:rFonts w:ascii="Arial Narrow" w:hAnsi="Arial Narrow" w:cs="Arial"/>
                <w:bCs/>
                <w:sz w:val="20"/>
              </w:rPr>
            </w:pPr>
            <w:r w:rsidRPr="005B7A5C">
              <w:rPr>
                <w:rFonts w:ascii="Arial Narrow" w:hAnsi="Arial Narrow"/>
                <w:color w:val="FF0000"/>
                <w:sz w:val="20"/>
              </w:rPr>
              <w:t>(8.90%)</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3.47</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(1.36)</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22.29</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(10.47)</w:t>
            </w:r>
          </w:p>
        </w:tc>
      </w:tr>
      <w:tr w:rsidR="00004BD5" w:rsidRPr="005B7A5C" w:rsidTr="00D2485E">
        <w:tc>
          <w:tcPr>
            <w:tcW w:w="2016" w:type="dxa"/>
            <w:tcBorders>
              <w:bottom w:val="single" w:sz="4" w:space="0" w:color="auto"/>
            </w:tcBorders>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3DCRT</w:t>
            </w:r>
          </w:p>
        </w:tc>
        <w:tc>
          <w:tcPr>
            <w:tcW w:w="1728" w:type="dxa"/>
            <w:tcBorders>
              <w:bottom w:val="single" w:sz="4" w:space="0" w:color="auto"/>
            </w:tcBorders>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15.13%</w:t>
            </w:r>
          </w:p>
        </w:tc>
        <w:tc>
          <w:tcPr>
            <w:tcW w:w="1296" w:type="dxa"/>
            <w:tcBorders>
              <w:bottom w:val="single" w:sz="4" w:space="0" w:color="auto"/>
            </w:tcBorders>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6.62%</w:t>
            </w:r>
          </w:p>
        </w:tc>
        <w:tc>
          <w:tcPr>
            <w:tcW w:w="1296" w:type="dxa"/>
            <w:tcBorders>
              <w:bottom w:val="single" w:sz="4" w:space="0" w:color="auto"/>
            </w:tcBorders>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2.34%</w:t>
            </w:r>
          </w:p>
        </w:tc>
        <w:tc>
          <w:tcPr>
            <w:tcW w:w="1440" w:type="dxa"/>
            <w:tcBorders>
              <w:bottom w:val="single" w:sz="4" w:space="0" w:color="auto"/>
            </w:tcBorders>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35.33</w:t>
            </w:r>
          </w:p>
        </w:tc>
        <w:tc>
          <w:tcPr>
            <w:tcW w:w="1440" w:type="dxa"/>
            <w:tcBorders>
              <w:bottom w:val="single" w:sz="4" w:space="0" w:color="auto"/>
            </w:tcBorders>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198.2</w:t>
            </w:r>
          </w:p>
        </w:tc>
      </w:tr>
      <w:tr w:rsidR="00004BD5" w:rsidRPr="005B7A5C" w:rsidTr="00D2485E">
        <w:tc>
          <w:tcPr>
            <w:tcW w:w="2016" w:type="dxa"/>
            <w:tcBorders>
              <w:right w:val="nil"/>
            </w:tcBorders>
            <w:shd w:val="clear" w:color="auto" w:fill="D9D9D9"/>
          </w:tcPr>
          <w:p w:rsidR="00004BD5" w:rsidRPr="005B7A5C" w:rsidRDefault="00004BD5" w:rsidP="00D2485E">
            <w:pPr>
              <w:rPr>
                <w:rFonts w:ascii="Arial Narrow" w:hAnsi="Arial Narrow" w:cs="Arial"/>
                <w:b/>
                <w:bCs/>
                <w:sz w:val="20"/>
              </w:rPr>
            </w:pPr>
            <w:r w:rsidRPr="005B7A5C">
              <w:rPr>
                <w:rFonts w:ascii="Arial Narrow" w:hAnsi="Arial Narrow" w:cs="Arial"/>
                <w:b/>
                <w:bCs/>
                <w:sz w:val="20"/>
              </w:rPr>
              <w:t>Regional Recurrence</w:t>
            </w:r>
          </w:p>
        </w:tc>
        <w:tc>
          <w:tcPr>
            <w:tcW w:w="1728"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296"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296"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440"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440" w:type="dxa"/>
            <w:tcBorders>
              <w:lef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CyberKnife</w:t>
            </w:r>
          </w:p>
        </w:tc>
        <w:tc>
          <w:tcPr>
            <w:tcW w:w="1728"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1.51%</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(2.02%)</w:t>
            </w:r>
          </w:p>
        </w:tc>
        <w:tc>
          <w:tcPr>
            <w:tcW w:w="1296"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0.72%</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(1.17%)*</w:t>
            </w:r>
          </w:p>
        </w:tc>
        <w:tc>
          <w:tcPr>
            <w:tcW w:w="1296" w:type="dxa"/>
          </w:tcPr>
          <w:p w:rsidR="00004BD5" w:rsidRPr="00B47CDE" w:rsidRDefault="00004BD5" w:rsidP="00D2485E">
            <w:pPr>
              <w:jc w:val="center"/>
              <w:rPr>
                <w:rFonts w:ascii="Arial Narrow" w:hAnsi="Arial Narrow" w:cs="Arial"/>
                <w:bCs/>
                <w:strike/>
                <w:sz w:val="20"/>
              </w:rPr>
            </w:pPr>
            <w:r w:rsidRPr="00B47CDE">
              <w:rPr>
                <w:rFonts w:ascii="Arial Narrow" w:hAnsi="Arial Narrow" w:cs="Arial"/>
                <w:bCs/>
                <w:strike/>
                <w:sz w:val="20"/>
              </w:rPr>
              <w:t>0.51%</w:t>
            </w:r>
          </w:p>
          <w:p w:rsidR="00004BD5" w:rsidRPr="005B7A5C" w:rsidRDefault="00004BD5" w:rsidP="00D2485E">
            <w:pPr>
              <w:jc w:val="center"/>
              <w:rPr>
                <w:rFonts w:ascii="Arial Narrow" w:hAnsi="Arial Narrow" w:cs="Arial"/>
                <w:bCs/>
                <w:sz w:val="20"/>
              </w:rPr>
            </w:pPr>
            <w:r w:rsidRPr="005B7A5C">
              <w:rPr>
                <w:rFonts w:ascii="Arial Narrow" w:hAnsi="Arial Narrow"/>
                <w:color w:val="FF0000"/>
                <w:sz w:val="20"/>
              </w:rPr>
              <w:t>(0.67%)*</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8.62</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(8.89)</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562.2</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(431.1)</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IMRT</w:t>
            </w:r>
          </w:p>
        </w:tc>
        <w:tc>
          <w:tcPr>
            <w:tcW w:w="1728"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0.00%</w:t>
            </w:r>
          </w:p>
        </w:tc>
        <w:tc>
          <w:tcPr>
            <w:tcW w:w="1296"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NA</w:t>
            </w:r>
          </w:p>
        </w:tc>
        <w:tc>
          <w:tcPr>
            <w:tcW w:w="1296" w:type="dxa"/>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NA</w:t>
            </w:r>
          </w:p>
        </w:tc>
        <w:tc>
          <w:tcPr>
            <w:tcW w:w="1440"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NA</w:t>
            </w:r>
          </w:p>
        </w:tc>
        <w:tc>
          <w:tcPr>
            <w:tcW w:w="1440"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NA</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3DCRT</w:t>
            </w:r>
          </w:p>
        </w:tc>
        <w:tc>
          <w:tcPr>
            <w:tcW w:w="1728"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0.00%</w:t>
            </w:r>
          </w:p>
        </w:tc>
        <w:tc>
          <w:tcPr>
            <w:tcW w:w="1296"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NA</w:t>
            </w:r>
          </w:p>
        </w:tc>
        <w:tc>
          <w:tcPr>
            <w:tcW w:w="1296" w:type="dxa"/>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NA</w:t>
            </w:r>
          </w:p>
        </w:tc>
        <w:tc>
          <w:tcPr>
            <w:tcW w:w="1440"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NA</w:t>
            </w:r>
          </w:p>
        </w:tc>
        <w:tc>
          <w:tcPr>
            <w:tcW w:w="1440"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NA</w:t>
            </w:r>
          </w:p>
        </w:tc>
      </w:tr>
      <w:tr w:rsidR="00004BD5" w:rsidRPr="005B7A5C" w:rsidTr="00D2485E">
        <w:tc>
          <w:tcPr>
            <w:tcW w:w="2016" w:type="dxa"/>
            <w:tcBorders>
              <w:right w:val="nil"/>
            </w:tcBorders>
            <w:shd w:val="clear" w:color="auto" w:fill="D9D9D9"/>
          </w:tcPr>
          <w:p w:rsidR="00004BD5" w:rsidRPr="005B7A5C" w:rsidRDefault="00004BD5" w:rsidP="00D2485E">
            <w:pPr>
              <w:rPr>
                <w:rFonts w:ascii="Arial Narrow" w:hAnsi="Arial Narrow" w:cs="Arial"/>
                <w:b/>
                <w:bCs/>
                <w:sz w:val="20"/>
              </w:rPr>
            </w:pPr>
            <w:r w:rsidRPr="005B7A5C">
              <w:rPr>
                <w:rFonts w:ascii="Arial Narrow" w:hAnsi="Arial Narrow" w:cs="Arial"/>
                <w:b/>
                <w:bCs/>
                <w:sz w:val="20"/>
              </w:rPr>
              <w:t>Distant Recurrence</w:t>
            </w:r>
          </w:p>
        </w:tc>
        <w:tc>
          <w:tcPr>
            <w:tcW w:w="1728"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296"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296"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440"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440" w:type="dxa"/>
            <w:tcBorders>
              <w:lef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CyberKnife</w:t>
            </w:r>
          </w:p>
        </w:tc>
        <w:tc>
          <w:tcPr>
            <w:tcW w:w="1728"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5.24%</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(5.30%)</w:t>
            </w:r>
          </w:p>
        </w:tc>
        <w:tc>
          <w:tcPr>
            <w:tcW w:w="1296"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3.60%</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(5.09%)</w:t>
            </w:r>
          </w:p>
        </w:tc>
        <w:tc>
          <w:tcPr>
            <w:tcW w:w="1296" w:type="dxa"/>
          </w:tcPr>
          <w:p w:rsidR="00004BD5" w:rsidRPr="00B47CDE" w:rsidRDefault="00004BD5" w:rsidP="00D2485E">
            <w:pPr>
              <w:jc w:val="center"/>
              <w:rPr>
                <w:rFonts w:ascii="Arial Narrow" w:hAnsi="Arial Narrow" w:cs="Arial"/>
                <w:bCs/>
                <w:strike/>
                <w:sz w:val="20"/>
              </w:rPr>
            </w:pPr>
            <w:r w:rsidRPr="00B47CDE">
              <w:rPr>
                <w:rFonts w:ascii="Arial Narrow" w:hAnsi="Arial Narrow" w:cs="Arial"/>
                <w:bCs/>
                <w:strike/>
                <w:sz w:val="20"/>
              </w:rPr>
              <w:t>2.08%</w:t>
            </w:r>
          </w:p>
          <w:p w:rsidR="00004BD5" w:rsidRPr="005B7A5C" w:rsidRDefault="00004BD5" w:rsidP="00D2485E">
            <w:pPr>
              <w:jc w:val="center"/>
              <w:rPr>
                <w:rFonts w:ascii="Arial Narrow" w:hAnsi="Arial Narrow" w:cs="Arial"/>
                <w:bCs/>
                <w:sz w:val="20"/>
              </w:rPr>
            </w:pPr>
            <w:r w:rsidRPr="005B7A5C">
              <w:rPr>
                <w:rFonts w:ascii="Arial Narrow" w:hAnsi="Arial Narrow"/>
                <w:color w:val="FF0000"/>
                <w:sz w:val="20"/>
              </w:rPr>
              <w:t>(3.60%)</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5.96</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(2.00)</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107.8</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(35.70)</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IMRT</w:t>
            </w:r>
          </w:p>
        </w:tc>
        <w:tc>
          <w:tcPr>
            <w:tcW w:w="1728"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2.74%</w:t>
            </w:r>
          </w:p>
        </w:tc>
        <w:tc>
          <w:tcPr>
            <w:tcW w:w="1296"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1.88%**</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(2.63%</w:t>
            </w:r>
            <w:proofErr w:type="gramStart"/>
            <w:r w:rsidRPr="005B7A5C">
              <w:rPr>
                <w:rFonts w:ascii="Arial Narrow" w:hAnsi="Arial Narrow"/>
                <w:color w:val="FF0000"/>
                <w:sz w:val="20"/>
              </w:rPr>
              <w:t>)*</w:t>
            </w:r>
            <w:proofErr w:type="gramEnd"/>
            <w:r w:rsidRPr="005B7A5C">
              <w:rPr>
                <w:rFonts w:ascii="Arial Narrow" w:hAnsi="Arial Narrow"/>
                <w:color w:val="FF0000"/>
                <w:sz w:val="20"/>
              </w:rPr>
              <w:t>*</w:t>
            </w:r>
          </w:p>
        </w:tc>
        <w:tc>
          <w:tcPr>
            <w:tcW w:w="1296" w:type="dxa"/>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1.09%**</w:t>
            </w:r>
          </w:p>
          <w:p w:rsidR="00004BD5" w:rsidRPr="005B7A5C" w:rsidRDefault="00004BD5" w:rsidP="00D2485E">
            <w:pPr>
              <w:jc w:val="center"/>
              <w:rPr>
                <w:rFonts w:ascii="Arial Narrow" w:hAnsi="Arial Narrow" w:cs="Arial"/>
                <w:bCs/>
                <w:sz w:val="20"/>
              </w:rPr>
            </w:pPr>
            <w:r w:rsidRPr="005B7A5C">
              <w:rPr>
                <w:rFonts w:ascii="Arial Narrow" w:hAnsi="Arial Narrow"/>
                <w:color w:val="FF0000"/>
                <w:sz w:val="20"/>
              </w:rPr>
              <w:t>(1.33%</w:t>
            </w:r>
            <w:proofErr w:type="gramStart"/>
            <w:r w:rsidRPr="005B7A5C">
              <w:rPr>
                <w:rFonts w:ascii="Arial Narrow" w:hAnsi="Arial Narrow"/>
                <w:color w:val="FF0000"/>
                <w:sz w:val="20"/>
              </w:rPr>
              <w:t>)*</w:t>
            </w:r>
            <w:proofErr w:type="gramEnd"/>
            <w:r w:rsidRPr="005B7A5C">
              <w:rPr>
                <w:rFonts w:ascii="Arial Narrow" w:hAnsi="Arial Narrow"/>
                <w:color w:val="FF0000"/>
                <w:sz w:val="20"/>
              </w:rPr>
              <w:t>*</w:t>
            </w:r>
          </w:p>
        </w:tc>
        <w:tc>
          <w:tcPr>
            <w:tcW w:w="1440"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6.12</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(4.10)</w:t>
            </w:r>
          </w:p>
        </w:tc>
        <w:tc>
          <w:tcPr>
            <w:tcW w:w="1440"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217.2</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(145.6)</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3DCRT</w:t>
            </w:r>
          </w:p>
        </w:tc>
        <w:tc>
          <w:tcPr>
            <w:tcW w:w="1728"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12.89%</w:t>
            </w:r>
          </w:p>
        </w:tc>
        <w:tc>
          <w:tcPr>
            <w:tcW w:w="1296"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6.34%</w:t>
            </w:r>
          </w:p>
        </w:tc>
        <w:tc>
          <w:tcPr>
            <w:tcW w:w="1296" w:type="dxa"/>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2.83%</w:t>
            </w:r>
          </w:p>
        </w:tc>
        <w:tc>
          <w:tcPr>
            <w:tcW w:w="1440"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17.97</w:t>
            </w:r>
          </w:p>
        </w:tc>
        <w:tc>
          <w:tcPr>
            <w:tcW w:w="1440" w:type="dxa"/>
          </w:tcPr>
          <w:p w:rsidR="00004BD5" w:rsidRPr="005B7A5C" w:rsidRDefault="00004BD5" w:rsidP="00D2485E">
            <w:pPr>
              <w:jc w:val="center"/>
              <w:rPr>
                <w:rFonts w:ascii="Arial Narrow" w:hAnsi="Arial Narrow"/>
                <w:color w:val="000000"/>
                <w:sz w:val="20"/>
              </w:rPr>
            </w:pPr>
            <w:r w:rsidRPr="005B7A5C">
              <w:rPr>
                <w:rFonts w:ascii="Arial Narrow" w:hAnsi="Arial Narrow"/>
                <w:color w:val="000000"/>
                <w:sz w:val="20"/>
              </w:rPr>
              <w:t>121.3</w:t>
            </w:r>
          </w:p>
        </w:tc>
      </w:tr>
      <w:tr w:rsidR="00004BD5" w:rsidRPr="005B7A5C" w:rsidTr="00D2485E">
        <w:tc>
          <w:tcPr>
            <w:tcW w:w="2016" w:type="dxa"/>
            <w:tcBorders>
              <w:right w:val="nil"/>
            </w:tcBorders>
            <w:shd w:val="clear" w:color="auto" w:fill="D9D9D9"/>
          </w:tcPr>
          <w:p w:rsidR="00004BD5" w:rsidRPr="005B7A5C" w:rsidRDefault="00004BD5" w:rsidP="00D2485E">
            <w:pPr>
              <w:rPr>
                <w:rFonts w:ascii="Arial Narrow" w:hAnsi="Arial Narrow" w:cs="Arial"/>
                <w:b/>
                <w:bCs/>
                <w:sz w:val="20"/>
              </w:rPr>
            </w:pPr>
            <w:r w:rsidRPr="005B7A5C">
              <w:rPr>
                <w:rFonts w:ascii="Arial Narrow" w:hAnsi="Arial Narrow" w:cs="Arial"/>
                <w:b/>
                <w:bCs/>
                <w:sz w:val="20"/>
              </w:rPr>
              <w:t>Mortality</w:t>
            </w:r>
          </w:p>
        </w:tc>
        <w:tc>
          <w:tcPr>
            <w:tcW w:w="1728"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296"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296"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440" w:type="dxa"/>
            <w:tcBorders>
              <w:left w:val="nil"/>
              <w:righ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c>
          <w:tcPr>
            <w:tcW w:w="1440" w:type="dxa"/>
            <w:tcBorders>
              <w:left w:val="nil"/>
            </w:tcBorders>
            <w:shd w:val="clear" w:color="auto" w:fill="D9D9D9"/>
          </w:tcPr>
          <w:p w:rsidR="00004BD5" w:rsidRPr="005B7A5C" w:rsidRDefault="00004BD5" w:rsidP="00D2485E">
            <w:pPr>
              <w:jc w:val="center"/>
              <w:rPr>
                <w:rFonts w:ascii="Arial Narrow" w:hAnsi="Arial Narrow" w:cs="Arial"/>
                <w:bCs/>
                <w:sz w:val="20"/>
              </w:rPr>
            </w:pPr>
            <w:r w:rsidRPr="005B7A5C">
              <w:rPr>
                <w:rFonts w:ascii="Arial Narrow" w:hAnsi="Arial Narrow" w:cs="Arial"/>
                <w:bCs/>
                <w:sz w:val="20"/>
              </w:rPr>
              <w:t>-</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CyberKnife</w:t>
            </w:r>
          </w:p>
        </w:tc>
        <w:tc>
          <w:tcPr>
            <w:tcW w:w="1728"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13.63%</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(18.72%)</w:t>
            </w:r>
          </w:p>
        </w:tc>
        <w:tc>
          <w:tcPr>
            <w:tcW w:w="1296"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6.75%</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(4.50%)</w:t>
            </w:r>
          </w:p>
        </w:tc>
        <w:tc>
          <w:tcPr>
            <w:tcW w:w="1296" w:type="dxa"/>
          </w:tcPr>
          <w:p w:rsidR="00004BD5" w:rsidRPr="00B47CDE" w:rsidRDefault="00004BD5" w:rsidP="00D2485E">
            <w:pPr>
              <w:jc w:val="center"/>
              <w:rPr>
                <w:rFonts w:ascii="Arial Narrow" w:hAnsi="Arial Narrow" w:cs="Arial"/>
                <w:bCs/>
                <w:strike/>
                <w:sz w:val="20"/>
              </w:rPr>
            </w:pPr>
            <w:r w:rsidRPr="00B47CDE">
              <w:rPr>
                <w:rFonts w:ascii="Arial Narrow" w:hAnsi="Arial Narrow" w:cs="Arial"/>
                <w:bCs/>
                <w:strike/>
                <w:sz w:val="20"/>
              </w:rPr>
              <w:t>2.76%</w:t>
            </w:r>
          </w:p>
          <w:p w:rsidR="00004BD5" w:rsidRPr="005B7A5C" w:rsidRDefault="00004BD5" w:rsidP="00D2485E">
            <w:pPr>
              <w:jc w:val="center"/>
              <w:rPr>
                <w:rFonts w:ascii="Arial Narrow" w:hAnsi="Arial Narrow" w:cs="Arial"/>
                <w:bCs/>
                <w:sz w:val="20"/>
              </w:rPr>
            </w:pPr>
            <w:r w:rsidRPr="005B7A5C">
              <w:rPr>
                <w:rFonts w:ascii="Arial Narrow" w:hAnsi="Arial Narrow"/>
                <w:color w:val="FF0000"/>
                <w:sz w:val="20"/>
              </w:rPr>
              <w:t>(2.60%)</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20.98</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(42.01)</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133.0</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(182.4)</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IMRT</w:t>
            </w:r>
          </w:p>
        </w:tc>
        <w:tc>
          <w:tcPr>
            <w:tcW w:w="1728"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22.24%</w:t>
            </w:r>
          </w:p>
          <w:p w:rsidR="00004BD5" w:rsidRPr="005B7A5C" w:rsidRDefault="00004BD5" w:rsidP="00D2485E">
            <w:pPr>
              <w:jc w:val="center"/>
              <w:rPr>
                <w:rFonts w:ascii="Arial Narrow" w:hAnsi="Arial Narrow"/>
                <w:color w:val="FF0000"/>
                <w:sz w:val="20"/>
              </w:rPr>
            </w:pPr>
            <w:r w:rsidRPr="005B7A5C">
              <w:rPr>
                <w:rFonts w:ascii="Arial Narrow" w:hAnsi="Arial Narrow"/>
                <w:color w:val="FF0000"/>
                <w:sz w:val="20"/>
              </w:rPr>
              <w:t>(21.59%)</w:t>
            </w:r>
          </w:p>
        </w:tc>
        <w:tc>
          <w:tcPr>
            <w:tcW w:w="1296"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11.40%</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(13.86%)</w:t>
            </w:r>
          </w:p>
        </w:tc>
        <w:tc>
          <w:tcPr>
            <w:tcW w:w="1296" w:type="dxa"/>
          </w:tcPr>
          <w:p w:rsidR="00004BD5" w:rsidRPr="00B47CDE" w:rsidRDefault="00004BD5" w:rsidP="00D2485E">
            <w:pPr>
              <w:jc w:val="center"/>
              <w:rPr>
                <w:rFonts w:ascii="Arial Narrow" w:hAnsi="Arial Narrow" w:cs="Arial"/>
                <w:bCs/>
                <w:strike/>
                <w:sz w:val="20"/>
              </w:rPr>
            </w:pPr>
            <w:r w:rsidRPr="00B47CDE">
              <w:rPr>
                <w:rFonts w:ascii="Arial Narrow" w:hAnsi="Arial Narrow" w:cs="Arial"/>
                <w:bCs/>
                <w:strike/>
                <w:sz w:val="20"/>
              </w:rPr>
              <w:t>5.70%</w:t>
            </w:r>
          </w:p>
          <w:p w:rsidR="00004BD5" w:rsidRPr="005B7A5C" w:rsidRDefault="00004BD5" w:rsidP="00D2485E">
            <w:pPr>
              <w:jc w:val="center"/>
              <w:rPr>
                <w:rFonts w:ascii="Arial Narrow" w:hAnsi="Arial Narrow" w:cs="Arial"/>
                <w:bCs/>
                <w:sz w:val="20"/>
              </w:rPr>
            </w:pPr>
            <w:r w:rsidRPr="005B7A5C">
              <w:rPr>
                <w:rFonts w:ascii="Arial Narrow" w:hAnsi="Arial Narrow"/>
                <w:color w:val="FF0000"/>
                <w:sz w:val="20"/>
              </w:rPr>
              <w:t>(8.00%)</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11.63</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(5.49)</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40.64</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(19.93)</w:t>
            </w:r>
          </w:p>
        </w:tc>
      </w:tr>
      <w:tr w:rsidR="00004BD5" w:rsidRPr="005B7A5C" w:rsidTr="00D2485E">
        <w:tc>
          <w:tcPr>
            <w:tcW w:w="2016" w:type="dxa"/>
          </w:tcPr>
          <w:p w:rsidR="00004BD5" w:rsidRPr="005B7A5C" w:rsidRDefault="00004BD5" w:rsidP="00D2485E">
            <w:pPr>
              <w:rPr>
                <w:rFonts w:ascii="Arial Narrow" w:hAnsi="Arial Narrow"/>
                <w:color w:val="000000"/>
                <w:sz w:val="20"/>
              </w:rPr>
            </w:pPr>
            <w:r w:rsidRPr="005B7A5C">
              <w:rPr>
                <w:rFonts w:ascii="Arial Narrow" w:hAnsi="Arial Narrow"/>
                <w:color w:val="000000"/>
                <w:sz w:val="20"/>
              </w:rPr>
              <w:t>3DCRT</w:t>
            </w:r>
          </w:p>
        </w:tc>
        <w:tc>
          <w:tcPr>
            <w:tcW w:w="1728"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27.14%</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(27.11%)</w:t>
            </w:r>
          </w:p>
        </w:tc>
        <w:tc>
          <w:tcPr>
            <w:tcW w:w="1296"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5.68%</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(5.95%)</w:t>
            </w:r>
          </w:p>
        </w:tc>
        <w:tc>
          <w:tcPr>
            <w:tcW w:w="1296" w:type="dxa"/>
          </w:tcPr>
          <w:p w:rsidR="00004BD5" w:rsidRPr="00B47CDE" w:rsidRDefault="00004BD5" w:rsidP="00D2485E">
            <w:pPr>
              <w:jc w:val="center"/>
              <w:rPr>
                <w:rFonts w:ascii="Arial Narrow" w:hAnsi="Arial Narrow" w:cs="Arial"/>
                <w:bCs/>
                <w:strike/>
                <w:sz w:val="20"/>
              </w:rPr>
            </w:pPr>
            <w:r w:rsidRPr="00B47CDE">
              <w:rPr>
                <w:rFonts w:ascii="Arial Narrow" w:hAnsi="Arial Narrow" w:cs="Arial"/>
                <w:bCs/>
                <w:strike/>
                <w:sz w:val="20"/>
              </w:rPr>
              <w:t>1.64%</w:t>
            </w:r>
          </w:p>
          <w:p w:rsidR="00004BD5" w:rsidRPr="005B7A5C" w:rsidRDefault="00004BD5" w:rsidP="00D2485E">
            <w:pPr>
              <w:jc w:val="center"/>
              <w:rPr>
                <w:rFonts w:ascii="Arial Narrow" w:hAnsi="Arial Narrow" w:cs="Arial"/>
                <w:bCs/>
                <w:sz w:val="20"/>
              </w:rPr>
            </w:pPr>
            <w:r w:rsidRPr="005B7A5C">
              <w:rPr>
                <w:rFonts w:ascii="Arial Narrow" w:hAnsi="Arial Narrow"/>
                <w:color w:val="FF0000"/>
                <w:sz w:val="20"/>
              </w:rPr>
              <w:t>(1.80%)</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199.5</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(165.9)</w:t>
            </w:r>
          </w:p>
        </w:tc>
        <w:tc>
          <w:tcPr>
            <w:tcW w:w="1440" w:type="dxa"/>
          </w:tcPr>
          <w:p w:rsidR="00004BD5" w:rsidRPr="00B47CDE" w:rsidRDefault="00004BD5" w:rsidP="00D2485E">
            <w:pPr>
              <w:jc w:val="center"/>
              <w:rPr>
                <w:rFonts w:ascii="Arial Narrow" w:hAnsi="Arial Narrow"/>
                <w:strike/>
                <w:color w:val="000000"/>
                <w:sz w:val="20"/>
              </w:rPr>
            </w:pPr>
            <w:r w:rsidRPr="00B47CDE">
              <w:rPr>
                <w:rFonts w:ascii="Arial Narrow" w:hAnsi="Arial Narrow"/>
                <w:strike/>
                <w:color w:val="000000"/>
                <w:sz w:val="20"/>
              </w:rPr>
              <w:t>535.4</w:t>
            </w:r>
          </w:p>
          <w:p w:rsidR="00004BD5" w:rsidRPr="005B7A5C" w:rsidRDefault="00004BD5" w:rsidP="00D2485E">
            <w:pPr>
              <w:jc w:val="center"/>
              <w:rPr>
                <w:rFonts w:ascii="Arial Narrow" w:hAnsi="Arial Narrow"/>
                <w:color w:val="000000"/>
                <w:sz w:val="20"/>
              </w:rPr>
            </w:pPr>
            <w:r w:rsidRPr="005B7A5C">
              <w:rPr>
                <w:rFonts w:ascii="Arial Narrow" w:hAnsi="Arial Narrow"/>
                <w:color w:val="FF0000"/>
                <w:sz w:val="20"/>
              </w:rPr>
              <w:t>(446.1)</w:t>
            </w:r>
          </w:p>
        </w:tc>
      </w:tr>
    </w:tbl>
    <w:p w:rsidR="00004BD5" w:rsidRDefault="00004BD5" w:rsidP="00004BD5">
      <w:pPr>
        <w:tabs>
          <w:tab w:val="left" w:pos="720"/>
        </w:tabs>
        <w:rPr>
          <w:color w:val="FF0000"/>
        </w:rPr>
      </w:pPr>
    </w:p>
    <w:p w:rsidR="004220CB" w:rsidRDefault="00472407" w:rsidP="00472407">
      <w:r w:rsidRPr="00442588">
        <w:t xml:space="preserve">The </w:t>
      </w:r>
      <w:r>
        <w:t>s</w:t>
      </w:r>
      <w:r w:rsidRPr="00442588">
        <w:t xml:space="preserve">ubmission </w:t>
      </w:r>
      <w:r w:rsidR="004220CB">
        <w:t>claims that CyberKnife:</w:t>
      </w:r>
    </w:p>
    <w:p w:rsidR="004220CB" w:rsidRDefault="00472407" w:rsidP="004220CB">
      <w:pPr>
        <w:pStyle w:val="ListParagraph"/>
        <w:numPr>
          <w:ilvl w:val="0"/>
          <w:numId w:val="42"/>
        </w:numPr>
      </w:pPr>
      <w:r w:rsidRPr="00442588">
        <w:t>achieve</w:t>
      </w:r>
      <w:r w:rsidR="004220CB">
        <w:t>s</w:t>
      </w:r>
      <w:r w:rsidRPr="00442588">
        <w:t xml:space="preserve"> greater local control at 2-3 years follow-up compared to IMRT </w:t>
      </w:r>
      <w:r w:rsidR="004220CB">
        <w:t xml:space="preserve">or 3DCRT, </w:t>
      </w:r>
      <w:r w:rsidRPr="00442588">
        <w:t xml:space="preserve">and that similar differences </w:t>
      </w:r>
      <w:r>
        <w:t xml:space="preserve">are </w:t>
      </w:r>
      <w:r w:rsidRPr="00442588">
        <w:t>observable at 4.5-5 years follow-up</w:t>
      </w:r>
      <w:r w:rsidR="004220CB">
        <w:t>;</w:t>
      </w:r>
      <w:r w:rsidR="00AA61B7">
        <w:t xml:space="preserve"> and</w:t>
      </w:r>
    </w:p>
    <w:p w:rsidR="00472407" w:rsidRDefault="00472407" w:rsidP="004220CB">
      <w:pPr>
        <w:pStyle w:val="ListParagraph"/>
        <w:numPr>
          <w:ilvl w:val="0"/>
          <w:numId w:val="42"/>
        </w:numPr>
      </w:pPr>
      <w:proofErr w:type="gramStart"/>
      <w:r w:rsidRPr="00442588">
        <w:t>may</w:t>
      </w:r>
      <w:proofErr w:type="gramEnd"/>
      <w:r w:rsidRPr="00442588">
        <w:t xml:space="preserve"> perform </w:t>
      </w:r>
      <w:r w:rsidR="004220CB">
        <w:t>slight</w:t>
      </w:r>
      <w:r w:rsidRPr="00442588">
        <w:t xml:space="preserve">ly better </w:t>
      </w:r>
      <w:r>
        <w:t xml:space="preserve">in terms of overall survival </w:t>
      </w:r>
      <w:r w:rsidRPr="00442588">
        <w:t>than IMRT and substantially better than 3DCRT.</w:t>
      </w:r>
    </w:p>
    <w:p w:rsidR="004220CB" w:rsidRDefault="004220CB" w:rsidP="00472407"/>
    <w:p w:rsidR="00472407" w:rsidRPr="004220CB" w:rsidRDefault="004220CB" w:rsidP="00472407">
      <w:r>
        <w:lastRenderedPageBreak/>
        <w:t xml:space="preserve">However, MSAC </w:t>
      </w:r>
      <w:r w:rsidR="00D76462">
        <w:t>agreed there was</w:t>
      </w:r>
      <w:r>
        <w:t xml:space="preserve"> </w:t>
      </w:r>
      <w:r w:rsidR="00472407" w:rsidRPr="004220CB">
        <w:t xml:space="preserve">considerable variation in </w:t>
      </w:r>
      <w:r>
        <w:t>study outcomes</w:t>
      </w:r>
      <w:r w:rsidR="00472407" w:rsidRPr="004220CB">
        <w:t xml:space="preserve"> for each intervention, particularly for the outcome of overall survival</w:t>
      </w:r>
      <w:r w:rsidR="00D76462">
        <w:t>,</w:t>
      </w:r>
      <w:r>
        <w:t xml:space="preserve"> and was concerned about the reliance on single arm case studies.</w:t>
      </w:r>
      <w:r w:rsidR="00472407" w:rsidRPr="004220CB">
        <w:t xml:space="preserve"> </w:t>
      </w:r>
    </w:p>
    <w:p w:rsidR="00BC1364" w:rsidRPr="000F14B4" w:rsidRDefault="00BC1364" w:rsidP="00DD2858">
      <w:pPr>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4220CB" w:rsidRDefault="004220CB" w:rsidP="00D2485E">
      <w:pPr>
        <w:tabs>
          <w:tab w:val="left" w:pos="720"/>
          <w:tab w:val="left" w:pos="1140"/>
        </w:tabs>
        <w:rPr>
          <w:szCs w:val="24"/>
        </w:rPr>
      </w:pPr>
      <w:r>
        <w:rPr>
          <w:szCs w:val="24"/>
        </w:rPr>
        <w:t xml:space="preserve">During consideration of the submission in February 2015, </w:t>
      </w:r>
      <w:r w:rsidR="00D2485E">
        <w:rPr>
          <w:szCs w:val="24"/>
        </w:rPr>
        <w:t>ESC noted a range of issues with the transformation of clinical evidence into economic and financial models</w:t>
      </w:r>
      <w:r>
        <w:rPr>
          <w:szCs w:val="24"/>
        </w:rPr>
        <w:t xml:space="preserve"> such as:</w:t>
      </w:r>
    </w:p>
    <w:p w:rsidR="004220CB" w:rsidRDefault="004220CB" w:rsidP="00415CD9">
      <w:pPr>
        <w:pStyle w:val="ListParagraph"/>
        <w:numPr>
          <w:ilvl w:val="0"/>
          <w:numId w:val="43"/>
        </w:numPr>
        <w:tabs>
          <w:tab w:val="left" w:pos="720"/>
          <w:tab w:val="left" w:pos="1140"/>
        </w:tabs>
        <w:rPr>
          <w:szCs w:val="24"/>
        </w:rPr>
      </w:pPr>
      <w:r w:rsidRPr="004220CB">
        <w:rPr>
          <w:szCs w:val="24"/>
        </w:rPr>
        <w:t>use of annualised event rates based on different follow-up durations</w:t>
      </w:r>
      <w:r>
        <w:rPr>
          <w:szCs w:val="24"/>
        </w:rPr>
        <w:t>;</w:t>
      </w:r>
      <w:r w:rsidRPr="004220CB">
        <w:rPr>
          <w:szCs w:val="24"/>
        </w:rPr>
        <w:t xml:space="preserve"> and </w:t>
      </w:r>
    </w:p>
    <w:p w:rsidR="00D2485E" w:rsidRPr="004220CB" w:rsidRDefault="004220CB" w:rsidP="00415CD9">
      <w:pPr>
        <w:pStyle w:val="ListParagraph"/>
        <w:numPr>
          <w:ilvl w:val="0"/>
          <w:numId w:val="43"/>
        </w:numPr>
        <w:tabs>
          <w:tab w:val="left" w:pos="720"/>
          <w:tab w:val="left" w:pos="1140"/>
        </w:tabs>
        <w:rPr>
          <w:szCs w:val="24"/>
        </w:rPr>
      </w:pPr>
      <w:proofErr w:type="gramStart"/>
      <w:r w:rsidRPr="004220CB">
        <w:rPr>
          <w:szCs w:val="24"/>
        </w:rPr>
        <w:t>extrapolation</w:t>
      </w:r>
      <w:proofErr w:type="gramEnd"/>
      <w:r w:rsidRPr="004220CB">
        <w:rPr>
          <w:szCs w:val="24"/>
        </w:rPr>
        <w:t xml:space="preserve"> of clinical outcomes beyond the end of trial follow-up</w:t>
      </w:r>
      <w:r w:rsidR="006F3896">
        <w:rPr>
          <w:szCs w:val="24"/>
        </w:rPr>
        <w:t>.</w:t>
      </w:r>
    </w:p>
    <w:p w:rsidR="00D2485E" w:rsidRPr="002410A8" w:rsidRDefault="00D2485E" w:rsidP="00D2485E">
      <w:pPr>
        <w:tabs>
          <w:tab w:val="left" w:pos="720"/>
          <w:tab w:val="left" w:pos="1140"/>
        </w:tabs>
        <w:rPr>
          <w:szCs w:val="24"/>
        </w:rPr>
      </w:pPr>
    </w:p>
    <w:p w:rsidR="00D2485E" w:rsidRDefault="004220CB" w:rsidP="00D2485E">
      <w:r>
        <w:rPr>
          <w:szCs w:val="24"/>
        </w:rPr>
        <w:t>The applicant responded to these</w:t>
      </w:r>
      <w:r w:rsidR="00D2485E">
        <w:rPr>
          <w:szCs w:val="24"/>
        </w:rPr>
        <w:t xml:space="preserve"> concerns </w:t>
      </w:r>
      <w:r w:rsidR="00D825CF">
        <w:rPr>
          <w:szCs w:val="24"/>
        </w:rPr>
        <w:t xml:space="preserve">in </w:t>
      </w:r>
      <w:r w:rsidR="00D2485E">
        <w:rPr>
          <w:szCs w:val="24"/>
        </w:rPr>
        <w:t xml:space="preserve">the Formal Response </w:t>
      </w:r>
      <w:r w:rsidR="00D825CF">
        <w:rPr>
          <w:szCs w:val="24"/>
        </w:rPr>
        <w:t>by providing</w:t>
      </w:r>
      <w:r w:rsidR="00D2485E">
        <w:t xml:space="preserve"> additional deterministic and probabilistic sensitivity analyses</w:t>
      </w:r>
      <w:r w:rsidR="00D825CF">
        <w:t xml:space="preserve"> including</w:t>
      </w:r>
      <w:r w:rsidR="00D2485E">
        <w:t>:</w:t>
      </w:r>
    </w:p>
    <w:p w:rsidR="00D2485E" w:rsidRDefault="00D2485E" w:rsidP="00D2485E">
      <w:pPr>
        <w:pStyle w:val="ListParagraph"/>
        <w:numPr>
          <w:ilvl w:val="0"/>
          <w:numId w:val="27"/>
        </w:numPr>
      </w:pPr>
      <w:r>
        <w:t xml:space="preserve">Recalculating the local recurrence rate for CyberKnife using only the 2-year data; </w:t>
      </w:r>
    </w:p>
    <w:p w:rsidR="00D2485E" w:rsidRDefault="00D2485E" w:rsidP="00D2485E">
      <w:pPr>
        <w:pStyle w:val="ListParagraph"/>
        <w:numPr>
          <w:ilvl w:val="0"/>
          <w:numId w:val="27"/>
        </w:numPr>
      </w:pPr>
      <w:r>
        <w:t xml:space="preserve">Increasing </w:t>
      </w:r>
      <w:r w:rsidRPr="00635C84">
        <w:t>the maximum 10-year recurrence time horizon to 20 years</w:t>
      </w:r>
      <w:r>
        <w:t>;</w:t>
      </w:r>
    </w:p>
    <w:p w:rsidR="00D2485E" w:rsidRDefault="00D2485E" w:rsidP="00D2485E">
      <w:pPr>
        <w:pStyle w:val="ListParagraph"/>
        <w:numPr>
          <w:ilvl w:val="0"/>
          <w:numId w:val="27"/>
        </w:numPr>
      </w:pPr>
      <w:r w:rsidRPr="00635C84">
        <w:t>Increasing the maximum 10-year recurrence time horizon to 20 years</w:t>
      </w:r>
      <w:r>
        <w:t xml:space="preserve">, plus setting the recurrence </w:t>
      </w:r>
      <w:r w:rsidRPr="00635C84">
        <w:t>rate reduction beyond 5 years (base case = 75%) to 0% for all 3 modalities</w:t>
      </w:r>
      <w:r>
        <w:t>;</w:t>
      </w:r>
    </w:p>
    <w:p w:rsidR="00D2485E" w:rsidRDefault="00D2485E" w:rsidP="00D2485E">
      <w:pPr>
        <w:pStyle w:val="ListParagraph"/>
        <w:numPr>
          <w:ilvl w:val="0"/>
          <w:numId w:val="27"/>
        </w:numPr>
      </w:pPr>
      <w:r w:rsidRPr="00635C84">
        <w:t>Increasing the maximum 10-year recurrence time horizon to 20 years</w:t>
      </w:r>
      <w:r>
        <w:t xml:space="preserve">, </w:t>
      </w:r>
      <w:r w:rsidRPr="00635C84">
        <w:t xml:space="preserve">plus setting the </w:t>
      </w:r>
      <w:r>
        <w:t xml:space="preserve">recurrence </w:t>
      </w:r>
      <w:r w:rsidRPr="00635C84">
        <w:t xml:space="preserve">rate reduction beyond 5 years (base case = 75%) to 0% for </w:t>
      </w:r>
      <w:r>
        <w:t>CyberKnife only; and</w:t>
      </w:r>
    </w:p>
    <w:p w:rsidR="00D825CF" w:rsidRPr="00D825CF" w:rsidRDefault="00D2485E" w:rsidP="00D2485E">
      <w:pPr>
        <w:pStyle w:val="ListParagraph"/>
        <w:numPr>
          <w:ilvl w:val="0"/>
          <w:numId w:val="27"/>
        </w:numPr>
        <w:rPr>
          <w:szCs w:val="24"/>
        </w:rPr>
      </w:pPr>
      <w:r>
        <w:t>Increasing the standard errors for CyberKnife parameters by a factor of 3.</w:t>
      </w:r>
    </w:p>
    <w:p w:rsidR="00D825CF" w:rsidRDefault="00D825CF" w:rsidP="00D825CF"/>
    <w:p w:rsidR="00D2485E" w:rsidRPr="00D825CF" w:rsidRDefault="00AA61B7" w:rsidP="00D825CF">
      <w:pPr>
        <w:rPr>
          <w:szCs w:val="24"/>
        </w:rPr>
      </w:pPr>
      <w:r>
        <w:t>4</w:t>
      </w:r>
      <w:r w:rsidR="00D2485E">
        <w:t xml:space="preserve"> </w:t>
      </w:r>
      <w:r w:rsidR="00D2485E" w:rsidRPr="00D825CF">
        <w:rPr>
          <w:szCs w:val="24"/>
        </w:rPr>
        <w:t xml:space="preserve">and </w:t>
      </w:r>
      <w:r w:rsidR="00D2485E" w:rsidRPr="00D825CF">
        <w:rPr>
          <w:szCs w:val="24"/>
        </w:rPr>
        <w:fldChar w:fldCharType="begin"/>
      </w:r>
      <w:r w:rsidR="00D2485E" w:rsidRPr="00D825CF">
        <w:rPr>
          <w:szCs w:val="24"/>
        </w:rPr>
        <w:instrText xml:space="preserve"> REF _Ref431303920 \h </w:instrText>
      </w:r>
      <w:r w:rsidR="00D2485E" w:rsidRPr="00D825CF">
        <w:rPr>
          <w:szCs w:val="24"/>
        </w:rPr>
      </w:r>
      <w:r w:rsidR="00D2485E" w:rsidRPr="00D825CF">
        <w:rPr>
          <w:szCs w:val="24"/>
        </w:rPr>
        <w:fldChar w:fldCharType="separate"/>
      </w:r>
      <w:r w:rsidR="00C5742B">
        <w:t xml:space="preserve">Figure </w:t>
      </w:r>
      <w:r w:rsidR="00C5742B">
        <w:rPr>
          <w:noProof/>
        </w:rPr>
        <w:t>1</w:t>
      </w:r>
      <w:r w:rsidR="00D2485E" w:rsidRPr="00D825CF">
        <w:rPr>
          <w:szCs w:val="24"/>
        </w:rPr>
        <w:fldChar w:fldCharType="end"/>
      </w:r>
      <w:r w:rsidR="00D2485E" w:rsidRPr="00D825CF">
        <w:rPr>
          <w:szCs w:val="24"/>
        </w:rPr>
        <w:t xml:space="preserve"> show the results of these analyses from Section EEE of the Addendum. </w:t>
      </w:r>
    </w:p>
    <w:p w:rsidR="00D2485E" w:rsidRDefault="00D2485E">
      <w:pPr>
        <w:rPr>
          <w:rFonts w:ascii="Arial Narrow" w:eastAsiaTheme="minorHAnsi" w:hAnsi="Arial Narrow" w:cstheme="minorBidi"/>
          <w:b/>
          <w:iCs/>
          <w:sz w:val="20"/>
          <w:szCs w:val="18"/>
          <w:lang w:eastAsia="en-US"/>
        </w:rPr>
      </w:pPr>
    </w:p>
    <w:p w:rsidR="00D2485E" w:rsidRPr="00D2485E" w:rsidRDefault="00D2485E" w:rsidP="00D2485E">
      <w:pPr>
        <w:pStyle w:val="Caption"/>
        <w:ind w:hanging="1741"/>
        <w:rPr>
          <w:szCs w:val="20"/>
        </w:rPr>
      </w:pPr>
      <w:bookmarkStart w:id="8" w:name="_Ref431303741"/>
      <w:bookmarkStart w:id="9" w:name="Table3"/>
      <w:r w:rsidRPr="00D2485E">
        <w:rPr>
          <w:szCs w:val="20"/>
        </w:rPr>
        <w:t xml:space="preserve">Table </w:t>
      </w:r>
      <w:bookmarkEnd w:id="8"/>
      <w:r w:rsidR="00AA61B7">
        <w:rPr>
          <w:szCs w:val="20"/>
        </w:rPr>
        <w:t>4</w:t>
      </w:r>
      <w:r w:rsidRPr="00D2485E">
        <w:rPr>
          <w:szCs w:val="20"/>
        </w:rPr>
        <w:t>: Additional Deterministic Sensitivity Analysis Scenarios and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42"/>
        <w:gridCol w:w="850"/>
        <w:gridCol w:w="709"/>
        <w:gridCol w:w="142"/>
        <w:gridCol w:w="709"/>
        <w:gridCol w:w="141"/>
        <w:gridCol w:w="993"/>
        <w:gridCol w:w="708"/>
        <w:gridCol w:w="142"/>
        <w:gridCol w:w="632"/>
        <w:gridCol w:w="77"/>
        <w:gridCol w:w="1086"/>
        <w:gridCol w:w="140"/>
        <w:gridCol w:w="1387"/>
      </w:tblGrid>
      <w:tr w:rsidR="00D2485E" w:rsidRPr="00D825CF" w:rsidTr="00D825CF">
        <w:trPr>
          <w:trHeight w:val="240"/>
          <w:tblHeader/>
        </w:trPr>
        <w:tc>
          <w:tcPr>
            <w:tcW w:w="1384" w:type="dxa"/>
            <w:tcBorders>
              <w:top w:val="single" w:sz="18" w:space="0" w:color="9BBB59"/>
              <w:left w:val="nil"/>
              <w:bottom w:val="nil"/>
              <w:right w:val="nil"/>
            </w:tcBorders>
            <w:shd w:val="clear" w:color="auto" w:fill="595959"/>
          </w:tcPr>
          <w:bookmarkEnd w:id="9"/>
          <w:p w:rsidR="00D2485E" w:rsidRPr="00D825CF" w:rsidRDefault="00D2485E" w:rsidP="00D2485E">
            <w:pPr>
              <w:keepNext/>
              <w:rPr>
                <w:rFonts w:ascii="Arial Narrow" w:hAnsi="Arial Narrow" w:cs="Arial"/>
                <w:bCs/>
                <w:color w:val="FFFFFF"/>
                <w:sz w:val="20"/>
              </w:rPr>
            </w:pPr>
            <w:r w:rsidRPr="00D825CF">
              <w:rPr>
                <w:rFonts w:ascii="Arial Narrow" w:hAnsi="Arial Narrow" w:cs="Arial"/>
                <w:bCs/>
                <w:color w:val="FFFFFF"/>
                <w:sz w:val="20"/>
              </w:rPr>
              <w:t>Parameter of Interest (Base Case Value) and Change from Base Case</w:t>
            </w:r>
          </w:p>
        </w:tc>
        <w:tc>
          <w:tcPr>
            <w:tcW w:w="2552" w:type="dxa"/>
            <w:gridSpan w:val="5"/>
            <w:tcBorders>
              <w:top w:val="single" w:sz="18" w:space="0" w:color="9BBB59"/>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Total Costs</w:t>
            </w:r>
          </w:p>
        </w:tc>
        <w:tc>
          <w:tcPr>
            <w:tcW w:w="2693" w:type="dxa"/>
            <w:gridSpan w:val="6"/>
            <w:tcBorders>
              <w:top w:val="single" w:sz="18" w:space="0" w:color="9BBB59"/>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Total QALYs</w:t>
            </w:r>
          </w:p>
        </w:tc>
        <w:tc>
          <w:tcPr>
            <w:tcW w:w="1086" w:type="dxa"/>
            <w:tcBorders>
              <w:top w:val="single" w:sz="18" w:space="0" w:color="9BBB59"/>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CE Ratio 1</w:t>
            </w:r>
          </w:p>
        </w:tc>
        <w:tc>
          <w:tcPr>
            <w:tcW w:w="1527" w:type="dxa"/>
            <w:gridSpan w:val="2"/>
            <w:tcBorders>
              <w:top w:val="single" w:sz="18" w:space="0" w:color="9BBB59"/>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CE Ratio 2</w:t>
            </w:r>
          </w:p>
        </w:tc>
      </w:tr>
      <w:tr w:rsidR="00D2485E" w:rsidRPr="00D825CF" w:rsidTr="00D825CF">
        <w:trPr>
          <w:trHeight w:val="145"/>
          <w:tblHeader/>
        </w:trPr>
        <w:tc>
          <w:tcPr>
            <w:tcW w:w="1384" w:type="dxa"/>
            <w:tcBorders>
              <w:top w:val="nil"/>
              <w:left w:val="nil"/>
              <w:bottom w:val="nil"/>
              <w:right w:val="nil"/>
            </w:tcBorders>
            <w:shd w:val="clear" w:color="auto" w:fill="595959"/>
          </w:tcPr>
          <w:p w:rsidR="00D2485E" w:rsidRPr="00D825CF" w:rsidRDefault="00D2485E" w:rsidP="00D2485E">
            <w:pPr>
              <w:keepNext/>
              <w:rPr>
                <w:rFonts w:ascii="Arial Narrow" w:hAnsi="Arial Narrow" w:cs="Arial"/>
                <w:bCs/>
                <w:color w:val="FFFFFF"/>
                <w:sz w:val="20"/>
              </w:rPr>
            </w:pPr>
            <w:r w:rsidRPr="00D825CF">
              <w:rPr>
                <w:rFonts w:ascii="Arial Narrow" w:hAnsi="Arial Narrow" w:cs="Arial"/>
                <w:bCs/>
                <w:color w:val="FFFFFF"/>
                <w:sz w:val="20"/>
              </w:rPr>
              <w:t>-</w:t>
            </w:r>
          </w:p>
        </w:tc>
        <w:tc>
          <w:tcPr>
            <w:tcW w:w="992" w:type="dxa"/>
            <w:gridSpan w:val="2"/>
            <w:tcBorders>
              <w:top w:val="nil"/>
              <w:left w:val="nil"/>
              <w:bottom w:val="nil"/>
              <w:right w:val="nil"/>
            </w:tcBorders>
            <w:shd w:val="clear" w:color="auto" w:fill="595959"/>
          </w:tcPr>
          <w:p w:rsidR="00D2485E" w:rsidRPr="00D825CF" w:rsidRDefault="00D2485E" w:rsidP="00D825CF">
            <w:pPr>
              <w:keepNext/>
              <w:ind w:left="-108"/>
              <w:jc w:val="center"/>
              <w:rPr>
                <w:rFonts w:ascii="Arial Narrow" w:hAnsi="Arial Narrow" w:cs="Arial"/>
                <w:bCs/>
                <w:color w:val="FFFFFF"/>
                <w:sz w:val="20"/>
              </w:rPr>
            </w:pPr>
            <w:r w:rsidRPr="00D825CF">
              <w:rPr>
                <w:rFonts w:ascii="Arial Narrow" w:hAnsi="Arial Narrow" w:cs="Arial"/>
                <w:bCs/>
                <w:color w:val="FFFFFF"/>
                <w:sz w:val="20"/>
              </w:rPr>
              <w:t>Cyber-Knife</w:t>
            </w:r>
          </w:p>
        </w:tc>
        <w:tc>
          <w:tcPr>
            <w:tcW w:w="709" w:type="dxa"/>
            <w:tcBorders>
              <w:top w:val="nil"/>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IMRT</w:t>
            </w:r>
          </w:p>
        </w:tc>
        <w:tc>
          <w:tcPr>
            <w:tcW w:w="851" w:type="dxa"/>
            <w:gridSpan w:val="2"/>
            <w:tcBorders>
              <w:top w:val="nil"/>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3DCRT</w:t>
            </w:r>
          </w:p>
        </w:tc>
        <w:tc>
          <w:tcPr>
            <w:tcW w:w="1134" w:type="dxa"/>
            <w:gridSpan w:val="2"/>
            <w:tcBorders>
              <w:top w:val="nil"/>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CyberKnife</w:t>
            </w:r>
          </w:p>
        </w:tc>
        <w:tc>
          <w:tcPr>
            <w:tcW w:w="708" w:type="dxa"/>
            <w:tcBorders>
              <w:top w:val="nil"/>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IMRT</w:t>
            </w:r>
          </w:p>
        </w:tc>
        <w:tc>
          <w:tcPr>
            <w:tcW w:w="851" w:type="dxa"/>
            <w:gridSpan w:val="3"/>
            <w:tcBorders>
              <w:top w:val="nil"/>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3DCRT</w:t>
            </w:r>
          </w:p>
        </w:tc>
        <w:tc>
          <w:tcPr>
            <w:tcW w:w="1086" w:type="dxa"/>
            <w:tcBorders>
              <w:top w:val="nil"/>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w:t>
            </w:r>
          </w:p>
        </w:tc>
        <w:tc>
          <w:tcPr>
            <w:tcW w:w="1527" w:type="dxa"/>
            <w:gridSpan w:val="2"/>
            <w:tcBorders>
              <w:top w:val="nil"/>
              <w:left w:val="nil"/>
              <w:bottom w:val="nil"/>
              <w:right w:val="nil"/>
            </w:tcBorders>
            <w:shd w:val="clear" w:color="auto" w:fill="595959"/>
          </w:tcPr>
          <w:p w:rsidR="00D2485E" w:rsidRPr="00D825CF" w:rsidRDefault="00D2485E" w:rsidP="00D2485E">
            <w:pPr>
              <w:keepNext/>
              <w:jc w:val="center"/>
              <w:rPr>
                <w:rFonts w:ascii="Arial Narrow" w:hAnsi="Arial Narrow" w:cs="Arial"/>
                <w:bCs/>
                <w:color w:val="FFFFFF"/>
                <w:sz w:val="20"/>
              </w:rPr>
            </w:pPr>
            <w:r w:rsidRPr="00D825CF">
              <w:rPr>
                <w:rFonts w:ascii="Arial Narrow" w:hAnsi="Arial Narrow" w:cs="Arial"/>
                <w:bCs/>
                <w:color w:val="FFFFFF"/>
                <w:sz w:val="20"/>
              </w:rPr>
              <w:t>-</w:t>
            </w:r>
          </w:p>
        </w:tc>
      </w:tr>
      <w:tr w:rsidR="00D2485E" w:rsidRPr="00D825CF" w:rsidTr="00D825CF">
        <w:trPr>
          <w:trHeight w:val="190"/>
          <w:tblHeader/>
        </w:trPr>
        <w:tc>
          <w:tcPr>
            <w:tcW w:w="1526" w:type="dxa"/>
            <w:gridSpan w:val="2"/>
            <w:tcBorders>
              <w:top w:val="single" w:sz="18" w:space="0" w:color="9BBB59"/>
              <w:left w:val="nil"/>
              <w:bottom w:val="dotted" w:sz="4" w:space="0" w:color="auto"/>
              <w:right w:val="nil"/>
            </w:tcBorders>
            <w:shd w:val="clear" w:color="auto" w:fill="EAF1DD"/>
          </w:tcPr>
          <w:p w:rsidR="00D2485E" w:rsidRPr="00D825CF" w:rsidRDefault="00D2485E" w:rsidP="00D2485E">
            <w:pPr>
              <w:tabs>
                <w:tab w:val="left" w:pos="967"/>
              </w:tabs>
              <w:rPr>
                <w:rFonts w:ascii="Arial Narrow" w:hAnsi="Arial Narrow"/>
                <w:b/>
                <w:color w:val="000000"/>
                <w:sz w:val="20"/>
              </w:rPr>
            </w:pPr>
            <w:r w:rsidRPr="00D825CF">
              <w:rPr>
                <w:rFonts w:ascii="Arial Narrow" w:hAnsi="Arial Narrow"/>
                <w:b/>
                <w:color w:val="000000"/>
                <w:sz w:val="20"/>
              </w:rPr>
              <w:t xml:space="preserve">BASE CASE RESULTS </w:t>
            </w:r>
          </w:p>
          <w:p w:rsidR="00D2485E" w:rsidRPr="00D825CF" w:rsidRDefault="00D2485E" w:rsidP="00D2485E">
            <w:pPr>
              <w:tabs>
                <w:tab w:val="left" w:pos="967"/>
              </w:tabs>
              <w:rPr>
                <w:rFonts w:ascii="Arial Narrow" w:hAnsi="Arial Narrow"/>
                <w:b/>
                <w:color w:val="000000"/>
                <w:sz w:val="20"/>
              </w:rPr>
            </w:pPr>
          </w:p>
        </w:tc>
        <w:tc>
          <w:tcPr>
            <w:tcW w:w="850" w:type="dxa"/>
            <w:tcBorders>
              <w:top w:val="single" w:sz="18" w:space="0" w:color="9BBB59"/>
              <w:left w:val="nil"/>
              <w:bottom w:val="dotted" w:sz="4" w:space="0" w:color="auto"/>
              <w:right w:val="nil"/>
            </w:tcBorders>
            <w:shd w:val="clear" w:color="auto" w:fill="EAF1DD"/>
          </w:tcPr>
          <w:p w:rsidR="00D2485E" w:rsidRPr="00D825CF" w:rsidRDefault="00D2485E" w:rsidP="00D2485E">
            <w:pPr>
              <w:jc w:val="center"/>
              <w:rPr>
                <w:rFonts w:ascii="Arial Narrow" w:hAnsi="Arial Narrow"/>
                <w:b/>
                <w:bCs/>
                <w:color w:val="000000"/>
                <w:sz w:val="20"/>
              </w:rPr>
            </w:pPr>
            <w:r w:rsidRPr="00D825CF">
              <w:rPr>
                <w:rFonts w:ascii="Arial Narrow" w:hAnsi="Arial Narrow"/>
                <w:b/>
                <w:bCs/>
                <w:color w:val="000000"/>
                <w:sz w:val="20"/>
              </w:rPr>
              <w:t>$27,536</w:t>
            </w:r>
          </w:p>
        </w:tc>
        <w:tc>
          <w:tcPr>
            <w:tcW w:w="851" w:type="dxa"/>
            <w:gridSpan w:val="2"/>
            <w:tcBorders>
              <w:top w:val="single" w:sz="18" w:space="0" w:color="9BBB59"/>
              <w:left w:val="nil"/>
              <w:bottom w:val="dotted" w:sz="4" w:space="0" w:color="auto"/>
              <w:right w:val="nil"/>
            </w:tcBorders>
            <w:shd w:val="clear" w:color="auto" w:fill="EAF1DD"/>
          </w:tcPr>
          <w:p w:rsidR="00D2485E" w:rsidRPr="00D825CF" w:rsidRDefault="00D2485E" w:rsidP="00D2485E">
            <w:pPr>
              <w:jc w:val="center"/>
              <w:rPr>
                <w:rFonts w:ascii="Arial Narrow" w:hAnsi="Arial Narrow"/>
                <w:b/>
                <w:bCs/>
                <w:color w:val="000000"/>
                <w:sz w:val="20"/>
              </w:rPr>
            </w:pPr>
            <w:r w:rsidRPr="00D825CF">
              <w:rPr>
                <w:rFonts w:ascii="Arial Narrow" w:hAnsi="Arial Narrow"/>
                <w:b/>
                <w:bCs/>
                <w:color w:val="000000"/>
                <w:sz w:val="20"/>
              </w:rPr>
              <w:t>$30,687</w:t>
            </w:r>
          </w:p>
        </w:tc>
        <w:tc>
          <w:tcPr>
            <w:tcW w:w="850" w:type="dxa"/>
            <w:gridSpan w:val="2"/>
            <w:tcBorders>
              <w:top w:val="single" w:sz="18" w:space="0" w:color="9BBB59"/>
              <w:left w:val="nil"/>
              <w:bottom w:val="dotted" w:sz="4" w:space="0" w:color="auto"/>
              <w:right w:val="nil"/>
            </w:tcBorders>
            <w:shd w:val="clear" w:color="auto" w:fill="EAF1DD"/>
          </w:tcPr>
          <w:p w:rsidR="00D2485E" w:rsidRPr="00D825CF" w:rsidRDefault="00D2485E" w:rsidP="00D2485E">
            <w:pPr>
              <w:jc w:val="center"/>
              <w:rPr>
                <w:rFonts w:ascii="Arial Narrow" w:hAnsi="Arial Narrow"/>
                <w:b/>
                <w:bCs/>
                <w:color w:val="000000"/>
                <w:sz w:val="20"/>
              </w:rPr>
            </w:pPr>
            <w:r w:rsidRPr="00D825CF">
              <w:rPr>
                <w:rFonts w:ascii="Arial Narrow" w:hAnsi="Arial Narrow"/>
                <w:b/>
                <w:bCs/>
                <w:color w:val="000000"/>
                <w:sz w:val="20"/>
              </w:rPr>
              <w:t>$35,258</w:t>
            </w:r>
          </w:p>
        </w:tc>
        <w:tc>
          <w:tcPr>
            <w:tcW w:w="993" w:type="dxa"/>
            <w:tcBorders>
              <w:top w:val="single" w:sz="18" w:space="0" w:color="9BBB59"/>
              <w:left w:val="nil"/>
              <w:bottom w:val="dotted" w:sz="4" w:space="0" w:color="auto"/>
              <w:right w:val="nil"/>
            </w:tcBorders>
            <w:shd w:val="clear" w:color="auto" w:fill="EAF1DD"/>
          </w:tcPr>
          <w:p w:rsidR="00D2485E" w:rsidRPr="00D825CF" w:rsidRDefault="00D2485E" w:rsidP="00D2485E">
            <w:pPr>
              <w:jc w:val="center"/>
              <w:rPr>
                <w:rFonts w:ascii="Arial Narrow" w:hAnsi="Arial Narrow"/>
                <w:b/>
                <w:bCs/>
                <w:color w:val="000000"/>
                <w:sz w:val="20"/>
              </w:rPr>
            </w:pPr>
            <w:r w:rsidRPr="00D825CF">
              <w:rPr>
                <w:rFonts w:ascii="Arial Narrow" w:hAnsi="Arial Narrow"/>
                <w:b/>
                <w:bCs/>
                <w:color w:val="000000"/>
                <w:sz w:val="20"/>
              </w:rPr>
              <w:t>4.333</w:t>
            </w:r>
          </w:p>
        </w:tc>
        <w:tc>
          <w:tcPr>
            <w:tcW w:w="850" w:type="dxa"/>
            <w:gridSpan w:val="2"/>
            <w:tcBorders>
              <w:top w:val="single" w:sz="18" w:space="0" w:color="9BBB59"/>
              <w:left w:val="nil"/>
              <w:bottom w:val="dotted" w:sz="4" w:space="0" w:color="auto"/>
              <w:right w:val="nil"/>
            </w:tcBorders>
            <w:shd w:val="clear" w:color="auto" w:fill="EAF1DD"/>
          </w:tcPr>
          <w:p w:rsidR="00D2485E" w:rsidRPr="00D825CF" w:rsidRDefault="00D2485E" w:rsidP="00D2485E">
            <w:pPr>
              <w:jc w:val="center"/>
              <w:rPr>
                <w:rFonts w:ascii="Arial Narrow" w:hAnsi="Arial Narrow"/>
                <w:b/>
                <w:bCs/>
                <w:color w:val="000000"/>
                <w:sz w:val="20"/>
              </w:rPr>
            </w:pPr>
            <w:r w:rsidRPr="00D825CF">
              <w:rPr>
                <w:rFonts w:ascii="Arial Narrow" w:hAnsi="Arial Narrow"/>
                <w:b/>
                <w:bCs/>
                <w:color w:val="000000"/>
                <w:sz w:val="20"/>
              </w:rPr>
              <w:t>4.070</w:t>
            </w:r>
          </w:p>
        </w:tc>
        <w:tc>
          <w:tcPr>
            <w:tcW w:w="632" w:type="dxa"/>
            <w:tcBorders>
              <w:top w:val="single" w:sz="18" w:space="0" w:color="9BBB59"/>
              <w:left w:val="nil"/>
              <w:bottom w:val="dotted" w:sz="4" w:space="0" w:color="auto"/>
              <w:right w:val="nil"/>
            </w:tcBorders>
            <w:shd w:val="clear" w:color="auto" w:fill="EAF1DD"/>
          </w:tcPr>
          <w:p w:rsidR="00D2485E" w:rsidRPr="00D825CF" w:rsidRDefault="00D2485E" w:rsidP="00D2485E">
            <w:pPr>
              <w:jc w:val="center"/>
              <w:rPr>
                <w:rFonts w:ascii="Arial Narrow" w:hAnsi="Arial Narrow"/>
                <w:b/>
                <w:bCs/>
                <w:color w:val="000000"/>
                <w:sz w:val="20"/>
              </w:rPr>
            </w:pPr>
            <w:r w:rsidRPr="00D825CF">
              <w:rPr>
                <w:rFonts w:ascii="Arial Narrow" w:hAnsi="Arial Narrow"/>
                <w:b/>
                <w:bCs/>
                <w:color w:val="000000"/>
                <w:sz w:val="20"/>
              </w:rPr>
              <w:t>2.653</w:t>
            </w:r>
          </w:p>
        </w:tc>
        <w:tc>
          <w:tcPr>
            <w:tcW w:w="1303" w:type="dxa"/>
            <w:gridSpan w:val="3"/>
            <w:tcBorders>
              <w:top w:val="single" w:sz="18" w:space="0" w:color="9BBB59"/>
              <w:left w:val="nil"/>
              <w:bottom w:val="dotted" w:sz="4" w:space="0" w:color="auto"/>
              <w:right w:val="nil"/>
            </w:tcBorders>
            <w:shd w:val="clear" w:color="auto" w:fill="EAF1DD"/>
          </w:tcPr>
          <w:p w:rsidR="00D2485E" w:rsidRPr="00D825CF" w:rsidRDefault="00D2485E" w:rsidP="00D2485E">
            <w:pPr>
              <w:jc w:val="center"/>
              <w:rPr>
                <w:rFonts w:ascii="Arial Narrow" w:hAnsi="Arial Narrow"/>
                <w:b/>
                <w:bCs/>
                <w:color w:val="000000"/>
                <w:sz w:val="20"/>
              </w:rPr>
            </w:pPr>
            <w:r w:rsidRPr="00D825CF">
              <w:rPr>
                <w:rFonts w:ascii="Arial Narrow" w:hAnsi="Arial Narrow"/>
                <w:b/>
                <w:bCs/>
                <w:color w:val="000000"/>
                <w:sz w:val="20"/>
              </w:rPr>
              <w:t>CK Dominates*</w:t>
            </w:r>
          </w:p>
        </w:tc>
        <w:tc>
          <w:tcPr>
            <w:tcW w:w="1387" w:type="dxa"/>
            <w:tcBorders>
              <w:top w:val="single" w:sz="18" w:space="0" w:color="9BBB59"/>
              <w:left w:val="nil"/>
              <w:bottom w:val="dotted" w:sz="4" w:space="0" w:color="auto"/>
              <w:right w:val="nil"/>
            </w:tcBorders>
            <w:shd w:val="clear" w:color="auto" w:fill="EAF1DD"/>
          </w:tcPr>
          <w:p w:rsidR="00D2485E" w:rsidRPr="00D825CF" w:rsidRDefault="00D2485E" w:rsidP="00D2485E">
            <w:pPr>
              <w:jc w:val="center"/>
              <w:rPr>
                <w:rFonts w:ascii="Arial Narrow" w:hAnsi="Arial Narrow"/>
                <w:b/>
                <w:bCs/>
                <w:color w:val="000000"/>
                <w:sz w:val="20"/>
              </w:rPr>
            </w:pPr>
            <w:r w:rsidRPr="00D825CF">
              <w:rPr>
                <w:rFonts w:ascii="Arial Narrow" w:hAnsi="Arial Narrow"/>
                <w:b/>
                <w:bCs/>
                <w:color w:val="000000"/>
                <w:sz w:val="20"/>
              </w:rPr>
              <w:t>CK Dominates†</w:t>
            </w:r>
          </w:p>
        </w:tc>
      </w:tr>
      <w:tr w:rsidR="00D2485E" w:rsidRPr="00D825CF" w:rsidTr="00D825CF">
        <w:trPr>
          <w:trHeight w:val="190"/>
        </w:trPr>
        <w:tc>
          <w:tcPr>
            <w:tcW w:w="1526" w:type="dxa"/>
            <w:gridSpan w:val="2"/>
            <w:tcBorders>
              <w:top w:val="dotted" w:sz="4" w:space="0" w:color="auto"/>
              <w:left w:val="nil"/>
              <w:bottom w:val="nil"/>
              <w:right w:val="nil"/>
            </w:tcBorders>
          </w:tcPr>
          <w:p w:rsidR="00D2485E" w:rsidRPr="00D825CF" w:rsidRDefault="00D2485E" w:rsidP="00D2485E">
            <w:pPr>
              <w:rPr>
                <w:rFonts w:ascii="Arial Narrow" w:hAnsi="Arial Narrow"/>
                <w:b/>
                <w:color w:val="000000"/>
                <w:sz w:val="20"/>
              </w:rPr>
            </w:pPr>
            <w:r w:rsidRPr="00D825CF">
              <w:rPr>
                <w:rFonts w:ascii="Arial Narrow" w:hAnsi="Arial Narrow"/>
                <w:b/>
                <w:color w:val="000000"/>
                <w:sz w:val="20"/>
              </w:rPr>
              <w:t>RECCURENCE CALCULATION</w:t>
            </w:r>
          </w:p>
        </w:tc>
        <w:tc>
          <w:tcPr>
            <w:tcW w:w="850" w:type="dxa"/>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851" w:type="dxa"/>
            <w:gridSpan w:val="2"/>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850" w:type="dxa"/>
            <w:gridSpan w:val="2"/>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993" w:type="dxa"/>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850" w:type="dxa"/>
            <w:gridSpan w:val="2"/>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632" w:type="dxa"/>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1303" w:type="dxa"/>
            <w:gridSpan w:val="3"/>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1387" w:type="dxa"/>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r>
      <w:tr w:rsidR="00D2485E" w:rsidRPr="00D825CF" w:rsidTr="00D825CF">
        <w:trPr>
          <w:trHeight w:val="190"/>
        </w:trPr>
        <w:tc>
          <w:tcPr>
            <w:tcW w:w="1526" w:type="dxa"/>
            <w:gridSpan w:val="2"/>
            <w:tcBorders>
              <w:top w:val="nil"/>
              <w:left w:val="nil"/>
              <w:bottom w:val="dotted" w:sz="4" w:space="0" w:color="auto"/>
              <w:right w:val="nil"/>
            </w:tcBorders>
          </w:tcPr>
          <w:p w:rsidR="00D2485E" w:rsidRPr="00D825CF" w:rsidRDefault="00D2485E" w:rsidP="00D2485E">
            <w:pPr>
              <w:rPr>
                <w:rFonts w:ascii="Arial Narrow" w:hAnsi="Arial Narrow"/>
                <w:color w:val="000000"/>
                <w:sz w:val="20"/>
              </w:rPr>
            </w:pPr>
            <w:r w:rsidRPr="00D825CF">
              <w:rPr>
                <w:rFonts w:ascii="Arial Narrow" w:hAnsi="Arial Narrow"/>
                <w:color w:val="000000"/>
                <w:sz w:val="20"/>
              </w:rPr>
              <w:t>Scenario A</w:t>
            </w:r>
          </w:p>
        </w:tc>
        <w:tc>
          <w:tcPr>
            <w:tcW w:w="850" w:type="dxa"/>
            <w:tcBorders>
              <w:top w:val="nil"/>
              <w:left w:val="nil"/>
              <w:bottom w:val="dotted" w:sz="4" w:space="0" w:color="auto"/>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$27,960</w:t>
            </w:r>
          </w:p>
        </w:tc>
        <w:tc>
          <w:tcPr>
            <w:tcW w:w="851" w:type="dxa"/>
            <w:gridSpan w:val="2"/>
            <w:tcBorders>
              <w:top w:val="nil"/>
              <w:left w:val="nil"/>
              <w:bottom w:val="dotted" w:sz="4" w:space="0" w:color="auto"/>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$30,687</w:t>
            </w:r>
          </w:p>
        </w:tc>
        <w:tc>
          <w:tcPr>
            <w:tcW w:w="850" w:type="dxa"/>
            <w:gridSpan w:val="2"/>
            <w:tcBorders>
              <w:top w:val="nil"/>
              <w:left w:val="nil"/>
              <w:bottom w:val="dotted" w:sz="4" w:space="0" w:color="auto"/>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$35,258</w:t>
            </w:r>
          </w:p>
        </w:tc>
        <w:tc>
          <w:tcPr>
            <w:tcW w:w="993" w:type="dxa"/>
            <w:tcBorders>
              <w:top w:val="nil"/>
              <w:left w:val="nil"/>
              <w:bottom w:val="dotted" w:sz="4" w:space="0" w:color="auto"/>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4.225</w:t>
            </w:r>
          </w:p>
        </w:tc>
        <w:tc>
          <w:tcPr>
            <w:tcW w:w="850" w:type="dxa"/>
            <w:gridSpan w:val="2"/>
            <w:tcBorders>
              <w:top w:val="nil"/>
              <w:left w:val="nil"/>
              <w:bottom w:val="dotted" w:sz="4" w:space="0" w:color="auto"/>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4.070</w:t>
            </w:r>
          </w:p>
        </w:tc>
        <w:tc>
          <w:tcPr>
            <w:tcW w:w="632" w:type="dxa"/>
            <w:tcBorders>
              <w:top w:val="nil"/>
              <w:left w:val="nil"/>
              <w:bottom w:val="dotted" w:sz="4" w:space="0" w:color="auto"/>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2.653</w:t>
            </w:r>
          </w:p>
        </w:tc>
        <w:tc>
          <w:tcPr>
            <w:tcW w:w="1303" w:type="dxa"/>
            <w:gridSpan w:val="3"/>
            <w:tcBorders>
              <w:top w:val="nil"/>
              <w:left w:val="nil"/>
              <w:bottom w:val="dotted" w:sz="4" w:space="0" w:color="auto"/>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CK Dominates*</w:t>
            </w:r>
          </w:p>
        </w:tc>
        <w:tc>
          <w:tcPr>
            <w:tcW w:w="1387" w:type="dxa"/>
            <w:tcBorders>
              <w:top w:val="nil"/>
              <w:left w:val="nil"/>
              <w:bottom w:val="dotted" w:sz="4" w:space="0" w:color="auto"/>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CK Dominates†</w:t>
            </w:r>
          </w:p>
        </w:tc>
      </w:tr>
      <w:tr w:rsidR="00D2485E" w:rsidRPr="00D825CF" w:rsidTr="00D825CF">
        <w:trPr>
          <w:trHeight w:val="391"/>
        </w:trPr>
        <w:tc>
          <w:tcPr>
            <w:tcW w:w="1526" w:type="dxa"/>
            <w:gridSpan w:val="2"/>
            <w:tcBorders>
              <w:top w:val="dotted" w:sz="4" w:space="0" w:color="auto"/>
              <w:left w:val="nil"/>
              <w:bottom w:val="nil"/>
              <w:right w:val="nil"/>
            </w:tcBorders>
          </w:tcPr>
          <w:p w:rsidR="00D2485E" w:rsidRPr="00D825CF" w:rsidRDefault="00D2485E" w:rsidP="00D2485E">
            <w:pPr>
              <w:rPr>
                <w:rFonts w:ascii="Arial Narrow" w:hAnsi="Arial Narrow"/>
                <w:b/>
                <w:color w:val="000000"/>
                <w:sz w:val="20"/>
              </w:rPr>
            </w:pPr>
            <w:r w:rsidRPr="00D825CF">
              <w:rPr>
                <w:rFonts w:ascii="Arial Narrow" w:hAnsi="Arial Narrow"/>
                <w:b/>
                <w:color w:val="000000"/>
                <w:sz w:val="20"/>
              </w:rPr>
              <w:t xml:space="preserve">TREATMENT EFFECT; RECURRENCE DURATION </w:t>
            </w:r>
          </w:p>
        </w:tc>
        <w:tc>
          <w:tcPr>
            <w:tcW w:w="850" w:type="dxa"/>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851" w:type="dxa"/>
            <w:gridSpan w:val="2"/>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850" w:type="dxa"/>
            <w:gridSpan w:val="2"/>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993" w:type="dxa"/>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850" w:type="dxa"/>
            <w:gridSpan w:val="2"/>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632" w:type="dxa"/>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1303" w:type="dxa"/>
            <w:gridSpan w:val="3"/>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c>
          <w:tcPr>
            <w:tcW w:w="1387" w:type="dxa"/>
            <w:tcBorders>
              <w:top w:val="dotted" w:sz="4" w:space="0" w:color="auto"/>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w:t>
            </w:r>
          </w:p>
        </w:tc>
      </w:tr>
      <w:tr w:rsidR="00D2485E" w:rsidRPr="00D825CF" w:rsidTr="00D825CF">
        <w:trPr>
          <w:trHeight w:val="190"/>
        </w:trPr>
        <w:tc>
          <w:tcPr>
            <w:tcW w:w="1526" w:type="dxa"/>
            <w:gridSpan w:val="2"/>
            <w:tcBorders>
              <w:top w:val="nil"/>
              <w:left w:val="nil"/>
              <w:bottom w:val="nil"/>
              <w:right w:val="nil"/>
            </w:tcBorders>
          </w:tcPr>
          <w:p w:rsidR="00D2485E" w:rsidRPr="00D825CF" w:rsidRDefault="00D2485E" w:rsidP="00D2485E">
            <w:pPr>
              <w:rPr>
                <w:rFonts w:ascii="Arial Narrow" w:hAnsi="Arial Narrow"/>
                <w:color w:val="000000"/>
                <w:sz w:val="20"/>
              </w:rPr>
            </w:pPr>
            <w:r w:rsidRPr="00D825CF">
              <w:rPr>
                <w:rFonts w:ascii="Arial Narrow" w:hAnsi="Arial Narrow"/>
                <w:color w:val="000000"/>
                <w:sz w:val="20"/>
              </w:rPr>
              <w:t>Scenario B</w:t>
            </w:r>
          </w:p>
        </w:tc>
        <w:tc>
          <w:tcPr>
            <w:tcW w:w="850" w:type="dxa"/>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$28,700</w:t>
            </w:r>
          </w:p>
        </w:tc>
        <w:tc>
          <w:tcPr>
            <w:tcW w:w="851" w:type="dxa"/>
            <w:gridSpan w:val="2"/>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$31,784</w:t>
            </w:r>
          </w:p>
        </w:tc>
        <w:tc>
          <w:tcPr>
            <w:tcW w:w="850" w:type="dxa"/>
            <w:gridSpan w:val="2"/>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$35,887</w:t>
            </w:r>
          </w:p>
        </w:tc>
        <w:tc>
          <w:tcPr>
            <w:tcW w:w="993" w:type="dxa"/>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4.244</w:t>
            </w:r>
          </w:p>
        </w:tc>
        <w:tc>
          <w:tcPr>
            <w:tcW w:w="850" w:type="dxa"/>
            <w:gridSpan w:val="2"/>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3.982</w:t>
            </w:r>
          </w:p>
        </w:tc>
        <w:tc>
          <w:tcPr>
            <w:tcW w:w="632" w:type="dxa"/>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2.591</w:t>
            </w:r>
          </w:p>
        </w:tc>
        <w:tc>
          <w:tcPr>
            <w:tcW w:w="1303" w:type="dxa"/>
            <w:gridSpan w:val="3"/>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CK Dominates*</w:t>
            </w:r>
          </w:p>
        </w:tc>
        <w:tc>
          <w:tcPr>
            <w:tcW w:w="1387" w:type="dxa"/>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CK Dominates†</w:t>
            </w:r>
          </w:p>
        </w:tc>
      </w:tr>
      <w:tr w:rsidR="00D2485E" w:rsidRPr="00D825CF" w:rsidTr="00D825CF">
        <w:trPr>
          <w:trHeight w:val="200"/>
        </w:trPr>
        <w:tc>
          <w:tcPr>
            <w:tcW w:w="1526" w:type="dxa"/>
            <w:gridSpan w:val="2"/>
            <w:tcBorders>
              <w:top w:val="nil"/>
              <w:left w:val="nil"/>
              <w:bottom w:val="nil"/>
              <w:right w:val="nil"/>
            </w:tcBorders>
          </w:tcPr>
          <w:p w:rsidR="00D2485E" w:rsidRPr="00D825CF" w:rsidRDefault="00D2485E" w:rsidP="00D2485E">
            <w:pPr>
              <w:rPr>
                <w:rFonts w:ascii="Arial Narrow" w:hAnsi="Arial Narrow"/>
                <w:color w:val="000000"/>
                <w:sz w:val="20"/>
              </w:rPr>
            </w:pPr>
            <w:r w:rsidRPr="00D825CF">
              <w:rPr>
                <w:rFonts w:ascii="Arial Narrow" w:hAnsi="Arial Narrow"/>
                <w:color w:val="000000"/>
                <w:sz w:val="20"/>
              </w:rPr>
              <w:t>Scenario C</w:t>
            </w:r>
          </w:p>
        </w:tc>
        <w:tc>
          <w:tcPr>
            <w:tcW w:w="850" w:type="dxa"/>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$31,313</w:t>
            </w:r>
          </w:p>
        </w:tc>
        <w:tc>
          <w:tcPr>
            <w:tcW w:w="851" w:type="dxa"/>
            <w:gridSpan w:val="2"/>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$34,209</w:t>
            </w:r>
          </w:p>
        </w:tc>
        <w:tc>
          <w:tcPr>
            <w:tcW w:w="850" w:type="dxa"/>
            <w:gridSpan w:val="2"/>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$37,020</w:t>
            </w:r>
          </w:p>
        </w:tc>
        <w:tc>
          <w:tcPr>
            <w:tcW w:w="993" w:type="dxa"/>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3.713</w:t>
            </w:r>
          </w:p>
        </w:tc>
        <w:tc>
          <w:tcPr>
            <w:tcW w:w="850" w:type="dxa"/>
            <w:gridSpan w:val="2"/>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3.480</w:t>
            </w:r>
          </w:p>
        </w:tc>
        <w:tc>
          <w:tcPr>
            <w:tcW w:w="632" w:type="dxa"/>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2.317</w:t>
            </w:r>
          </w:p>
        </w:tc>
        <w:tc>
          <w:tcPr>
            <w:tcW w:w="1303" w:type="dxa"/>
            <w:gridSpan w:val="3"/>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CK Dominates*</w:t>
            </w:r>
          </w:p>
        </w:tc>
        <w:tc>
          <w:tcPr>
            <w:tcW w:w="1387" w:type="dxa"/>
            <w:tcBorders>
              <w:top w:val="nil"/>
              <w:left w:val="nil"/>
              <w:bottom w:val="nil"/>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CK Dominates†</w:t>
            </w:r>
          </w:p>
        </w:tc>
      </w:tr>
      <w:tr w:rsidR="00D2485E" w:rsidRPr="00D825CF" w:rsidTr="00D825CF">
        <w:trPr>
          <w:trHeight w:val="190"/>
        </w:trPr>
        <w:tc>
          <w:tcPr>
            <w:tcW w:w="1526" w:type="dxa"/>
            <w:gridSpan w:val="2"/>
            <w:tcBorders>
              <w:top w:val="nil"/>
              <w:left w:val="nil"/>
              <w:bottom w:val="single" w:sz="12" w:space="0" w:color="9BBB59"/>
              <w:right w:val="nil"/>
            </w:tcBorders>
          </w:tcPr>
          <w:p w:rsidR="00D2485E" w:rsidRPr="00D825CF" w:rsidRDefault="00D2485E" w:rsidP="00D2485E">
            <w:pPr>
              <w:rPr>
                <w:rFonts w:ascii="Arial Narrow" w:hAnsi="Arial Narrow"/>
                <w:color w:val="000000"/>
                <w:sz w:val="20"/>
              </w:rPr>
            </w:pPr>
            <w:r w:rsidRPr="00D825CF">
              <w:rPr>
                <w:rFonts w:ascii="Arial Narrow" w:hAnsi="Arial Narrow"/>
                <w:color w:val="000000"/>
                <w:sz w:val="20"/>
              </w:rPr>
              <w:t>Scenario D</w:t>
            </w:r>
          </w:p>
        </w:tc>
        <w:tc>
          <w:tcPr>
            <w:tcW w:w="850" w:type="dxa"/>
            <w:tcBorders>
              <w:top w:val="nil"/>
              <w:left w:val="nil"/>
              <w:bottom w:val="single" w:sz="12" w:space="0" w:color="9BBB59"/>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$31,313</w:t>
            </w:r>
          </w:p>
        </w:tc>
        <w:tc>
          <w:tcPr>
            <w:tcW w:w="851" w:type="dxa"/>
            <w:gridSpan w:val="2"/>
            <w:tcBorders>
              <w:top w:val="nil"/>
              <w:left w:val="nil"/>
              <w:bottom w:val="single" w:sz="12" w:space="0" w:color="9BBB59"/>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$31,784</w:t>
            </w:r>
          </w:p>
        </w:tc>
        <w:tc>
          <w:tcPr>
            <w:tcW w:w="850" w:type="dxa"/>
            <w:gridSpan w:val="2"/>
            <w:tcBorders>
              <w:top w:val="nil"/>
              <w:left w:val="nil"/>
              <w:bottom w:val="single" w:sz="12" w:space="0" w:color="9BBB59"/>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$35,887</w:t>
            </w:r>
          </w:p>
        </w:tc>
        <w:tc>
          <w:tcPr>
            <w:tcW w:w="993" w:type="dxa"/>
            <w:tcBorders>
              <w:top w:val="nil"/>
              <w:left w:val="nil"/>
              <w:bottom w:val="single" w:sz="12" w:space="0" w:color="9BBB59"/>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3.713</w:t>
            </w:r>
          </w:p>
        </w:tc>
        <w:tc>
          <w:tcPr>
            <w:tcW w:w="850" w:type="dxa"/>
            <w:gridSpan w:val="2"/>
            <w:tcBorders>
              <w:top w:val="nil"/>
              <w:left w:val="nil"/>
              <w:bottom w:val="single" w:sz="12" w:space="0" w:color="9BBB59"/>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3.982</w:t>
            </w:r>
          </w:p>
        </w:tc>
        <w:tc>
          <w:tcPr>
            <w:tcW w:w="632" w:type="dxa"/>
            <w:tcBorders>
              <w:top w:val="nil"/>
              <w:left w:val="nil"/>
              <w:bottom w:val="single" w:sz="12" w:space="0" w:color="9BBB59"/>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2.591</w:t>
            </w:r>
          </w:p>
        </w:tc>
        <w:tc>
          <w:tcPr>
            <w:tcW w:w="1303" w:type="dxa"/>
            <w:gridSpan w:val="3"/>
            <w:tcBorders>
              <w:top w:val="nil"/>
              <w:left w:val="nil"/>
              <w:bottom w:val="single" w:sz="12" w:space="0" w:color="9BBB59"/>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$1,749*</w:t>
            </w:r>
          </w:p>
        </w:tc>
        <w:tc>
          <w:tcPr>
            <w:tcW w:w="1387" w:type="dxa"/>
            <w:tcBorders>
              <w:top w:val="nil"/>
              <w:left w:val="nil"/>
              <w:bottom w:val="single" w:sz="12" w:space="0" w:color="9BBB59"/>
              <w:right w:val="nil"/>
            </w:tcBorders>
          </w:tcPr>
          <w:p w:rsidR="00D2485E" w:rsidRPr="00D825CF" w:rsidRDefault="00D2485E" w:rsidP="00D2485E">
            <w:pPr>
              <w:jc w:val="center"/>
              <w:rPr>
                <w:rFonts w:ascii="Arial Narrow" w:hAnsi="Arial Narrow"/>
                <w:bCs/>
                <w:color w:val="000000"/>
                <w:sz w:val="20"/>
              </w:rPr>
            </w:pPr>
            <w:r w:rsidRPr="00D825CF">
              <w:rPr>
                <w:rFonts w:ascii="Arial Narrow" w:hAnsi="Arial Narrow"/>
                <w:bCs/>
                <w:color w:val="000000"/>
                <w:sz w:val="20"/>
              </w:rPr>
              <w:t>IMRT Dominates§</w:t>
            </w:r>
          </w:p>
        </w:tc>
      </w:tr>
    </w:tbl>
    <w:p w:rsidR="00D2485E" w:rsidRPr="004870ED" w:rsidRDefault="00D2485E" w:rsidP="00D2485E">
      <w:pPr>
        <w:pStyle w:val="ListParagraph"/>
        <w:ind w:left="0"/>
        <w:rPr>
          <w:rFonts w:cs="Arial"/>
          <w:bCs/>
          <w:sz w:val="16"/>
          <w:szCs w:val="16"/>
        </w:rPr>
      </w:pPr>
      <w:r w:rsidRPr="004870ED">
        <w:rPr>
          <w:rFonts w:cs="Arial"/>
          <w:bCs/>
          <w:sz w:val="16"/>
          <w:szCs w:val="16"/>
        </w:rPr>
        <w:t>Source: pg. 20 of the Addendum document</w:t>
      </w:r>
    </w:p>
    <w:p w:rsidR="00D2485E" w:rsidRPr="004870ED" w:rsidRDefault="00D2485E" w:rsidP="00D2485E">
      <w:pPr>
        <w:pStyle w:val="ListParagraph"/>
        <w:ind w:left="0"/>
        <w:rPr>
          <w:rFonts w:cs="Arial"/>
          <w:bCs/>
          <w:sz w:val="16"/>
          <w:szCs w:val="16"/>
        </w:rPr>
      </w:pPr>
      <w:r w:rsidRPr="004870ED">
        <w:rPr>
          <w:rFonts w:cs="Arial"/>
          <w:bCs/>
          <w:sz w:val="16"/>
          <w:szCs w:val="16"/>
        </w:rPr>
        <w:t xml:space="preserve">Scenario A: Local recurrence rate calculated using 2-year data only instead of longest available </w:t>
      </w:r>
      <w:proofErr w:type="spellStart"/>
      <w:r w:rsidRPr="004870ED">
        <w:rPr>
          <w:rFonts w:cs="Arial"/>
          <w:bCs/>
          <w:sz w:val="16"/>
          <w:szCs w:val="16"/>
        </w:rPr>
        <w:t>timepoint</w:t>
      </w:r>
      <w:proofErr w:type="spellEnd"/>
      <w:r w:rsidRPr="004870ED">
        <w:rPr>
          <w:rFonts w:cs="Arial"/>
          <w:bCs/>
          <w:sz w:val="16"/>
          <w:szCs w:val="16"/>
        </w:rPr>
        <w:t xml:space="preserve"> (base case) for </w:t>
      </w:r>
      <w:r w:rsidRPr="004870ED">
        <w:rPr>
          <w:rFonts w:cs="Arial"/>
          <w:bCs/>
          <w:sz w:val="16"/>
          <w:szCs w:val="16"/>
          <w:u w:val="single"/>
        </w:rPr>
        <w:t>CyberKnife only</w:t>
      </w:r>
    </w:p>
    <w:p w:rsidR="00D2485E" w:rsidRPr="004870ED" w:rsidRDefault="00D2485E" w:rsidP="00D2485E">
      <w:pPr>
        <w:pStyle w:val="ListParagraph"/>
        <w:ind w:left="0"/>
        <w:rPr>
          <w:rFonts w:cs="Arial"/>
          <w:bCs/>
          <w:sz w:val="16"/>
          <w:szCs w:val="16"/>
        </w:rPr>
      </w:pPr>
      <w:r w:rsidRPr="004870ED">
        <w:rPr>
          <w:rFonts w:cs="Arial"/>
          <w:bCs/>
          <w:sz w:val="16"/>
          <w:szCs w:val="16"/>
        </w:rPr>
        <w:t>Scenario B: Maximum recurrence time horizon increased from 10 years (base case) to 20 years</w:t>
      </w:r>
    </w:p>
    <w:p w:rsidR="00D2485E" w:rsidRPr="004870ED" w:rsidRDefault="00D2485E" w:rsidP="00D2485E">
      <w:pPr>
        <w:pStyle w:val="ListParagraph"/>
        <w:ind w:left="0"/>
        <w:rPr>
          <w:rFonts w:cs="Arial"/>
          <w:bCs/>
          <w:sz w:val="16"/>
          <w:szCs w:val="16"/>
        </w:rPr>
      </w:pPr>
      <w:r w:rsidRPr="004870ED">
        <w:rPr>
          <w:rFonts w:cs="Arial"/>
          <w:bCs/>
          <w:sz w:val="16"/>
          <w:szCs w:val="16"/>
        </w:rPr>
        <w:t>Scenario C: 20 year maximum recurrence time horizon plus recurrence rate reduction factor increase from 75% (base case) to 0% for all 3 modalities</w:t>
      </w:r>
    </w:p>
    <w:p w:rsidR="00D2485E" w:rsidRPr="004870ED" w:rsidRDefault="00D2485E" w:rsidP="00D2485E">
      <w:pPr>
        <w:pStyle w:val="ListParagraph"/>
        <w:ind w:left="0"/>
        <w:rPr>
          <w:rFonts w:cs="Arial"/>
          <w:bCs/>
          <w:sz w:val="16"/>
          <w:szCs w:val="16"/>
        </w:rPr>
      </w:pPr>
      <w:r w:rsidRPr="004870ED">
        <w:rPr>
          <w:rFonts w:cs="Arial"/>
          <w:bCs/>
          <w:sz w:val="16"/>
          <w:szCs w:val="16"/>
        </w:rPr>
        <w:t xml:space="preserve">Scenario D: 20 year maximum recurrence time horizon plus recurrence rate reduction factor increase from 75% (base case) to 0% for </w:t>
      </w:r>
      <w:r w:rsidRPr="004870ED">
        <w:rPr>
          <w:rFonts w:cs="Arial"/>
          <w:bCs/>
          <w:sz w:val="16"/>
          <w:szCs w:val="16"/>
          <w:u w:val="single"/>
        </w:rPr>
        <w:t>CyberKnife only</w:t>
      </w:r>
    </w:p>
    <w:p w:rsidR="00D2485E" w:rsidRDefault="00D2485E" w:rsidP="00D2485E">
      <w:pPr>
        <w:pStyle w:val="ListParagraph"/>
        <w:ind w:left="0"/>
        <w:rPr>
          <w:rFonts w:cs="Arial"/>
          <w:bCs/>
          <w:sz w:val="16"/>
          <w:szCs w:val="16"/>
        </w:rPr>
      </w:pPr>
      <w:r w:rsidRPr="004870ED">
        <w:rPr>
          <w:rFonts w:cs="Arial"/>
          <w:bCs/>
          <w:sz w:val="16"/>
          <w:szCs w:val="16"/>
        </w:rPr>
        <w:t>*IMRT vs. CyberKnife</w:t>
      </w:r>
      <w:proofErr w:type="gramStart"/>
      <w:r w:rsidRPr="004870ED">
        <w:rPr>
          <w:rFonts w:cs="Arial"/>
          <w:bCs/>
          <w:sz w:val="16"/>
          <w:szCs w:val="16"/>
        </w:rPr>
        <w:t>;  †</w:t>
      </w:r>
      <w:proofErr w:type="gramEnd"/>
      <w:r w:rsidRPr="004870ED">
        <w:rPr>
          <w:rFonts w:cs="Arial"/>
          <w:bCs/>
          <w:sz w:val="16"/>
          <w:szCs w:val="16"/>
        </w:rPr>
        <w:t xml:space="preserve">3DCRT vs. CyberKnife;  </w:t>
      </w:r>
      <w:r w:rsidRPr="004870ED">
        <w:rPr>
          <w:bCs/>
          <w:color w:val="000000"/>
          <w:sz w:val="16"/>
          <w:szCs w:val="16"/>
        </w:rPr>
        <w:t xml:space="preserve">§3DCRT vs. </w:t>
      </w:r>
      <w:r w:rsidRPr="004870ED">
        <w:rPr>
          <w:rFonts w:cs="Arial"/>
          <w:bCs/>
          <w:sz w:val="16"/>
          <w:szCs w:val="16"/>
        </w:rPr>
        <w:t>IMRT</w:t>
      </w:r>
    </w:p>
    <w:p w:rsidR="00D2485E" w:rsidRPr="004870ED" w:rsidRDefault="00D2485E" w:rsidP="00D2485E">
      <w:pPr>
        <w:pStyle w:val="ListParagraph"/>
        <w:ind w:left="0"/>
        <w:rPr>
          <w:rFonts w:cs="Arial"/>
          <w:bCs/>
          <w:sz w:val="16"/>
          <w:szCs w:val="16"/>
        </w:rPr>
      </w:pPr>
    </w:p>
    <w:p w:rsidR="00D2485E" w:rsidRPr="00EB5BB8" w:rsidRDefault="00D2485E" w:rsidP="00D2485E">
      <w:pPr>
        <w:pStyle w:val="Caption"/>
        <w:ind w:hanging="1741"/>
        <w:jc w:val="left"/>
      </w:pPr>
      <w:bookmarkStart w:id="10" w:name="_Ref431303920"/>
      <w:bookmarkStart w:id="11" w:name="_Ref431303915"/>
      <w:bookmarkStart w:id="12" w:name="Figure1"/>
      <w:r>
        <w:lastRenderedPageBreak/>
        <w:t xml:space="preserve">Figure </w:t>
      </w:r>
      <w:fldSimple w:instr=" SEQ Figure \* ARABIC ">
        <w:r w:rsidR="00C5742B">
          <w:rPr>
            <w:noProof/>
          </w:rPr>
          <w:t>1</w:t>
        </w:r>
      </w:fldSimple>
      <w:bookmarkEnd w:id="10"/>
      <w:r w:rsidRPr="00336A49">
        <w:t>: Additional Probabilistic Sensitivity Analysis Scenario and Result*</w:t>
      </w:r>
      <w:bookmarkEnd w:id="11"/>
    </w:p>
    <w:bookmarkEnd w:id="12"/>
    <w:p w:rsidR="00D2485E" w:rsidRDefault="00D2485E" w:rsidP="00D2485E">
      <w:pPr>
        <w:pStyle w:val="Default"/>
        <w:keepNext/>
      </w:pPr>
      <w:r>
        <w:rPr>
          <w:noProof/>
          <w:lang w:eastAsia="en-AU"/>
        </w:rPr>
        <w:drawing>
          <wp:inline distT="0" distB="0" distL="0" distR="0" wp14:anchorId="18E2D056" wp14:editId="505F310F">
            <wp:extent cx="5425440" cy="2827020"/>
            <wp:effectExtent l="0" t="0" r="3810" b="0"/>
            <wp:docPr id="1" name="Picture 1" title="Additional Probabilistic Sensitivity Analysis Scenario and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5440" cy="2827020"/>
                    </a:xfrm>
                    <a:prstGeom prst="rect">
                      <a:avLst/>
                    </a:prstGeom>
                    <a:noFill/>
                    <a:ln>
                      <a:noFill/>
                    </a:ln>
                  </pic:spPr>
                </pic:pic>
              </a:graphicData>
            </a:graphic>
          </wp:inline>
        </w:drawing>
      </w:r>
    </w:p>
    <w:p w:rsidR="00D2485E" w:rsidRDefault="00D2485E" w:rsidP="00D2485E">
      <w:pPr>
        <w:pStyle w:val="Tablecaption"/>
      </w:pPr>
      <w:r w:rsidRPr="00EB5BB8">
        <w:t>Source</w:t>
      </w:r>
      <w:r>
        <w:t>: pg. 21 of the Addendum document</w:t>
      </w:r>
    </w:p>
    <w:p w:rsidR="00D2485E" w:rsidRDefault="00D2485E" w:rsidP="00D2485E">
      <w:pPr>
        <w:pStyle w:val="Tablecaption"/>
      </w:pPr>
      <w:r>
        <w:t>*</w:t>
      </w:r>
      <w:r w:rsidRPr="00EB5BB8">
        <w:t>Scenario</w:t>
      </w:r>
      <w:r>
        <w:t xml:space="preserve">: Local recurrence rate calculated using 2-year data only instead of longest available </w:t>
      </w:r>
      <w:proofErr w:type="spellStart"/>
      <w:r>
        <w:t>timepoint</w:t>
      </w:r>
      <w:proofErr w:type="spellEnd"/>
      <w:r>
        <w:t xml:space="preserve"> (base case) for </w:t>
      </w:r>
      <w:r>
        <w:rPr>
          <w:u w:val="single"/>
        </w:rPr>
        <w:t>CyberKnife only</w:t>
      </w:r>
      <w:r>
        <w:t xml:space="preserve"> with tripled standard error</w:t>
      </w:r>
    </w:p>
    <w:p w:rsidR="00D2485E" w:rsidRDefault="00D2485E" w:rsidP="00D2485E">
      <w:pPr>
        <w:rPr>
          <w:szCs w:val="24"/>
        </w:rPr>
      </w:pPr>
    </w:p>
    <w:p w:rsidR="00D2485E" w:rsidRDefault="00D825CF" w:rsidP="00D2485E">
      <w:pPr>
        <w:rPr>
          <w:szCs w:val="24"/>
        </w:rPr>
      </w:pPr>
      <w:r>
        <w:rPr>
          <w:szCs w:val="24"/>
        </w:rPr>
        <w:t xml:space="preserve">MSAC </w:t>
      </w:r>
      <w:r w:rsidR="00D76462">
        <w:rPr>
          <w:szCs w:val="24"/>
        </w:rPr>
        <w:t xml:space="preserve">agreed </w:t>
      </w:r>
      <w:r w:rsidR="00D2485E">
        <w:rPr>
          <w:szCs w:val="24"/>
        </w:rPr>
        <w:t xml:space="preserve">that </w:t>
      </w:r>
      <w:r w:rsidR="00D76462">
        <w:rPr>
          <w:szCs w:val="24"/>
        </w:rPr>
        <w:t xml:space="preserve">in </w:t>
      </w:r>
      <w:r w:rsidR="00D2485E">
        <w:rPr>
          <w:szCs w:val="24"/>
        </w:rPr>
        <w:t>Scenarios B and C</w:t>
      </w:r>
      <w:r w:rsidR="00D76462">
        <w:rPr>
          <w:szCs w:val="24"/>
        </w:rPr>
        <w:t>,</w:t>
      </w:r>
      <w:r w:rsidR="00D2485E">
        <w:rPr>
          <w:szCs w:val="24"/>
        </w:rPr>
        <w:t xml:space="preserve"> the same reduction to rates </w:t>
      </w:r>
      <w:r w:rsidR="00D76462">
        <w:rPr>
          <w:szCs w:val="24"/>
        </w:rPr>
        <w:t xml:space="preserve">is applied across </w:t>
      </w:r>
      <w:r w:rsidR="00D2485E">
        <w:rPr>
          <w:szCs w:val="24"/>
        </w:rPr>
        <w:t xml:space="preserve">all </w:t>
      </w:r>
      <w:r w:rsidR="00D76462">
        <w:rPr>
          <w:szCs w:val="24"/>
        </w:rPr>
        <w:t xml:space="preserve">three </w:t>
      </w:r>
      <w:r w:rsidR="00D2485E">
        <w:rPr>
          <w:szCs w:val="24"/>
        </w:rPr>
        <w:t>modalities</w:t>
      </w:r>
      <w:r w:rsidR="00D76462">
        <w:rPr>
          <w:szCs w:val="24"/>
        </w:rPr>
        <w:t xml:space="preserve"> in the model, and this has the effect of</w:t>
      </w:r>
      <w:r w:rsidR="00D2485E">
        <w:rPr>
          <w:szCs w:val="24"/>
        </w:rPr>
        <w:t xml:space="preserve"> maintain</w:t>
      </w:r>
      <w:r w:rsidR="00D76462">
        <w:rPr>
          <w:szCs w:val="24"/>
        </w:rPr>
        <w:t xml:space="preserve">ing </w:t>
      </w:r>
      <w:r w:rsidR="00D2485E">
        <w:rPr>
          <w:szCs w:val="24"/>
        </w:rPr>
        <w:t xml:space="preserve">the benefit of CyberKnife over the comparators. </w:t>
      </w:r>
      <w:r>
        <w:rPr>
          <w:szCs w:val="24"/>
        </w:rPr>
        <w:t xml:space="preserve"> </w:t>
      </w:r>
      <w:r w:rsidR="00D76462">
        <w:rPr>
          <w:szCs w:val="24"/>
        </w:rPr>
        <w:t xml:space="preserve">However, in </w:t>
      </w:r>
      <w:r w:rsidR="00D2485E">
        <w:rPr>
          <w:szCs w:val="24"/>
        </w:rPr>
        <w:t>Scenario D</w:t>
      </w:r>
      <w:r>
        <w:rPr>
          <w:szCs w:val="24"/>
        </w:rPr>
        <w:t>,</w:t>
      </w:r>
      <w:r w:rsidR="00D2485E">
        <w:rPr>
          <w:szCs w:val="24"/>
        </w:rPr>
        <w:t xml:space="preserve"> IMRT dominat</w:t>
      </w:r>
      <w:r w:rsidR="00D76462">
        <w:rPr>
          <w:szCs w:val="24"/>
        </w:rPr>
        <w:t>ed</w:t>
      </w:r>
      <w:r w:rsidR="00D2485E">
        <w:rPr>
          <w:szCs w:val="24"/>
        </w:rPr>
        <w:t xml:space="preserve"> 3DCRT and </w:t>
      </w:r>
      <w:r w:rsidR="00D76462">
        <w:rPr>
          <w:szCs w:val="24"/>
        </w:rPr>
        <w:t xml:space="preserve">was </w:t>
      </w:r>
      <w:r w:rsidR="00D2485E">
        <w:rPr>
          <w:szCs w:val="24"/>
        </w:rPr>
        <w:t>cost-effective compared to CyberKnife, with an ICER of $1,749/QALY.</w:t>
      </w:r>
      <w:r w:rsidR="00BD3CE4">
        <w:rPr>
          <w:szCs w:val="24"/>
        </w:rPr>
        <w:t xml:space="preserve">  </w:t>
      </w:r>
      <w:r>
        <w:rPr>
          <w:szCs w:val="24"/>
        </w:rPr>
        <w:t>MSAC</w:t>
      </w:r>
      <w:r w:rsidR="00D2485E">
        <w:rPr>
          <w:szCs w:val="24"/>
        </w:rPr>
        <w:t xml:space="preserve"> </w:t>
      </w:r>
      <w:r>
        <w:rPr>
          <w:szCs w:val="24"/>
        </w:rPr>
        <w:t xml:space="preserve">agreed </w:t>
      </w:r>
      <w:r w:rsidR="00D2485E">
        <w:rPr>
          <w:szCs w:val="24"/>
        </w:rPr>
        <w:t xml:space="preserve">that for </w:t>
      </w:r>
      <w:r w:rsidR="00D2485E" w:rsidRPr="008B36A9">
        <w:rPr>
          <w:szCs w:val="24"/>
        </w:rPr>
        <w:t xml:space="preserve">Scenario E, the revised recurrence rates and standard errors for CyberKnife </w:t>
      </w:r>
      <w:r>
        <w:rPr>
          <w:szCs w:val="24"/>
        </w:rPr>
        <w:t>contribute to</w:t>
      </w:r>
      <w:r w:rsidR="00D2485E" w:rsidRPr="008B36A9">
        <w:rPr>
          <w:szCs w:val="24"/>
        </w:rPr>
        <w:t xml:space="preserve"> a probabilistic sensitivity analysis </w:t>
      </w:r>
      <w:r>
        <w:rPr>
          <w:szCs w:val="24"/>
        </w:rPr>
        <w:t xml:space="preserve">in which </w:t>
      </w:r>
      <w:r w:rsidR="00D2485E" w:rsidRPr="008B36A9">
        <w:rPr>
          <w:szCs w:val="24"/>
        </w:rPr>
        <w:t xml:space="preserve">CyberKnife </w:t>
      </w:r>
      <w:r w:rsidR="00D2485E">
        <w:rPr>
          <w:szCs w:val="24"/>
        </w:rPr>
        <w:t xml:space="preserve">would be </w:t>
      </w:r>
      <w:r w:rsidR="00D2485E" w:rsidRPr="008B36A9">
        <w:rPr>
          <w:szCs w:val="24"/>
        </w:rPr>
        <w:t>the preferred option at low willingness</w:t>
      </w:r>
      <w:r w:rsidR="00BD3CE4">
        <w:rPr>
          <w:szCs w:val="24"/>
        </w:rPr>
        <w:t>-</w:t>
      </w:r>
      <w:r w:rsidR="00D2485E" w:rsidRPr="008B36A9">
        <w:rPr>
          <w:szCs w:val="24"/>
        </w:rPr>
        <w:t>to</w:t>
      </w:r>
      <w:r w:rsidR="00BD3CE4">
        <w:rPr>
          <w:szCs w:val="24"/>
        </w:rPr>
        <w:t>-</w:t>
      </w:r>
      <w:r w:rsidR="00D2485E" w:rsidRPr="008B36A9">
        <w:rPr>
          <w:szCs w:val="24"/>
        </w:rPr>
        <w:t xml:space="preserve">pay thresholds, </w:t>
      </w:r>
      <w:r w:rsidR="00B04FB4">
        <w:rPr>
          <w:szCs w:val="24"/>
        </w:rPr>
        <w:t>with</w:t>
      </w:r>
      <w:r w:rsidR="00D2485E">
        <w:rPr>
          <w:szCs w:val="24"/>
        </w:rPr>
        <w:t xml:space="preserve"> </w:t>
      </w:r>
      <w:r w:rsidR="00D2485E" w:rsidRPr="008B36A9">
        <w:rPr>
          <w:szCs w:val="24"/>
        </w:rPr>
        <w:t xml:space="preserve">IMRT marginally more preferred at thresholds </w:t>
      </w:r>
      <w:r w:rsidR="00BD3CE4">
        <w:rPr>
          <w:szCs w:val="24"/>
        </w:rPr>
        <w:t>over</w:t>
      </w:r>
      <w:r w:rsidR="00BD3CE4" w:rsidRPr="008B36A9">
        <w:rPr>
          <w:szCs w:val="24"/>
        </w:rPr>
        <w:t xml:space="preserve"> </w:t>
      </w:r>
      <w:r w:rsidR="00D2485E" w:rsidRPr="008B36A9">
        <w:rPr>
          <w:szCs w:val="24"/>
        </w:rPr>
        <w:t>$20,000.</w:t>
      </w:r>
    </w:p>
    <w:p w:rsidR="00D2485E" w:rsidRDefault="00D2485E" w:rsidP="00D2485E">
      <w:pPr>
        <w:rPr>
          <w:szCs w:val="24"/>
        </w:rPr>
      </w:pPr>
    </w:p>
    <w:p w:rsidR="00D2485E" w:rsidRDefault="00BD3CE4" w:rsidP="00D2485E">
      <w:pPr>
        <w:rPr>
          <w:szCs w:val="24"/>
        </w:rPr>
      </w:pPr>
      <w:r>
        <w:rPr>
          <w:szCs w:val="24"/>
        </w:rPr>
        <w:t xml:space="preserve">MSAC agreed that </w:t>
      </w:r>
      <w:r w:rsidR="00D2485E">
        <w:rPr>
          <w:szCs w:val="24"/>
        </w:rPr>
        <w:t>Scenario</w:t>
      </w:r>
      <w:r w:rsidR="00B04FB4">
        <w:rPr>
          <w:szCs w:val="24"/>
        </w:rPr>
        <w:t>s</w:t>
      </w:r>
      <w:r w:rsidR="00D2485E">
        <w:rPr>
          <w:szCs w:val="24"/>
        </w:rPr>
        <w:t xml:space="preserve"> D and E highlighted the sensitivity in the model and high level of uncertainty in the clinical data, particularly between IMRT and Cyberknife. </w:t>
      </w:r>
      <w:r w:rsidR="00B04FB4">
        <w:rPr>
          <w:szCs w:val="24"/>
        </w:rPr>
        <w:t>MSAC</w:t>
      </w:r>
      <w:r w:rsidR="00D2485E">
        <w:rPr>
          <w:szCs w:val="24"/>
        </w:rPr>
        <w:t xml:space="preserve"> considered that the inputs to the model should be viewed with caution as all </w:t>
      </w:r>
      <w:r w:rsidR="00B04FB4">
        <w:rPr>
          <w:szCs w:val="24"/>
        </w:rPr>
        <w:t xml:space="preserve">rely on </w:t>
      </w:r>
      <w:r w:rsidR="00D2485E">
        <w:rPr>
          <w:szCs w:val="24"/>
        </w:rPr>
        <w:t>a small number of non-comparative case series.</w:t>
      </w:r>
    </w:p>
    <w:p w:rsidR="00D2485E" w:rsidRDefault="00D2485E" w:rsidP="00D2485E">
      <w:pPr>
        <w:rPr>
          <w:szCs w:val="24"/>
        </w:rPr>
      </w:pPr>
    </w:p>
    <w:p w:rsidR="00D2485E" w:rsidRDefault="00B04FB4" w:rsidP="00D2485E">
      <w:pPr>
        <w:rPr>
          <w:szCs w:val="24"/>
        </w:rPr>
      </w:pPr>
      <w:r>
        <w:rPr>
          <w:szCs w:val="24"/>
        </w:rPr>
        <w:t xml:space="preserve">MSAC </w:t>
      </w:r>
      <w:r w:rsidR="00BD3CE4">
        <w:rPr>
          <w:szCs w:val="24"/>
        </w:rPr>
        <w:t>was</w:t>
      </w:r>
      <w:r w:rsidR="00D2485E">
        <w:rPr>
          <w:szCs w:val="24"/>
        </w:rPr>
        <w:t xml:space="preserve"> concern</w:t>
      </w:r>
      <w:r w:rsidR="00BD3CE4">
        <w:rPr>
          <w:szCs w:val="24"/>
        </w:rPr>
        <w:t>ed</w:t>
      </w:r>
      <w:r w:rsidR="00D2485E">
        <w:rPr>
          <w:szCs w:val="24"/>
        </w:rPr>
        <w:t xml:space="preserve"> </w:t>
      </w:r>
      <w:r>
        <w:rPr>
          <w:szCs w:val="24"/>
        </w:rPr>
        <w:t>about</w:t>
      </w:r>
      <w:r w:rsidR="00D2485E" w:rsidRPr="0063200D">
        <w:rPr>
          <w:szCs w:val="24"/>
        </w:rPr>
        <w:t xml:space="preserve"> whether the studies were conducted in healthcare systems that are applicable to the Australian context</w:t>
      </w:r>
      <w:r>
        <w:rPr>
          <w:szCs w:val="24"/>
        </w:rPr>
        <w:t xml:space="preserve">.  </w:t>
      </w:r>
      <w:r w:rsidR="00BD3CE4">
        <w:rPr>
          <w:szCs w:val="24"/>
        </w:rPr>
        <w:t>The</w:t>
      </w:r>
      <w:r w:rsidR="00D2485E">
        <w:rPr>
          <w:szCs w:val="24"/>
        </w:rPr>
        <w:t xml:space="preserve"> Formal Response </w:t>
      </w:r>
      <w:r>
        <w:rPr>
          <w:szCs w:val="24"/>
        </w:rPr>
        <w:t xml:space="preserve">indicated </w:t>
      </w:r>
      <w:r w:rsidR="00D2485E">
        <w:rPr>
          <w:szCs w:val="24"/>
        </w:rPr>
        <w:t xml:space="preserve">that half of </w:t>
      </w:r>
      <w:r>
        <w:rPr>
          <w:szCs w:val="24"/>
        </w:rPr>
        <w:t xml:space="preserve">the </w:t>
      </w:r>
      <w:r w:rsidR="00D2485E">
        <w:rPr>
          <w:szCs w:val="24"/>
        </w:rPr>
        <w:t xml:space="preserve">studies were conducted in the United States, </w:t>
      </w:r>
      <w:r>
        <w:rPr>
          <w:szCs w:val="24"/>
        </w:rPr>
        <w:t>with</w:t>
      </w:r>
      <w:r w:rsidR="00D2485E">
        <w:rPr>
          <w:szCs w:val="24"/>
        </w:rPr>
        <w:t xml:space="preserve"> one </w:t>
      </w:r>
      <w:r>
        <w:rPr>
          <w:szCs w:val="24"/>
        </w:rPr>
        <w:t>conducted in</w:t>
      </w:r>
      <w:r w:rsidR="00D2485E">
        <w:rPr>
          <w:szCs w:val="24"/>
        </w:rPr>
        <w:t xml:space="preserve"> Australia</w:t>
      </w:r>
      <w:r>
        <w:rPr>
          <w:szCs w:val="24"/>
        </w:rPr>
        <w:t xml:space="preserve">, and </w:t>
      </w:r>
      <w:r w:rsidR="00D2485E">
        <w:rPr>
          <w:szCs w:val="24"/>
        </w:rPr>
        <w:t xml:space="preserve">that CyberKnife clinical protocols </w:t>
      </w:r>
      <w:r>
        <w:rPr>
          <w:szCs w:val="24"/>
        </w:rPr>
        <w:t xml:space="preserve">do </w:t>
      </w:r>
      <w:r w:rsidR="00D2485E">
        <w:rPr>
          <w:szCs w:val="24"/>
        </w:rPr>
        <w:t>not vary significantly in different geographies</w:t>
      </w:r>
      <w:r w:rsidR="00BD3CE4">
        <w:rPr>
          <w:szCs w:val="24"/>
        </w:rPr>
        <w:t>.  However,</w:t>
      </w:r>
      <w:r>
        <w:rPr>
          <w:szCs w:val="24"/>
        </w:rPr>
        <w:t xml:space="preserve"> MSAC remained concerned about </w:t>
      </w:r>
      <w:r w:rsidR="00D2485E">
        <w:rPr>
          <w:szCs w:val="24"/>
        </w:rPr>
        <w:t xml:space="preserve">whether patients in the included studies represented the </w:t>
      </w:r>
      <w:r>
        <w:rPr>
          <w:szCs w:val="24"/>
        </w:rPr>
        <w:t xml:space="preserve">proposed </w:t>
      </w:r>
      <w:r w:rsidR="00D2485E">
        <w:rPr>
          <w:szCs w:val="24"/>
        </w:rPr>
        <w:t>population</w:t>
      </w:r>
      <w:r>
        <w:rPr>
          <w:szCs w:val="24"/>
        </w:rPr>
        <w:t xml:space="preserve"> for this application</w:t>
      </w:r>
      <w:r w:rsidR="00D2485E">
        <w:rPr>
          <w:szCs w:val="24"/>
        </w:rPr>
        <w:t>.</w:t>
      </w:r>
    </w:p>
    <w:p w:rsidR="00D2485E" w:rsidRDefault="00D2485E" w:rsidP="00D2485E">
      <w:pPr>
        <w:tabs>
          <w:tab w:val="left" w:pos="720"/>
        </w:tabs>
      </w:pPr>
    </w:p>
    <w:p w:rsidR="00D2485E" w:rsidRDefault="00D2485E" w:rsidP="00D2485E">
      <w:pPr>
        <w:tabs>
          <w:tab w:val="left" w:pos="720"/>
        </w:tabs>
        <w:rPr>
          <w:szCs w:val="24"/>
        </w:rPr>
      </w:pPr>
      <w:r>
        <w:rPr>
          <w:szCs w:val="24"/>
        </w:rPr>
        <w:t xml:space="preserve">The </w:t>
      </w:r>
      <w:r w:rsidR="00BD3CE4">
        <w:rPr>
          <w:szCs w:val="24"/>
        </w:rPr>
        <w:t xml:space="preserve">base case for the revised </w:t>
      </w:r>
      <w:r>
        <w:rPr>
          <w:szCs w:val="24"/>
        </w:rPr>
        <w:t>economic model included:</w:t>
      </w:r>
    </w:p>
    <w:p w:rsidR="00D2485E" w:rsidRPr="00F85771" w:rsidRDefault="00D2485E" w:rsidP="00D2485E">
      <w:pPr>
        <w:pStyle w:val="ListParagraph"/>
        <w:numPr>
          <w:ilvl w:val="0"/>
          <w:numId w:val="28"/>
        </w:numPr>
        <w:tabs>
          <w:tab w:val="left" w:pos="720"/>
        </w:tabs>
        <w:rPr>
          <w:szCs w:val="24"/>
        </w:rPr>
      </w:pPr>
      <w:r w:rsidRPr="00F85771">
        <w:rPr>
          <w:szCs w:val="24"/>
        </w:rPr>
        <w:t xml:space="preserve">Revised estimate for clinical inputs following quality assessment and </w:t>
      </w:r>
      <w:r w:rsidR="00BD3CE4">
        <w:rPr>
          <w:szCs w:val="24"/>
        </w:rPr>
        <w:t xml:space="preserve">error </w:t>
      </w:r>
      <w:r w:rsidRPr="00F85771">
        <w:rPr>
          <w:szCs w:val="24"/>
        </w:rPr>
        <w:t>correction</w:t>
      </w:r>
      <w:r>
        <w:rPr>
          <w:szCs w:val="24"/>
        </w:rPr>
        <w:t>;</w:t>
      </w:r>
    </w:p>
    <w:p w:rsidR="00D2485E" w:rsidRPr="00F85771" w:rsidRDefault="00D2485E" w:rsidP="00D2485E">
      <w:pPr>
        <w:pStyle w:val="ListParagraph"/>
        <w:numPr>
          <w:ilvl w:val="0"/>
          <w:numId w:val="28"/>
        </w:numPr>
        <w:tabs>
          <w:tab w:val="left" w:pos="720"/>
        </w:tabs>
        <w:rPr>
          <w:szCs w:val="24"/>
        </w:rPr>
      </w:pPr>
      <w:r w:rsidRPr="00F85771">
        <w:rPr>
          <w:szCs w:val="24"/>
        </w:rPr>
        <w:t>New proposed MBS fees for CyberKnife</w:t>
      </w:r>
      <w:r>
        <w:rPr>
          <w:szCs w:val="24"/>
        </w:rPr>
        <w:t>; and</w:t>
      </w:r>
    </w:p>
    <w:p w:rsidR="00D2485E" w:rsidRPr="00F85771" w:rsidRDefault="00D2485E" w:rsidP="00D2485E">
      <w:pPr>
        <w:pStyle w:val="ListParagraph"/>
        <w:numPr>
          <w:ilvl w:val="0"/>
          <w:numId w:val="28"/>
        </w:numPr>
        <w:tabs>
          <w:tab w:val="left" w:pos="720"/>
        </w:tabs>
        <w:rPr>
          <w:szCs w:val="24"/>
        </w:rPr>
      </w:pPr>
      <w:r w:rsidRPr="00F85771">
        <w:rPr>
          <w:szCs w:val="24"/>
        </w:rPr>
        <w:t>Addition of ROHPG fees for all radiotherapy modalities.</w:t>
      </w:r>
    </w:p>
    <w:p w:rsidR="00D2485E" w:rsidRDefault="00D2485E" w:rsidP="00D2485E">
      <w:pPr>
        <w:tabs>
          <w:tab w:val="left" w:pos="720"/>
        </w:tabs>
        <w:rPr>
          <w:szCs w:val="24"/>
        </w:rPr>
      </w:pPr>
    </w:p>
    <w:p w:rsidR="00D2485E" w:rsidRPr="001D48EA" w:rsidRDefault="00D2485E" w:rsidP="00D2485E">
      <w:pPr>
        <w:pStyle w:val="Caption"/>
        <w:spacing w:after="0"/>
        <w:ind w:left="0" w:firstLine="0"/>
        <w:jc w:val="left"/>
        <w:rPr>
          <w:szCs w:val="24"/>
        </w:rPr>
      </w:pPr>
      <w:r w:rsidRPr="00B47CDE">
        <w:rPr>
          <w:rFonts w:ascii="Times New Roman" w:hAnsi="Times New Roman" w:cs="Times New Roman"/>
          <w:b w:val="0"/>
          <w:sz w:val="24"/>
          <w:szCs w:val="24"/>
        </w:rPr>
        <w:lastRenderedPageBreak/>
        <w:t>The revised base case analysis included small increases in the total</w:t>
      </w:r>
      <w:r w:rsidR="000F070E">
        <w:rPr>
          <w:rFonts w:ascii="Times New Roman" w:hAnsi="Times New Roman" w:cs="Times New Roman"/>
          <w:b w:val="0"/>
          <w:sz w:val="24"/>
          <w:szCs w:val="24"/>
        </w:rPr>
        <w:t xml:space="preserve"> cost for all three modalities.</w:t>
      </w:r>
      <w:r w:rsidRPr="00B47CDE">
        <w:rPr>
          <w:rFonts w:ascii="Times New Roman" w:hAnsi="Times New Roman" w:cs="Times New Roman"/>
          <w:b w:val="0"/>
          <w:sz w:val="24"/>
          <w:szCs w:val="24"/>
        </w:rPr>
        <w:br/>
      </w:r>
    </w:p>
    <w:p w:rsidR="00D2485E" w:rsidRDefault="00D2485E" w:rsidP="00D2485E">
      <w:pPr>
        <w:pStyle w:val="Caption"/>
        <w:ind w:hanging="1741"/>
      </w:pPr>
      <w:bookmarkStart w:id="13" w:name="_Ref431303990"/>
      <w:bookmarkStart w:id="14" w:name="_Ref431303974"/>
      <w:bookmarkStart w:id="15" w:name="Table4"/>
      <w:r>
        <w:t xml:space="preserve">Table </w:t>
      </w:r>
      <w:bookmarkEnd w:id="13"/>
      <w:r w:rsidR="00A320B2">
        <w:t>5</w:t>
      </w:r>
      <w:r>
        <w:t xml:space="preserve">: </w:t>
      </w:r>
      <w:r w:rsidRPr="003C63A3">
        <w:t>Results of the respecified economic evaluation in the Formal Response</w:t>
      </w:r>
      <w:bookmarkEnd w:id="1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sults of the economic evaluation "/>
      </w:tblPr>
      <w:tblGrid>
        <w:gridCol w:w="1701"/>
        <w:gridCol w:w="1379"/>
        <w:gridCol w:w="1725"/>
        <w:gridCol w:w="1667"/>
        <w:gridCol w:w="1386"/>
        <w:gridCol w:w="1384"/>
      </w:tblGrid>
      <w:tr w:rsidR="00D2485E" w:rsidRPr="006B6F55" w:rsidTr="00D2485E">
        <w:trPr>
          <w:cantSplit/>
          <w:tblHeader/>
        </w:trPr>
        <w:tc>
          <w:tcPr>
            <w:tcW w:w="920" w:type="pct"/>
          </w:tcPr>
          <w:bookmarkEnd w:id="15"/>
          <w:p w:rsidR="00D2485E" w:rsidRDefault="00D2485E" w:rsidP="00D2485E">
            <w:pPr>
              <w:pStyle w:val="Tabletextboldleft"/>
              <w:rPr>
                <w:sz w:val="24"/>
                <w:szCs w:val="24"/>
              </w:rPr>
            </w:pPr>
            <w:r>
              <w:t>Outcome</w:t>
            </w:r>
          </w:p>
        </w:tc>
        <w:tc>
          <w:tcPr>
            <w:tcW w:w="746" w:type="pct"/>
            <w:vAlign w:val="bottom"/>
          </w:tcPr>
          <w:p w:rsidR="00D2485E" w:rsidRPr="004817EA" w:rsidRDefault="00D2485E" w:rsidP="00D2485E">
            <w:pPr>
              <w:pStyle w:val="Tabletextbold"/>
              <w:rPr>
                <w:szCs w:val="24"/>
              </w:rPr>
            </w:pPr>
            <w:r w:rsidRPr="004817EA">
              <w:rPr>
                <w:szCs w:val="24"/>
              </w:rPr>
              <w:t>CyberKnife</w:t>
            </w:r>
          </w:p>
        </w:tc>
        <w:tc>
          <w:tcPr>
            <w:tcW w:w="933" w:type="pct"/>
            <w:vAlign w:val="bottom"/>
          </w:tcPr>
          <w:p w:rsidR="00D2485E" w:rsidRPr="004817EA" w:rsidRDefault="00D2485E" w:rsidP="00D2485E">
            <w:pPr>
              <w:pStyle w:val="Tabletextbold"/>
              <w:rPr>
                <w:szCs w:val="24"/>
              </w:rPr>
            </w:pPr>
            <w:r w:rsidRPr="004817EA">
              <w:rPr>
                <w:szCs w:val="24"/>
              </w:rPr>
              <w:t>IMRT</w:t>
            </w:r>
          </w:p>
        </w:tc>
        <w:tc>
          <w:tcPr>
            <w:tcW w:w="902" w:type="pct"/>
            <w:vAlign w:val="bottom"/>
          </w:tcPr>
          <w:p w:rsidR="00D2485E" w:rsidRPr="004817EA" w:rsidRDefault="00D2485E" w:rsidP="00D2485E">
            <w:pPr>
              <w:pStyle w:val="Tabletextbold"/>
              <w:rPr>
                <w:szCs w:val="24"/>
              </w:rPr>
            </w:pPr>
            <w:r>
              <w:rPr>
                <w:szCs w:val="24"/>
              </w:rPr>
              <w:t>Incremental</w:t>
            </w:r>
          </w:p>
        </w:tc>
        <w:tc>
          <w:tcPr>
            <w:tcW w:w="750" w:type="pct"/>
          </w:tcPr>
          <w:p w:rsidR="00D2485E" w:rsidRPr="006B6F55" w:rsidRDefault="00D2485E" w:rsidP="00D2485E">
            <w:pPr>
              <w:pStyle w:val="Tabletextbold"/>
            </w:pPr>
            <w:r w:rsidRPr="004817EA">
              <w:rPr>
                <w:szCs w:val="24"/>
              </w:rPr>
              <w:t>3DCRT</w:t>
            </w:r>
          </w:p>
        </w:tc>
        <w:tc>
          <w:tcPr>
            <w:tcW w:w="749" w:type="pct"/>
          </w:tcPr>
          <w:p w:rsidR="00D2485E" w:rsidRPr="006B6F55" w:rsidRDefault="00D2485E" w:rsidP="00D2485E">
            <w:pPr>
              <w:pStyle w:val="Tabletextbold"/>
            </w:pPr>
            <w:r>
              <w:rPr>
                <w:szCs w:val="24"/>
              </w:rPr>
              <w:t>Incremental</w:t>
            </w:r>
          </w:p>
        </w:tc>
      </w:tr>
      <w:tr w:rsidR="00D2485E" w:rsidRPr="006B6F55" w:rsidTr="00D2485E">
        <w:trPr>
          <w:cantSplit/>
        </w:trPr>
        <w:tc>
          <w:tcPr>
            <w:tcW w:w="920" w:type="pct"/>
          </w:tcPr>
          <w:p w:rsidR="00D2485E" w:rsidRDefault="00D2485E" w:rsidP="006F3896">
            <w:pPr>
              <w:pStyle w:val="Tabletext"/>
              <w:spacing w:before="0" w:after="0"/>
              <w:rPr>
                <w:sz w:val="24"/>
              </w:rPr>
            </w:pPr>
            <w:r w:rsidRPr="006B6F55">
              <w:t>Costs</w:t>
            </w:r>
            <w:r w:rsidRPr="00EE20F8">
              <w:rPr>
                <w:color w:val="FF0000"/>
              </w:rPr>
              <w:t xml:space="preserve"> </w:t>
            </w:r>
          </w:p>
        </w:tc>
        <w:tc>
          <w:tcPr>
            <w:tcW w:w="746" w:type="pct"/>
          </w:tcPr>
          <w:p w:rsidR="00D2485E" w:rsidRPr="00B47CDE" w:rsidRDefault="00D2485E" w:rsidP="00D2485E">
            <w:pPr>
              <w:pStyle w:val="Tabletextcentred"/>
              <w:rPr>
                <w:strike/>
              </w:rPr>
            </w:pPr>
            <w:r w:rsidRPr="00B47CDE">
              <w:rPr>
                <w:strike/>
              </w:rPr>
              <w:t>$26,619</w:t>
            </w:r>
          </w:p>
          <w:p w:rsidR="00D2485E" w:rsidRPr="00EE20F8" w:rsidRDefault="00D2485E" w:rsidP="00D2485E">
            <w:pPr>
              <w:pStyle w:val="Tabletextcentred"/>
            </w:pPr>
            <w:r w:rsidRPr="00EE20F8">
              <w:rPr>
                <w:color w:val="FF0000"/>
              </w:rPr>
              <w:t>$27,536</w:t>
            </w:r>
          </w:p>
        </w:tc>
        <w:tc>
          <w:tcPr>
            <w:tcW w:w="933" w:type="pct"/>
          </w:tcPr>
          <w:p w:rsidR="00D2485E" w:rsidRPr="00B47CDE" w:rsidRDefault="00D2485E" w:rsidP="00D2485E">
            <w:pPr>
              <w:pStyle w:val="Tabletextcentred"/>
              <w:rPr>
                <w:strike/>
              </w:rPr>
            </w:pPr>
            <w:r w:rsidRPr="00B47CDE">
              <w:rPr>
                <w:strike/>
              </w:rPr>
              <w:t>$30,345</w:t>
            </w:r>
          </w:p>
          <w:p w:rsidR="00D2485E" w:rsidRPr="00EE20F8" w:rsidRDefault="00D2485E" w:rsidP="00D2485E">
            <w:pPr>
              <w:pStyle w:val="Tabletextcentred"/>
              <w:rPr>
                <w:color w:val="FF0000"/>
              </w:rPr>
            </w:pPr>
            <w:r w:rsidRPr="00EE20F8">
              <w:rPr>
                <w:color w:val="FF0000"/>
              </w:rPr>
              <w:t>$30,687</w:t>
            </w:r>
          </w:p>
        </w:tc>
        <w:tc>
          <w:tcPr>
            <w:tcW w:w="902" w:type="pct"/>
          </w:tcPr>
          <w:p w:rsidR="00D2485E" w:rsidRPr="00B47CDE" w:rsidRDefault="00D2485E" w:rsidP="00D2485E">
            <w:pPr>
              <w:pStyle w:val="Tabletextcentred"/>
              <w:rPr>
                <w:strike/>
              </w:rPr>
            </w:pPr>
            <w:r w:rsidRPr="00B47CDE">
              <w:rPr>
                <w:strike/>
              </w:rPr>
              <w:t>-$3,726</w:t>
            </w:r>
          </w:p>
          <w:p w:rsidR="00D2485E" w:rsidRPr="00EE20F8" w:rsidRDefault="00D2485E" w:rsidP="00D2485E">
            <w:pPr>
              <w:pStyle w:val="Tabletextcentred"/>
              <w:rPr>
                <w:color w:val="FF0000"/>
              </w:rPr>
            </w:pPr>
            <w:r w:rsidRPr="00EE20F8">
              <w:rPr>
                <w:color w:val="FF0000"/>
              </w:rPr>
              <w:t>-$3,151</w:t>
            </w:r>
          </w:p>
        </w:tc>
        <w:tc>
          <w:tcPr>
            <w:tcW w:w="750" w:type="pct"/>
          </w:tcPr>
          <w:p w:rsidR="00D2485E" w:rsidRPr="00B47CDE" w:rsidRDefault="00D2485E" w:rsidP="00D2485E">
            <w:pPr>
              <w:pStyle w:val="Tabletextcentred"/>
              <w:rPr>
                <w:strike/>
              </w:rPr>
            </w:pPr>
            <w:r w:rsidRPr="00B47CDE">
              <w:rPr>
                <w:strike/>
              </w:rPr>
              <w:t>$34,157</w:t>
            </w:r>
          </w:p>
          <w:p w:rsidR="00D2485E" w:rsidRPr="00EE20F8" w:rsidRDefault="00D2485E" w:rsidP="00D2485E">
            <w:pPr>
              <w:pStyle w:val="Tabletextcentred"/>
              <w:rPr>
                <w:color w:val="FF0000"/>
              </w:rPr>
            </w:pPr>
            <w:r w:rsidRPr="00EE20F8">
              <w:rPr>
                <w:color w:val="FF0000"/>
              </w:rPr>
              <w:t>$35,258</w:t>
            </w:r>
          </w:p>
        </w:tc>
        <w:tc>
          <w:tcPr>
            <w:tcW w:w="749" w:type="pct"/>
          </w:tcPr>
          <w:p w:rsidR="00D2485E" w:rsidRPr="00B47CDE" w:rsidRDefault="00D2485E" w:rsidP="00D2485E">
            <w:pPr>
              <w:pStyle w:val="Tabletextcentred"/>
              <w:rPr>
                <w:strike/>
              </w:rPr>
            </w:pPr>
            <w:r w:rsidRPr="00B47CDE">
              <w:rPr>
                <w:strike/>
              </w:rPr>
              <w:t>-$7,538</w:t>
            </w:r>
          </w:p>
          <w:p w:rsidR="00D2485E" w:rsidRPr="00EE20F8" w:rsidRDefault="00D2485E" w:rsidP="00D2485E">
            <w:pPr>
              <w:pStyle w:val="Tabletextcentred"/>
              <w:rPr>
                <w:color w:val="FF0000"/>
              </w:rPr>
            </w:pPr>
            <w:r w:rsidRPr="00EE20F8">
              <w:rPr>
                <w:color w:val="FF0000"/>
              </w:rPr>
              <w:t>-$7,722</w:t>
            </w:r>
          </w:p>
        </w:tc>
      </w:tr>
      <w:tr w:rsidR="00D2485E" w:rsidRPr="006B6F55" w:rsidTr="00D2485E">
        <w:trPr>
          <w:cantSplit/>
        </w:trPr>
        <w:tc>
          <w:tcPr>
            <w:tcW w:w="920" w:type="pct"/>
          </w:tcPr>
          <w:p w:rsidR="00D2485E" w:rsidRPr="00EE20F8" w:rsidRDefault="00D2485E" w:rsidP="00D2485E">
            <w:pPr>
              <w:pStyle w:val="Tabletext"/>
              <w:spacing w:before="0" w:after="0"/>
            </w:pPr>
            <w:r>
              <w:t xml:space="preserve">QALYs </w:t>
            </w:r>
          </w:p>
        </w:tc>
        <w:tc>
          <w:tcPr>
            <w:tcW w:w="746" w:type="pct"/>
          </w:tcPr>
          <w:p w:rsidR="00D2485E" w:rsidRPr="00B47CDE" w:rsidRDefault="00D2485E" w:rsidP="00D2485E">
            <w:pPr>
              <w:pStyle w:val="Tabletextcentred"/>
              <w:rPr>
                <w:strike/>
              </w:rPr>
            </w:pPr>
            <w:r w:rsidRPr="00B47CDE">
              <w:rPr>
                <w:strike/>
              </w:rPr>
              <w:t>4.436</w:t>
            </w:r>
          </w:p>
          <w:p w:rsidR="00D2485E" w:rsidRPr="00EE20F8" w:rsidRDefault="00D2485E" w:rsidP="00D2485E">
            <w:pPr>
              <w:pStyle w:val="Tabletextcentred"/>
              <w:rPr>
                <w:color w:val="FF0000"/>
              </w:rPr>
            </w:pPr>
            <w:r w:rsidRPr="00EE20F8">
              <w:rPr>
                <w:color w:val="FF0000"/>
              </w:rPr>
              <w:t>4.333</w:t>
            </w:r>
          </w:p>
        </w:tc>
        <w:tc>
          <w:tcPr>
            <w:tcW w:w="933" w:type="pct"/>
          </w:tcPr>
          <w:p w:rsidR="00D2485E" w:rsidRPr="00B47CDE" w:rsidRDefault="00D2485E" w:rsidP="00D2485E">
            <w:pPr>
              <w:pStyle w:val="Tabletextcentred"/>
              <w:rPr>
                <w:strike/>
              </w:rPr>
            </w:pPr>
            <w:r w:rsidRPr="00B47CDE">
              <w:rPr>
                <w:strike/>
              </w:rPr>
              <w:t>3.801</w:t>
            </w:r>
          </w:p>
          <w:p w:rsidR="00D2485E" w:rsidRPr="00EE20F8" w:rsidRDefault="00D2485E" w:rsidP="00D2485E">
            <w:pPr>
              <w:pStyle w:val="Tabletextcentred"/>
              <w:rPr>
                <w:color w:val="FF0000"/>
              </w:rPr>
            </w:pPr>
            <w:r w:rsidRPr="00EE20F8">
              <w:rPr>
                <w:color w:val="FF0000"/>
              </w:rPr>
              <w:t>4.070</w:t>
            </w:r>
          </w:p>
        </w:tc>
        <w:tc>
          <w:tcPr>
            <w:tcW w:w="902" w:type="pct"/>
          </w:tcPr>
          <w:p w:rsidR="00D2485E" w:rsidRPr="00B47CDE" w:rsidRDefault="00D2485E" w:rsidP="00D2485E">
            <w:pPr>
              <w:pStyle w:val="Tabletextcentred"/>
              <w:rPr>
                <w:strike/>
              </w:rPr>
            </w:pPr>
            <w:r w:rsidRPr="00B47CDE">
              <w:rPr>
                <w:strike/>
              </w:rPr>
              <w:t>-0.634</w:t>
            </w:r>
          </w:p>
          <w:p w:rsidR="00D2485E" w:rsidRPr="00EE20F8" w:rsidRDefault="00D2485E" w:rsidP="00D2485E">
            <w:pPr>
              <w:pStyle w:val="Tabletextcentred"/>
              <w:rPr>
                <w:color w:val="FF0000"/>
              </w:rPr>
            </w:pPr>
            <w:r w:rsidRPr="00EE20F8">
              <w:rPr>
                <w:color w:val="FF0000"/>
              </w:rPr>
              <w:t>-0.263</w:t>
            </w:r>
          </w:p>
        </w:tc>
        <w:tc>
          <w:tcPr>
            <w:tcW w:w="750" w:type="pct"/>
          </w:tcPr>
          <w:p w:rsidR="00D2485E" w:rsidRPr="00B47CDE" w:rsidRDefault="00D2485E" w:rsidP="00D2485E">
            <w:pPr>
              <w:pStyle w:val="Tabletextcentred"/>
              <w:rPr>
                <w:strike/>
              </w:rPr>
            </w:pPr>
            <w:r w:rsidRPr="00B47CDE">
              <w:rPr>
                <w:strike/>
              </w:rPr>
              <w:t>2.653</w:t>
            </w:r>
          </w:p>
          <w:p w:rsidR="00D2485E" w:rsidRPr="00EE20F8" w:rsidRDefault="00D2485E" w:rsidP="00D2485E">
            <w:pPr>
              <w:pStyle w:val="Tabletextcentred"/>
              <w:rPr>
                <w:color w:val="FF0000"/>
              </w:rPr>
            </w:pPr>
            <w:r w:rsidRPr="00EE20F8">
              <w:rPr>
                <w:color w:val="FF0000"/>
              </w:rPr>
              <w:t>2.653</w:t>
            </w:r>
          </w:p>
        </w:tc>
        <w:tc>
          <w:tcPr>
            <w:tcW w:w="749" w:type="pct"/>
          </w:tcPr>
          <w:p w:rsidR="00D2485E" w:rsidRDefault="00D2485E" w:rsidP="00D2485E">
            <w:pPr>
              <w:pStyle w:val="Tabletextcentred"/>
            </w:pPr>
            <w:r>
              <w:t>-</w:t>
            </w:r>
            <w:r w:rsidRPr="00B47CDE">
              <w:rPr>
                <w:strike/>
              </w:rPr>
              <w:t>1.782</w:t>
            </w:r>
          </w:p>
          <w:p w:rsidR="00D2485E" w:rsidRPr="00EE20F8" w:rsidRDefault="00D2485E" w:rsidP="00D2485E">
            <w:pPr>
              <w:pStyle w:val="Tabletextcentred"/>
              <w:rPr>
                <w:color w:val="FF0000"/>
              </w:rPr>
            </w:pPr>
            <w:r w:rsidRPr="00EE20F8">
              <w:rPr>
                <w:color w:val="FF0000"/>
              </w:rPr>
              <w:t>-1.680</w:t>
            </w:r>
          </w:p>
        </w:tc>
      </w:tr>
      <w:tr w:rsidR="00D2485E" w:rsidRPr="006B6F55" w:rsidTr="00D2485E">
        <w:trPr>
          <w:cantSplit/>
        </w:trPr>
        <w:tc>
          <w:tcPr>
            <w:tcW w:w="920" w:type="pct"/>
          </w:tcPr>
          <w:p w:rsidR="00D2485E" w:rsidRDefault="00D2485E" w:rsidP="00D2485E">
            <w:pPr>
              <w:pStyle w:val="Tabletextboldleft"/>
              <w:rPr>
                <w:sz w:val="24"/>
                <w:szCs w:val="24"/>
              </w:rPr>
            </w:pPr>
            <w:r>
              <w:t>ICER</w:t>
            </w:r>
            <w:r w:rsidRPr="006B6F55">
              <w:t xml:space="preserve"> </w:t>
            </w:r>
          </w:p>
        </w:tc>
        <w:tc>
          <w:tcPr>
            <w:tcW w:w="746" w:type="pct"/>
          </w:tcPr>
          <w:p w:rsidR="00D2485E" w:rsidRDefault="00D2485E" w:rsidP="00D2485E">
            <w:pPr>
              <w:pStyle w:val="Tabletextboldleft"/>
              <w:rPr>
                <w:sz w:val="24"/>
                <w:szCs w:val="24"/>
              </w:rPr>
            </w:pPr>
            <w:r>
              <w:rPr>
                <w:sz w:val="24"/>
                <w:szCs w:val="24"/>
              </w:rPr>
              <w:t>-</w:t>
            </w:r>
          </w:p>
        </w:tc>
        <w:tc>
          <w:tcPr>
            <w:tcW w:w="933" w:type="pct"/>
          </w:tcPr>
          <w:p w:rsidR="00D2485E" w:rsidRDefault="00D2485E" w:rsidP="00D2485E">
            <w:pPr>
              <w:pStyle w:val="Tabletextboldleft"/>
              <w:rPr>
                <w:sz w:val="24"/>
                <w:szCs w:val="24"/>
              </w:rPr>
            </w:pPr>
            <w:r>
              <w:rPr>
                <w:sz w:val="24"/>
                <w:szCs w:val="24"/>
              </w:rPr>
              <w:t>-</w:t>
            </w:r>
          </w:p>
        </w:tc>
        <w:tc>
          <w:tcPr>
            <w:tcW w:w="902" w:type="pct"/>
          </w:tcPr>
          <w:p w:rsidR="00D2485E" w:rsidRDefault="00D2485E" w:rsidP="00D2485E">
            <w:pPr>
              <w:pStyle w:val="Tabletextbold"/>
              <w:rPr>
                <w:sz w:val="24"/>
                <w:szCs w:val="24"/>
              </w:rPr>
            </w:pPr>
            <w:r>
              <w:t>Dominated</w:t>
            </w:r>
          </w:p>
        </w:tc>
        <w:tc>
          <w:tcPr>
            <w:tcW w:w="750" w:type="pct"/>
          </w:tcPr>
          <w:p w:rsidR="00D2485E" w:rsidRPr="006B6F55" w:rsidRDefault="00D2485E" w:rsidP="00D2485E">
            <w:pPr>
              <w:pStyle w:val="Tabletextbold"/>
            </w:pPr>
            <w:r>
              <w:t>-</w:t>
            </w:r>
          </w:p>
        </w:tc>
        <w:tc>
          <w:tcPr>
            <w:tcW w:w="749" w:type="pct"/>
          </w:tcPr>
          <w:p w:rsidR="00D2485E" w:rsidRPr="006B6F55" w:rsidRDefault="00D2485E" w:rsidP="00D2485E">
            <w:pPr>
              <w:pStyle w:val="Tabletextbold"/>
            </w:pPr>
            <w:r>
              <w:t>Dominated</w:t>
            </w:r>
          </w:p>
        </w:tc>
      </w:tr>
    </w:tbl>
    <w:p w:rsidR="00D2485E" w:rsidRDefault="00D2485E" w:rsidP="00D2485E">
      <w:pPr>
        <w:pStyle w:val="Tablecaption"/>
      </w:pPr>
      <w:r>
        <w:t xml:space="preserve">Abbreviations: ICER = </w:t>
      </w:r>
      <w:r w:rsidRPr="00D945CB">
        <w:t>Incremental cost-</w:t>
      </w:r>
      <w:r w:rsidRPr="00EB5BB8">
        <w:t>effectiveness</w:t>
      </w:r>
      <w:r w:rsidRPr="00D945CB">
        <w:t xml:space="preserve"> ratio</w:t>
      </w:r>
      <w:r>
        <w:t>; QALY = Quality-adjusted life-years.</w:t>
      </w:r>
    </w:p>
    <w:p w:rsidR="00D2485E" w:rsidRDefault="00D2485E" w:rsidP="00D2485E">
      <w:pPr>
        <w:pStyle w:val="Tablecaption"/>
      </w:pPr>
      <w:r w:rsidRPr="006B6F55">
        <w:t>Source</w:t>
      </w:r>
      <w:r>
        <w:t>s:</w:t>
      </w:r>
      <w:r w:rsidRPr="00C80684">
        <w:t xml:space="preserve"> </w:t>
      </w:r>
      <w:r w:rsidRPr="006B6F55">
        <w:t>p</w:t>
      </w:r>
      <w:r>
        <w:t xml:space="preserve">g. 84 of the October 2014 submission &amp; </w:t>
      </w:r>
      <w:r w:rsidRPr="006B6F55">
        <w:t>p</w:t>
      </w:r>
      <w:r>
        <w:t xml:space="preserve">g. 27 of the Addendum </w:t>
      </w:r>
      <w:r w:rsidRPr="00EB5BB8">
        <w:t>document</w:t>
      </w:r>
    </w:p>
    <w:p w:rsidR="00D2485E" w:rsidRDefault="00D2485E" w:rsidP="00D2485E">
      <w:pPr>
        <w:tabs>
          <w:tab w:val="left" w:pos="720"/>
        </w:tabs>
        <w:rPr>
          <w:szCs w:val="24"/>
        </w:rPr>
      </w:pPr>
    </w:p>
    <w:p w:rsidR="00D2485E" w:rsidRPr="00F85771" w:rsidRDefault="00B04FB4" w:rsidP="00D2485E">
      <w:pPr>
        <w:tabs>
          <w:tab w:val="left" w:pos="720"/>
        </w:tabs>
        <w:rPr>
          <w:szCs w:val="24"/>
        </w:rPr>
      </w:pPr>
      <w:r>
        <w:rPr>
          <w:szCs w:val="24"/>
        </w:rPr>
        <w:t xml:space="preserve">MSAC agreed </w:t>
      </w:r>
      <w:r w:rsidR="00D2485E">
        <w:rPr>
          <w:szCs w:val="24"/>
        </w:rPr>
        <w:t xml:space="preserve">that there was no change to the </w:t>
      </w:r>
      <w:r>
        <w:rPr>
          <w:szCs w:val="24"/>
        </w:rPr>
        <w:t xml:space="preserve">outcome </w:t>
      </w:r>
      <w:r w:rsidR="00D2485E">
        <w:rPr>
          <w:szCs w:val="24"/>
        </w:rPr>
        <w:t>for 3DCRT</w:t>
      </w:r>
      <w:r w:rsidR="00D2485E" w:rsidRPr="00F85771">
        <w:t xml:space="preserve"> </w:t>
      </w:r>
      <w:r w:rsidR="00D2485E">
        <w:t>i</w:t>
      </w:r>
      <w:r w:rsidR="00D2485E" w:rsidRPr="00F85771">
        <w:t>n the revised probabilistic sensitivity analysis</w:t>
      </w:r>
      <w:r>
        <w:t xml:space="preserve"> and that </w:t>
      </w:r>
      <w:r w:rsidR="00D2485E">
        <w:rPr>
          <w:szCs w:val="24"/>
        </w:rPr>
        <w:t>3DCRT was</w:t>
      </w:r>
      <w:r w:rsidR="00D2485E" w:rsidRPr="00F85771">
        <w:rPr>
          <w:szCs w:val="24"/>
        </w:rPr>
        <w:t xml:space="preserve"> </w:t>
      </w:r>
      <w:r>
        <w:rPr>
          <w:szCs w:val="24"/>
        </w:rPr>
        <w:t>un</w:t>
      </w:r>
      <w:r w:rsidR="00D2485E" w:rsidRPr="00F85771">
        <w:rPr>
          <w:szCs w:val="24"/>
        </w:rPr>
        <w:t>likely to be the preferred option at any willingness</w:t>
      </w:r>
      <w:r>
        <w:rPr>
          <w:szCs w:val="24"/>
        </w:rPr>
        <w:t>-</w:t>
      </w:r>
      <w:r w:rsidR="00D2485E" w:rsidRPr="00F85771">
        <w:rPr>
          <w:szCs w:val="24"/>
        </w:rPr>
        <w:t>to</w:t>
      </w:r>
      <w:r>
        <w:rPr>
          <w:szCs w:val="24"/>
        </w:rPr>
        <w:t>-</w:t>
      </w:r>
      <w:r w:rsidR="00D2485E" w:rsidRPr="00F85771">
        <w:rPr>
          <w:szCs w:val="24"/>
        </w:rPr>
        <w:t xml:space="preserve">pay threshold. </w:t>
      </w:r>
      <w:r>
        <w:rPr>
          <w:szCs w:val="24"/>
        </w:rPr>
        <w:t xml:space="preserve"> However, t</w:t>
      </w:r>
      <w:r w:rsidR="00D2485E" w:rsidRPr="00F85771">
        <w:rPr>
          <w:szCs w:val="24"/>
        </w:rPr>
        <w:t>he results for CyberKnife and IMRT changed considerably</w:t>
      </w:r>
      <w:r w:rsidR="00D2485E">
        <w:rPr>
          <w:szCs w:val="24"/>
        </w:rPr>
        <w:t xml:space="preserve">. </w:t>
      </w:r>
      <w:r w:rsidR="00D2485E" w:rsidRPr="00F85771">
        <w:rPr>
          <w:szCs w:val="24"/>
        </w:rPr>
        <w:t xml:space="preserve">CyberKnife </w:t>
      </w:r>
      <w:r w:rsidR="00D2485E">
        <w:rPr>
          <w:szCs w:val="24"/>
        </w:rPr>
        <w:t xml:space="preserve">was </w:t>
      </w:r>
      <w:r w:rsidR="00D2485E" w:rsidRPr="00F85771">
        <w:rPr>
          <w:szCs w:val="24"/>
        </w:rPr>
        <w:t>only slightly more likely to be preferred over a wide range of thresholds</w:t>
      </w:r>
      <w:r>
        <w:rPr>
          <w:szCs w:val="24"/>
        </w:rPr>
        <w:t xml:space="preserve"> compared to IMRT </w:t>
      </w:r>
      <w:r w:rsidRPr="00F85771">
        <w:rPr>
          <w:szCs w:val="24"/>
        </w:rPr>
        <w:t>(53% vs. 47%</w:t>
      </w:r>
      <w:r>
        <w:rPr>
          <w:szCs w:val="24"/>
        </w:rPr>
        <w:t xml:space="preserve"> respectively</w:t>
      </w:r>
      <w:r w:rsidRPr="00F85771">
        <w:rPr>
          <w:szCs w:val="24"/>
        </w:rPr>
        <w:t>)</w:t>
      </w:r>
      <w:r w:rsidR="006F3896">
        <w:rPr>
          <w:szCs w:val="24"/>
        </w:rPr>
        <w:t>.</w:t>
      </w:r>
    </w:p>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D2485E" w:rsidRPr="001D48EA" w:rsidRDefault="008D0FE0" w:rsidP="00A320B2">
      <w:pPr>
        <w:pStyle w:val="Caption"/>
        <w:ind w:left="0" w:firstLine="0"/>
        <w:rPr>
          <w:szCs w:val="24"/>
        </w:rPr>
      </w:pPr>
      <w:r>
        <w:rPr>
          <w:rFonts w:ascii="Times New Roman" w:hAnsi="Times New Roman" w:cs="Times New Roman"/>
          <w:b w:val="0"/>
          <w:sz w:val="24"/>
          <w:szCs w:val="24"/>
        </w:rPr>
        <w:t>MSAC noted the</w:t>
      </w:r>
      <w:r w:rsidR="00D2485E" w:rsidRPr="0049560A">
        <w:rPr>
          <w:rFonts w:ascii="Times New Roman" w:hAnsi="Times New Roman" w:cs="Times New Roman"/>
          <w:b w:val="0"/>
          <w:sz w:val="24"/>
          <w:szCs w:val="24"/>
        </w:rPr>
        <w:t xml:space="preserve"> revised financial impact</w:t>
      </w:r>
      <w:r w:rsidR="00D2485E">
        <w:rPr>
          <w:rFonts w:ascii="Times New Roman" w:hAnsi="Times New Roman" w:cs="Times New Roman"/>
          <w:b w:val="0"/>
          <w:sz w:val="24"/>
          <w:szCs w:val="24"/>
        </w:rPr>
        <w:t xml:space="preserve"> of CyberKnife</w:t>
      </w:r>
      <w:r w:rsidR="00D2485E" w:rsidRPr="0049560A">
        <w:rPr>
          <w:rFonts w:ascii="Times New Roman" w:hAnsi="Times New Roman" w:cs="Times New Roman"/>
          <w:b w:val="0"/>
          <w:sz w:val="24"/>
          <w:szCs w:val="24"/>
        </w:rPr>
        <w:t xml:space="preserve"> </w:t>
      </w:r>
      <w:r>
        <w:rPr>
          <w:rFonts w:ascii="Times New Roman" w:hAnsi="Times New Roman" w:cs="Times New Roman"/>
          <w:b w:val="0"/>
          <w:sz w:val="24"/>
          <w:szCs w:val="24"/>
        </w:rPr>
        <w:t>which</w:t>
      </w:r>
      <w:r w:rsidRPr="0049560A">
        <w:rPr>
          <w:rFonts w:ascii="Times New Roman" w:hAnsi="Times New Roman" w:cs="Times New Roman"/>
          <w:b w:val="0"/>
          <w:sz w:val="24"/>
          <w:szCs w:val="24"/>
        </w:rPr>
        <w:t xml:space="preserve"> </w:t>
      </w:r>
      <w:r w:rsidR="00D2485E" w:rsidRPr="0049560A">
        <w:rPr>
          <w:rFonts w:ascii="Times New Roman" w:hAnsi="Times New Roman" w:cs="Times New Roman"/>
          <w:b w:val="0"/>
          <w:sz w:val="24"/>
          <w:szCs w:val="24"/>
        </w:rPr>
        <w:t>incorporat</w:t>
      </w:r>
      <w:r>
        <w:rPr>
          <w:rFonts w:ascii="Times New Roman" w:hAnsi="Times New Roman" w:cs="Times New Roman"/>
          <w:b w:val="0"/>
          <w:sz w:val="24"/>
          <w:szCs w:val="24"/>
        </w:rPr>
        <w:t>ed</w:t>
      </w:r>
      <w:r w:rsidR="00D2485E" w:rsidRPr="0049560A">
        <w:rPr>
          <w:rFonts w:ascii="Times New Roman" w:hAnsi="Times New Roman" w:cs="Times New Roman"/>
          <w:b w:val="0"/>
          <w:sz w:val="24"/>
          <w:szCs w:val="24"/>
        </w:rPr>
        <w:t xml:space="preserve"> changes to the proposed fee for treatment and includ</w:t>
      </w:r>
      <w:r>
        <w:rPr>
          <w:rFonts w:ascii="Times New Roman" w:hAnsi="Times New Roman" w:cs="Times New Roman"/>
          <w:b w:val="0"/>
          <w:sz w:val="24"/>
          <w:szCs w:val="24"/>
        </w:rPr>
        <w:t>ed</w:t>
      </w:r>
      <w:r w:rsidR="00D2485E" w:rsidRPr="0049560A">
        <w:rPr>
          <w:rFonts w:ascii="Times New Roman" w:hAnsi="Times New Roman" w:cs="Times New Roman"/>
          <w:b w:val="0"/>
          <w:sz w:val="24"/>
          <w:szCs w:val="24"/>
        </w:rPr>
        <w:t xml:space="preserve"> a ROHPG rate of $505.50 per </w:t>
      </w:r>
      <w:r>
        <w:rPr>
          <w:rFonts w:ascii="Times New Roman" w:hAnsi="Times New Roman" w:cs="Times New Roman"/>
          <w:b w:val="0"/>
          <w:sz w:val="24"/>
          <w:szCs w:val="24"/>
        </w:rPr>
        <w:t>attendance</w:t>
      </w:r>
      <w:r w:rsidR="00D2485E" w:rsidRPr="0049560A">
        <w:rPr>
          <w:rFonts w:ascii="Times New Roman" w:hAnsi="Times New Roman" w:cs="Times New Roman"/>
          <w:b w:val="0"/>
          <w:sz w:val="24"/>
          <w:szCs w:val="24"/>
        </w:rPr>
        <w:t xml:space="preserve">. </w:t>
      </w:r>
      <w:r w:rsidR="00BD3CE4">
        <w:rPr>
          <w:rFonts w:ascii="Times New Roman" w:hAnsi="Times New Roman" w:cs="Times New Roman"/>
          <w:b w:val="0"/>
          <w:sz w:val="24"/>
          <w:szCs w:val="24"/>
        </w:rPr>
        <w:t xml:space="preserve"> </w:t>
      </w:r>
      <w:r w:rsidR="00D2485E" w:rsidRPr="0049560A">
        <w:rPr>
          <w:rFonts w:ascii="Times New Roman" w:hAnsi="Times New Roman" w:cs="Times New Roman"/>
          <w:b w:val="0"/>
          <w:sz w:val="24"/>
          <w:szCs w:val="24"/>
        </w:rPr>
        <w:t>The revised cost of CyberKnife treatment, including verification, was estimated to be $700,833 in Year 1, rising to $6,939,525 in Year 5 (</w:t>
      </w:r>
      <w:r w:rsidR="00A320B2">
        <w:rPr>
          <w:rFonts w:ascii="Times New Roman" w:hAnsi="Times New Roman" w:cs="Times New Roman"/>
          <w:b w:val="0"/>
          <w:sz w:val="24"/>
          <w:szCs w:val="24"/>
        </w:rPr>
        <w:t>Table 6</w:t>
      </w:r>
      <w:r w:rsidR="00D2485E" w:rsidRPr="0049560A">
        <w:rPr>
          <w:rFonts w:ascii="Times New Roman" w:hAnsi="Times New Roman" w:cs="Times New Roman"/>
          <w:b w:val="0"/>
          <w:sz w:val="24"/>
          <w:szCs w:val="24"/>
        </w:rPr>
        <w:t xml:space="preserve">). Disaggregated costs for all MBS items associated with the CyberKnife listing </w:t>
      </w:r>
      <w:r w:rsidR="00D2485E" w:rsidRPr="00B47CDE">
        <w:rPr>
          <w:rFonts w:ascii="Times New Roman" w:hAnsi="Times New Roman" w:cs="Times New Roman"/>
          <w:b w:val="0"/>
          <w:sz w:val="24"/>
          <w:szCs w:val="24"/>
        </w:rPr>
        <w:t>(</w:t>
      </w:r>
      <w:r w:rsidR="00A320B2">
        <w:rPr>
          <w:rFonts w:ascii="Times New Roman" w:hAnsi="Times New Roman" w:cs="Times New Roman"/>
          <w:b w:val="0"/>
          <w:sz w:val="24"/>
          <w:szCs w:val="24"/>
        </w:rPr>
        <w:t>7</w:t>
      </w:r>
      <w:r w:rsidR="00D2485E">
        <w:rPr>
          <w:rFonts w:ascii="Times New Roman" w:hAnsi="Times New Roman" w:cs="Times New Roman"/>
          <w:b w:val="0"/>
          <w:sz w:val="24"/>
          <w:szCs w:val="24"/>
        </w:rPr>
        <w:t xml:space="preserve">) showed </w:t>
      </w:r>
      <w:r w:rsidR="00D2485E" w:rsidRPr="00B47CDE">
        <w:rPr>
          <w:rFonts w:ascii="Times New Roman" w:hAnsi="Times New Roman" w:cs="Times New Roman"/>
          <w:b w:val="0"/>
          <w:sz w:val="24"/>
          <w:szCs w:val="24"/>
        </w:rPr>
        <w:t>lower</w:t>
      </w:r>
      <w:r w:rsidR="00D2485E">
        <w:rPr>
          <w:rFonts w:ascii="Times New Roman" w:hAnsi="Times New Roman" w:cs="Times New Roman"/>
          <w:b w:val="0"/>
          <w:sz w:val="24"/>
          <w:szCs w:val="24"/>
        </w:rPr>
        <w:t xml:space="preserve"> costs of </w:t>
      </w:r>
      <w:r w:rsidR="00D2485E" w:rsidRPr="00B47CDE">
        <w:rPr>
          <w:rFonts w:ascii="Times New Roman" w:hAnsi="Times New Roman" w:cs="Times New Roman"/>
          <w:b w:val="0"/>
          <w:sz w:val="24"/>
          <w:szCs w:val="24"/>
        </w:rPr>
        <w:t xml:space="preserve">$572,300 in Year 1 rising to $5,646,692 in Year 4. No reason for the difference in cost </w:t>
      </w:r>
      <w:r w:rsidR="00D2485E">
        <w:rPr>
          <w:rFonts w:ascii="Times New Roman" w:hAnsi="Times New Roman" w:cs="Times New Roman"/>
          <w:b w:val="0"/>
          <w:sz w:val="24"/>
          <w:szCs w:val="24"/>
        </w:rPr>
        <w:t>was provided</w:t>
      </w:r>
      <w:r w:rsidR="00BD3CE4">
        <w:rPr>
          <w:rFonts w:ascii="Times New Roman" w:hAnsi="Times New Roman" w:cs="Times New Roman"/>
          <w:b w:val="0"/>
          <w:sz w:val="24"/>
          <w:szCs w:val="24"/>
        </w:rPr>
        <w:t>, although</w:t>
      </w:r>
      <w:r w:rsidR="00D2485E">
        <w:rPr>
          <w:rFonts w:ascii="Times New Roman" w:hAnsi="Times New Roman" w:cs="Times New Roman"/>
          <w:b w:val="0"/>
          <w:sz w:val="24"/>
          <w:szCs w:val="24"/>
        </w:rPr>
        <w:t xml:space="preserve"> </w:t>
      </w:r>
      <w:r w:rsidR="00D2485E" w:rsidRPr="00B47CDE">
        <w:rPr>
          <w:rFonts w:ascii="Times New Roman" w:hAnsi="Times New Roman" w:cs="Times New Roman"/>
          <w:b w:val="0"/>
          <w:sz w:val="24"/>
          <w:szCs w:val="24"/>
        </w:rPr>
        <w:t xml:space="preserve">the disaggregated costs appeared to exclude ROHPG </w:t>
      </w:r>
      <w:r>
        <w:rPr>
          <w:rFonts w:ascii="Times New Roman" w:hAnsi="Times New Roman" w:cs="Times New Roman"/>
          <w:b w:val="0"/>
          <w:sz w:val="24"/>
          <w:szCs w:val="24"/>
        </w:rPr>
        <w:t>funding</w:t>
      </w:r>
      <w:r w:rsidR="00D2485E" w:rsidRPr="00B47CDE">
        <w:rPr>
          <w:rFonts w:ascii="Times New Roman" w:hAnsi="Times New Roman" w:cs="Times New Roman"/>
          <w:b w:val="0"/>
          <w:sz w:val="24"/>
          <w:szCs w:val="24"/>
        </w:rPr>
        <w:t xml:space="preserve">. </w:t>
      </w:r>
      <w:r w:rsidR="00BD3CE4">
        <w:rPr>
          <w:rFonts w:ascii="Times New Roman" w:hAnsi="Times New Roman" w:cs="Times New Roman"/>
          <w:b w:val="0"/>
          <w:sz w:val="24"/>
          <w:szCs w:val="24"/>
        </w:rPr>
        <w:t xml:space="preserve"> </w:t>
      </w:r>
      <w:r>
        <w:rPr>
          <w:rFonts w:ascii="Times New Roman" w:hAnsi="Times New Roman" w:cs="Times New Roman"/>
          <w:b w:val="0"/>
          <w:sz w:val="24"/>
          <w:szCs w:val="24"/>
        </w:rPr>
        <w:t>MSAC</w:t>
      </w:r>
      <w:r w:rsidR="00D2485E" w:rsidRPr="00B47CDE">
        <w:rPr>
          <w:rFonts w:ascii="Times New Roman" w:hAnsi="Times New Roman" w:cs="Times New Roman"/>
          <w:b w:val="0"/>
          <w:sz w:val="24"/>
          <w:szCs w:val="24"/>
        </w:rPr>
        <w:t xml:space="preserve"> </w:t>
      </w:r>
      <w:r>
        <w:rPr>
          <w:rFonts w:ascii="Times New Roman" w:hAnsi="Times New Roman" w:cs="Times New Roman"/>
          <w:b w:val="0"/>
          <w:sz w:val="24"/>
          <w:szCs w:val="24"/>
        </w:rPr>
        <w:t>observed</w:t>
      </w:r>
      <w:r w:rsidRPr="00B47CDE">
        <w:rPr>
          <w:rFonts w:ascii="Times New Roman" w:hAnsi="Times New Roman" w:cs="Times New Roman"/>
          <w:b w:val="0"/>
          <w:sz w:val="24"/>
          <w:szCs w:val="24"/>
        </w:rPr>
        <w:t xml:space="preserve"> </w:t>
      </w:r>
      <w:r w:rsidR="00D2485E" w:rsidRPr="00B47CDE">
        <w:rPr>
          <w:rFonts w:ascii="Times New Roman" w:hAnsi="Times New Roman" w:cs="Times New Roman"/>
          <w:b w:val="0"/>
          <w:sz w:val="24"/>
          <w:szCs w:val="24"/>
        </w:rPr>
        <w:t>that the estimates did not include</w:t>
      </w:r>
      <w:r w:rsidR="00D2485E">
        <w:rPr>
          <w:rFonts w:ascii="Times New Roman" w:hAnsi="Times New Roman" w:cs="Times New Roman"/>
          <w:b w:val="0"/>
          <w:sz w:val="24"/>
          <w:szCs w:val="24"/>
        </w:rPr>
        <w:t xml:space="preserve"> </w:t>
      </w:r>
      <w:r w:rsidR="00D2485E" w:rsidRPr="00B47CDE">
        <w:rPr>
          <w:rFonts w:ascii="Times New Roman" w:hAnsi="Times New Roman" w:cs="Times New Roman"/>
          <w:b w:val="0"/>
          <w:sz w:val="24"/>
          <w:szCs w:val="24"/>
        </w:rPr>
        <w:t>offsets from the replacement of IMRT and 3DCRT services.</w:t>
      </w:r>
    </w:p>
    <w:p w:rsidR="00D2485E" w:rsidRDefault="00D2485E" w:rsidP="00D2485E">
      <w:pPr>
        <w:rPr>
          <w:rFonts w:ascii="Arial Narrow" w:eastAsiaTheme="minorHAnsi" w:hAnsi="Arial Narrow" w:cstheme="minorBidi"/>
          <w:b/>
          <w:iCs/>
          <w:sz w:val="20"/>
          <w:szCs w:val="18"/>
          <w:lang w:eastAsia="en-US"/>
        </w:rPr>
      </w:pPr>
      <w:bookmarkStart w:id="16" w:name="_Ref431304096"/>
      <w:bookmarkStart w:id="17" w:name="Table5"/>
    </w:p>
    <w:p w:rsidR="00D2485E" w:rsidRPr="00D2485E" w:rsidRDefault="00D2485E" w:rsidP="00D2485E">
      <w:pPr>
        <w:pStyle w:val="Caption"/>
        <w:ind w:hanging="1741"/>
        <w:rPr>
          <w:szCs w:val="20"/>
        </w:rPr>
      </w:pPr>
      <w:r w:rsidRPr="00D2485E">
        <w:rPr>
          <w:szCs w:val="20"/>
        </w:rPr>
        <w:t xml:space="preserve">Table </w:t>
      </w:r>
      <w:bookmarkEnd w:id="16"/>
      <w:r w:rsidR="00A320B2">
        <w:rPr>
          <w:szCs w:val="20"/>
        </w:rPr>
        <w:t>6</w:t>
      </w:r>
      <w:r w:rsidRPr="00D2485E">
        <w:rPr>
          <w:szCs w:val="20"/>
        </w:rPr>
        <w:t>: Aggregated cost for the likely use of providing CyberKnife treatment and verification services</w:t>
      </w:r>
    </w:p>
    <w:bookmarkEnd w:id="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993"/>
        <w:gridCol w:w="992"/>
        <w:gridCol w:w="1134"/>
        <w:gridCol w:w="1134"/>
        <w:gridCol w:w="1134"/>
        <w:gridCol w:w="1701"/>
      </w:tblGrid>
      <w:tr w:rsidR="00D2485E" w:rsidRPr="00D2485E" w:rsidTr="00D2485E">
        <w:tc>
          <w:tcPr>
            <w:tcW w:w="1809" w:type="dxa"/>
            <w:shd w:val="clear" w:color="auto" w:fill="595959"/>
          </w:tcPr>
          <w:p w:rsidR="00D2485E" w:rsidRPr="00D2485E" w:rsidRDefault="00D2485E" w:rsidP="00D2485E">
            <w:pPr>
              <w:rPr>
                <w:rFonts w:ascii="Arial Narrow" w:hAnsi="Arial Narrow" w:cs="Arial"/>
                <w:bCs/>
                <w:color w:val="FFFFFF"/>
                <w:sz w:val="20"/>
              </w:rPr>
            </w:pPr>
          </w:p>
        </w:tc>
        <w:tc>
          <w:tcPr>
            <w:tcW w:w="993" w:type="dxa"/>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2015</w:t>
            </w:r>
          </w:p>
        </w:tc>
        <w:tc>
          <w:tcPr>
            <w:tcW w:w="992" w:type="dxa"/>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2016</w:t>
            </w:r>
          </w:p>
        </w:tc>
        <w:tc>
          <w:tcPr>
            <w:tcW w:w="1134" w:type="dxa"/>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2017</w:t>
            </w:r>
          </w:p>
        </w:tc>
        <w:tc>
          <w:tcPr>
            <w:tcW w:w="1134" w:type="dxa"/>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2018</w:t>
            </w:r>
          </w:p>
        </w:tc>
        <w:tc>
          <w:tcPr>
            <w:tcW w:w="1134" w:type="dxa"/>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2019</w:t>
            </w:r>
          </w:p>
        </w:tc>
        <w:tc>
          <w:tcPr>
            <w:tcW w:w="1701" w:type="dxa"/>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Total  (2015-2019)</w:t>
            </w:r>
          </w:p>
        </w:tc>
      </w:tr>
      <w:tr w:rsidR="00D2485E" w:rsidRPr="00D2485E" w:rsidTr="00D2485E">
        <w:tc>
          <w:tcPr>
            <w:tcW w:w="1809" w:type="dxa"/>
            <w:vAlign w:val="center"/>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NSW</w:t>
            </w:r>
          </w:p>
        </w:tc>
        <w:tc>
          <w:tcPr>
            <w:tcW w:w="993" w:type="dxa"/>
            <w:vAlign w:val="bottom"/>
          </w:tcPr>
          <w:p w:rsidR="00D2485E" w:rsidRPr="00D2485E" w:rsidRDefault="00D2485E" w:rsidP="00D2485E">
            <w:pPr>
              <w:jc w:val="right"/>
              <w:rPr>
                <w:rFonts w:ascii="Arial Narrow" w:hAnsi="Arial Narrow"/>
                <w:color w:val="000000"/>
                <w:sz w:val="20"/>
              </w:rPr>
            </w:pPr>
          </w:p>
        </w:tc>
        <w:tc>
          <w:tcPr>
            <w:tcW w:w="992" w:type="dxa"/>
            <w:vAlign w:val="bottom"/>
          </w:tcPr>
          <w:p w:rsidR="00D2485E" w:rsidRPr="00D2485E" w:rsidRDefault="00D2485E" w:rsidP="00D2485E">
            <w:pPr>
              <w:jc w:val="right"/>
              <w:rPr>
                <w:rFonts w:ascii="Arial Narrow" w:hAnsi="Arial Narrow"/>
                <w:color w:val="000000"/>
                <w:sz w:val="20"/>
              </w:rPr>
            </w:pPr>
          </w:p>
        </w:tc>
        <w:tc>
          <w:tcPr>
            <w:tcW w:w="1134" w:type="dxa"/>
            <w:vAlign w:val="bottom"/>
          </w:tcPr>
          <w:p w:rsidR="00D2485E" w:rsidRPr="00D2485E" w:rsidRDefault="00D2485E" w:rsidP="00D2485E">
            <w:pPr>
              <w:jc w:val="right"/>
              <w:rPr>
                <w:rFonts w:ascii="Arial Narrow" w:hAnsi="Arial Narrow"/>
                <w:color w:val="000000"/>
                <w:sz w:val="20"/>
              </w:rPr>
            </w:pP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$2,261,178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$2,336,217 </w:t>
            </w:r>
          </w:p>
        </w:tc>
        <w:tc>
          <w:tcPr>
            <w:tcW w:w="1701"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$4,597,396 </w:t>
            </w:r>
          </w:p>
        </w:tc>
      </w:tr>
      <w:tr w:rsidR="00D2485E" w:rsidRPr="00D2485E" w:rsidTr="00D2485E">
        <w:tc>
          <w:tcPr>
            <w:tcW w:w="1809" w:type="dxa"/>
            <w:vAlign w:val="center"/>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Vic</w:t>
            </w:r>
          </w:p>
        </w:tc>
        <w:tc>
          <w:tcPr>
            <w:tcW w:w="993" w:type="dxa"/>
            <w:vAlign w:val="bottom"/>
          </w:tcPr>
          <w:p w:rsidR="00D2485E" w:rsidRPr="00D2485E" w:rsidRDefault="00D2485E" w:rsidP="00D2485E">
            <w:pPr>
              <w:jc w:val="right"/>
              <w:rPr>
                <w:rFonts w:ascii="Arial Narrow" w:hAnsi="Arial Narrow"/>
                <w:color w:val="000000"/>
                <w:sz w:val="20"/>
              </w:rPr>
            </w:pPr>
          </w:p>
        </w:tc>
        <w:tc>
          <w:tcPr>
            <w:tcW w:w="992" w:type="dxa"/>
            <w:vAlign w:val="bottom"/>
          </w:tcPr>
          <w:p w:rsidR="00D2485E" w:rsidRPr="00D2485E" w:rsidRDefault="00D2485E" w:rsidP="00D2485E">
            <w:pPr>
              <w:jc w:val="right"/>
              <w:rPr>
                <w:rFonts w:ascii="Arial Narrow" w:hAnsi="Arial Narrow"/>
                <w:color w:val="000000"/>
                <w:sz w:val="20"/>
              </w:rPr>
            </w:pP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$1,695,792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$1,753,999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$1,812,207 </w:t>
            </w:r>
          </w:p>
        </w:tc>
        <w:tc>
          <w:tcPr>
            <w:tcW w:w="1701"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$5,261,998 </w:t>
            </w:r>
          </w:p>
        </w:tc>
      </w:tr>
      <w:tr w:rsidR="00D2485E" w:rsidRPr="00D2485E" w:rsidTr="00D2485E">
        <w:tc>
          <w:tcPr>
            <w:tcW w:w="1809" w:type="dxa"/>
            <w:vAlign w:val="center"/>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QLD</w:t>
            </w:r>
          </w:p>
        </w:tc>
        <w:tc>
          <w:tcPr>
            <w:tcW w:w="993" w:type="dxa"/>
            <w:vAlign w:val="bottom"/>
          </w:tcPr>
          <w:p w:rsidR="00D2485E" w:rsidRPr="00D2485E" w:rsidRDefault="00D2485E" w:rsidP="00D2485E">
            <w:pPr>
              <w:jc w:val="right"/>
              <w:rPr>
                <w:rFonts w:ascii="Arial Narrow" w:hAnsi="Arial Narrow"/>
                <w:color w:val="000000"/>
                <w:sz w:val="20"/>
              </w:rPr>
            </w:pPr>
          </w:p>
        </w:tc>
        <w:tc>
          <w:tcPr>
            <w:tcW w:w="992" w:type="dxa"/>
            <w:vAlign w:val="bottom"/>
          </w:tcPr>
          <w:p w:rsidR="00D2485E" w:rsidRPr="00D2485E" w:rsidRDefault="00D2485E" w:rsidP="00D2485E">
            <w:pPr>
              <w:jc w:val="right"/>
              <w:rPr>
                <w:rFonts w:ascii="Arial Narrow" w:hAnsi="Arial Narrow"/>
                <w:color w:val="000000"/>
                <w:sz w:val="20"/>
              </w:rPr>
            </w:pP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$0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$1,420,797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$1,467,947 </w:t>
            </w:r>
          </w:p>
        </w:tc>
        <w:tc>
          <w:tcPr>
            <w:tcW w:w="1701"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$2,888,745 </w:t>
            </w:r>
          </w:p>
        </w:tc>
      </w:tr>
      <w:tr w:rsidR="00D2485E" w:rsidRPr="00D2485E" w:rsidTr="00D2485E">
        <w:tc>
          <w:tcPr>
            <w:tcW w:w="1809" w:type="dxa"/>
            <w:vAlign w:val="center"/>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SA</w:t>
            </w:r>
          </w:p>
        </w:tc>
        <w:tc>
          <w:tcPr>
            <w:tcW w:w="993"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992"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$524,886 </w:t>
            </w:r>
          </w:p>
        </w:tc>
        <w:tc>
          <w:tcPr>
            <w:tcW w:w="1701"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$524,886 </w:t>
            </w:r>
          </w:p>
        </w:tc>
      </w:tr>
      <w:tr w:rsidR="00D2485E" w:rsidRPr="00D2485E" w:rsidTr="00D2485E">
        <w:tc>
          <w:tcPr>
            <w:tcW w:w="1809" w:type="dxa"/>
            <w:vAlign w:val="center"/>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WA *</w:t>
            </w:r>
          </w:p>
        </w:tc>
        <w:tc>
          <w:tcPr>
            <w:tcW w:w="993"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$700,833 </w:t>
            </w:r>
          </w:p>
        </w:tc>
        <w:tc>
          <w:tcPr>
            <w:tcW w:w="992"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$723,055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$746,986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$772,626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$798,266 </w:t>
            </w:r>
          </w:p>
        </w:tc>
        <w:tc>
          <w:tcPr>
            <w:tcW w:w="1701"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$3,741,766 </w:t>
            </w:r>
          </w:p>
        </w:tc>
      </w:tr>
      <w:tr w:rsidR="00D2485E" w:rsidRPr="00D2485E" w:rsidTr="00D2485E">
        <w:tc>
          <w:tcPr>
            <w:tcW w:w="1809" w:type="dxa"/>
            <w:vAlign w:val="center"/>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Tasmania</w:t>
            </w:r>
          </w:p>
        </w:tc>
        <w:tc>
          <w:tcPr>
            <w:tcW w:w="993"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992"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701"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r>
      <w:tr w:rsidR="00D2485E" w:rsidRPr="00D2485E" w:rsidTr="00D2485E">
        <w:tc>
          <w:tcPr>
            <w:tcW w:w="1809" w:type="dxa"/>
            <w:vAlign w:val="center"/>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Northern Territory</w:t>
            </w:r>
          </w:p>
        </w:tc>
        <w:tc>
          <w:tcPr>
            <w:tcW w:w="993"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992"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701"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r>
      <w:tr w:rsidR="00D2485E" w:rsidRPr="00D2485E" w:rsidTr="00D2485E">
        <w:tc>
          <w:tcPr>
            <w:tcW w:w="1809" w:type="dxa"/>
            <w:vAlign w:val="center"/>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Australian Capital Territory</w:t>
            </w:r>
          </w:p>
        </w:tc>
        <w:tc>
          <w:tcPr>
            <w:tcW w:w="993"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992"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c>
          <w:tcPr>
            <w:tcW w:w="1701"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$0</w:t>
            </w:r>
          </w:p>
        </w:tc>
      </w:tr>
      <w:tr w:rsidR="00D2485E" w:rsidRPr="00D2485E" w:rsidTr="00D2485E">
        <w:tc>
          <w:tcPr>
            <w:tcW w:w="1809" w:type="dxa"/>
            <w:vAlign w:val="bottom"/>
          </w:tcPr>
          <w:p w:rsidR="00D2485E" w:rsidRPr="00D2485E" w:rsidRDefault="00D2485E" w:rsidP="00D2485E">
            <w:pPr>
              <w:rPr>
                <w:rFonts w:ascii="Arial Narrow" w:hAnsi="Arial Narrow"/>
                <w:color w:val="000000"/>
                <w:sz w:val="20"/>
              </w:rPr>
            </w:pPr>
            <w:r w:rsidRPr="00D2485E">
              <w:rPr>
                <w:rFonts w:ascii="Arial Narrow" w:hAnsi="Arial Narrow"/>
                <w:b/>
                <w:color w:val="000000"/>
                <w:sz w:val="20"/>
              </w:rPr>
              <w:t>Cost of CyberKnife Treatments and Verification</w:t>
            </w:r>
          </w:p>
        </w:tc>
        <w:tc>
          <w:tcPr>
            <w:tcW w:w="993"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$700,833 </w:t>
            </w:r>
          </w:p>
        </w:tc>
        <w:tc>
          <w:tcPr>
            <w:tcW w:w="992"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$723,055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$2,442,777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$6,208,601 </w:t>
            </w:r>
          </w:p>
        </w:tc>
        <w:tc>
          <w:tcPr>
            <w:tcW w:w="1134"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 $6,939,525 </w:t>
            </w:r>
          </w:p>
        </w:tc>
        <w:tc>
          <w:tcPr>
            <w:tcW w:w="1701" w:type="dxa"/>
            <w:vAlign w:val="bottom"/>
          </w:tcPr>
          <w:p w:rsidR="00D2485E" w:rsidRPr="00D2485E" w:rsidRDefault="00D2485E" w:rsidP="00D2485E">
            <w:pPr>
              <w:jc w:val="right"/>
              <w:rPr>
                <w:rFonts w:ascii="Arial Narrow" w:hAnsi="Arial Narrow"/>
                <w:color w:val="000000"/>
                <w:sz w:val="20"/>
              </w:rPr>
            </w:pPr>
            <w:r w:rsidRPr="00D2485E">
              <w:rPr>
                <w:rFonts w:ascii="Arial Narrow" w:hAnsi="Arial Narrow"/>
                <w:color w:val="000000"/>
                <w:sz w:val="20"/>
              </w:rPr>
              <w:t xml:space="preserve">$17,014,791 </w:t>
            </w:r>
          </w:p>
        </w:tc>
      </w:tr>
    </w:tbl>
    <w:p w:rsidR="00D2485E" w:rsidRPr="00D2485E" w:rsidRDefault="00D2485E" w:rsidP="00D2485E">
      <w:pPr>
        <w:rPr>
          <w:rFonts w:ascii="Arial Narrow" w:hAnsi="Arial Narrow" w:cs="Arial"/>
          <w:bCs/>
          <w:sz w:val="20"/>
        </w:rPr>
      </w:pPr>
      <w:r w:rsidRPr="00D2485E">
        <w:rPr>
          <w:rFonts w:ascii="Arial Narrow" w:hAnsi="Arial Narrow" w:cs="Arial"/>
          <w:bCs/>
          <w:sz w:val="20"/>
        </w:rPr>
        <w:t xml:space="preserve">* </w:t>
      </w:r>
      <w:proofErr w:type="gramStart"/>
      <w:r w:rsidRPr="00D2485E">
        <w:rPr>
          <w:rFonts w:ascii="Arial Narrow" w:hAnsi="Arial Narrow" w:cs="Arial"/>
          <w:bCs/>
          <w:sz w:val="20"/>
        </w:rPr>
        <w:t>in</w:t>
      </w:r>
      <w:proofErr w:type="gramEnd"/>
      <w:r w:rsidRPr="00D2485E">
        <w:rPr>
          <w:rFonts w:ascii="Arial Narrow" w:hAnsi="Arial Narrow" w:cs="Arial"/>
          <w:bCs/>
          <w:sz w:val="20"/>
        </w:rPr>
        <w:t xml:space="preserve"> operation at Sir Charles Gairdner Hospital Cancer Centre since 7</w:t>
      </w:r>
      <w:r w:rsidRPr="00D2485E">
        <w:rPr>
          <w:rFonts w:ascii="Arial Narrow" w:hAnsi="Arial Narrow" w:cs="Arial"/>
          <w:bCs/>
          <w:sz w:val="20"/>
          <w:vertAlign w:val="superscript"/>
        </w:rPr>
        <w:t>th</w:t>
      </w:r>
      <w:r w:rsidRPr="00D2485E">
        <w:rPr>
          <w:rFonts w:ascii="Arial Narrow" w:hAnsi="Arial Narrow" w:cs="Arial"/>
          <w:bCs/>
          <w:sz w:val="20"/>
        </w:rPr>
        <w:t xml:space="preserve"> April 2014.</w:t>
      </w:r>
    </w:p>
    <w:p w:rsidR="00D2485E" w:rsidRDefault="00D2485E" w:rsidP="00D2485E"/>
    <w:p w:rsidR="008D0FE0" w:rsidRDefault="008D0FE0">
      <w:r>
        <w:br w:type="page"/>
      </w:r>
    </w:p>
    <w:p w:rsidR="008D0FE0" w:rsidRDefault="008D0FE0" w:rsidP="00D2485E"/>
    <w:p w:rsidR="00D2485E" w:rsidRPr="00D2485E" w:rsidRDefault="00D2485E" w:rsidP="00D2485E">
      <w:pPr>
        <w:pStyle w:val="Caption"/>
        <w:ind w:hanging="1741"/>
        <w:rPr>
          <w:szCs w:val="20"/>
        </w:rPr>
      </w:pPr>
      <w:bookmarkStart w:id="18" w:name="_Ref431304153"/>
      <w:bookmarkStart w:id="19" w:name="Table6"/>
      <w:r w:rsidRPr="00D2485E">
        <w:rPr>
          <w:szCs w:val="20"/>
        </w:rPr>
        <w:t xml:space="preserve">Table </w:t>
      </w:r>
      <w:bookmarkEnd w:id="18"/>
      <w:r w:rsidR="00A320B2">
        <w:rPr>
          <w:szCs w:val="20"/>
        </w:rPr>
        <w:t>7</w:t>
      </w:r>
      <w:r w:rsidRPr="00D2485E">
        <w:rPr>
          <w:szCs w:val="20"/>
        </w:rPr>
        <w:t>: Disaggregated Costs Over 5 Years for Treatment of Early Stage Inoperable NSCLC by CyberKnife</w:t>
      </w:r>
    </w:p>
    <w:tbl>
      <w:tblPr>
        <w:tblW w:w="95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0"/>
        <w:gridCol w:w="946"/>
        <w:gridCol w:w="946"/>
        <w:gridCol w:w="1037"/>
        <w:gridCol w:w="1037"/>
        <w:gridCol w:w="1037"/>
      </w:tblGrid>
      <w:tr w:rsidR="00D2485E" w:rsidRPr="00D2485E" w:rsidTr="00D2485E">
        <w:trPr>
          <w:trHeight w:val="261"/>
          <w:tblHeader/>
        </w:trPr>
        <w:tc>
          <w:tcPr>
            <w:tcW w:w="0" w:type="auto"/>
            <w:shd w:val="clear" w:color="auto" w:fill="595959"/>
          </w:tcPr>
          <w:bookmarkEnd w:id="19"/>
          <w:p w:rsidR="00D2485E" w:rsidRPr="00D2485E" w:rsidRDefault="00D2485E" w:rsidP="00D2485E">
            <w:pPr>
              <w:tabs>
                <w:tab w:val="left" w:pos="1843"/>
              </w:tabs>
              <w:rPr>
                <w:rFonts w:ascii="Arial Narrow" w:hAnsi="Arial Narrow" w:cs="Arial"/>
                <w:bCs/>
                <w:color w:val="FFFFFF"/>
                <w:sz w:val="20"/>
              </w:rPr>
            </w:pPr>
            <w:r w:rsidRPr="00D2485E">
              <w:rPr>
                <w:rFonts w:ascii="Arial Narrow" w:hAnsi="Arial Narrow" w:cs="Arial"/>
                <w:bCs/>
                <w:color w:val="FFFFFF"/>
                <w:sz w:val="20"/>
              </w:rPr>
              <w:t>Parameter</w:t>
            </w:r>
          </w:p>
        </w:tc>
        <w:tc>
          <w:tcPr>
            <w:tcW w:w="0" w:type="auto"/>
            <w:gridSpan w:val="5"/>
            <w:shd w:val="clear" w:color="auto" w:fill="595959"/>
          </w:tcPr>
          <w:p w:rsidR="00D2485E" w:rsidRPr="00D2485E" w:rsidRDefault="00D2485E" w:rsidP="00D2485E">
            <w:pPr>
              <w:rPr>
                <w:rFonts w:ascii="Arial Narrow" w:hAnsi="Arial Narrow" w:cs="Arial"/>
                <w:bCs/>
                <w:color w:val="FFFFFF"/>
                <w:sz w:val="20"/>
              </w:rPr>
            </w:pPr>
            <w:r w:rsidRPr="00D2485E">
              <w:rPr>
                <w:rFonts w:ascii="Arial Narrow" w:hAnsi="Arial Narrow" w:cs="Arial"/>
                <w:bCs/>
                <w:color w:val="FFFFFF"/>
                <w:sz w:val="20"/>
              </w:rPr>
              <w:t xml:space="preserve">EARLY STAGE INOPERABLE NSCLC </w:t>
            </w:r>
          </w:p>
          <w:p w:rsidR="00D2485E" w:rsidRPr="00D2485E" w:rsidRDefault="00D2485E" w:rsidP="00D2485E">
            <w:pPr>
              <w:rPr>
                <w:rFonts w:ascii="Arial Narrow" w:hAnsi="Arial Narrow" w:cs="Arial"/>
                <w:bCs/>
                <w:color w:val="FFFFFF"/>
                <w:sz w:val="20"/>
              </w:rPr>
            </w:pPr>
            <w:r w:rsidRPr="00D2485E">
              <w:rPr>
                <w:rFonts w:ascii="Arial Narrow" w:hAnsi="Arial Narrow" w:cs="Arial"/>
                <w:bCs/>
                <w:color w:val="FFFFFF"/>
                <w:sz w:val="20"/>
              </w:rPr>
              <w:t>Treatment by CyberKnife</w:t>
            </w:r>
          </w:p>
        </w:tc>
      </w:tr>
      <w:tr w:rsidR="00D2485E" w:rsidRPr="00D2485E" w:rsidTr="00D2485E">
        <w:trPr>
          <w:tblHeader/>
        </w:trPr>
        <w:tc>
          <w:tcPr>
            <w:tcW w:w="0" w:type="auto"/>
            <w:shd w:val="clear" w:color="auto" w:fill="595959"/>
          </w:tcPr>
          <w:p w:rsidR="00D2485E" w:rsidRPr="00D2485E" w:rsidRDefault="00D2485E" w:rsidP="00DA45A5">
            <w:pPr>
              <w:rPr>
                <w:rFonts w:ascii="Arial Narrow" w:hAnsi="Arial Narrow" w:cs="Arial"/>
                <w:bCs/>
                <w:color w:val="FFFFFF"/>
                <w:sz w:val="20"/>
              </w:rPr>
            </w:pPr>
            <w:r w:rsidRPr="00D2485E">
              <w:rPr>
                <w:rFonts w:ascii="Arial Narrow" w:hAnsi="Arial Narrow" w:cs="Arial"/>
                <w:bCs/>
                <w:color w:val="FFFFFF"/>
                <w:sz w:val="20"/>
              </w:rPr>
              <w:t xml:space="preserve">Patients Treated (Reference: Table E.2.1.5) </w:t>
            </w: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75</w:t>
            </w: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77</w:t>
            </w: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261</w:t>
            </w: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662</w:t>
            </w: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740</w:t>
            </w:r>
          </w:p>
        </w:tc>
      </w:tr>
      <w:tr w:rsidR="00D2485E" w:rsidRPr="00D2485E" w:rsidTr="00D2485E">
        <w:trPr>
          <w:trHeight w:val="144"/>
          <w:tblHeader/>
        </w:trPr>
        <w:tc>
          <w:tcPr>
            <w:tcW w:w="0" w:type="auto"/>
            <w:shd w:val="clear" w:color="auto" w:fill="595959"/>
          </w:tcPr>
          <w:p w:rsidR="00D2485E" w:rsidRPr="00D2485E" w:rsidRDefault="00D2485E" w:rsidP="00D2485E">
            <w:pPr>
              <w:rPr>
                <w:rFonts w:ascii="Arial Narrow" w:hAnsi="Arial Narrow" w:cs="Arial"/>
                <w:bCs/>
                <w:color w:val="FFFFFF"/>
                <w:sz w:val="20"/>
              </w:rPr>
            </w:pP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2015</w:t>
            </w: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2016</w:t>
            </w: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2017</w:t>
            </w: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2018</w:t>
            </w:r>
          </w:p>
        </w:tc>
        <w:tc>
          <w:tcPr>
            <w:tcW w:w="0" w:type="auto"/>
            <w:shd w:val="clear" w:color="auto" w:fill="595959"/>
          </w:tcPr>
          <w:p w:rsidR="00D2485E" w:rsidRPr="00D2485E" w:rsidRDefault="00D2485E" w:rsidP="00D2485E">
            <w:pPr>
              <w:jc w:val="center"/>
              <w:rPr>
                <w:rFonts w:ascii="Arial Narrow" w:hAnsi="Arial Narrow" w:cs="Arial"/>
                <w:bCs/>
                <w:color w:val="FFFFFF"/>
                <w:sz w:val="20"/>
              </w:rPr>
            </w:pPr>
            <w:r w:rsidRPr="00D2485E">
              <w:rPr>
                <w:rFonts w:ascii="Arial Narrow" w:hAnsi="Arial Narrow" w:cs="Arial"/>
                <w:bCs/>
                <w:color w:val="FFFFFF"/>
                <w:sz w:val="20"/>
              </w:rPr>
              <w:t>2019</w:t>
            </w:r>
          </w:p>
        </w:tc>
      </w:tr>
      <w:tr w:rsidR="00D2485E" w:rsidRPr="00D2485E" w:rsidTr="00D2485E">
        <w:tc>
          <w:tcPr>
            <w:tcW w:w="0" w:type="auto"/>
            <w:shd w:val="clear" w:color="auto" w:fill="D9D9D9"/>
          </w:tcPr>
          <w:p w:rsidR="00D2485E" w:rsidRPr="00D2485E" w:rsidRDefault="00D2485E" w:rsidP="00D2485E">
            <w:pPr>
              <w:rPr>
                <w:rFonts w:ascii="Arial Narrow" w:hAnsi="Arial Narrow" w:cs="Arial"/>
                <w:bCs/>
                <w:sz w:val="20"/>
              </w:rPr>
            </w:pPr>
            <w:r w:rsidRPr="00D2485E">
              <w:rPr>
                <w:rFonts w:ascii="Arial Narrow" w:hAnsi="Arial Narrow"/>
                <w:b/>
                <w:color w:val="000000"/>
                <w:sz w:val="20"/>
              </w:rPr>
              <w:t>MBS and DRG Codes</w:t>
            </w:r>
          </w:p>
        </w:tc>
        <w:tc>
          <w:tcPr>
            <w:tcW w:w="0" w:type="auto"/>
            <w:shd w:val="clear" w:color="auto" w:fill="D9D9D9"/>
          </w:tcPr>
          <w:p w:rsidR="00D2485E" w:rsidRPr="00D2485E" w:rsidRDefault="00D2485E" w:rsidP="00D2485E">
            <w:pPr>
              <w:jc w:val="center"/>
              <w:rPr>
                <w:rFonts w:ascii="Arial Narrow" w:hAnsi="Arial Narrow" w:cs="Arial"/>
                <w:bCs/>
                <w:sz w:val="20"/>
              </w:rPr>
            </w:pPr>
          </w:p>
        </w:tc>
        <w:tc>
          <w:tcPr>
            <w:tcW w:w="0" w:type="auto"/>
            <w:shd w:val="clear" w:color="auto" w:fill="D9D9D9"/>
          </w:tcPr>
          <w:p w:rsidR="00D2485E" w:rsidRPr="00D2485E" w:rsidRDefault="00D2485E" w:rsidP="00D2485E">
            <w:pPr>
              <w:jc w:val="center"/>
              <w:rPr>
                <w:rFonts w:ascii="Arial Narrow" w:hAnsi="Arial Narrow" w:cs="Arial"/>
                <w:bCs/>
                <w:sz w:val="20"/>
              </w:rPr>
            </w:pPr>
          </w:p>
        </w:tc>
        <w:tc>
          <w:tcPr>
            <w:tcW w:w="0" w:type="auto"/>
            <w:shd w:val="clear" w:color="auto" w:fill="D9D9D9"/>
          </w:tcPr>
          <w:p w:rsidR="00D2485E" w:rsidRPr="00D2485E" w:rsidRDefault="00D2485E" w:rsidP="00D2485E">
            <w:pPr>
              <w:jc w:val="center"/>
              <w:rPr>
                <w:rFonts w:ascii="Arial Narrow" w:hAnsi="Arial Narrow" w:cs="Arial"/>
                <w:bCs/>
                <w:sz w:val="20"/>
              </w:rPr>
            </w:pPr>
          </w:p>
        </w:tc>
        <w:tc>
          <w:tcPr>
            <w:tcW w:w="0" w:type="auto"/>
            <w:shd w:val="clear" w:color="auto" w:fill="D9D9D9"/>
          </w:tcPr>
          <w:p w:rsidR="00D2485E" w:rsidRPr="00D2485E" w:rsidRDefault="00D2485E" w:rsidP="00D2485E">
            <w:pPr>
              <w:jc w:val="center"/>
              <w:rPr>
                <w:rFonts w:ascii="Arial Narrow" w:hAnsi="Arial Narrow" w:cs="Arial"/>
                <w:bCs/>
                <w:sz w:val="20"/>
              </w:rPr>
            </w:pPr>
          </w:p>
        </w:tc>
        <w:tc>
          <w:tcPr>
            <w:tcW w:w="0" w:type="auto"/>
            <w:shd w:val="clear" w:color="auto" w:fill="D9D9D9"/>
          </w:tcPr>
          <w:p w:rsidR="00D2485E" w:rsidRPr="00D2485E" w:rsidRDefault="00D2485E" w:rsidP="00D2485E">
            <w:pPr>
              <w:jc w:val="center"/>
              <w:rPr>
                <w:rFonts w:ascii="Arial Narrow" w:hAnsi="Arial Narrow" w:cs="Arial"/>
                <w:bCs/>
                <w:sz w:val="20"/>
              </w:rPr>
            </w:pPr>
          </w:p>
        </w:tc>
      </w:tr>
      <w:tr w:rsidR="00D2485E" w:rsidRPr="00D2485E" w:rsidTr="00D2485E">
        <w:tc>
          <w:tcPr>
            <w:tcW w:w="0" w:type="auto"/>
          </w:tcPr>
          <w:p w:rsidR="00D2485E" w:rsidRPr="00D2485E" w:rsidRDefault="00D2485E" w:rsidP="00D2485E">
            <w:pPr>
              <w:rPr>
                <w:rFonts w:ascii="Arial Narrow" w:hAnsi="Arial Narrow"/>
                <w:b/>
                <w:i/>
                <w:color w:val="000000"/>
                <w:sz w:val="20"/>
              </w:rPr>
            </w:pPr>
            <w:r w:rsidRPr="00D2485E">
              <w:rPr>
                <w:rFonts w:ascii="Arial Narrow" w:hAnsi="Arial Narrow"/>
                <w:b/>
                <w:i/>
                <w:color w:val="000000"/>
                <w:sz w:val="20"/>
              </w:rPr>
              <w:t>152XX: [new proposed MBS code/fee for CyberKnife; each attendance for treatment delivered to primary site]</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$382,500</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$392,700</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$1,331,100</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$3,376,200</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$3,774,000</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 xml:space="preserve">15215:   Radiation oncology treatment </w:t>
            </w:r>
          </w:p>
          <w:p w:rsidR="00D2485E" w:rsidRPr="00D2485E" w:rsidRDefault="00D2485E" w:rsidP="00D2485E">
            <w:pPr>
              <w:rPr>
                <w:rFonts w:ascii="Arial Narrow" w:hAnsi="Arial Narrow"/>
                <w:color w:val="000000"/>
                <w:sz w:val="20"/>
              </w:rPr>
            </w:pPr>
            <w:r w:rsidRPr="00D2485E">
              <w:rPr>
                <w:rFonts w:ascii="Arial Narrow" w:hAnsi="Arial Narrow"/>
                <w:color w:val="000000"/>
                <w:sz w:val="20"/>
              </w:rPr>
              <w:t>[1 field/initial field; single photon]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 xml:space="preserve">15230:   Radiation oncology treatment </w:t>
            </w:r>
          </w:p>
          <w:p w:rsidR="00D2485E" w:rsidRPr="00D2485E" w:rsidRDefault="00D2485E" w:rsidP="00D2485E">
            <w:pPr>
              <w:rPr>
                <w:rFonts w:ascii="Arial Narrow" w:hAnsi="Arial Narrow"/>
                <w:color w:val="000000"/>
                <w:sz w:val="20"/>
              </w:rPr>
            </w:pPr>
            <w:r w:rsidRPr="00D2485E">
              <w:rPr>
                <w:rFonts w:ascii="Arial Narrow" w:hAnsi="Arial Narrow"/>
                <w:color w:val="000000"/>
                <w:sz w:val="20"/>
              </w:rPr>
              <w:t>[per each additional field, 2-5 fields; single photon]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15245:   Radiation oncology treatment</w:t>
            </w:r>
          </w:p>
          <w:p w:rsidR="00D2485E" w:rsidRPr="00D2485E" w:rsidRDefault="00D2485E" w:rsidP="00D2485E">
            <w:pPr>
              <w:rPr>
                <w:rFonts w:ascii="Arial Narrow" w:hAnsi="Arial Narrow"/>
                <w:color w:val="000000"/>
                <w:sz w:val="20"/>
              </w:rPr>
            </w:pPr>
            <w:r w:rsidRPr="00D2485E">
              <w:rPr>
                <w:rFonts w:ascii="Arial Narrow" w:hAnsi="Arial Narrow"/>
                <w:color w:val="000000"/>
                <w:sz w:val="20"/>
              </w:rPr>
              <w:t>[1 field/initial field; dual photon]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 xml:space="preserve">15260:   Radiation oncology treatment </w:t>
            </w:r>
          </w:p>
          <w:p w:rsidR="00D2485E" w:rsidRPr="00D2485E" w:rsidRDefault="00D2485E" w:rsidP="00D2485E">
            <w:pPr>
              <w:rPr>
                <w:rFonts w:ascii="Arial Narrow" w:hAnsi="Arial Narrow"/>
                <w:color w:val="000000"/>
                <w:sz w:val="20"/>
              </w:rPr>
            </w:pPr>
            <w:r w:rsidRPr="00D2485E">
              <w:rPr>
                <w:rFonts w:ascii="Arial Narrow" w:hAnsi="Arial Narrow"/>
                <w:color w:val="000000"/>
                <w:sz w:val="20"/>
              </w:rPr>
              <w:t>[per each additional field, 2-5 fields; dual photon]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15550:   Simulation (3D without contrast)</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$41,986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$43,105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$146,110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$370,594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$414,259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15559:   Dosimetry</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15562 (3WS):   Dosimetry (≤3 workstations)</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$71,448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$73,353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$248,639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$630,648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$704,954 </w:t>
            </w:r>
          </w:p>
        </w:tc>
      </w:tr>
      <w:tr w:rsidR="00D2485E" w:rsidRPr="00D2485E" w:rsidTr="00D2485E">
        <w:trPr>
          <w:trHeight w:val="315"/>
        </w:trPr>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15562 (4WS):   Dosimetry (≥4 workstations)</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r>
      <w:tr w:rsidR="00D2485E" w:rsidRPr="00D2485E" w:rsidTr="00D2485E">
        <w:tc>
          <w:tcPr>
            <w:tcW w:w="0" w:type="auto"/>
          </w:tcPr>
          <w:p w:rsidR="00D2485E" w:rsidRPr="00D2485E" w:rsidRDefault="00D2485E" w:rsidP="00D2485E">
            <w:pPr>
              <w:rPr>
                <w:rFonts w:ascii="Arial Narrow" w:hAnsi="Arial Narrow"/>
                <w:b/>
                <w:i/>
                <w:color w:val="000000"/>
                <w:sz w:val="20"/>
              </w:rPr>
            </w:pPr>
            <w:r w:rsidRPr="00D2485E">
              <w:rPr>
                <w:rFonts w:ascii="Arial Narrow" w:hAnsi="Arial Narrow"/>
                <w:b/>
                <w:i/>
                <w:color w:val="000000"/>
                <w:sz w:val="20"/>
              </w:rPr>
              <w:t>157XX:   Radiation oncology treatment verification [new proposed MBS code/fee for CyberKnife]</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$57,375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$58,905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$199,665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$506,430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$566,100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15705:   Radiation oncology treatment verification (multiple projection acquisition)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 xml:space="preserve">20520:   Initiation of management of anaesthesia for all closed chest procedures (including bronchoscopy) </w:t>
            </w:r>
          </w:p>
          <w:p w:rsidR="00D2485E" w:rsidRPr="00D2485E" w:rsidRDefault="00D2485E" w:rsidP="00D2485E">
            <w:pPr>
              <w:rPr>
                <w:rFonts w:ascii="Arial Narrow" w:hAnsi="Arial Narrow"/>
                <w:color w:val="000000"/>
                <w:sz w:val="20"/>
              </w:rPr>
            </w:pPr>
            <w:r w:rsidRPr="00D2485E">
              <w:rPr>
                <w:rFonts w:ascii="Arial Narrow" w:hAnsi="Arial Narrow"/>
                <w:color w:val="000000"/>
                <w:sz w:val="20"/>
              </w:rPr>
              <w:t>[for fiducial marker insertion]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$5,680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$5,832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$19,767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$50,137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$56,044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23010:   Anaesthesia, perfusion or assistance at anaesthesia for a period of 26-30 minutes</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$1,893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$1,944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$6,589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$16,712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$18,681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 xml:space="preserve">30710:   </w:t>
            </w:r>
            <w:proofErr w:type="spellStart"/>
            <w:r w:rsidRPr="00D2485E">
              <w:rPr>
                <w:rFonts w:ascii="Arial Narrow" w:hAnsi="Arial Narrow"/>
                <w:color w:val="000000"/>
                <w:sz w:val="20"/>
              </w:rPr>
              <w:t>Endobronchial</w:t>
            </w:r>
            <w:proofErr w:type="spellEnd"/>
            <w:r w:rsidRPr="00D2485E">
              <w:rPr>
                <w:rFonts w:ascii="Arial Narrow" w:hAnsi="Arial Narrow"/>
                <w:color w:val="000000"/>
                <w:sz w:val="20"/>
              </w:rPr>
              <w:t xml:space="preserve"> ultrasound guided biopsy </w:t>
            </w:r>
          </w:p>
          <w:p w:rsidR="00D2485E" w:rsidRPr="00D2485E" w:rsidRDefault="00D2485E" w:rsidP="00D2485E">
            <w:pPr>
              <w:rPr>
                <w:rFonts w:ascii="Arial Narrow" w:hAnsi="Arial Narrow"/>
                <w:color w:val="000000"/>
                <w:sz w:val="20"/>
              </w:rPr>
            </w:pPr>
            <w:r w:rsidRPr="00D2485E">
              <w:rPr>
                <w:rFonts w:ascii="Arial Narrow" w:hAnsi="Arial Narrow"/>
                <w:color w:val="000000"/>
                <w:sz w:val="20"/>
              </w:rPr>
              <w:t xml:space="preserve">[if </w:t>
            </w:r>
            <w:proofErr w:type="spellStart"/>
            <w:r w:rsidRPr="00D2485E">
              <w:rPr>
                <w:rFonts w:ascii="Arial Narrow" w:hAnsi="Arial Narrow"/>
                <w:color w:val="000000"/>
                <w:sz w:val="20"/>
              </w:rPr>
              <w:t>tumor</w:t>
            </w:r>
            <w:proofErr w:type="spellEnd"/>
            <w:r w:rsidRPr="00D2485E">
              <w:rPr>
                <w:rFonts w:ascii="Arial Narrow" w:hAnsi="Arial Narrow"/>
                <w:color w:val="000000"/>
                <w:sz w:val="20"/>
              </w:rPr>
              <w:t xml:space="preserve"> is biopsied during marker insertion]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41889:   Bronchoscopy [for fiducial marker insertion]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$8,513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$8,740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$29,625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$75,140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$83,994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 xml:space="preserve">56301:   Computed tomography scan of chest without contrast </w:t>
            </w:r>
          </w:p>
          <w:p w:rsidR="00D2485E" w:rsidRPr="00D2485E" w:rsidRDefault="00D2485E" w:rsidP="00D2485E">
            <w:pPr>
              <w:rPr>
                <w:rFonts w:ascii="Arial Narrow" w:hAnsi="Arial Narrow"/>
                <w:color w:val="000000"/>
                <w:sz w:val="20"/>
              </w:rPr>
            </w:pPr>
            <w:r w:rsidRPr="00D2485E">
              <w:rPr>
                <w:rFonts w:ascii="Arial Narrow" w:hAnsi="Arial Narrow"/>
                <w:color w:val="000000"/>
                <w:sz w:val="20"/>
              </w:rPr>
              <w:t>[to assess fiducial marker position post-insertion]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$0 </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58506:   Radiographic examination of chest (lung fields) [to assess fiducial marker position during insertion]</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$2,905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$2,982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$10,109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$25,639 </w:t>
            </w:r>
          </w:p>
        </w:tc>
        <w:tc>
          <w:tcPr>
            <w:tcW w:w="0" w:type="auto"/>
            <w:vAlign w:val="center"/>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 xml:space="preserve">$28,660 </w:t>
            </w:r>
          </w:p>
        </w:tc>
      </w:tr>
      <w:tr w:rsidR="00D2485E" w:rsidRPr="00D2485E" w:rsidTr="00D2485E">
        <w:tc>
          <w:tcPr>
            <w:tcW w:w="0" w:type="auto"/>
          </w:tcPr>
          <w:p w:rsidR="00D2485E" w:rsidRPr="00D2485E" w:rsidRDefault="00D2485E" w:rsidP="00D2485E">
            <w:pPr>
              <w:rPr>
                <w:rFonts w:ascii="Arial Narrow" w:hAnsi="Arial Narrow"/>
                <w:b/>
                <w:color w:val="000000"/>
                <w:sz w:val="20"/>
              </w:rPr>
            </w:pPr>
          </w:p>
        </w:tc>
        <w:tc>
          <w:tcPr>
            <w:tcW w:w="0" w:type="auto"/>
            <w:vAlign w:val="center"/>
          </w:tcPr>
          <w:p w:rsidR="00D2485E" w:rsidRPr="00D2485E" w:rsidRDefault="00D2485E" w:rsidP="00D2485E">
            <w:pPr>
              <w:jc w:val="center"/>
              <w:rPr>
                <w:rFonts w:ascii="Arial Narrow" w:hAnsi="Arial Narrow"/>
                <w:color w:val="000000"/>
                <w:sz w:val="20"/>
              </w:rPr>
            </w:pPr>
          </w:p>
        </w:tc>
        <w:tc>
          <w:tcPr>
            <w:tcW w:w="0" w:type="auto"/>
            <w:vAlign w:val="center"/>
          </w:tcPr>
          <w:p w:rsidR="00D2485E" w:rsidRPr="00D2485E" w:rsidRDefault="00D2485E" w:rsidP="00D2485E">
            <w:pPr>
              <w:jc w:val="center"/>
              <w:rPr>
                <w:rFonts w:ascii="Arial Narrow" w:hAnsi="Arial Narrow"/>
                <w:color w:val="000000"/>
                <w:sz w:val="20"/>
              </w:rPr>
            </w:pPr>
          </w:p>
        </w:tc>
        <w:tc>
          <w:tcPr>
            <w:tcW w:w="0" w:type="auto"/>
            <w:vAlign w:val="center"/>
          </w:tcPr>
          <w:p w:rsidR="00D2485E" w:rsidRPr="00D2485E" w:rsidRDefault="00D2485E" w:rsidP="00D2485E">
            <w:pPr>
              <w:jc w:val="center"/>
              <w:rPr>
                <w:rFonts w:ascii="Arial Narrow" w:hAnsi="Arial Narrow"/>
                <w:color w:val="000000"/>
                <w:sz w:val="20"/>
              </w:rPr>
            </w:pPr>
          </w:p>
        </w:tc>
        <w:tc>
          <w:tcPr>
            <w:tcW w:w="0" w:type="auto"/>
            <w:vAlign w:val="center"/>
          </w:tcPr>
          <w:p w:rsidR="00D2485E" w:rsidRPr="00D2485E" w:rsidRDefault="00D2485E" w:rsidP="00D2485E">
            <w:pPr>
              <w:jc w:val="center"/>
              <w:rPr>
                <w:rFonts w:ascii="Arial Narrow" w:hAnsi="Arial Narrow"/>
                <w:color w:val="000000"/>
                <w:sz w:val="20"/>
              </w:rPr>
            </w:pPr>
          </w:p>
        </w:tc>
        <w:tc>
          <w:tcPr>
            <w:tcW w:w="0" w:type="auto"/>
            <w:vAlign w:val="center"/>
          </w:tcPr>
          <w:p w:rsidR="00D2485E" w:rsidRPr="00D2485E" w:rsidRDefault="00D2485E" w:rsidP="00D2485E">
            <w:pPr>
              <w:jc w:val="center"/>
              <w:rPr>
                <w:rFonts w:ascii="Arial Narrow" w:hAnsi="Arial Narrow"/>
                <w:color w:val="000000"/>
                <w:sz w:val="20"/>
              </w:rPr>
            </w:pPr>
          </w:p>
        </w:tc>
      </w:tr>
      <w:tr w:rsidR="00D2485E" w:rsidRPr="00D2485E" w:rsidTr="00D2485E">
        <w:tc>
          <w:tcPr>
            <w:tcW w:w="0" w:type="auto"/>
          </w:tcPr>
          <w:p w:rsidR="00D2485E" w:rsidRPr="00D2485E" w:rsidRDefault="00D2485E" w:rsidP="00D2485E">
            <w:pPr>
              <w:rPr>
                <w:rFonts w:ascii="Arial Narrow" w:hAnsi="Arial Narrow"/>
                <w:b/>
                <w:color w:val="000000"/>
                <w:sz w:val="20"/>
              </w:rPr>
            </w:pPr>
            <w:r w:rsidRPr="00D2485E">
              <w:rPr>
                <w:rFonts w:ascii="Arial Narrow" w:hAnsi="Arial Narrow"/>
                <w:b/>
                <w:color w:val="000000"/>
                <w:sz w:val="20"/>
              </w:rPr>
              <w:t>ANNUAL COST for TREATMENT by CYBERKNIFE</w:t>
            </w:r>
          </w:p>
        </w:tc>
        <w:tc>
          <w:tcPr>
            <w:tcW w:w="0" w:type="auto"/>
            <w:vAlign w:val="center"/>
          </w:tcPr>
          <w:p w:rsidR="00D2485E" w:rsidRPr="00D2485E" w:rsidRDefault="00D2485E" w:rsidP="00D2485E">
            <w:pPr>
              <w:jc w:val="center"/>
              <w:rPr>
                <w:rFonts w:ascii="Arial Narrow" w:hAnsi="Arial Narrow"/>
                <w:b/>
                <w:color w:val="000000"/>
                <w:sz w:val="20"/>
              </w:rPr>
            </w:pPr>
            <w:r w:rsidRPr="00D2485E">
              <w:rPr>
                <w:rFonts w:ascii="Arial Narrow" w:hAnsi="Arial Narrow"/>
                <w:b/>
                <w:color w:val="000000"/>
                <w:sz w:val="20"/>
              </w:rPr>
              <w:t>$572,300</w:t>
            </w:r>
          </w:p>
        </w:tc>
        <w:tc>
          <w:tcPr>
            <w:tcW w:w="0" w:type="auto"/>
            <w:vAlign w:val="center"/>
          </w:tcPr>
          <w:p w:rsidR="00D2485E" w:rsidRPr="00D2485E" w:rsidRDefault="00D2485E" w:rsidP="00D2485E">
            <w:pPr>
              <w:jc w:val="center"/>
              <w:rPr>
                <w:rFonts w:ascii="Arial Narrow" w:hAnsi="Arial Narrow"/>
                <w:b/>
                <w:color w:val="000000"/>
                <w:sz w:val="20"/>
              </w:rPr>
            </w:pPr>
            <w:r w:rsidRPr="00D2485E">
              <w:rPr>
                <w:rFonts w:ascii="Arial Narrow" w:hAnsi="Arial Narrow"/>
                <w:b/>
                <w:color w:val="000000"/>
                <w:sz w:val="20"/>
              </w:rPr>
              <w:t>$587,561</w:t>
            </w:r>
          </w:p>
        </w:tc>
        <w:tc>
          <w:tcPr>
            <w:tcW w:w="0" w:type="auto"/>
            <w:vAlign w:val="center"/>
          </w:tcPr>
          <w:p w:rsidR="00D2485E" w:rsidRPr="00D2485E" w:rsidRDefault="00D2485E" w:rsidP="00D2485E">
            <w:pPr>
              <w:jc w:val="center"/>
              <w:rPr>
                <w:rFonts w:ascii="Arial Narrow" w:hAnsi="Arial Narrow"/>
                <w:b/>
                <w:color w:val="000000"/>
                <w:sz w:val="20"/>
              </w:rPr>
            </w:pPr>
            <w:r w:rsidRPr="00D2485E">
              <w:rPr>
                <w:rFonts w:ascii="Arial Narrow" w:hAnsi="Arial Narrow"/>
                <w:b/>
                <w:color w:val="000000"/>
                <w:sz w:val="20"/>
              </w:rPr>
              <w:t>$1,991,604</w:t>
            </w:r>
          </w:p>
        </w:tc>
        <w:tc>
          <w:tcPr>
            <w:tcW w:w="0" w:type="auto"/>
            <w:vAlign w:val="center"/>
          </w:tcPr>
          <w:p w:rsidR="00D2485E" w:rsidRPr="00D2485E" w:rsidRDefault="00D2485E" w:rsidP="00D2485E">
            <w:pPr>
              <w:jc w:val="center"/>
              <w:rPr>
                <w:rFonts w:ascii="Arial Narrow" w:hAnsi="Arial Narrow"/>
                <w:b/>
                <w:color w:val="000000"/>
                <w:sz w:val="20"/>
              </w:rPr>
            </w:pPr>
            <w:r w:rsidRPr="00D2485E">
              <w:rPr>
                <w:rFonts w:ascii="Arial Narrow" w:hAnsi="Arial Narrow"/>
                <w:b/>
                <w:color w:val="000000"/>
                <w:sz w:val="20"/>
              </w:rPr>
              <w:t>$5,051,500</w:t>
            </w:r>
          </w:p>
        </w:tc>
        <w:tc>
          <w:tcPr>
            <w:tcW w:w="0" w:type="auto"/>
            <w:vAlign w:val="center"/>
          </w:tcPr>
          <w:p w:rsidR="00D2485E" w:rsidRPr="00D2485E" w:rsidRDefault="00D2485E" w:rsidP="00D2485E">
            <w:pPr>
              <w:jc w:val="center"/>
              <w:rPr>
                <w:rFonts w:ascii="Arial Narrow" w:hAnsi="Arial Narrow"/>
                <w:b/>
                <w:color w:val="000000"/>
                <w:sz w:val="20"/>
              </w:rPr>
            </w:pPr>
            <w:r w:rsidRPr="00D2485E">
              <w:rPr>
                <w:rFonts w:ascii="Arial Narrow" w:hAnsi="Arial Narrow"/>
                <w:b/>
                <w:color w:val="000000"/>
                <w:sz w:val="20"/>
              </w:rPr>
              <w:t>$5,646,692</w:t>
            </w:r>
          </w:p>
        </w:tc>
      </w:tr>
      <w:tr w:rsidR="00D2485E" w:rsidRPr="00D2485E" w:rsidTr="00D2485E">
        <w:tc>
          <w:tcPr>
            <w:tcW w:w="0" w:type="auto"/>
          </w:tcPr>
          <w:p w:rsidR="00D2485E" w:rsidRPr="00D2485E" w:rsidRDefault="00D2485E" w:rsidP="00D2485E">
            <w:pPr>
              <w:rPr>
                <w:rFonts w:ascii="Arial Narrow" w:hAnsi="Arial Narrow"/>
                <w:color w:val="000000"/>
                <w:sz w:val="20"/>
              </w:rPr>
            </w:pPr>
            <w:r w:rsidRPr="00D2485E">
              <w:rPr>
                <w:rFonts w:ascii="Arial Narrow" w:hAnsi="Arial Narrow"/>
                <w:color w:val="000000"/>
                <w:sz w:val="20"/>
              </w:rPr>
              <w:t>Treatment cost per patient</w:t>
            </w:r>
          </w:p>
        </w:tc>
        <w:tc>
          <w:tcPr>
            <w:tcW w:w="0" w:type="auto"/>
            <w:vAlign w:val="bottom"/>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$7,630.67</w:t>
            </w:r>
          </w:p>
        </w:tc>
        <w:tc>
          <w:tcPr>
            <w:tcW w:w="0" w:type="auto"/>
            <w:vAlign w:val="bottom"/>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$7,630.67</w:t>
            </w:r>
          </w:p>
        </w:tc>
        <w:tc>
          <w:tcPr>
            <w:tcW w:w="0" w:type="auto"/>
            <w:vAlign w:val="bottom"/>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$7,630.67</w:t>
            </w:r>
          </w:p>
        </w:tc>
        <w:tc>
          <w:tcPr>
            <w:tcW w:w="0" w:type="auto"/>
            <w:vAlign w:val="bottom"/>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$7,630.67</w:t>
            </w:r>
          </w:p>
        </w:tc>
        <w:tc>
          <w:tcPr>
            <w:tcW w:w="0" w:type="auto"/>
            <w:vAlign w:val="bottom"/>
          </w:tcPr>
          <w:p w:rsidR="00D2485E" w:rsidRPr="00D2485E" w:rsidRDefault="00D2485E" w:rsidP="00D2485E">
            <w:pPr>
              <w:jc w:val="center"/>
              <w:rPr>
                <w:rFonts w:ascii="Arial Narrow" w:hAnsi="Arial Narrow"/>
                <w:color w:val="000000"/>
                <w:sz w:val="20"/>
              </w:rPr>
            </w:pPr>
            <w:r w:rsidRPr="00D2485E">
              <w:rPr>
                <w:rFonts w:ascii="Arial Narrow" w:hAnsi="Arial Narrow"/>
                <w:color w:val="000000"/>
                <w:sz w:val="20"/>
              </w:rPr>
              <w:t>$7,630.67</w:t>
            </w:r>
          </w:p>
        </w:tc>
      </w:tr>
    </w:tbl>
    <w:p w:rsidR="00D2485E" w:rsidRDefault="00D2485E" w:rsidP="00D2485E">
      <w:pPr>
        <w:rPr>
          <w:szCs w:val="24"/>
        </w:rPr>
      </w:pPr>
    </w:p>
    <w:p w:rsidR="006A0D97" w:rsidRDefault="006A0D97" w:rsidP="006A0D97">
      <w:pPr>
        <w:pStyle w:val="Heading1"/>
        <w:numPr>
          <w:ilvl w:val="0"/>
          <w:numId w:val="23"/>
        </w:numPr>
        <w:ind w:hanging="720"/>
      </w:pPr>
      <w:r w:rsidRPr="006A0D97">
        <w:t>Key issues from ESC for MSAC</w:t>
      </w:r>
    </w:p>
    <w:p w:rsidR="00D2485E" w:rsidRPr="00D2485E" w:rsidRDefault="00D2485E" w:rsidP="00D2485E"/>
    <w:p w:rsidR="00D2485E" w:rsidRPr="00D2485E" w:rsidRDefault="00D2485E" w:rsidP="00D2485E">
      <w:pPr>
        <w:rPr>
          <w:szCs w:val="24"/>
        </w:rPr>
      </w:pPr>
      <w:r w:rsidRPr="00D2485E">
        <w:rPr>
          <w:szCs w:val="24"/>
        </w:rPr>
        <w:t xml:space="preserve">Since </w:t>
      </w:r>
      <w:r w:rsidR="008D0FE0">
        <w:rPr>
          <w:szCs w:val="24"/>
        </w:rPr>
        <w:t xml:space="preserve">previous consideration of this application by </w:t>
      </w:r>
      <w:r w:rsidRPr="00D2485E">
        <w:rPr>
          <w:szCs w:val="24"/>
        </w:rPr>
        <w:t>MSAC</w:t>
      </w:r>
      <w:r w:rsidR="008D0FE0">
        <w:rPr>
          <w:szCs w:val="24"/>
        </w:rPr>
        <w:t xml:space="preserve"> (Nov 2012) and then ESC</w:t>
      </w:r>
      <w:r w:rsidRPr="00D2485E">
        <w:rPr>
          <w:szCs w:val="24"/>
        </w:rPr>
        <w:t xml:space="preserve"> </w:t>
      </w:r>
      <w:r w:rsidR="008D0FE0">
        <w:rPr>
          <w:szCs w:val="24"/>
        </w:rPr>
        <w:t>(Feb 2015)</w:t>
      </w:r>
      <w:r w:rsidRPr="00D2485E">
        <w:rPr>
          <w:szCs w:val="24"/>
        </w:rPr>
        <w:t xml:space="preserve">, </w:t>
      </w:r>
      <w:r w:rsidR="008D0FE0">
        <w:rPr>
          <w:szCs w:val="24"/>
        </w:rPr>
        <w:t xml:space="preserve">significant changes have been made to </w:t>
      </w:r>
      <w:r w:rsidRPr="00D2485E">
        <w:rPr>
          <w:szCs w:val="24"/>
        </w:rPr>
        <w:t xml:space="preserve">the patient population, </w:t>
      </w:r>
      <w:r w:rsidR="0048341B">
        <w:rPr>
          <w:szCs w:val="24"/>
        </w:rPr>
        <w:t xml:space="preserve">comparators, </w:t>
      </w:r>
      <w:r w:rsidRPr="00D2485E">
        <w:rPr>
          <w:szCs w:val="24"/>
        </w:rPr>
        <w:t xml:space="preserve">proposed </w:t>
      </w:r>
      <w:r w:rsidR="0048341B">
        <w:rPr>
          <w:szCs w:val="24"/>
        </w:rPr>
        <w:t>MBS</w:t>
      </w:r>
      <w:r w:rsidR="0048341B" w:rsidRPr="00D2485E">
        <w:rPr>
          <w:szCs w:val="24"/>
        </w:rPr>
        <w:t xml:space="preserve"> </w:t>
      </w:r>
      <w:r w:rsidRPr="00D2485E">
        <w:rPr>
          <w:szCs w:val="24"/>
        </w:rPr>
        <w:t>fees</w:t>
      </w:r>
      <w:r w:rsidR="0048341B">
        <w:rPr>
          <w:szCs w:val="24"/>
        </w:rPr>
        <w:t>, proposed ROHPG funding</w:t>
      </w:r>
      <w:r w:rsidRPr="00D2485E">
        <w:rPr>
          <w:szCs w:val="24"/>
        </w:rPr>
        <w:t xml:space="preserve"> and </w:t>
      </w:r>
      <w:r w:rsidR="0048341B">
        <w:rPr>
          <w:szCs w:val="24"/>
        </w:rPr>
        <w:t xml:space="preserve">the </w:t>
      </w:r>
      <w:r w:rsidRPr="00D2485E">
        <w:rPr>
          <w:szCs w:val="24"/>
        </w:rPr>
        <w:t xml:space="preserve">economic </w:t>
      </w:r>
      <w:r w:rsidR="0048341B">
        <w:rPr>
          <w:szCs w:val="24"/>
        </w:rPr>
        <w:t xml:space="preserve">and financial </w:t>
      </w:r>
      <w:r w:rsidRPr="00D2485E">
        <w:rPr>
          <w:szCs w:val="24"/>
        </w:rPr>
        <w:t>model (refer to background and table of changes below)</w:t>
      </w:r>
    </w:p>
    <w:p w:rsidR="00D2485E" w:rsidRPr="007F35FB" w:rsidRDefault="00D2485E" w:rsidP="00D2485E">
      <w:pPr>
        <w:rPr>
          <w:szCs w:val="24"/>
        </w:rPr>
      </w:pPr>
    </w:p>
    <w:p w:rsidR="00D2485E" w:rsidRPr="00D2485E" w:rsidRDefault="00D2485E" w:rsidP="00D2485E">
      <w:pPr>
        <w:rPr>
          <w:szCs w:val="24"/>
        </w:rPr>
      </w:pPr>
      <w:r w:rsidRPr="00D2485E">
        <w:rPr>
          <w:szCs w:val="24"/>
        </w:rPr>
        <w:t xml:space="preserve">The MSAC Public Summary Document for Application 1158 (December 2012 </w:t>
      </w:r>
      <w:hyperlink r:id="rId12" w:tooltip="Link to Medical Services Advisory Committee Public Summary Document for 1158 - the original submission" w:history="1">
        <w:r w:rsidRPr="00D2485E">
          <w:rPr>
            <w:rStyle w:val="Hyperlink"/>
            <w:szCs w:val="24"/>
          </w:rPr>
          <w:t>http://www.msac.gov.au/internet/msac/publishing.nsf/Content/1158-public</w:t>
        </w:r>
      </w:hyperlink>
      <w:r w:rsidRPr="00D2485E">
        <w:rPr>
          <w:szCs w:val="24"/>
        </w:rPr>
        <w:t>) provided for a resubmission to be lodged through ESC if the applicant could differentiate robotic image-guided stereotactic precise beam radiosurgery and radiotherapy from other image-guided radiotherapies, plus address deficiencies in the submission.  ESC advised that a clear distinction had still not been made between services provided with Cyberknife technology and those covered by existing stereotactic radiosurgery MBS items.</w:t>
      </w:r>
    </w:p>
    <w:p w:rsidR="00D2485E" w:rsidRPr="00D2485E" w:rsidRDefault="00BD3CE4" w:rsidP="00D2485E">
      <w:pPr>
        <w:rPr>
          <w:szCs w:val="24"/>
        </w:rPr>
      </w:pPr>
      <w:r>
        <w:rPr>
          <w:szCs w:val="24"/>
        </w:rPr>
        <w:lastRenderedPageBreak/>
        <w:t>ESC agreed that t</w:t>
      </w:r>
      <w:r w:rsidR="00D2485E" w:rsidRPr="00D2485E">
        <w:rPr>
          <w:szCs w:val="24"/>
        </w:rPr>
        <w:t>he structure of the economic model was biased in favour of Cyberknife, with 3-5 year data for survival extrapolated to 20 years, and questionable epidemiological inputs.</w:t>
      </w:r>
    </w:p>
    <w:p w:rsid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D2485E" w:rsidRPr="00D2485E" w:rsidRDefault="0085135E" w:rsidP="00D2485E">
      <w:pPr>
        <w:tabs>
          <w:tab w:val="left" w:pos="720"/>
          <w:tab w:val="left" w:pos="1140"/>
        </w:tabs>
        <w:rPr>
          <w:szCs w:val="24"/>
        </w:rPr>
      </w:pPr>
      <w:r>
        <w:rPr>
          <w:szCs w:val="24"/>
        </w:rPr>
        <w:t>MSAC</w:t>
      </w:r>
      <w:r w:rsidRPr="00D2485E">
        <w:rPr>
          <w:szCs w:val="24"/>
        </w:rPr>
        <w:t xml:space="preserve"> </w:t>
      </w:r>
      <w:r w:rsidR="00D2485E" w:rsidRPr="00D2485E">
        <w:rPr>
          <w:szCs w:val="24"/>
        </w:rPr>
        <w:t>noted that the</w:t>
      </w:r>
      <w:r w:rsidR="00D2485E">
        <w:rPr>
          <w:szCs w:val="24"/>
        </w:rPr>
        <w:t xml:space="preserve"> application</w:t>
      </w:r>
      <w:r w:rsidR="00D2485E" w:rsidRPr="00D2485E">
        <w:rPr>
          <w:szCs w:val="24"/>
        </w:rPr>
        <w:t xml:space="preserve"> sought partial funding for Cyberknife through the Radiation Oncology Health Program Grants (ROHPG) Scheme</w:t>
      </w:r>
      <w:r>
        <w:rPr>
          <w:szCs w:val="24"/>
        </w:rPr>
        <w:t xml:space="preserve"> and that this was a matter for the Department</w:t>
      </w:r>
      <w:r w:rsidR="00D2485E" w:rsidRPr="00D2485E">
        <w:rPr>
          <w:szCs w:val="24"/>
        </w:rPr>
        <w:t>.</w:t>
      </w:r>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BC05AA" w:rsidRPr="00CB348A" w:rsidRDefault="00CB348A" w:rsidP="000F75DF">
      <w:pPr>
        <w:rPr>
          <w:szCs w:val="24"/>
        </w:rPr>
      </w:pPr>
      <w:r w:rsidRPr="00CB348A">
        <w:rPr>
          <w:szCs w:val="24"/>
        </w:rPr>
        <w:t>The applicant had no comment.</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3"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9A1" w:rsidRDefault="00AE39A1" w:rsidP="00065623">
      <w:r>
        <w:separator/>
      </w:r>
    </w:p>
  </w:endnote>
  <w:endnote w:type="continuationSeparator" w:id="0">
    <w:p w:rsidR="00AE39A1" w:rsidRDefault="00AE39A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5E7411" w:rsidRDefault="005E7411">
        <w:pPr>
          <w:pStyle w:val="Footer"/>
          <w:jc w:val="right"/>
        </w:pPr>
        <w:r>
          <w:fldChar w:fldCharType="begin"/>
        </w:r>
        <w:r>
          <w:instrText xml:space="preserve"> PAGE   \* MERGEFORMAT </w:instrText>
        </w:r>
        <w:r>
          <w:fldChar w:fldCharType="separate"/>
        </w:r>
        <w:r w:rsidR="00DA45A5">
          <w:rPr>
            <w:noProof/>
          </w:rPr>
          <w:t>4</w:t>
        </w:r>
        <w:r>
          <w:rPr>
            <w:noProof/>
          </w:rPr>
          <w:fldChar w:fldCharType="end"/>
        </w:r>
      </w:p>
    </w:sdtContent>
  </w:sdt>
  <w:p w:rsidR="005E7411" w:rsidRDefault="005E7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9A1" w:rsidRDefault="00AE39A1" w:rsidP="00065623">
      <w:r>
        <w:separator/>
      </w:r>
    </w:p>
  </w:footnote>
  <w:footnote w:type="continuationSeparator" w:id="0">
    <w:p w:rsidR="00AE39A1" w:rsidRDefault="00AE39A1" w:rsidP="00065623">
      <w:r>
        <w:continuationSeparator/>
      </w:r>
    </w:p>
  </w:footnote>
  <w:footnote w:id="1">
    <w:p w:rsidR="005E7411" w:rsidRPr="00DA1CA3" w:rsidRDefault="005E7411" w:rsidP="007331F1">
      <w:pPr>
        <w:pStyle w:val="FootnoteText"/>
        <w:rPr>
          <w:sz w:val="18"/>
          <w:szCs w:val="18"/>
        </w:rPr>
      </w:pPr>
      <w:r w:rsidRPr="00DA1CA3">
        <w:rPr>
          <w:rStyle w:val="FootnoteReference"/>
          <w:rFonts w:eastAsiaTheme="majorEastAsia"/>
          <w:sz w:val="18"/>
          <w:szCs w:val="18"/>
        </w:rPr>
        <w:footnoteRef/>
      </w:r>
      <w:r>
        <w:rPr>
          <w:sz w:val="18"/>
          <w:szCs w:val="18"/>
        </w:rPr>
        <w:t xml:space="preserve"> On 1</w:t>
      </w:r>
      <w:r w:rsidRPr="00DA1CA3">
        <w:rPr>
          <w:sz w:val="18"/>
          <w:szCs w:val="18"/>
        </w:rPr>
        <w:t xml:space="preserve"> December</w:t>
      </w:r>
      <w:r w:rsidRPr="00DA1CA3">
        <w:rPr>
          <w:color w:val="222222"/>
          <w:sz w:val="18"/>
          <w:szCs w:val="18"/>
        </w:rPr>
        <w:t xml:space="preserve"> </w:t>
      </w:r>
      <w:r>
        <w:rPr>
          <w:color w:val="222222"/>
          <w:sz w:val="18"/>
          <w:szCs w:val="18"/>
        </w:rPr>
        <w:t xml:space="preserve">2015, the Minister for Health, the Hon </w:t>
      </w:r>
      <w:proofErr w:type="spellStart"/>
      <w:r>
        <w:rPr>
          <w:color w:val="222222"/>
          <w:sz w:val="18"/>
          <w:szCs w:val="18"/>
        </w:rPr>
        <w:t>Sussan</w:t>
      </w:r>
      <w:proofErr w:type="spellEnd"/>
      <w:r>
        <w:rPr>
          <w:color w:val="222222"/>
          <w:sz w:val="18"/>
          <w:szCs w:val="18"/>
        </w:rPr>
        <w:t xml:space="preserve"> Ley MP announced that the</w:t>
      </w:r>
      <w:r w:rsidRPr="00DA1CA3">
        <w:rPr>
          <w:color w:val="222222"/>
          <w:sz w:val="18"/>
          <w:szCs w:val="18"/>
        </w:rPr>
        <w:t xml:space="preserve"> Medicare Safety Net measure w</w:t>
      </w:r>
      <w:r>
        <w:rPr>
          <w:color w:val="222222"/>
          <w:sz w:val="18"/>
          <w:szCs w:val="18"/>
        </w:rPr>
        <w:t xml:space="preserve">ould be paused until </w:t>
      </w:r>
      <w:r w:rsidRPr="00DA1CA3">
        <w:rPr>
          <w:color w:val="222222"/>
          <w:sz w:val="18"/>
          <w:szCs w:val="18"/>
        </w:rPr>
        <w:t xml:space="preserve">broader </w:t>
      </w:r>
      <w:r>
        <w:rPr>
          <w:color w:val="222222"/>
          <w:sz w:val="18"/>
          <w:szCs w:val="18"/>
        </w:rPr>
        <w:t xml:space="preserve">work related to the </w:t>
      </w:r>
      <w:r w:rsidRPr="00DA1CA3">
        <w:rPr>
          <w:color w:val="222222"/>
          <w:sz w:val="18"/>
          <w:szCs w:val="18"/>
        </w:rPr>
        <w:t>Medicare and primary care reform package</w:t>
      </w:r>
      <w:r>
        <w:rPr>
          <w:color w:val="222222"/>
          <w:sz w:val="18"/>
          <w:szCs w:val="18"/>
        </w:rPr>
        <w:t xml:space="preserve"> is conducted</w:t>
      </w:r>
      <w:r w:rsidRPr="00DA1CA3">
        <w:rPr>
          <w:color w:val="222222"/>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763"/>
    <w:multiLevelType w:val="hybridMultilevel"/>
    <w:tmpl w:val="FD00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86767ED"/>
    <w:multiLevelType w:val="hybridMultilevel"/>
    <w:tmpl w:val="75DE201A"/>
    <w:lvl w:ilvl="0" w:tplc="5BCC1D7C">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9F0A38"/>
    <w:multiLevelType w:val="hybridMultilevel"/>
    <w:tmpl w:val="8396A8A6"/>
    <w:lvl w:ilvl="0" w:tplc="9CEEFDD8">
      <w:start w:val="1"/>
      <w:numFmt w:val="bullet"/>
      <w:lvlText w:val="•"/>
      <w:lvlJc w:val="left"/>
      <w:pPr>
        <w:tabs>
          <w:tab w:val="num" w:pos="720"/>
        </w:tabs>
        <w:ind w:left="720" w:hanging="360"/>
      </w:pPr>
      <w:rPr>
        <w:rFonts w:ascii="Arial" w:hAnsi="Arial" w:hint="default"/>
      </w:rPr>
    </w:lvl>
    <w:lvl w:ilvl="1" w:tplc="12CEDE1E" w:tentative="1">
      <w:start w:val="1"/>
      <w:numFmt w:val="bullet"/>
      <w:lvlText w:val="•"/>
      <w:lvlJc w:val="left"/>
      <w:pPr>
        <w:tabs>
          <w:tab w:val="num" w:pos="1440"/>
        </w:tabs>
        <w:ind w:left="1440" w:hanging="360"/>
      </w:pPr>
      <w:rPr>
        <w:rFonts w:ascii="Arial" w:hAnsi="Arial" w:hint="default"/>
      </w:rPr>
    </w:lvl>
    <w:lvl w:ilvl="2" w:tplc="C2DE6050">
      <w:start w:val="1"/>
      <w:numFmt w:val="bullet"/>
      <w:lvlText w:val="•"/>
      <w:lvlJc w:val="left"/>
      <w:pPr>
        <w:tabs>
          <w:tab w:val="num" w:pos="2160"/>
        </w:tabs>
        <w:ind w:left="2160" w:hanging="360"/>
      </w:pPr>
      <w:rPr>
        <w:rFonts w:ascii="Arial" w:hAnsi="Arial" w:hint="default"/>
      </w:rPr>
    </w:lvl>
    <w:lvl w:ilvl="3" w:tplc="5CD8233C" w:tentative="1">
      <w:start w:val="1"/>
      <w:numFmt w:val="bullet"/>
      <w:lvlText w:val="•"/>
      <w:lvlJc w:val="left"/>
      <w:pPr>
        <w:tabs>
          <w:tab w:val="num" w:pos="2880"/>
        </w:tabs>
        <w:ind w:left="2880" w:hanging="360"/>
      </w:pPr>
      <w:rPr>
        <w:rFonts w:ascii="Arial" w:hAnsi="Arial" w:hint="default"/>
      </w:rPr>
    </w:lvl>
    <w:lvl w:ilvl="4" w:tplc="18A288C8" w:tentative="1">
      <w:start w:val="1"/>
      <w:numFmt w:val="bullet"/>
      <w:lvlText w:val="•"/>
      <w:lvlJc w:val="left"/>
      <w:pPr>
        <w:tabs>
          <w:tab w:val="num" w:pos="3600"/>
        </w:tabs>
        <w:ind w:left="3600" w:hanging="360"/>
      </w:pPr>
      <w:rPr>
        <w:rFonts w:ascii="Arial" w:hAnsi="Arial" w:hint="default"/>
      </w:rPr>
    </w:lvl>
    <w:lvl w:ilvl="5" w:tplc="ED184704" w:tentative="1">
      <w:start w:val="1"/>
      <w:numFmt w:val="bullet"/>
      <w:lvlText w:val="•"/>
      <w:lvlJc w:val="left"/>
      <w:pPr>
        <w:tabs>
          <w:tab w:val="num" w:pos="4320"/>
        </w:tabs>
        <w:ind w:left="4320" w:hanging="360"/>
      </w:pPr>
      <w:rPr>
        <w:rFonts w:ascii="Arial" w:hAnsi="Arial" w:hint="default"/>
      </w:rPr>
    </w:lvl>
    <w:lvl w:ilvl="6" w:tplc="CA468B6A" w:tentative="1">
      <w:start w:val="1"/>
      <w:numFmt w:val="bullet"/>
      <w:lvlText w:val="•"/>
      <w:lvlJc w:val="left"/>
      <w:pPr>
        <w:tabs>
          <w:tab w:val="num" w:pos="5040"/>
        </w:tabs>
        <w:ind w:left="5040" w:hanging="360"/>
      </w:pPr>
      <w:rPr>
        <w:rFonts w:ascii="Arial" w:hAnsi="Arial" w:hint="default"/>
      </w:rPr>
    </w:lvl>
    <w:lvl w:ilvl="7" w:tplc="FDC2898A" w:tentative="1">
      <w:start w:val="1"/>
      <w:numFmt w:val="bullet"/>
      <w:lvlText w:val="•"/>
      <w:lvlJc w:val="left"/>
      <w:pPr>
        <w:tabs>
          <w:tab w:val="num" w:pos="5760"/>
        </w:tabs>
        <w:ind w:left="5760" w:hanging="360"/>
      </w:pPr>
      <w:rPr>
        <w:rFonts w:ascii="Arial" w:hAnsi="Arial" w:hint="default"/>
      </w:rPr>
    </w:lvl>
    <w:lvl w:ilvl="8" w:tplc="E26856B0" w:tentative="1">
      <w:start w:val="1"/>
      <w:numFmt w:val="bullet"/>
      <w:lvlText w:val="•"/>
      <w:lvlJc w:val="left"/>
      <w:pPr>
        <w:tabs>
          <w:tab w:val="num" w:pos="6480"/>
        </w:tabs>
        <w:ind w:left="6480" w:hanging="360"/>
      </w:pPr>
      <w:rPr>
        <w:rFonts w:ascii="Arial" w:hAnsi="Arial"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8250D1"/>
    <w:multiLevelType w:val="hybridMultilevel"/>
    <w:tmpl w:val="3C82B3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7AB35D2"/>
    <w:multiLevelType w:val="hybridMultilevel"/>
    <w:tmpl w:val="D480B06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48C44FE4"/>
    <w:multiLevelType w:val="hybridMultilevel"/>
    <w:tmpl w:val="32648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09289D"/>
    <w:multiLevelType w:val="hybridMultilevel"/>
    <w:tmpl w:val="9C4C8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F073F2"/>
    <w:multiLevelType w:val="hybridMultilevel"/>
    <w:tmpl w:val="BFA4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87410A"/>
    <w:multiLevelType w:val="hybridMultilevel"/>
    <w:tmpl w:val="A9908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5FAC23F6"/>
    <w:multiLevelType w:val="hybridMultilevel"/>
    <w:tmpl w:val="4CF859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34A5957"/>
    <w:multiLevelType w:val="hybridMultilevel"/>
    <w:tmpl w:val="60A6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2C2BBD"/>
    <w:multiLevelType w:val="hybridMultilevel"/>
    <w:tmpl w:val="43B28CFC"/>
    <w:lvl w:ilvl="0" w:tplc="5BCC1D7C">
      <w:start w:val="1"/>
      <w:numFmt w:val="bullet"/>
      <w:lvlText w:val=""/>
      <w:lvlJc w:val="left"/>
      <w:pPr>
        <w:ind w:left="360" w:hanging="360"/>
      </w:pPr>
      <w:rPr>
        <w:rFonts w:ascii="Wingdings" w:hAnsi="Wingdings" w:hint="default"/>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6E1B5F1E"/>
    <w:multiLevelType w:val="hybridMultilevel"/>
    <w:tmpl w:val="B3C65F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nsid w:val="6FCE7B0C"/>
    <w:multiLevelType w:val="hybridMultilevel"/>
    <w:tmpl w:val="C2A612DC"/>
    <w:lvl w:ilvl="0" w:tplc="5BCC1D7C">
      <w:start w:val="1"/>
      <w:numFmt w:val="bullet"/>
      <w:lvlText w:val=""/>
      <w:lvlJc w:val="left"/>
      <w:pPr>
        <w:ind w:left="360" w:hanging="360"/>
      </w:pPr>
      <w:rPr>
        <w:rFonts w:ascii="Wingdings" w:hAnsi="Wingding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1D0103F"/>
    <w:multiLevelType w:val="hybridMultilevel"/>
    <w:tmpl w:val="D08646E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30726F2"/>
    <w:multiLevelType w:val="hybridMultilevel"/>
    <w:tmpl w:val="BB067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532F0D"/>
    <w:multiLevelType w:val="hybridMultilevel"/>
    <w:tmpl w:val="7E20E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8E0608"/>
    <w:multiLevelType w:val="hybridMultilevel"/>
    <w:tmpl w:val="40D47054"/>
    <w:lvl w:ilvl="0" w:tplc="6DDC17D4">
      <w:start w:val="1"/>
      <w:numFmt w:val="bullet"/>
      <w:lvlText w:val=""/>
      <w:lvlJc w:val="left"/>
      <w:pPr>
        <w:ind w:left="720" w:hanging="360"/>
      </w:pPr>
      <w:rPr>
        <w:rFonts w:ascii="Wingdings" w:hAnsi="Wingdings" w:hint="default"/>
        <w:sz w:val="22"/>
      </w:rPr>
    </w:lvl>
    <w:lvl w:ilvl="1" w:tplc="6DDC17D4">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2"/>
  </w:num>
  <w:num w:numId="4">
    <w:abstractNumId w:val="23"/>
  </w:num>
  <w:num w:numId="5">
    <w:abstractNumId w:val="13"/>
  </w:num>
  <w:num w:numId="6">
    <w:abstractNumId w:val="21"/>
  </w:num>
  <w:num w:numId="7">
    <w:abstractNumId w:val="29"/>
  </w:num>
  <w:num w:numId="8">
    <w:abstractNumId w:val="14"/>
  </w:num>
  <w:num w:numId="9">
    <w:abstractNumId w:val="42"/>
  </w:num>
  <w:num w:numId="10">
    <w:abstractNumId w:val="1"/>
  </w:num>
  <w:num w:numId="11">
    <w:abstractNumId w:val="26"/>
  </w:num>
  <w:num w:numId="12">
    <w:abstractNumId w:val="31"/>
  </w:num>
  <w:num w:numId="13">
    <w:abstractNumId w:val="6"/>
  </w:num>
  <w:num w:numId="14">
    <w:abstractNumId w:val="35"/>
  </w:num>
  <w:num w:numId="15">
    <w:abstractNumId w:val="25"/>
  </w:num>
  <w:num w:numId="16">
    <w:abstractNumId w:val="32"/>
  </w:num>
  <w:num w:numId="17">
    <w:abstractNumId w:val="17"/>
  </w:num>
  <w:num w:numId="18">
    <w:abstractNumId w:val="19"/>
  </w:num>
  <w:num w:numId="19">
    <w:abstractNumId w:val="34"/>
  </w:num>
  <w:num w:numId="20">
    <w:abstractNumId w:val="33"/>
  </w:num>
  <w:num w:numId="21">
    <w:abstractNumId w:val="4"/>
  </w:num>
  <w:num w:numId="22">
    <w:abstractNumId w:val="12"/>
  </w:num>
  <w:num w:numId="23">
    <w:abstractNumId w:val="3"/>
  </w:num>
  <w:num w:numId="24">
    <w:abstractNumId w:val="11"/>
  </w:num>
  <w:num w:numId="25">
    <w:abstractNumId w:val="8"/>
  </w:num>
  <w:num w:numId="26">
    <w:abstractNumId w:val="24"/>
  </w:num>
  <w:num w:numId="27">
    <w:abstractNumId w:val="38"/>
  </w:num>
  <w:num w:numId="28">
    <w:abstractNumId w:val="0"/>
  </w:num>
  <w:num w:numId="29">
    <w:abstractNumId w:val="28"/>
  </w:num>
  <w:num w:numId="30">
    <w:abstractNumId w:val="15"/>
  </w:num>
  <w:num w:numId="31">
    <w:abstractNumId w:val="36"/>
  </w:num>
  <w:num w:numId="32">
    <w:abstractNumId w:val="9"/>
  </w:num>
  <w:num w:numId="33">
    <w:abstractNumId w:val="5"/>
  </w:num>
  <w:num w:numId="34">
    <w:abstractNumId w:val="27"/>
  </w:num>
  <w:num w:numId="35">
    <w:abstractNumId w:val="37"/>
  </w:num>
  <w:num w:numId="36">
    <w:abstractNumId w:val="30"/>
  </w:num>
  <w:num w:numId="37">
    <w:abstractNumId w:val="41"/>
  </w:num>
  <w:num w:numId="38">
    <w:abstractNumId w:val="16"/>
  </w:num>
  <w:num w:numId="39">
    <w:abstractNumId w:val="7"/>
  </w:num>
  <w:num w:numId="40">
    <w:abstractNumId w:val="40"/>
  </w:num>
  <w:num w:numId="41">
    <w:abstractNumId w:val="39"/>
  </w:num>
  <w:num w:numId="42">
    <w:abstractNumId w:val="2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4BD5"/>
    <w:rsid w:val="00011A36"/>
    <w:rsid w:val="000434DD"/>
    <w:rsid w:val="00047606"/>
    <w:rsid w:val="00055DC4"/>
    <w:rsid w:val="00065623"/>
    <w:rsid w:val="000756B9"/>
    <w:rsid w:val="00096B67"/>
    <w:rsid w:val="00096DAF"/>
    <w:rsid w:val="000A1629"/>
    <w:rsid w:val="000A3D31"/>
    <w:rsid w:val="000B17FC"/>
    <w:rsid w:val="000C2F47"/>
    <w:rsid w:val="000D1146"/>
    <w:rsid w:val="000D6C00"/>
    <w:rsid w:val="000D7A5C"/>
    <w:rsid w:val="000E4E04"/>
    <w:rsid w:val="000F070E"/>
    <w:rsid w:val="000F14B4"/>
    <w:rsid w:val="000F75DF"/>
    <w:rsid w:val="001032C1"/>
    <w:rsid w:val="00113CB5"/>
    <w:rsid w:val="001328FA"/>
    <w:rsid w:val="00147AAF"/>
    <w:rsid w:val="001552C0"/>
    <w:rsid w:val="001640B1"/>
    <w:rsid w:val="0018435E"/>
    <w:rsid w:val="002041A1"/>
    <w:rsid w:val="002054F0"/>
    <w:rsid w:val="0021018C"/>
    <w:rsid w:val="00212D68"/>
    <w:rsid w:val="00230D6B"/>
    <w:rsid w:val="00232068"/>
    <w:rsid w:val="002330F2"/>
    <w:rsid w:val="00243D9E"/>
    <w:rsid w:val="0024787A"/>
    <w:rsid w:val="00253B66"/>
    <w:rsid w:val="00261DF1"/>
    <w:rsid w:val="00271F18"/>
    <w:rsid w:val="00276426"/>
    <w:rsid w:val="00282779"/>
    <w:rsid w:val="0028334D"/>
    <w:rsid w:val="002B7FFA"/>
    <w:rsid w:val="002C2BCF"/>
    <w:rsid w:val="002D1C64"/>
    <w:rsid w:val="002E533D"/>
    <w:rsid w:val="002E5823"/>
    <w:rsid w:val="002F279D"/>
    <w:rsid w:val="002F43B8"/>
    <w:rsid w:val="00342EB2"/>
    <w:rsid w:val="0034554D"/>
    <w:rsid w:val="00352224"/>
    <w:rsid w:val="0036272C"/>
    <w:rsid w:val="003671E6"/>
    <w:rsid w:val="00384272"/>
    <w:rsid w:val="00386D67"/>
    <w:rsid w:val="003945B8"/>
    <w:rsid w:val="003D7F29"/>
    <w:rsid w:val="004017C6"/>
    <w:rsid w:val="00405A6B"/>
    <w:rsid w:val="00407B1F"/>
    <w:rsid w:val="00414C57"/>
    <w:rsid w:val="00415CD9"/>
    <w:rsid w:val="0041758C"/>
    <w:rsid w:val="004220CB"/>
    <w:rsid w:val="00433596"/>
    <w:rsid w:val="004539DE"/>
    <w:rsid w:val="00467B19"/>
    <w:rsid w:val="00471CF5"/>
    <w:rsid w:val="00472407"/>
    <w:rsid w:val="0048341B"/>
    <w:rsid w:val="004A2CF1"/>
    <w:rsid w:val="004C3035"/>
    <w:rsid w:val="004C307F"/>
    <w:rsid w:val="004D2458"/>
    <w:rsid w:val="004E4BA8"/>
    <w:rsid w:val="004E53BB"/>
    <w:rsid w:val="004F340F"/>
    <w:rsid w:val="004F7B7C"/>
    <w:rsid w:val="0052243D"/>
    <w:rsid w:val="00532435"/>
    <w:rsid w:val="005367D2"/>
    <w:rsid w:val="00550354"/>
    <w:rsid w:val="00571236"/>
    <w:rsid w:val="00575B9C"/>
    <w:rsid w:val="005953A1"/>
    <w:rsid w:val="005A2EE5"/>
    <w:rsid w:val="005D0332"/>
    <w:rsid w:val="005D0D8C"/>
    <w:rsid w:val="005D0EE9"/>
    <w:rsid w:val="005E7411"/>
    <w:rsid w:val="006776AE"/>
    <w:rsid w:val="006A0D97"/>
    <w:rsid w:val="006B07E4"/>
    <w:rsid w:val="006B1F86"/>
    <w:rsid w:val="006C0A91"/>
    <w:rsid w:val="006C1DA2"/>
    <w:rsid w:val="006F3896"/>
    <w:rsid w:val="006F5E85"/>
    <w:rsid w:val="007054BB"/>
    <w:rsid w:val="00707064"/>
    <w:rsid w:val="007278B9"/>
    <w:rsid w:val="00730683"/>
    <w:rsid w:val="007331F1"/>
    <w:rsid w:val="007409FC"/>
    <w:rsid w:val="0075261F"/>
    <w:rsid w:val="0075468E"/>
    <w:rsid w:val="007665D8"/>
    <w:rsid w:val="00766E36"/>
    <w:rsid w:val="007765F4"/>
    <w:rsid w:val="00776633"/>
    <w:rsid w:val="00784D53"/>
    <w:rsid w:val="00797797"/>
    <w:rsid w:val="007A63C9"/>
    <w:rsid w:val="007B32D1"/>
    <w:rsid w:val="007B7095"/>
    <w:rsid w:val="007D24E1"/>
    <w:rsid w:val="007D7B42"/>
    <w:rsid w:val="007F4CE9"/>
    <w:rsid w:val="007F4E20"/>
    <w:rsid w:val="00822453"/>
    <w:rsid w:val="00822C7E"/>
    <w:rsid w:val="00835AA5"/>
    <w:rsid w:val="00847060"/>
    <w:rsid w:val="0085135E"/>
    <w:rsid w:val="00856A33"/>
    <w:rsid w:val="008717B3"/>
    <w:rsid w:val="00892620"/>
    <w:rsid w:val="008C386A"/>
    <w:rsid w:val="008C7D37"/>
    <w:rsid w:val="008D0FE0"/>
    <w:rsid w:val="008D5885"/>
    <w:rsid w:val="00923FA2"/>
    <w:rsid w:val="009371FB"/>
    <w:rsid w:val="0096060D"/>
    <w:rsid w:val="009673F2"/>
    <w:rsid w:val="00974A50"/>
    <w:rsid w:val="0097585A"/>
    <w:rsid w:val="009924B0"/>
    <w:rsid w:val="009942C9"/>
    <w:rsid w:val="009B35C4"/>
    <w:rsid w:val="009C630A"/>
    <w:rsid w:val="009E0D98"/>
    <w:rsid w:val="00A068A1"/>
    <w:rsid w:val="00A1207D"/>
    <w:rsid w:val="00A12FD8"/>
    <w:rsid w:val="00A320B2"/>
    <w:rsid w:val="00A346FC"/>
    <w:rsid w:val="00A52F93"/>
    <w:rsid w:val="00A61FC4"/>
    <w:rsid w:val="00A81AD9"/>
    <w:rsid w:val="00A84F93"/>
    <w:rsid w:val="00A86C12"/>
    <w:rsid w:val="00AA61B7"/>
    <w:rsid w:val="00AB1AC5"/>
    <w:rsid w:val="00AB3BFC"/>
    <w:rsid w:val="00AC4F2E"/>
    <w:rsid w:val="00AD0C37"/>
    <w:rsid w:val="00AD385F"/>
    <w:rsid w:val="00AD5834"/>
    <w:rsid w:val="00AE39A1"/>
    <w:rsid w:val="00AE6E2A"/>
    <w:rsid w:val="00AE7F55"/>
    <w:rsid w:val="00B04FB4"/>
    <w:rsid w:val="00B274F6"/>
    <w:rsid w:val="00B31E9C"/>
    <w:rsid w:val="00B35595"/>
    <w:rsid w:val="00B457A4"/>
    <w:rsid w:val="00B51C6D"/>
    <w:rsid w:val="00B62189"/>
    <w:rsid w:val="00B86D64"/>
    <w:rsid w:val="00BA3A20"/>
    <w:rsid w:val="00BA4AC5"/>
    <w:rsid w:val="00BC05AA"/>
    <w:rsid w:val="00BC1364"/>
    <w:rsid w:val="00BC7DE9"/>
    <w:rsid w:val="00BD3CE4"/>
    <w:rsid w:val="00BF479B"/>
    <w:rsid w:val="00C02577"/>
    <w:rsid w:val="00C04D3A"/>
    <w:rsid w:val="00C148AF"/>
    <w:rsid w:val="00C204FB"/>
    <w:rsid w:val="00C20BEE"/>
    <w:rsid w:val="00C2158D"/>
    <w:rsid w:val="00C35B29"/>
    <w:rsid w:val="00C4453D"/>
    <w:rsid w:val="00C5742B"/>
    <w:rsid w:val="00C67DD2"/>
    <w:rsid w:val="00C725CB"/>
    <w:rsid w:val="00C76F5C"/>
    <w:rsid w:val="00C82387"/>
    <w:rsid w:val="00C96BAD"/>
    <w:rsid w:val="00CA6944"/>
    <w:rsid w:val="00CB0F8E"/>
    <w:rsid w:val="00CB348A"/>
    <w:rsid w:val="00CB7E7D"/>
    <w:rsid w:val="00CC2911"/>
    <w:rsid w:val="00CD7FD8"/>
    <w:rsid w:val="00CE2650"/>
    <w:rsid w:val="00CE595A"/>
    <w:rsid w:val="00CF0C6D"/>
    <w:rsid w:val="00CF7307"/>
    <w:rsid w:val="00CF7C68"/>
    <w:rsid w:val="00D124FA"/>
    <w:rsid w:val="00D2485E"/>
    <w:rsid w:val="00D340DE"/>
    <w:rsid w:val="00D55723"/>
    <w:rsid w:val="00D62FAD"/>
    <w:rsid w:val="00D70450"/>
    <w:rsid w:val="00D76462"/>
    <w:rsid w:val="00D80972"/>
    <w:rsid w:val="00D825CF"/>
    <w:rsid w:val="00D83BFD"/>
    <w:rsid w:val="00D90A38"/>
    <w:rsid w:val="00DA0515"/>
    <w:rsid w:val="00DA171E"/>
    <w:rsid w:val="00DA45A5"/>
    <w:rsid w:val="00DA56AA"/>
    <w:rsid w:val="00DB5833"/>
    <w:rsid w:val="00DB6846"/>
    <w:rsid w:val="00DD2858"/>
    <w:rsid w:val="00DE6FDC"/>
    <w:rsid w:val="00E03E33"/>
    <w:rsid w:val="00E3642A"/>
    <w:rsid w:val="00E415C4"/>
    <w:rsid w:val="00E50016"/>
    <w:rsid w:val="00E50EAA"/>
    <w:rsid w:val="00E656D6"/>
    <w:rsid w:val="00E678AF"/>
    <w:rsid w:val="00E705E9"/>
    <w:rsid w:val="00E977EE"/>
    <w:rsid w:val="00EA52D2"/>
    <w:rsid w:val="00EA67A2"/>
    <w:rsid w:val="00EC2E47"/>
    <w:rsid w:val="00EC4F98"/>
    <w:rsid w:val="00EE68CA"/>
    <w:rsid w:val="00EF2B3B"/>
    <w:rsid w:val="00EF70D3"/>
    <w:rsid w:val="00F12F02"/>
    <w:rsid w:val="00F32E0D"/>
    <w:rsid w:val="00F35134"/>
    <w:rsid w:val="00F41812"/>
    <w:rsid w:val="00F51A73"/>
    <w:rsid w:val="00F54FEB"/>
    <w:rsid w:val="00F73333"/>
    <w:rsid w:val="00F7644A"/>
    <w:rsid w:val="00F77C50"/>
    <w:rsid w:val="00F95D8F"/>
    <w:rsid w:val="00FA2222"/>
    <w:rsid w:val="00FA5480"/>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EC2E47"/>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unhideWhenUsed/>
    <w:qFormat/>
    <w:locked/>
    <w:rsid w:val="00EC2E47"/>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text">
    <w:name w:val="Table text"/>
    <w:basedOn w:val="Normal"/>
    <w:link w:val="TabletextChar"/>
    <w:qFormat/>
    <w:rsid w:val="00D2485E"/>
    <w:pPr>
      <w:spacing w:before="40" w:after="40"/>
    </w:pPr>
    <w:rPr>
      <w:rFonts w:ascii="Arial Narrow" w:hAnsi="Arial Narrow" w:cs="Tahoma"/>
      <w:sz w:val="20"/>
    </w:rPr>
  </w:style>
  <w:style w:type="character" w:customStyle="1" w:styleId="TabletextChar">
    <w:name w:val="Table text Char"/>
    <w:link w:val="Tabletext"/>
    <w:rsid w:val="00D2485E"/>
    <w:rPr>
      <w:rFonts w:ascii="Arial Narrow" w:eastAsia="Times New Roman" w:hAnsi="Arial Narrow" w:cs="Tahoma"/>
      <w:sz w:val="20"/>
      <w:szCs w:val="20"/>
    </w:rPr>
  </w:style>
  <w:style w:type="paragraph" w:customStyle="1" w:styleId="Tabletextboldleft">
    <w:name w:val="Table text bold left"/>
    <w:basedOn w:val="Normal"/>
    <w:link w:val="TabletextboldleftChar"/>
    <w:qFormat/>
    <w:rsid w:val="00D2485E"/>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D2485E"/>
    <w:rPr>
      <w:rFonts w:ascii="Arial Narrow" w:eastAsia="Times New Roman" w:hAnsi="Arial Narrow" w:cs="Arial"/>
      <w:b/>
      <w:sz w:val="20"/>
      <w:szCs w:val="20"/>
      <w:lang w:eastAsia="en-US"/>
    </w:rPr>
  </w:style>
  <w:style w:type="paragraph" w:customStyle="1" w:styleId="Tablecaption">
    <w:name w:val="Table caption"/>
    <w:basedOn w:val="Normal"/>
    <w:link w:val="TablecaptionChar"/>
    <w:qFormat/>
    <w:rsid w:val="00D2485E"/>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D2485E"/>
    <w:rPr>
      <w:rFonts w:ascii="Arial Narrow" w:eastAsia="Times New Roman" w:hAnsi="Arial Narrow" w:cs="Arial"/>
      <w:sz w:val="20"/>
      <w:szCs w:val="20"/>
      <w:lang w:eastAsia="en-US"/>
    </w:rPr>
  </w:style>
  <w:style w:type="paragraph" w:customStyle="1" w:styleId="Tabletextbold">
    <w:name w:val="Table text bold"/>
    <w:basedOn w:val="Normal"/>
    <w:link w:val="TabletextboldChar"/>
    <w:qFormat/>
    <w:rsid w:val="00D2485E"/>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D2485E"/>
    <w:rPr>
      <w:rFonts w:ascii="Arial Narrow" w:eastAsia="Times New Roman" w:hAnsi="Arial Narrow" w:cs="Arial"/>
      <w:b/>
      <w:sz w:val="20"/>
      <w:szCs w:val="20"/>
      <w:lang w:eastAsia="en-US"/>
    </w:rPr>
  </w:style>
  <w:style w:type="paragraph" w:customStyle="1" w:styleId="Tabletextcentred">
    <w:name w:val="Table text centred"/>
    <w:basedOn w:val="Tabletext"/>
    <w:link w:val="TabletextcentredChar"/>
    <w:qFormat/>
    <w:rsid w:val="00D2485E"/>
    <w:pPr>
      <w:spacing w:before="0" w:after="0"/>
      <w:jc w:val="center"/>
    </w:pPr>
    <w:rPr>
      <w:szCs w:val="24"/>
      <w:lang w:eastAsia="en-US"/>
    </w:rPr>
  </w:style>
  <w:style w:type="character" w:customStyle="1" w:styleId="TabletextcentredChar">
    <w:name w:val="Table text centred Char"/>
    <w:basedOn w:val="TabletextChar"/>
    <w:link w:val="Tabletextcentred"/>
    <w:rsid w:val="00D2485E"/>
    <w:rPr>
      <w:rFonts w:ascii="Arial Narrow" w:eastAsia="Times New Roman" w:hAnsi="Arial Narrow" w:cs="Tahoma"/>
      <w:sz w:val="20"/>
      <w:szCs w:val="24"/>
      <w:lang w:eastAsia="en-US"/>
    </w:rPr>
  </w:style>
  <w:style w:type="table" w:styleId="TableGrid">
    <w:name w:val="Table Grid"/>
    <w:basedOn w:val="TableNormal"/>
    <w:uiPriority w:val="59"/>
    <w:locked/>
    <w:rsid w:val="00276426"/>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
    <w:name w:val="ES Heading 2"/>
    <w:basedOn w:val="Heading2"/>
    <w:link w:val="ESHeading2Char"/>
    <w:qFormat/>
    <w:rsid w:val="00FA2222"/>
    <w:pPr>
      <w:keepLines w:val="0"/>
      <w:spacing w:before="0" w:after="240"/>
      <w:ind w:left="576" w:hanging="576"/>
      <w:jc w:val="both"/>
    </w:pPr>
    <w:rPr>
      <w:rFonts w:ascii="Garamond" w:eastAsia="Times New Roman" w:hAnsi="Garamond"/>
      <w:iCs/>
      <w:sz w:val="24"/>
      <w:szCs w:val="28"/>
      <w:lang w:eastAsia="en-US"/>
    </w:rPr>
  </w:style>
  <w:style w:type="character" w:customStyle="1" w:styleId="ESHeading2Char">
    <w:name w:val="ES Heading 2 Char"/>
    <w:basedOn w:val="Heading2Char"/>
    <w:link w:val="ESHeading2"/>
    <w:rsid w:val="00FA2222"/>
    <w:rPr>
      <w:rFonts w:ascii="Garamond" w:eastAsia="Times New Roman" w:hAnsi="Garamond" w:cstheme="majorBidi"/>
      <w:b/>
      <w:bCs/>
      <w:iCs/>
      <w:color w:val="4F81BD" w:themeColor="accent1"/>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EC2E47"/>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unhideWhenUsed/>
    <w:qFormat/>
    <w:locked/>
    <w:rsid w:val="00EC2E47"/>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text">
    <w:name w:val="Table text"/>
    <w:basedOn w:val="Normal"/>
    <w:link w:val="TabletextChar"/>
    <w:qFormat/>
    <w:rsid w:val="00D2485E"/>
    <w:pPr>
      <w:spacing w:before="40" w:after="40"/>
    </w:pPr>
    <w:rPr>
      <w:rFonts w:ascii="Arial Narrow" w:hAnsi="Arial Narrow" w:cs="Tahoma"/>
      <w:sz w:val="20"/>
    </w:rPr>
  </w:style>
  <w:style w:type="character" w:customStyle="1" w:styleId="TabletextChar">
    <w:name w:val="Table text Char"/>
    <w:link w:val="Tabletext"/>
    <w:rsid w:val="00D2485E"/>
    <w:rPr>
      <w:rFonts w:ascii="Arial Narrow" w:eastAsia="Times New Roman" w:hAnsi="Arial Narrow" w:cs="Tahoma"/>
      <w:sz w:val="20"/>
      <w:szCs w:val="20"/>
    </w:rPr>
  </w:style>
  <w:style w:type="paragraph" w:customStyle="1" w:styleId="Tabletextboldleft">
    <w:name w:val="Table text bold left"/>
    <w:basedOn w:val="Normal"/>
    <w:link w:val="TabletextboldleftChar"/>
    <w:qFormat/>
    <w:rsid w:val="00D2485E"/>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D2485E"/>
    <w:rPr>
      <w:rFonts w:ascii="Arial Narrow" w:eastAsia="Times New Roman" w:hAnsi="Arial Narrow" w:cs="Arial"/>
      <w:b/>
      <w:sz w:val="20"/>
      <w:szCs w:val="20"/>
      <w:lang w:eastAsia="en-US"/>
    </w:rPr>
  </w:style>
  <w:style w:type="paragraph" w:customStyle="1" w:styleId="Tablecaption">
    <w:name w:val="Table caption"/>
    <w:basedOn w:val="Normal"/>
    <w:link w:val="TablecaptionChar"/>
    <w:qFormat/>
    <w:rsid w:val="00D2485E"/>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D2485E"/>
    <w:rPr>
      <w:rFonts w:ascii="Arial Narrow" w:eastAsia="Times New Roman" w:hAnsi="Arial Narrow" w:cs="Arial"/>
      <w:sz w:val="20"/>
      <w:szCs w:val="20"/>
      <w:lang w:eastAsia="en-US"/>
    </w:rPr>
  </w:style>
  <w:style w:type="paragraph" w:customStyle="1" w:styleId="Tabletextbold">
    <w:name w:val="Table text bold"/>
    <w:basedOn w:val="Normal"/>
    <w:link w:val="TabletextboldChar"/>
    <w:qFormat/>
    <w:rsid w:val="00D2485E"/>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D2485E"/>
    <w:rPr>
      <w:rFonts w:ascii="Arial Narrow" w:eastAsia="Times New Roman" w:hAnsi="Arial Narrow" w:cs="Arial"/>
      <w:b/>
      <w:sz w:val="20"/>
      <w:szCs w:val="20"/>
      <w:lang w:eastAsia="en-US"/>
    </w:rPr>
  </w:style>
  <w:style w:type="paragraph" w:customStyle="1" w:styleId="Tabletextcentred">
    <w:name w:val="Table text centred"/>
    <w:basedOn w:val="Tabletext"/>
    <w:link w:val="TabletextcentredChar"/>
    <w:qFormat/>
    <w:rsid w:val="00D2485E"/>
    <w:pPr>
      <w:spacing w:before="0" w:after="0"/>
      <w:jc w:val="center"/>
    </w:pPr>
    <w:rPr>
      <w:szCs w:val="24"/>
      <w:lang w:eastAsia="en-US"/>
    </w:rPr>
  </w:style>
  <w:style w:type="character" w:customStyle="1" w:styleId="TabletextcentredChar">
    <w:name w:val="Table text centred Char"/>
    <w:basedOn w:val="TabletextChar"/>
    <w:link w:val="Tabletextcentred"/>
    <w:rsid w:val="00D2485E"/>
    <w:rPr>
      <w:rFonts w:ascii="Arial Narrow" w:eastAsia="Times New Roman" w:hAnsi="Arial Narrow" w:cs="Tahoma"/>
      <w:sz w:val="20"/>
      <w:szCs w:val="24"/>
      <w:lang w:eastAsia="en-US"/>
    </w:rPr>
  </w:style>
  <w:style w:type="table" w:styleId="TableGrid">
    <w:name w:val="Table Grid"/>
    <w:basedOn w:val="TableNormal"/>
    <w:uiPriority w:val="59"/>
    <w:locked/>
    <w:rsid w:val="00276426"/>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
    <w:name w:val="ES Heading 2"/>
    <w:basedOn w:val="Heading2"/>
    <w:link w:val="ESHeading2Char"/>
    <w:qFormat/>
    <w:rsid w:val="00FA2222"/>
    <w:pPr>
      <w:keepLines w:val="0"/>
      <w:spacing w:before="0" w:after="240"/>
      <w:ind w:left="576" w:hanging="576"/>
      <w:jc w:val="both"/>
    </w:pPr>
    <w:rPr>
      <w:rFonts w:ascii="Garamond" w:eastAsia="Times New Roman" w:hAnsi="Garamond"/>
      <w:iCs/>
      <w:sz w:val="24"/>
      <w:szCs w:val="28"/>
      <w:lang w:eastAsia="en-US"/>
    </w:rPr>
  </w:style>
  <w:style w:type="character" w:customStyle="1" w:styleId="ESHeading2Char">
    <w:name w:val="ES Heading 2 Char"/>
    <w:basedOn w:val="Heading2Char"/>
    <w:link w:val="ESHeading2"/>
    <w:rsid w:val="00FA2222"/>
    <w:rPr>
      <w:rFonts w:ascii="Garamond" w:eastAsia="Times New Roman" w:hAnsi="Garamond" w:cstheme="majorBidi"/>
      <w:b/>
      <w:bCs/>
      <w:iCs/>
      <w:color w:val="4F81BD" w:themeColor="accent1"/>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33788">
      <w:bodyDiv w:val="1"/>
      <w:marLeft w:val="0"/>
      <w:marRight w:val="0"/>
      <w:marTop w:val="0"/>
      <w:marBottom w:val="0"/>
      <w:divBdr>
        <w:top w:val="none" w:sz="0" w:space="0" w:color="auto"/>
        <w:left w:val="none" w:sz="0" w:space="0" w:color="auto"/>
        <w:bottom w:val="none" w:sz="0" w:space="0" w:color="auto"/>
        <w:right w:val="none" w:sz="0" w:space="0" w:color="auto"/>
      </w:divBdr>
      <w:divsChild>
        <w:div w:id="1678268120">
          <w:marLeft w:val="1152"/>
          <w:marRight w:val="0"/>
          <w:marTop w:val="86"/>
          <w:marBottom w:val="0"/>
          <w:divBdr>
            <w:top w:val="none" w:sz="0" w:space="0" w:color="auto"/>
            <w:left w:val="none" w:sz="0" w:space="0" w:color="auto"/>
            <w:bottom w:val="none" w:sz="0" w:space="0" w:color="auto"/>
            <w:right w:val="none" w:sz="0" w:space="0" w:color="auto"/>
          </w:divBdr>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 w:id="14768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internet/msac/publishing.nsf/Content/1158-publ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31D3-7B79-4BD4-B788-61557B20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5</cp:revision>
  <cp:lastPrinted>2014-01-23T05:11:00Z</cp:lastPrinted>
  <dcterms:created xsi:type="dcterms:W3CDTF">2016-04-15T04:31:00Z</dcterms:created>
  <dcterms:modified xsi:type="dcterms:W3CDTF">2016-04-15T05:11:00Z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