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C67DD2" w:rsidRPr="008D5885" w:rsidRDefault="00C67DD2" w:rsidP="009B145B">
      <w:pPr>
        <w:spacing w:after="240"/>
      </w:pPr>
      <w:bookmarkStart w:id="0" w:name="_GoBack"/>
      <w:bookmarkEnd w:id="0"/>
    </w:p>
    <w:p w:rsidR="00BC1364" w:rsidRPr="007B32D1" w:rsidRDefault="00BF479B" w:rsidP="009B145B">
      <w:pPr>
        <w:spacing w:after="240"/>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9B145B">
      <w:pPr>
        <w:spacing w:after="240"/>
      </w:pPr>
    </w:p>
    <w:p w:rsidR="00BC1364" w:rsidRPr="009B145B" w:rsidRDefault="00BC1364" w:rsidP="009B145B">
      <w:pPr>
        <w:spacing w:after="360"/>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B30C6F">
        <w:rPr>
          <w:rFonts w:ascii="Arial" w:hAnsi="Arial" w:cs="Arial"/>
          <w:b/>
          <w:bCs/>
          <w:i/>
          <w:color w:val="000080"/>
          <w:sz w:val="28"/>
          <w:szCs w:val="28"/>
        </w:rPr>
        <w:t>1172.1</w:t>
      </w:r>
      <w:r w:rsidRPr="007B32D1">
        <w:rPr>
          <w:rFonts w:ascii="Arial" w:hAnsi="Arial" w:cs="Arial"/>
          <w:b/>
          <w:bCs/>
          <w:i/>
          <w:color w:val="000080"/>
          <w:sz w:val="28"/>
          <w:szCs w:val="28"/>
        </w:rPr>
        <w:t xml:space="preserve"> – </w:t>
      </w:r>
      <w:r w:rsidR="00B30C6F" w:rsidRPr="00B30C6F">
        <w:rPr>
          <w:rFonts w:ascii="Arial" w:hAnsi="Arial" w:cs="Arial"/>
          <w:b/>
          <w:bCs/>
          <w:i/>
          <w:color w:val="000080"/>
          <w:sz w:val="28"/>
          <w:szCs w:val="28"/>
        </w:rPr>
        <w:t>BRAF mutation test for treatment of metastatic melanoma for access to vemurafenib</w:t>
      </w:r>
    </w:p>
    <w:p w:rsidR="00BC1364" w:rsidRPr="009B145B" w:rsidRDefault="00B35595" w:rsidP="009B145B">
      <w:pPr>
        <w:spacing w:after="240"/>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E4303E" w:rsidRPr="00E4303E">
        <w:rPr>
          <w:rFonts w:ascii="Arial" w:hAnsi="Arial" w:cs="Arial"/>
          <w:b/>
          <w:szCs w:val="24"/>
        </w:rPr>
        <w:t xml:space="preserve">Roche </w:t>
      </w:r>
      <w:r w:rsidR="00BA52E0">
        <w:rPr>
          <w:rFonts w:ascii="Arial" w:hAnsi="Arial" w:cs="Arial"/>
          <w:b/>
          <w:szCs w:val="24"/>
        </w:rPr>
        <w:t>Products</w:t>
      </w:r>
      <w:r w:rsidR="00E4303E" w:rsidRPr="00E4303E">
        <w:rPr>
          <w:rFonts w:ascii="Arial" w:hAnsi="Arial" w:cs="Arial"/>
          <w:b/>
          <w:szCs w:val="24"/>
        </w:rPr>
        <w:t xml:space="preserve"> Pty. Ltd.</w:t>
      </w:r>
    </w:p>
    <w:p w:rsidR="00BC1364" w:rsidRPr="009B145B" w:rsidRDefault="00BC1364" w:rsidP="009B145B">
      <w:pPr>
        <w:spacing w:after="24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E4303E">
        <w:rPr>
          <w:rFonts w:ascii="Arial" w:hAnsi="Arial" w:cs="Arial"/>
          <w:b/>
          <w:szCs w:val="24"/>
        </w:rPr>
        <w:t>30-31 March</w:t>
      </w:r>
      <w:r w:rsidR="000661A0">
        <w:rPr>
          <w:rFonts w:ascii="Arial" w:hAnsi="Arial" w:cs="Arial"/>
          <w:b/>
          <w:szCs w:val="24"/>
        </w:rPr>
        <w:t xml:space="preserve"> 2016</w:t>
      </w:r>
    </w:p>
    <w:p w:rsidR="00F41812" w:rsidRDefault="006A0D97" w:rsidP="009B145B">
      <w:pPr>
        <w:spacing w:after="240"/>
        <w:rPr>
          <w:szCs w:val="24"/>
        </w:rPr>
      </w:pPr>
      <w:r>
        <w:rPr>
          <w:szCs w:val="24"/>
        </w:rPr>
        <w:t xml:space="preserve">Context for decision: MSAC makes its advice in accordance with its Terms of Reference, see at </w:t>
      </w:r>
      <w:hyperlink r:id="rId9" w:tooltip="Medical Services Advisory committee website link" w:history="1">
        <w:r w:rsidRPr="000A74FE">
          <w:rPr>
            <w:rStyle w:val="Hyperlink"/>
            <w:szCs w:val="24"/>
          </w:rPr>
          <w:t>www.msac.gov.au</w:t>
        </w:r>
      </w:hyperlink>
    </w:p>
    <w:p w:rsidR="003D7F29" w:rsidRPr="009B145B" w:rsidRDefault="003D7F29" w:rsidP="009B145B">
      <w:pPr>
        <w:pStyle w:val="Heading1"/>
        <w:numPr>
          <w:ilvl w:val="0"/>
          <w:numId w:val="23"/>
        </w:numPr>
        <w:spacing w:after="240"/>
        <w:ind w:hanging="720"/>
      </w:pPr>
      <w:r w:rsidRPr="00D90A38">
        <w:t>Purpose of application</w:t>
      </w:r>
      <w:r w:rsidR="00822C7E">
        <w:t xml:space="preserve"> and links to other applications</w:t>
      </w:r>
    </w:p>
    <w:p w:rsidR="008A5F90" w:rsidRPr="009B145B" w:rsidRDefault="008A5F90" w:rsidP="009B145B">
      <w:pPr>
        <w:spacing w:after="240"/>
      </w:pPr>
      <w:r>
        <w:t xml:space="preserve">The application sought </w:t>
      </w:r>
      <w:r w:rsidRPr="00D95C78">
        <w:t xml:space="preserve">an amendment to </w:t>
      </w:r>
      <w:r w:rsidR="00B144B5" w:rsidRPr="00C204FB">
        <w:rPr>
          <w:szCs w:val="24"/>
        </w:rPr>
        <w:t xml:space="preserve">Medicare Benefits Schedule (MBS) </w:t>
      </w:r>
      <w:r w:rsidRPr="00D95C78">
        <w:t xml:space="preserve"> item 73336 </w:t>
      </w:r>
      <w:r>
        <w:t xml:space="preserve">based on the </w:t>
      </w:r>
      <w:r w:rsidR="00B144B5">
        <w:t xml:space="preserve">previous </w:t>
      </w:r>
      <w:r>
        <w:t>April 2013 recommendation</w:t>
      </w:r>
      <w:r w:rsidRPr="00D95C78">
        <w:t xml:space="preserve"> by MSAC </w:t>
      </w:r>
      <w:r>
        <w:t xml:space="preserve">(Application 1172) </w:t>
      </w:r>
      <w:r w:rsidRPr="00D95C78">
        <w:t xml:space="preserve">to </w:t>
      </w:r>
      <w:r>
        <w:t>defer</w:t>
      </w:r>
      <w:r w:rsidRPr="00D95C78">
        <w:t xml:space="preserve"> MBS listing of </w:t>
      </w:r>
      <w:r w:rsidRPr="003736D0">
        <w:rPr>
          <w:i/>
        </w:rPr>
        <w:t>BRAF</w:t>
      </w:r>
      <w:r w:rsidRPr="00D95C78">
        <w:t xml:space="preserve"> testing </w:t>
      </w:r>
      <w:r>
        <w:t>pending a</w:t>
      </w:r>
      <w:r w:rsidRPr="004C2B1E">
        <w:t xml:space="preserve"> P</w:t>
      </w:r>
      <w:r w:rsidR="00987726">
        <w:t xml:space="preserve">harmaceutical </w:t>
      </w:r>
      <w:r w:rsidRPr="004C2B1E">
        <w:t>B</w:t>
      </w:r>
      <w:r w:rsidR="00987726">
        <w:t xml:space="preserve">enefits </w:t>
      </w:r>
      <w:r w:rsidRPr="004C2B1E">
        <w:t>A</w:t>
      </w:r>
      <w:r w:rsidR="00987726">
        <w:t xml:space="preserve">dvisory </w:t>
      </w:r>
      <w:r w:rsidRPr="004C2B1E">
        <w:t>C</w:t>
      </w:r>
      <w:r w:rsidR="00987726">
        <w:t>ommittee</w:t>
      </w:r>
      <w:r w:rsidR="00480ED9">
        <w:t xml:space="preserve"> (PBAC) </w:t>
      </w:r>
      <w:r w:rsidRPr="004C2B1E">
        <w:t>recommend</w:t>
      </w:r>
      <w:r>
        <w:t>ation to list</w:t>
      </w:r>
      <w:r w:rsidRPr="004C2B1E">
        <w:t xml:space="preserve"> vemurafenib</w:t>
      </w:r>
      <w:r>
        <w:t xml:space="preserve"> </w:t>
      </w:r>
      <w:r w:rsidRPr="00F9557D">
        <w:t>on the P</w:t>
      </w:r>
      <w:r w:rsidR="00987726">
        <w:t xml:space="preserve">harmaceutical </w:t>
      </w:r>
      <w:r w:rsidRPr="00F9557D">
        <w:t>B</w:t>
      </w:r>
      <w:r w:rsidR="00987726">
        <w:t xml:space="preserve">enefits </w:t>
      </w:r>
      <w:r w:rsidRPr="00F9557D">
        <w:t>S</w:t>
      </w:r>
      <w:r w:rsidR="00987726">
        <w:t>cheme</w:t>
      </w:r>
      <w:r w:rsidR="00480ED9">
        <w:t xml:space="preserve"> (PBS)</w:t>
      </w:r>
      <w:r>
        <w:t>.</w:t>
      </w:r>
      <w:r w:rsidR="00F165DE">
        <w:t xml:space="preserve"> The Department received the evidence for the resubmission on 3 November 2015. </w:t>
      </w:r>
    </w:p>
    <w:p w:rsidR="00E977EE" w:rsidRPr="009B145B" w:rsidRDefault="00E977EE" w:rsidP="009B145B">
      <w:pPr>
        <w:pStyle w:val="Heading1"/>
        <w:numPr>
          <w:ilvl w:val="0"/>
          <w:numId w:val="23"/>
        </w:numPr>
        <w:spacing w:after="240"/>
        <w:ind w:hanging="720"/>
      </w:pPr>
      <w:r w:rsidRPr="008D5885">
        <w:t>MSAC’s advice to the Minister</w:t>
      </w:r>
    </w:p>
    <w:p w:rsidR="00EF0F67" w:rsidRDefault="00B93997" w:rsidP="009B145B">
      <w:pPr>
        <w:spacing w:after="240"/>
      </w:pPr>
      <w:r w:rsidRPr="00032F59">
        <w:t>After considering the strength of the available evidence in relation to the comparative safety, clinical effectiveness and cost-effectiveness MSAC support</w:t>
      </w:r>
      <w:r w:rsidR="001D37A2">
        <w:t>ed</w:t>
      </w:r>
      <w:r w:rsidRPr="00032F59">
        <w:t xml:space="preserve"> public funding for </w:t>
      </w:r>
      <w:r w:rsidRPr="001D37A2">
        <w:rPr>
          <w:i/>
        </w:rPr>
        <w:t>BRAF</w:t>
      </w:r>
      <w:r w:rsidRPr="00032F59">
        <w:t xml:space="preserve"> genetic testing in patients with unresectable (Stage III) or metastatic (Stage IV) melanoma for access to vemurafenib.</w:t>
      </w:r>
    </w:p>
    <w:p w:rsidR="00E977EE" w:rsidRPr="009B145B" w:rsidRDefault="00EF0F67" w:rsidP="009B145B">
      <w:pPr>
        <w:spacing w:after="240"/>
      </w:pPr>
      <w:r w:rsidRPr="00032F59">
        <w:t xml:space="preserve">MSAC supported the addition of vemurafenib to MBS Item 73336. </w:t>
      </w:r>
    </w:p>
    <w:p w:rsidR="00550354" w:rsidRPr="009B145B" w:rsidRDefault="00550354" w:rsidP="009B145B">
      <w:pPr>
        <w:pStyle w:val="Heading1"/>
        <w:numPr>
          <w:ilvl w:val="0"/>
          <w:numId w:val="23"/>
        </w:numPr>
        <w:spacing w:after="240"/>
        <w:ind w:hanging="720"/>
      </w:pPr>
      <w:r w:rsidRPr="008D5885">
        <w:t>Summary of consideration and rationale for MSAC’s advice</w:t>
      </w:r>
      <w:r w:rsidRPr="00707064">
        <w:t xml:space="preserve"> </w:t>
      </w:r>
    </w:p>
    <w:p w:rsidR="007471F0" w:rsidRPr="00032F59" w:rsidRDefault="00B93997" w:rsidP="009B145B">
      <w:pPr>
        <w:spacing w:after="240"/>
      </w:pPr>
      <w:r w:rsidRPr="00032F59">
        <w:t xml:space="preserve">MSAC </w:t>
      </w:r>
      <w:r w:rsidR="007471F0">
        <w:t>recalled</w:t>
      </w:r>
      <w:r w:rsidRPr="00032F59">
        <w:t xml:space="preserve"> that BRAF testing in the context of a co-dependent application to determine eligibility for proposed PBS-subsidised vemurafenib (a BRAF inhibitor) in patie</w:t>
      </w:r>
      <w:r w:rsidR="007F227A">
        <w:t>nts with unresectable Stage III</w:t>
      </w:r>
      <w:r w:rsidRPr="00032F59">
        <w:t xml:space="preserve"> or Stage IV metastatic cutaneous melanoma had been </w:t>
      </w:r>
      <w:r w:rsidR="007471F0">
        <w:t>deferred</w:t>
      </w:r>
      <w:r w:rsidRPr="00032F59">
        <w:t xml:space="preserve"> at its August 2012 </w:t>
      </w:r>
      <w:r w:rsidR="007471F0">
        <w:t xml:space="preserve">and April 2013 MSAC </w:t>
      </w:r>
      <w:r w:rsidRPr="00032F59">
        <w:t>meeting</w:t>
      </w:r>
      <w:r w:rsidR="007471F0">
        <w:t>s</w:t>
      </w:r>
      <w:r w:rsidRPr="00032F59">
        <w:t xml:space="preserve">. </w:t>
      </w:r>
      <w:r w:rsidR="007471F0">
        <w:t>A</w:t>
      </w:r>
      <w:r w:rsidRPr="00032F59">
        <w:t xml:space="preserve">fter considering the strength of the available evidence in relation to the safety, clinical effectiveness and cost-effectiveness of </w:t>
      </w:r>
      <w:r w:rsidRPr="001D37A2">
        <w:rPr>
          <w:i/>
        </w:rPr>
        <w:t>BRAF</w:t>
      </w:r>
      <w:r w:rsidRPr="00032F59">
        <w:t xml:space="preserve"> V600 mutation testing, MSAC had deferred the application</w:t>
      </w:r>
      <w:r w:rsidR="007471F0">
        <w:t xml:space="preserve">s </w:t>
      </w:r>
      <w:r w:rsidRPr="00032F59">
        <w:t xml:space="preserve">until PBAC reconsidered the PBS listing of vemurafenib. </w:t>
      </w:r>
    </w:p>
    <w:p w:rsidR="00480ED9" w:rsidRDefault="00B93997" w:rsidP="009B145B">
      <w:pPr>
        <w:spacing w:after="240"/>
      </w:pPr>
      <w:r w:rsidRPr="00032F59">
        <w:t xml:space="preserve">MSAC noted that in this resubmission the applicant was seeking an amendment to MBS item 73336 to include reference to vemurafenib. The existing MBS item is for </w:t>
      </w:r>
      <w:r w:rsidRPr="001D37A2">
        <w:rPr>
          <w:i/>
        </w:rPr>
        <w:t>BRAF</w:t>
      </w:r>
      <w:r w:rsidRPr="00032F59">
        <w:t xml:space="preserve"> V600 mutation testing for access to dabrafenib (a BRAF inhibitor). </w:t>
      </w:r>
    </w:p>
    <w:p w:rsidR="00B93997" w:rsidRPr="00032F59" w:rsidRDefault="00B93997" w:rsidP="009B145B">
      <w:pPr>
        <w:spacing w:after="240"/>
      </w:pPr>
      <w:r w:rsidRPr="00032F59">
        <w:lastRenderedPageBreak/>
        <w:t xml:space="preserve">MSAC noted that vemurafenib in combination with cobimetinib (a MEK inhibitor) was </w:t>
      </w:r>
      <w:r w:rsidR="003736D0">
        <w:t>recommended</w:t>
      </w:r>
      <w:r w:rsidR="003736D0" w:rsidRPr="00032F59">
        <w:t xml:space="preserve"> </w:t>
      </w:r>
      <w:r w:rsidRPr="00032F59">
        <w:t xml:space="preserve">for listing in the PBS at the March 2016 PBAC meeting for </w:t>
      </w:r>
      <w:r w:rsidRPr="001D37A2">
        <w:rPr>
          <w:i/>
        </w:rPr>
        <w:t>BRAF</w:t>
      </w:r>
      <w:r w:rsidRPr="00032F59">
        <w:t xml:space="preserve"> V600 positive, unresectable Stage III or Stage IV melanoma. The resubmission was based on the </w:t>
      </w:r>
      <w:proofErr w:type="spellStart"/>
      <w:r w:rsidRPr="00032F59">
        <w:t>coBRIM</w:t>
      </w:r>
      <w:proofErr w:type="spellEnd"/>
      <w:r w:rsidRPr="00032F59">
        <w:t xml:space="preserve"> phase III trial in which vemurafenib was used in combination with cobimetinib. The resubmission claimed this combination is non-inferior in efficacy and safety to that of the currently used dabrafenib. </w:t>
      </w:r>
    </w:p>
    <w:p w:rsidR="00B93997" w:rsidRPr="00032F59" w:rsidRDefault="00B93997" w:rsidP="009B145B">
      <w:pPr>
        <w:spacing w:after="240"/>
      </w:pPr>
      <w:r w:rsidRPr="00032F59">
        <w:t xml:space="preserve">MSAC recalled that it had been supportive of a </w:t>
      </w:r>
      <w:r w:rsidRPr="001D37A2">
        <w:rPr>
          <w:i/>
        </w:rPr>
        <w:t>BRAF</w:t>
      </w:r>
      <w:r w:rsidRPr="00032F59">
        <w:t xml:space="preserve"> V600 mutation testing MBS item including reference to both vemurafenib and dabrafenib at its April 2013 meeting. MSAC accepted the applicant’s argument that the addition of vemurafenib to MBS item 73336 would be cost neutral, as vemurafenib will substitute dabrafenib, resulting in no growth in the number of patients treated. In addition, MSAC noted that a diagnostic test for cobimetinib was not required to </w:t>
      </w:r>
      <w:r w:rsidR="003736D0">
        <w:t>identify patients suitable for treatment</w:t>
      </w:r>
      <w:r w:rsidRPr="00032F59">
        <w:t xml:space="preserve">. </w:t>
      </w:r>
    </w:p>
    <w:p w:rsidR="00BC1364" w:rsidRPr="009B145B" w:rsidRDefault="00BC1364" w:rsidP="009B145B">
      <w:pPr>
        <w:pStyle w:val="Heading1"/>
        <w:numPr>
          <w:ilvl w:val="0"/>
          <w:numId w:val="23"/>
        </w:numPr>
        <w:spacing w:after="240"/>
        <w:ind w:hanging="720"/>
      </w:pPr>
      <w:r w:rsidRPr="00D90A38">
        <w:t>Background</w:t>
      </w:r>
    </w:p>
    <w:p w:rsidR="00BC1364" w:rsidRPr="00707064" w:rsidRDefault="007471F0" w:rsidP="009B145B">
      <w:pPr>
        <w:spacing w:after="240"/>
        <w:rPr>
          <w:szCs w:val="24"/>
        </w:rPr>
      </w:pPr>
      <w:r>
        <w:rPr>
          <w:szCs w:val="24"/>
        </w:rPr>
        <w:t xml:space="preserve">The original submission </w:t>
      </w:r>
      <w:r w:rsidR="00B82CE8">
        <w:rPr>
          <w:szCs w:val="24"/>
        </w:rPr>
        <w:t>details can be found in the</w:t>
      </w:r>
      <w:r w:rsidRPr="007471F0">
        <w:rPr>
          <w:szCs w:val="24"/>
        </w:rPr>
        <w:t xml:space="preserve"> Public Summary Document for </w:t>
      </w:r>
      <w:r w:rsidR="00B82CE8">
        <w:rPr>
          <w:szCs w:val="24"/>
        </w:rPr>
        <w:t xml:space="preserve">Application </w:t>
      </w:r>
      <w:r w:rsidRPr="007471F0">
        <w:rPr>
          <w:szCs w:val="24"/>
        </w:rPr>
        <w:t>1172</w:t>
      </w:r>
      <w:r w:rsidR="00B82CE8">
        <w:rPr>
          <w:szCs w:val="24"/>
        </w:rPr>
        <w:t xml:space="preserve">, </w:t>
      </w:r>
      <w:hyperlink r:id="rId10" w:tooltip="Link to Public Summary Document 1172" w:history="1">
        <w:r w:rsidR="00B82CE8" w:rsidRPr="003A0641">
          <w:rPr>
            <w:rStyle w:val="Hyperlink"/>
            <w:szCs w:val="24"/>
          </w:rPr>
          <w:t>http://www.msac.gov.au/internet/msac/publishing.nsf/Content/1172-public</w:t>
        </w:r>
      </w:hyperlink>
    </w:p>
    <w:p w:rsidR="00BC1364" w:rsidRPr="009B145B" w:rsidRDefault="00BC1364" w:rsidP="009B145B">
      <w:pPr>
        <w:pStyle w:val="Heading1"/>
        <w:numPr>
          <w:ilvl w:val="0"/>
          <w:numId w:val="23"/>
        </w:numPr>
        <w:spacing w:after="240"/>
        <w:ind w:hanging="720"/>
      </w:pPr>
      <w:r w:rsidRPr="008D5885">
        <w:t xml:space="preserve">Applicant’s comments on MSAC’s </w:t>
      </w:r>
      <w:r w:rsidR="00DA56AA">
        <w:t>Public Summary Document</w:t>
      </w:r>
    </w:p>
    <w:p w:rsidR="00BC1364" w:rsidRPr="009B145B" w:rsidRDefault="00373C6A" w:rsidP="009B145B">
      <w:pPr>
        <w:spacing w:after="240"/>
        <w:rPr>
          <w:szCs w:val="24"/>
        </w:rPr>
      </w:pPr>
      <w:r w:rsidRPr="00373C6A">
        <w:rPr>
          <w:szCs w:val="24"/>
        </w:rPr>
        <w:t>The applicant had no comment</w:t>
      </w:r>
      <w:r w:rsidR="00BF2C78">
        <w:rPr>
          <w:szCs w:val="24"/>
        </w:rPr>
        <w:t>s</w:t>
      </w:r>
      <w:r w:rsidRPr="00373C6A">
        <w:rPr>
          <w:szCs w:val="24"/>
        </w:rPr>
        <w:t>.</w:t>
      </w:r>
    </w:p>
    <w:p w:rsidR="00BC1364" w:rsidRPr="009B145B" w:rsidRDefault="00271F18" w:rsidP="009B145B">
      <w:pPr>
        <w:pStyle w:val="Heading1"/>
        <w:numPr>
          <w:ilvl w:val="0"/>
          <w:numId w:val="23"/>
        </w:numPr>
        <w:spacing w:after="240"/>
        <w:ind w:hanging="720"/>
      </w:pPr>
      <w:r>
        <w:t>Further information on MSAC</w:t>
      </w:r>
    </w:p>
    <w:p w:rsidR="00BC1364" w:rsidRPr="00DD2858" w:rsidRDefault="00271F18" w:rsidP="009B145B">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1D" w:rsidRDefault="00E6091D" w:rsidP="00065623">
      <w:r>
        <w:separator/>
      </w:r>
    </w:p>
  </w:endnote>
  <w:endnote w:type="continuationSeparator" w:id="0">
    <w:p w:rsidR="00E6091D" w:rsidRDefault="00E6091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9B145B">
          <w:rPr>
            <w:noProof/>
          </w:rPr>
          <w:t>1</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1D" w:rsidRDefault="00E6091D" w:rsidP="00065623">
      <w:r>
        <w:separator/>
      </w:r>
    </w:p>
  </w:footnote>
  <w:footnote w:type="continuationSeparator" w:id="0">
    <w:p w:rsidR="00E6091D" w:rsidRDefault="00E6091D"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8"/>
  </w:num>
  <w:num w:numId="8">
    <w:abstractNumId w:val="10"/>
  </w:num>
  <w:num w:numId="9">
    <w:abstractNumId w:val="24"/>
  </w:num>
  <w:num w:numId="10">
    <w:abstractNumId w:val="0"/>
  </w:num>
  <w:num w:numId="11">
    <w:abstractNumId w:val="17"/>
  </w:num>
  <w:num w:numId="12">
    <w:abstractNumId w:val="19"/>
  </w:num>
  <w:num w:numId="13">
    <w:abstractNumId w:val="4"/>
  </w:num>
  <w:num w:numId="14">
    <w:abstractNumId w:val="23"/>
  </w:num>
  <w:num w:numId="15">
    <w:abstractNumId w:val="16"/>
  </w:num>
  <w:num w:numId="16">
    <w:abstractNumId w:val="20"/>
  </w:num>
  <w:num w:numId="17">
    <w:abstractNumId w:val="11"/>
  </w:num>
  <w:num w:numId="18">
    <w:abstractNumId w:val="12"/>
  </w:num>
  <w:num w:numId="19">
    <w:abstractNumId w:val="22"/>
  </w:num>
  <w:num w:numId="20">
    <w:abstractNumId w:val="21"/>
  </w:num>
  <w:num w:numId="21">
    <w:abstractNumId w:val="3"/>
  </w:num>
  <w:num w:numId="22">
    <w:abstractNumId w:val="8"/>
  </w:num>
  <w:num w:numId="23">
    <w:abstractNumId w:val="2"/>
  </w:num>
  <w:num w:numId="24">
    <w:abstractNumId w:val="7"/>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65623"/>
    <w:rsid w:val="000661A0"/>
    <w:rsid w:val="000756B9"/>
    <w:rsid w:val="00096B67"/>
    <w:rsid w:val="00096DAF"/>
    <w:rsid w:val="000C2F47"/>
    <w:rsid w:val="000D6C00"/>
    <w:rsid w:val="000E4E04"/>
    <w:rsid w:val="000F14B4"/>
    <w:rsid w:val="000F75DF"/>
    <w:rsid w:val="001328FA"/>
    <w:rsid w:val="00147AAF"/>
    <w:rsid w:val="001552C0"/>
    <w:rsid w:val="001640B1"/>
    <w:rsid w:val="0018435E"/>
    <w:rsid w:val="001D37A2"/>
    <w:rsid w:val="001E348B"/>
    <w:rsid w:val="002041A1"/>
    <w:rsid w:val="002054F0"/>
    <w:rsid w:val="00230D6B"/>
    <w:rsid w:val="00232068"/>
    <w:rsid w:val="002330F2"/>
    <w:rsid w:val="00243D9E"/>
    <w:rsid w:val="00253B66"/>
    <w:rsid w:val="00261DF1"/>
    <w:rsid w:val="00271F18"/>
    <w:rsid w:val="00282779"/>
    <w:rsid w:val="0028334D"/>
    <w:rsid w:val="002B7FFA"/>
    <w:rsid w:val="002C2BCF"/>
    <w:rsid w:val="002F279D"/>
    <w:rsid w:val="002F43B8"/>
    <w:rsid w:val="00327B96"/>
    <w:rsid w:val="00336856"/>
    <w:rsid w:val="0034554D"/>
    <w:rsid w:val="00352224"/>
    <w:rsid w:val="003671E6"/>
    <w:rsid w:val="003736D0"/>
    <w:rsid w:val="00373C6A"/>
    <w:rsid w:val="00384272"/>
    <w:rsid w:val="00386D67"/>
    <w:rsid w:val="003945B8"/>
    <w:rsid w:val="003C2E4C"/>
    <w:rsid w:val="003D7F29"/>
    <w:rsid w:val="003F26EE"/>
    <w:rsid w:val="00405A6B"/>
    <w:rsid w:val="00407B1F"/>
    <w:rsid w:val="00414C57"/>
    <w:rsid w:val="0041758C"/>
    <w:rsid w:val="004539DE"/>
    <w:rsid w:val="00480ED9"/>
    <w:rsid w:val="004A2CF1"/>
    <w:rsid w:val="004C0F3D"/>
    <w:rsid w:val="004C3035"/>
    <w:rsid w:val="004C307F"/>
    <w:rsid w:val="004E4BA8"/>
    <w:rsid w:val="004F340F"/>
    <w:rsid w:val="004F7B7C"/>
    <w:rsid w:val="0052243D"/>
    <w:rsid w:val="00532435"/>
    <w:rsid w:val="00550354"/>
    <w:rsid w:val="00554C8D"/>
    <w:rsid w:val="00557B8A"/>
    <w:rsid w:val="00571236"/>
    <w:rsid w:val="00590364"/>
    <w:rsid w:val="005953A1"/>
    <w:rsid w:val="005A3D47"/>
    <w:rsid w:val="005D0332"/>
    <w:rsid w:val="005D0D8C"/>
    <w:rsid w:val="005F11F3"/>
    <w:rsid w:val="006776AE"/>
    <w:rsid w:val="00690712"/>
    <w:rsid w:val="006A0D97"/>
    <w:rsid w:val="006B1F86"/>
    <w:rsid w:val="006B4B4E"/>
    <w:rsid w:val="006C0A91"/>
    <w:rsid w:val="007054BB"/>
    <w:rsid w:val="00707064"/>
    <w:rsid w:val="00730683"/>
    <w:rsid w:val="007471F0"/>
    <w:rsid w:val="0075261F"/>
    <w:rsid w:val="0075468E"/>
    <w:rsid w:val="007665D8"/>
    <w:rsid w:val="00766E36"/>
    <w:rsid w:val="007765F4"/>
    <w:rsid w:val="00776633"/>
    <w:rsid w:val="00784D53"/>
    <w:rsid w:val="00797797"/>
    <w:rsid w:val="007A63C9"/>
    <w:rsid w:val="007B32D1"/>
    <w:rsid w:val="007B7095"/>
    <w:rsid w:val="007D24E1"/>
    <w:rsid w:val="007F227A"/>
    <w:rsid w:val="007F4CE9"/>
    <w:rsid w:val="007F4E20"/>
    <w:rsid w:val="00822C7E"/>
    <w:rsid w:val="00847060"/>
    <w:rsid w:val="00856A33"/>
    <w:rsid w:val="00892620"/>
    <w:rsid w:val="008A5F90"/>
    <w:rsid w:val="008C7D37"/>
    <w:rsid w:val="008D5885"/>
    <w:rsid w:val="00923FA2"/>
    <w:rsid w:val="0096060D"/>
    <w:rsid w:val="00974A50"/>
    <w:rsid w:val="0097585A"/>
    <w:rsid w:val="00987726"/>
    <w:rsid w:val="009924B0"/>
    <w:rsid w:val="009942C9"/>
    <w:rsid w:val="009B145B"/>
    <w:rsid w:val="009B35C4"/>
    <w:rsid w:val="009C630A"/>
    <w:rsid w:val="009E0D98"/>
    <w:rsid w:val="00A068A1"/>
    <w:rsid w:val="00A1207D"/>
    <w:rsid w:val="00A12FD8"/>
    <w:rsid w:val="00A346FC"/>
    <w:rsid w:val="00A55D4B"/>
    <w:rsid w:val="00A84F93"/>
    <w:rsid w:val="00AB1AC5"/>
    <w:rsid w:val="00AB3BFC"/>
    <w:rsid w:val="00AC4F2E"/>
    <w:rsid w:val="00AD0C37"/>
    <w:rsid w:val="00AD385F"/>
    <w:rsid w:val="00AE6E2A"/>
    <w:rsid w:val="00B144B5"/>
    <w:rsid w:val="00B30C6F"/>
    <w:rsid w:val="00B31E9C"/>
    <w:rsid w:val="00B35595"/>
    <w:rsid w:val="00B51C6D"/>
    <w:rsid w:val="00B55935"/>
    <w:rsid w:val="00B655CC"/>
    <w:rsid w:val="00B82CE8"/>
    <w:rsid w:val="00B86D64"/>
    <w:rsid w:val="00B93997"/>
    <w:rsid w:val="00BA4AC5"/>
    <w:rsid w:val="00BA52E0"/>
    <w:rsid w:val="00BC1364"/>
    <w:rsid w:val="00BC7DE9"/>
    <w:rsid w:val="00BF2C78"/>
    <w:rsid w:val="00BF479B"/>
    <w:rsid w:val="00C02577"/>
    <w:rsid w:val="00C204FB"/>
    <w:rsid w:val="00C20BEE"/>
    <w:rsid w:val="00C2158D"/>
    <w:rsid w:val="00C43F90"/>
    <w:rsid w:val="00C67DD2"/>
    <w:rsid w:val="00C725CB"/>
    <w:rsid w:val="00C76F5C"/>
    <w:rsid w:val="00C841AB"/>
    <w:rsid w:val="00C8640A"/>
    <w:rsid w:val="00C94BA3"/>
    <w:rsid w:val="00C96BAD"/>
    <w:rsid w:val="00CA6944"/>
    <w:rsid w:val="00CB0F8E"/>
    <w:rsid w:val="00CB7E7D"/>
    <w:rsid w:val="00CC2911"/>
    <w:rsid w:val="00CF0C6D"/>
    <w:rsid w:val="00CF7307"/>
    <w:rsid w:val="00CF7C68"/>
    <w:rsid w:val="00D124FA"/>
    <w:rsid w:val="00D16ACD"/>
    <w:rsid w:val="00D340DE"/>
    <w:rsid w:val="00D55723"/>
    <w:rsid w:val="00D62FAD"/>
    <w:rsid w:val="00D70450"/>
    <w:rsid w:val="00D83BFD"/>
    <w:rsid w:val="00D90A38"/>
    <w:rsid w:val="00DA0515"/>
    <w:rsid w:val="00DA171E"/>
    <w:rsid w:val="00DA56AA"/>
    <w:rsid w:val="00DB5833"/>
    <w:rsid w:val="00DD2858"/>
    <w:rsid w:val="00DE3EE4"/>
    <w:rsid w:val="00E03E33"/>
    <w:rsid w:val="00E11E09"/>
    <w:rsid w:val="00E3642A"/>
    <w:rsid w:val="00E415C4"/>
    <w:rsid w:val="00E4303E"/>
    <w:rsid w:val="00E50016"/>
    <w:rsid w:val="00E50EAA"/>
    <w:rsid w:val="00E6091D"/>
    <w:rsid w:val="00E656D6"/>
    <w:rsid w:val="00E977EE"/>
    <w:rsid w:val="00EA67A2"/>
    <w:rsid w:val="00EC4F98"/>
    <w:rsid w:val="00EC5854"/>
    <w:rsid w:val="00EF0F67"/>
    <w:rsid w:val="00F12F02"/>
    <w:rsid w:val="00F165DE"/>
    <w:rsid w:val="00F32E0D"/>
    <w:rsid w:val="00F35134"/>
    <w:rsid w:val="00F41812"/>
    <w:rsid w:val="00F73333"/>
    <w:rsid w:val="00F95D8F"/>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msac.gov.au/internet/msac/publishing.nsf/Content/1172-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1172.1 Public Summary Document</vt:lpstr>
    </vt:vector>
  </TitlesOfParts>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1172.1 Public Summary Document</dc:title>
  <dc:creator/>
  <cp:lastModifiedBy/>
  <cp:revision>1</cp:revision>
  <dcterms:created xsi:type="dcterms:W3CDTF">2016-10-04T01:58:00Z</dcterms:created>
  <dcterms:modified xsi:type="dcterms:W3CDTF">2016-10-04T01:58:00Z</dcterms:modified>
</cp:coreProperties>
</file>