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8E3AD"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2B26B8DA" wp14:editId="078E47FC">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3034ACC" w14:textId="77777777" w:rsidR="00BC1364" w:rsidRPr="00F715D1" w:rsidRDefault="00F715D1" w:rsidP="00C56349">
      <w:pPr>
        <w:pStyle w:val="Title"/>
        <w:tabs>
          <w:tab w:val="left" w:pos="1926"/>
          <w:tab w:val="center" w:pos="4513"/>
        </w:tabs>
        <w:spacing w:before="0"/>
        <w:jc w:val="left"/>
      </w:pPr>
      <w:r>
        <w:tab/>
      </w:r>
      <w:r>
        <w:tab/>
      </w:r>
      <w:r w:rsidR="00BF479B" w:rsidRPr="00F715D1">
        <w:t>Public Summary Document</w:t>
      </w:r>
    </w:p>
    <w:p w14:paraId="405963FA" w14:textId="67FD0A37" w:rsidR="00BC1364" w:rsidRPr="004817B2" w:rsidRDefault="00BC1364" w:rsidP="004817B2">
      <w:pPr>
        <w:pStyle w:val="Subtitle"/>
      </w:pPr>
      <w:r w:rsidRPr="00F715D1">
        <w:t xml:space="preserve">Application No. </w:t>
      </w:r>
      <w:r w:rsidR="004817B2" w:rsidRPr="004817B2">
        <w:t>1196.2</w:t>
      </w:r>
      <w:r w:rsidR="00B97D6E">
        <w:t xml:space="preserve"> </w:t>
      </w:r>
      <w:r w:rsidR="004817B2" w:rsidRPr="004817B2">
        <w:t>– Repetitive Transcranial Magnetic Stimulation (</w:t>
      </w:r>
      <w:proofErr w:type="spellStart"/>
      <w:r w:rsidR="004817B2" w:rsidRPr="004817B2">
        <w:t>rTMS</w:t>
      </w:r>
      <w:proofErr w:type="spellEnd"/>
      <w:r w:rsidR="004817B2" w:rsidRPr="004817B2">
        <w:t>) for the treatment of depression</w:t>
      </w:r>
    </w:p>
    <w:p w14:paraId="405D4EED" w14:textId="77777777" w:rsidR="00BC1364" w:rsidRPr="00F715D1" w:rsidRDefault="00B35595" w:rsidP="00131A6F">
      <w:pPr>
        <w:tabs>
          <w:tab w:val="left" w:pos="3686"/>
        </w:tabs>
        <w:spacing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131A6F" w:rsidRPr="00131A6F">
        <w:rPr>
          <w:rFonts w:ascii="Arial" w:hAnsi="Arial" w:cs="Arial"/>
          <w:b/>
          <w:szCs w:val="24"/>
        </w:rPr>
        <w:t>Royal Austra</w:t>
      </w:r>
      <w:r w:rsidR="00131A6F">
        <w:rPr>
          <w:rFonts w:ascii="Arial" w:hAnsi="Arial" w:cs="Arial"/>
          <w:b/>
          <w:szCs w:val="24"/>
        </w:rPr>
        <w:t xml:space="preserve">lian and New Zealand College of </w:t>
      </w:r>
      <w:r w:rsidR="00131A6F" w:rsidRPr="00131A6F">
        <w:rPr>
          <w:rFonts w:ascii="Arial" w:hAnsi="Arial" w:cs="Arial"/>
          <w:b/>
          <w:szCs w:val="24"/>
        </w:rPr>
        <w:t>Psychiatrists</w:t>
      </w:r>
    </w:p>
    <w:p w14:paraId="56A9C385"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7A583C">
        <w:rPr>
          <w:rFonts w:ascii="Arial" w:hAnsi="Arial" w:cs="Arial"/>
          <w:b/>
          <w:szCs w:val="24"/>
        </w:rPr>
        <w:t>76</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7A583C">
        <w:rPr>
          <w:rFonts w:ascii="Arial" w:hAnsi="Arial" w:cs="Arial"/>
          <w:b/>
          <w:szCs w:val="24"/>
        </w:rPr>
        <w:t>1-2 August 2019</w:t>
      </w:r>
    </w:p>
    <w:p w14:paraId="49BEB4F6"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34310D92" w14:textId="77777777" w:rsidR="003D7F29" w:rsidRDefault="003D7F29" w:rsidP="00F715D1">
      <w:pPr>
        <w:pStyle w:val="Heading1"/>
      </w:pPr>
      <w:r w:rsidRPr="00F715D1">
        <w:t>Purpose of application</w:t>
      </w:r>
      <w:r w:rsidR="00822C7E" w:rsidRPr="00F715D1">
        <w:t xml:space="preserve"> </w:t>
      </w:r>
    </w:p>
    <w:p w14:paraId="58E26976" w14:textId="4302E6A3" w:rsidR="00071E3A" w:rsidRPr="00071E3A" w:rsidRDefault="00071E3A" w:rsidP="00071E3A">
      <w:pPr>
        <w:rPr>
          <w:lang w:eastAsia="en-US"/>
        </w:rPr>
      </w:pPr>
      <w:r>
        <w:t>A resubmission requesting Medicare Benefit Schedule (MBS) listing of repetitive transcranial magnetic stimulation (</w:t>
      </w:r>
      <w:proofErr w:type="spellStart"/>
      <w:r>
        <w:t>rTMS</w:t>
      </w:r>
      <w:proofErr w:type="spellEnd"/>
      <w:r>
        <w:t>) for</w:t>
      </w:r>
      <w:r w:rsidRPr="008E720E">
        <w:rPr>
          <w:lang w:eastAsia="en-US"/>
        </w:rPr>
        <w:t xml:space="preserve"> </w:t>
      </w:r>
      <w:r w:rsidRPr="00F72492">
        <w:rPr>
          <w:lang w:eastAsia="en-US"/>
        </w:rPr>
        <w:t>treatme</w:t>
      </w:r>
      <w:r>
        <w:rPr>
          <w:lang w:eastAsia="en-US"/>
        </w:rPr>
        <w:t>nt of antidepressant medication-</w:t>
      </w:r>
      <w:r w:rsidRPr="00F72492">
        <w:rPr>
          <w:lang w:eastAsia="en-US"/>
        </w:rPr>
        <w:t>resistant major depressive disorder (MDD)</w:t>
      </w:r>
      <w:r>
        <w:t xml:space="preserve"> was received from the Royal Australian and New Zealand College of Psychiatrists (RANZCP) by the Department of Health.</w:t>
      </w:r>
    </w:p>
    <w:p w14:paraId="00F4C264" w14:textId="77777777" w:rsidR="00E977EE" w:rsidRPr="00F715D1" w:rsidRDefault="00E977EE" w:rsidP="00F715D1">
      <w:pPr>
        <w:pStyle w:val="Heading1"/>
      </w:pPr>
      <w:r w:rsidRPr="00F715D1">
        <w:t>MSAC’s advice to the Minister</w:t>
      </w:r>
    </w:p>
    <w:p w14:paraId="396E1340" w14:textId="7E44E638" w:rsidR="007B598A" w:rsidRPr="007B598A" w:rsidRDefault="007B598A" w:rsidP="007B598A">
      <w:pPr>
        <w:rPr>
          <w:b/>
          <w:bCs/>
          <w:iCs/>
        </w:rPr>
      </w:pPr>
      <w:r w:rsidRPr="007B598A">
        <w:t xml:space="preserve">After considering the strength of the available evidence in relation to comparative safety, clinical effectiveness and cost-effectiveness, MSAC supported the new MBS item for initial treatment with </w:t>
      </w:r>
      <w:proofErr w:type="spellStart"/>
      <w:r w:rsidRPr="007B598A">
        <w:t>rTMS</w:t>
      </w:r>
      <w:proofErr w:type="spellEnd"/>
      <w:r w:rsidRPr="007B598A">
        <w:t xml:space="preserve"> of finite duration for adults diagnosed with antidepressant medication resistant major depressive disorder who have failed to receive satisfactory improvement despite adequate trialling of at least two (2) different classes of antidepressant medicines and who have not received treatment with </w:t>
      </w:r>
      <w:proofErr w:type="spellStart"/>
      <w:r w:rsidRPr="007B598A">
        <w:t>rTMS</w:t>
      </w:r>
      <w:proofErr w:type="spellEnd"/>
      <w:r w:rsidRPr="007B598A">
        <w:t xml:space="preserve"> previously. </w:t>
      </w:r>
    </w:p>
    <w:p w14:paraId="6C0A7807" w14:textId="4026A45A" w:rsidR="007B598A" w:rsidRPr="00953738" w:rsidRDefault="007B598A" w:rsidP="00953738">
      <w:pPr>
        <w:spacing w:before="240" w:after="240"/>
      </w:pPr>
      <w:r w:rsidRPr="00953738">
        <w:t xml:space="preserve">MSAC was of a mind to support an MBS listing for re-treatment with </w:t>
      </w:r>
      <w:proofErr w:type="spellStart"/>
      <w:r w:rsidRPr="00953738">
        <w:t>rTMS</w:t>
      </w:r>
      <w:proofErr w:type="spellEnd"/>
      <w:r w:rsidRPr="00953738">
        <w:t xml:space="preserve"> of finite duration, but considered that further information was required from the RANZCP, particularly regarding the appropriate time period between cessation of the initial treatment course and commencement of a re-treatment course, and the proportion of patients who have responded to initial treatment who are likely to relapse and require re-treatment.</w:t>
      </w:r>
    </w:p>
    <w:p w14:paraId="510F2967" w14:textId="20F88EA5" w:rsidR="007B598A" w:rsidRDefault="007B598A" w:rsidP="00C56349">
      <w:pPr>
        <w:spacing w:after="240"/>
      </w:pPr>
      <w:r w:rsidRPr="007B598A">
        <w:t xml:space="preserve">MSAC did not support ongoing maintenance treatment with </w:t>
      </w:r>
      <w:proofErr w:type="spellStart"/>
      <w:r w:rsidRPr="007B598A">
        <w:t>rTMS</w:t>
      </w:r>
      <w:proofErr w:type="spellEnd"/>
      <w:r w:rsidRPr="007B598A">
        <w:t xml:space="preserve"> due to the limited and weak evidence base.</w:t>
      </w:r>
      <w:bookmarkStart w:id="1" w:name="Editing"/>
      <w:bookmarkEnd w:id="1"/>
    </w:p>
    <w:tbl>
      <w:tblPr>
        <w:tblStyle w:val="TableGrid"/>
        <w:tblW w:w="0" w:type="auto"/>
        <w:tblLook w:val="04A0" w:firstRow="1" w:lastRow="0" w:firstColumn="1" w:lastColumn="0" w:noHBand="0" w:noVBand="1"/>
        <w:tblDescription w:val="Consumer summary of the MSAC consideration"/>
      </w:tblPr>
      <w:tblGrid>
        <w:gridCol w:w="9016"/>
      </w:tblGrid>
      <w:tr w:rsidR="007662A9" w14:paraId="76A0EB95" w14:textId="77777777" w:rsidTr="00636FBB">
        <w:trPr>
          <w:tblHeader/>
        </w:trPr>
        <w:tc>
          <w:tcPr>
            <w:tcW w:w="9016" w:type="dxa"/>
            <w:tcBorders>
              <w:bottom w:val="single" w:sz="4" w:space="0" w:color="auto"/>
            </w:tcBorders>
          </w:tcPr>
          <w:p w14:paraId="5BE8375E" w14:textId="79FDF594" w:rsidR="007662A9" w:rsidRDefault="007662A9" w:rsidP="003D0692">
            <w:pPr>
              <w:spacing w:before="120" w:after="120"/>
            </w:pPr>
            <w:r w:rsidRPr="003A48A9">
              <w:rPr>
                <w:rFonts w:ascii="Times New Roman" w:hAnsi="Times New Roman" w:cs="Times New Roman"/>
                <w:b/>
              </w:rPr>
              <w:t>Consumer summary</w:t>
            </w:r>
          </w:p>
        </w:tc>
      </w:tr>
      <w:tr w:rsidR="007662A9" w14:paraId="7DA025CA" w14:textId="77777777" w:rsidTr="00636FBB">
        <w:tc>
          <w:tcPr>
            <w:tcW w:w="9016" w:type="dxa"/>
            <w:tcBorders>
              <w:top w:val="single" w:sz="4" w:space="0" w:color="auto"/>
            </w:tcBorders>
          </w:tcPr>
          <w:p w14:paraId="394CCC6A" w14:textId="77777777" w:rsidR="007662A9" w:rsidRPr="00AC6B4B" w:rsidRDefault="007662A9" w:rsidP="007662A9">
            <w:pPr>
              <w:spacing w:after="240"/>
              <w:rPr>
                <w:rFonts w:ascii="Times New Roman" w:hAnsi="Times New Roman" w:cs="Times New Roman"/>
                <w:sz w:val="22"/>
              </w:rPr>
            </w:pPr>
            <w:r w:rsidRPr="003A48A9">
              <w:rPr>
                <w:rFonts w:ascii="Times New Roman" w:hAnsi="Times New Roman" w:cs="Times New Roman"/>
              </w:rPr>
              <w:t xml:space="preserve">The RANZCP applied for public funding of </w:t>
            </w:r>
            <w:proofErr w:type="spellStart"/>
            <w:r w:rsidRPr="003A48A9">
              <w:rPr>
                <w:rFonts w:ascii="Times New Roman" w:hAnsi="Times New Roman" w:cs="Times New Roman"/>
              </w:rPr>
              <w:t>rTMS</w:t>
            </w:r>
            <w:proofErr w:type="spellEnd"/>
            <w:r w:rsidRPr="003A48A9">
              <w:rPr>
                <w:rFonts w:ascii="Times New Roman" w:hAnsi="Times New Roman" w:cs="Times New Roman"/>
              </w:rPr>
              <w:t xml:space="preserve"> for adults with major depression who have tried antidepressant medicines or psycholog</w:t>
            </w:r>
            <w:r>
              <w:rPr>
                <w:rFonts w:ascii="Times New Roman" w:hAnsi="Times New Roman" w:cs="Times New Roman"/>
              </w:rPr>
              <w:t>ical therapy and remain unwell.</w:t>
            </w:r>
          </w:p>
          <w:p w14:paraId="524AC9A9" w14:textId="77777777" w:rsidR="007662A9" w:rsidRPr="003A48A9" w:rsidRDefault="007662A9" w:rsidP="007662A9">
            <w:pPr>
              <w:spacing w:before="240" w:after="240"/>
              <w:rPr>
                <w:rFonts w:ascii="Times New Roman" w:hAnsi="Times New Roman" w:cs="Times New Roman"/>
              </w:rPr>
            </w:pPr>
            <w:proofErr w:type="spellStart"/>
            <w:proofErr w:type="gramStart"/>
            <w:r w:rsidRPr="003A48A9">
              <w:rPr>
                <w:rFonts w:ascii="Times New Roman" w:hAnsi="Times New Roman" w:cs="Times New Roman"/>
              </w:rPr>
              <w:t>rTMS</w:t>
            </w:r>
            <w:proofErr w:type="spellEnd"/>
            <w:proofErr w:type="gramEnd"/>
            <w:r w:rsidRPr="003A48A9">
              <w:rPr>
                <w:rFonts w:ascii="Times New Roman" w:hAnsi="Times New Roman" w:cs="Times New Roman"/>
              </w:rPr>
              <w:t xml:space="preserve"> is a treatment for depression. It involves placing a magnetic coil on the patient’s scalp, which generates electrical pulses in a small area on the surface of the brain. The </w:t>
            </w:r>
            <w:r w:rsidRPr="003A48A9">
              <w:rPr>
                <w:rFonts w:ascii="Times New Roman" w:hAnsi="Times New Roman" w:cs="Times New Roman"/>
              </w:rPr>
              <w:lastRenderedPageBreak/>
              <w:t xml:space="preserve">patient is conscious during </w:t>
            </w:r>
            <w:proofErr w:type="spellStart"/>
            <w:r w:rsidRPr="003A48A9">
              <w:rPr>
                <w:rFonts w:ascii="Times New Roman" w:hAnsi="Times New Roman" w:cs="Times New Roman"/>
              </w:rPr>
              <w:t>rTMS</w:t>
            </w:r>
            <w:proofErr w:type="spellEnd"/>
            <w:r w:rsidRPr="003A48A9">
              <w:rPr>
                <w:rFonts w:ascii="Times New Roman" w:hAnsi="Times New Roman" w:cs="Times New Roman"/>
              </w:rPr>
              <w:t xml:space="preserve"> treatment. Each treatment lasts about 40 minutes, and patients require between 3 and 5 treatments a week for 4 to 6 weeks.</w:t>
            </w:r>
          </w:p>
          <w:p w14:paraId="1A27395B" w14:textId="77777777" w:rsidR="007662A9" w:rsidRDefault="007662A9" w:rsidP="007662A9">
            <w:pPr>
              <w:spacing w:after="240"/>
              <w:rPr>
                <w:rFonts w:ascii="Times New Roman" w:hAnsi="Times New Roman" w:cs="Times New Roman"/>
              </w:rPr>
            </w:pPr>
            <w:r w:rsidRPr="003A48A9">
              <w:rPr>
                <w:rFonts w:ascii="Times New Roman" w:hAnsi="Times New Roman" w:cs="Times New Roman"/>
              </w:rPr>
              <w:t xml:space="preserve">This application is requesting that </w:t>
            </w:r>
            <w:proofErr w:type="spellStart"/>
            <w:r w:rsidRPr="003A48A9">
              <w:rPr>
                <w:rFonts w:ascii="Times New Roman" w:hAnsi="Times New Roman" w:cs="Times New Roman"/>
              </w:rPr>
              <w:t>rTMS</w:t>
            </w:r>
            <w:proofErr w:type="spellEnd"/>
            <w:r w:rsidRPr="003A48A9">
              <w:rPr>
                <w:rFonts w:ascii="Times New Roman" w:hAnsi="Times New Roman" w:cs="Times New Roman"/>
              </w:rPr>
              <w:t xml:space="preserve"> is listed on the MBS for use in patients with major depression who have not responded to antidepressant medicines or psychological therapy. To work out if </w:t>
            </w:r>
            <w:proofErr w:type="spellStart"/>
            <w:r w:rsidRPr="003A48A9">
              <w:rPr>
                <w:rFonts w:ascii="Times New Roman" w:hAnsi="Times New Roman" w:cs="Times New Roman"/>
              </w:rPr>
              <w:t>rTMS</w:t>
            </w:r>
            <w:proofErr w:type="spellEnd"/>
            <w:r w:rsidRPr="003A48A9">
              <w:rPr>
                <w:rFonts w:ascii="Times New Roman" w:hAnsi="Times New Roman" w:cs="Times New Roman"/>
              </w:rPr>
              <w:t xml:space="preserve"> is safe, effective and cost-effective, </w:t>
            </w:r>
            <w:proofErr w:type="spellStart"/>
            <w:r w:rsidRPr="003A48A9">
              <w:rPr>
                <w:rFonts w:ascii="Times New Roman" w:hAnsi="Times New Roman" w:cs="Times New Roman"/>
              </w:rPr>
              <w:t>rTMS</w:t>
            </w:r>
            <w:proofErr w:type="spellEnd"/>
            <w:r w:rsidRPr="003A48A9">
              <w:rPr>
                <w:rFonts w:ascii="Times New Roman" w:hAnsi="Times New Roman" w:cs="Times New Roman"/>
              </w:rPr>
              <w:t xml:space="preserve"> used together with antidepressants was compared with using antidepressants alone.</w:t>
            </w:r>
          </w:p>
          <w:p w14:paraId="6DD00D2E" w14:textId="77777777" w:rsidR="007662A9" w:rsidRPr="000A0160" w:rsidRDefault="007662A9" w:rsidP="007662A9">
            <w:pPr>
              <w:spacing w:after="120"/>
              <w:rPr>
                <w:rFonts w:ascii="Times New Roman" w:hAnsi="Times New Roman" w:cs="Times New Roman"/>
                <w:b/>
              </w:rPr>
            </w:pPr>
            <w:r w:rsidRPr="000A0160">
              <w:rPr>
                <w:rFonts w:ascii="Times New Roman" w:hAnsi="Times New Roman" w:cs="Times New Roman"/>
                <w:b/>
              </w:rPr>
              <w:t>MSAC’s recommendation to the Commonwealth Health Minister</w:t>
            </w:r>
          </w:p>
          <w:p w14:paraId="167ABC8D" w14:textId="61969598" w:rsidR="007662A9" w:rsidRDefault="007662A9" w:rsidP="007662A9">
            <w:pPr>
              <w:spacing w:after="240"/>
            </w:pPr>
            <w:r w:rsidRPr="003A48A9">
              <w:rPr>
                <w:rFonts w:ascii="Times New Roman" w:hAnsi="Times New Roman" w:cs="Times New Roman"/>
              </w:rPr>
              <w:t xml:space="preserve">MSAC supported public funding for initial treatment with </w:t>
            </w:r>
            <w:proofErr w:type="spellStart"/>
            <w:r w:rsidRPr="003A48A9">
              <w:rPr>
                <w:rFonts w:ascii="Times New Roman" w:hAnsi="Times New Roman" w:cs="Times New Roman"/>
              </w:rPr>
              <w:t>rTMS</w:t>
            </w:r>
            <w:proofErr w:type="spellEnd"/>
            <w:r w:rsidRPr="003A48A9">
              <w:rPr>
                <w:rFonts w:ascii="Times New Roman" w:hAnsi="Times New Roman" w:cs="Times New Roman"/>
              </w:rPr>
              <w:t xml:space="preserve">. MSAC accepted that some patients will need to have a treatment course with </w:t>
            </w:r>
            <w:proofErr w:type="spellStart"/>
            <w:r w:rsidRPr="003A48A9">
              <w:rPr>
                <w:rFonts w:ascii="Times New Roman" w:hAnsi="Times New Roman" w:cs="Times New Roman"/>
              </w:rPr>
              <w:t>rTMS</w:t>
            </w:r>
            <w:proofErr w:type="spellEnd"/>
            <w:r w:rsidRPr="003A48A9">
              <w:rPr>
                <w:rFonts w:ascii="Times New Roman" w:hAnsi="Times New Roman" w:cs="Times New Roman"/>
              </w:rPr>
              <w:t xml:space="preserve"> more than once (retreatment), but will need to get further advice from the RANZCP about how much time there should be between treatments and how many patients might need retreatment. However, MSAC did not support public funding for </w:t>
            </w:r>
            <w:proofErr w:type="spellStart"/>
            <w:r w:rsidRPr="003A48A9">
              <w:rPr>
                <w:rFonts w:ascii="Times New Roman" w:hAnsi="Times New Roman" w:cs="Times New Roman"/>
              </w:rPr>
              <w:t>rTMS</w:t>
            </w:r>
            <w:proofErr w:type="spellEnd"/>
            <w:r w:rsidRPr="003A48A9">
              <w:rPr>
                <w:rFonts w:ascii="Times New Roman" w:hAnsi="Times New Roman" w:cs="Times New Roman"/>
              </w:rPr>
              <w:t xml:space="preserve"> when it is used for maintenance treatment (continuously for a long time) because there is not currently enough evidence to show whether maintenance treatment is safe and effective.</w:t>
            </w:r>
          </w:p>
        </w:tc>
      </w:tr>
    </w:tbl>
    <w:p w14:paraId="76A3CA9F" w14:textId="5B77CF20" w:rsidR="003A48A9" w:rsidRDefault="00550354" w:rsidP="007B598A">
      <w:pPr>
        <w:pStyle w:val="Heading1"/>
      </w:pPr>
      <w:r w:rsidRPr="007B598A">
        <w:lastRenderedPageBreak/>
        <w:t>Summary of</w:t>
      </w:r>
      <w:r w:rsidRPr="00F715D1">
        <w:t xml:space="preserve"> consideration and rationale for MSAC’s advice </w:t>
      </w:r>
    </w:p>
    <w:p w14:paraId="6B6E8786" w14:textId="20143658" w:rsidR="009871A7" w:rsidRDefault="007B598A" w:rsidP="00AC6B4B">
      <w:pPr>
        <w:spacing w:after="240"/>
      </w:pPr>
      <w:r>
        <w:t xml:space="preserve">MSAC recalled that advice on funding of </w:t>
      </w:r>
      <w:proofErr w:type="spellStart"/>
      <w:r>
        <w:t>rTMS</w:t>
      </w:r>
      <w:proofErr w:type="spellEnd"/>
      <w:r>
        <w:t xml:space="preserve"> for treatment of major treatment-</w:t>
      </w:r>
      <w:r w:rsidRPr="00BB3E30">
        <w:t>resistant depression</w:t>
      </w:r>
      <w:r>
        <w:t xml:space="preserve"> (Application 1196.1) was previously deferred </w:t>
      </w:r>
      <w:r w:rsidRPr="00343968">
        <w:t xml:space="preserve">to request further evaluation of the </w:t>
      </w:r>
      <w:r>
        <w:t xml:space="preserve">clinical </w:t>
      </w:r>
      <w:r w:rsidRPr="00343968">
        <w:t>evidence provided in two reports:</w:t>
      </w:r>
      <w:r>
        <w:t xml:space="preserve"> the </w:t>
      </w:r>
      <w:r w:rsidRPr="00C43086">
        <w:t xml:space="preserve">European Network for Health Technology Assessment </w:t>
      </w:r>
      <w:r>
        <w:t>(</w:t>
      </w:r>
      <w:proofErr w:type="spellStart"/>
      <w:r w:rsidRPr="00343968">
        <w:t>EUnetHTA</w:t>
      </w:r>
      <w:proofErr w:type="spellEnd"/>
      <w:r>
        <w:t xml:space="preserve"> 2017)</w:t>
      </w:r>
      <w:r w:rsidRPr="00343968">
        <w:t xml:space="preserve"> Report </w:t>
      </w:r>
      <w:r>
        <w:t xml:space="preserve">and the 2016 </w:t>
      </w:r>
      <w:r w:rsidRPr="00343968">
        <w:t xml:space="preserve">Ontario Health Technology Assessment Series </w:t>
      </w:r>
      <w:r>
        <w:t>Report (</w:t>
      </w:r>
      <w:r w:rsidRPr="00935C58">
        <w:t>HQO 2016</w:t>
      </w:r>
      <w:r>
        <w:t>). MSAC also requested that a</w:t>
      </w:r>
      <w:r w:rsidRPr="00C43086">
        <w:t xml:space="preserve"> </w:t>
      </w:r>
      <w:r>
        <w:t>“</w:t>
      </w:r>
      <w:r w:rsidRPr="00343968">
        <w:t>frame of reference</w:t>
      </w:r>
      <w:r>
        <w:t>”</w:t>
      </w:r>
      <w:r w:rsidRPr="00343968">
        <w:t xml:space="preserve"> approach</w:t>
      </w:r>
      <w:r>
        <w:t xml:space="preserve"> be used for the economic evaluation and MBS costings, comparing </w:t>
      </w:r>
      <w:proofErr w:type="spellStart"/>
      <w:r w:rsidRPr="006A4BD8">
        <w:t>rTMS</w:t>
      </w:r>
      <w:proofErr w:type="spellEnd"/>
      <w:r w:rsidRPr="006A4BD8">
        <w:t xml:space="preserve"> </w:t>
      </w:r>
      <w:r>
        <w:t>plus</w:t>
      </w:r>
      <w:r w:rsidRPr="006A4BD8">
        <w:t xml:space="preserve"> antidepressants with antidepressants alone</w:t>
      </w:r>
      <w:r>
        <w:t>.</w:t>
      </w:r>
    </w:p>
    <w:p w14:paraId="39ABBBE0" w14:textId="145F5637" w:rsidR="007B598A" w:rsidRDefault="007B598A" w:rsidP="007B598A">
      <w:pPr>
        <w:pStyle w:val="NormalBeforeBullet"/>
      </w:pPr>
      <w:r>
        <w:t xml:space="preserve">MSAC noted that the application is seeking two </w:t>
      </w:r>
      <w:r w:rsidR="00E82B10">
        <w:t xml:space="preserve">new </w:t>
      </w:r>
      <w:r>
        <w:t>MBS items:</w:t>
      </w:r>
    </w:p>
    <w:p w14:paraId="0C5342D7" w14:textId="77777777" w:rsidR="007B598A" w:rsidRDefault="007B598A" w:rsidP="007B598A">
      <w:pPr>
        <w:pStyle w:val="Bullet"/>
      </w:pPr>
      <w:r>
        <w:t>initial prescription and mapping session (done by a TMS-trained psychiatrist)</w:t>
      </w:r>
    </w:p>
    <w:p w14:paraId="7137EA00" w14:textId="77777777" w:rsidR="007B598A" w:rsidRDefault="007B598A" w:rsidP="007B598A">
      <w:pPr>
        <w:pStyle w:val="BulletLast"/>
      </w:pPr>
      <w:proofErr w:type="spellStart"/>
      <w:proofErr w:type="gramStart"/>
      <w:r>
        <w:t>rTMS</w:t>
      </w:r>
      <w:proofErr w:type="spellEnd"/>
      <w:proofErr w:type="gramEnd"/>
      <w:r>
        <w:t xml:space="preserve"> treatment (performed by a nurse or allied health professional). </w:t>
      </w:r>
    </w:p>
    <w:p w14:paraId="0918EF2D" w14:textId="77777777" w:rsidR="007B598A" w:rsidRDefault="007B598A" w:rsidP="007B598A">
      <w:r>
        <w:t xml:space="preserve">If the patient is under the care of a TMS-trained psychiatrist, </w:t>
      </w:r>
      <w:r w:rsidRPr="00084BB4">
        <w:t>assessment of the</w:t>
      </w:r>
      <w:r>
        <w:t xml:space="preserve"> patient’s</w:t>
      </w:r>
      <w:r w:rsidRPr="00084BB4">
        <w:t xml:space="preserve"> eligibility for </w:t>
      </w:r>
      <w:proofErr w:type="spellStart"/>
      <w:r>
        <w:t>r</w:t>
      </w:r>
      <w:r w:rsidRPr="00084BB4">
        <w:t>TMS</w:t>
      </w:r>
      <w:proofErr w:type="spellEnd"/>
      <w:r w:rsidRPr="00084BB4">
        <w:t xml:space="preserve"> </w:t>
      </w:r>
      <w:r>
        <w:t xml:space="preserve">and </w:t>
      </w:r>
      <w:r w:rsidRPr="009F3EF2">
        <w:t>other third-line interventions</w:t>
      </w:r>
      <w:r>
        <w:t xml:space="preserve"> would be done as part of normal clinical practice. If the patient is not already under the care of a TMS-trained psychiatrist, an additional consultation and referral to a TMS-trained psychiatrist would be required. </w:t>
      </w:r>
    </w:p>
    <w:p w14:paraId="120DDFCB" w14:textId="4BBF53E6" w:rsidR="009871A7" w:rsidRDefault="007B598A" w:rsidP="00AC6B4B">
      <w:pPr>
        <w:spacing w:after="240"/>
      </w:pPr>
      <w:r>
        <w:t xml:space="preserve">MSAC noted that prescription/mapping and delivery of the patient’s first </w:t>
      </w:r>
      <w:proofErr w:type="spellStart"/>
      <w:r>
        <w:t>rTMS</w:t>
      </w:r>
      <w:proofErr w:type="spellEnd"/>
      <w:r>
        <w:t xml:space="preserve"> treatment session are likely to occur on the same day, and co-claiming of these two item numbers should be permitted. However, co-claiming of the prescription/mapping item with psychiatry consultation</w:t>
      </w:r>
      <w:r w:rsidR="00AC6B4B">
        <w:t xml:space="preserve"> items should not be permitted.</w:t>
      </w:r>
    </w:p>
    <w:p w14:paraId="0ADE9D1B" w14:textId="754DF9E8" w:rsidR="009871A7" w:rsidRDefault="007B598A" w:rsidP="00AC6B4B">
      <w:pPr>
        <w:spacing w:after="240"/>
      </w:pPr>
      <w:r>
        <w:t xml:space="preserve">MSAC noted that the description of treating personnel in the MBS item descriptor for </w:t>
      </w:r>
      <w:proofErr w:type="spellStart"/>
      <w:r>
        <w:t>rTMS</w:t>
      </w:r>
      <w:proofErr w:type="spellEnd"/>
      <w:r>
        <w:t xml:space="preserve"> treatment delivery should be tightened to “nurse or allied health professional” (i.e. remove the broad term “health care professional”).</w:t>
      </w:r>
    </w:p>
    <w:p w14:paraId="0F413286" w14:textId="2401A991" w:rsidR="009871A7" w:rsidRDefault="007B598A" w:rsidP="00AC6B4B">
      <w:pPr>
        <w:tabs>
          <w:tab w:val="num" w:pos="720"/>
        </w:tabs>
        <w:spacing w:after="240"/>
      </w:pPr>
      <w:r w:rsidRPr="00D8778D">
        <w:t xml:space="preserve">MSAC has previously accepted that there is a clinical need and place for </w:t>
      </w:r>
      <w:proofErr w:type="spellStart"/>
      <w:r w:rsidRPr="00D8778D">
        <w:t>rTMS</w:t>
      </w:r>
      <w:proofErr w:type="spellEnd"/>
      <w:r w:rsidRPr="00D8778D">
        <w:t xml:space="preserve"> retreatment, but noted </w:t>
      </w:r>
      <w:r w:rsidRPr="00C216D9">
        <w:t>that there was insufficient evidence to support retreatment. No additional evidence was presented in the resubmission. MSAC</w:t>
      </w:r>
      <w:r>
        <w:t xml:space="preserve"> noted that </w:t>
      </w:r>
      <w:r w:rsidRPr="00D8778D">
        <w:t xml:space="preserve">the updated economic evaluation </w:t>
      </w:r>
      <w:r>
        <w:t>did</w:t>
      </w:r>
      <w:r w:rsidRPr="00D8778D">
        <w:t xml:space="preserve"> not allow retreatment with</w:t>
      </w:r>
      <w:r>
        <w:t xml:space="preserve"> </w:t>
      </w:r>
      <w:proofErr w:type="spellStart"/>
      <w:r>
        <w:t>rTMS</w:t>
      </w:r>
      <w:proofErr w:type="spellEnd"/>
      <w:r>
        <w:t xml:space="preserve"> in the base case analysis, but</w:t>
      </w:r>
      <w:r w:rsidRPr="00D8778D">
        <w:t xml:space="preserve"> the proposed MBS item descriptors do not explicitly preclude retreatment with </w:t>
      </w:r>
      <w:proofErr w:type="spellStart"/>
      <w:r w:rsidRPr="00D8778D">
        <w:t>rTMS</w:t>
      </w:r>
      <w:proofErr w:type="spellEnd"/>
      <w:r w:rsidRPr="00D8778D">
        <w:t>.</w:t>
      </w:r>
    </w:p>
    <w:p w14:paraId="2EB7816E" w14:textId="5B745E53" w:rsidR="009871A7" w:rsidRDefault="007002A5" w:rsidP="00AC6B4B">
      <w:pPr>
        <w:tabs>
          <w:tab w:val="num" w:pos="720"/>
        </w:tabs>
        <w:spacing w:after="240"/>
      </w:pPr>
      <w:r>
        <w:lastRenderedPageBreak/>
        <w:t>Due to</w:t>
      </w:r>
      <w:r w:rsidR="007B598A" w:rsidRPr="00941688">
        <w:t xml:space="preserve"> the chronic nature of major depression, MSAC considered that retreatment with </w:t>
      </w:r>
      <w:proofErr w:type="spellStart"/>
      <w:r w:rsidR="007B598A" w:rsidRPr="00941688">
        <w:t>rTMS</w:t>
      </w:r>
      <w:proofErr w:type="spellEnd"/>
      <w:r w:rsidR="007B598A" w:rsidRPr="00941688">
        <w:t xml:space="preserve"> should not be excluded completely. However, MSAC considered that further treatment </w:t>
      </w:r>
      <w:r w:rsidR="0036077B">
        <w:t>course</w:t>
      </w:r>
      <w:r w:rsidR="00230552">
        <w:t>s</w:t>
      </w:r>
      <w:r w:rsidR="0036077B">
        <w:t xml:space="preserve"> </w:t>
      </w:r>
      <w:r w:rsidR="007B598A" w:rsidRPr="00941688">
        <w:t xml:space="preserve">should be limited to those who responded to the initial course, and a minimum treatment interval should be stipulated to preclude use of </w:t>
      </w:r>
      <w:proofErr w:type="spellStart"/>
      <w:r w:rsidR="007B598A" w:rsidRPr="00941688">
        <w:t>rTMS</w:t>
      </w:r>
      <w:proofErr w:type="spellEnd"/>
      <w:r w:rsidR="007B598A" w:rsidRPr="00941688">
        <w:t xml:space="preserve"> as </w:t>
      </w:r>
      <w:r w:rsidR="0036077B">
        <w:t xml:space="preserve">ongoing </w:t>
      </w:r>
      <w:r w:rsidR="007B598A" w:rsidRPr="00941688">
        <w:t xml:space="preserve">maintenance treatment. MSAC suggested an appropriate minimum interval may be </w:t>
      </w:r>
      <w:r w:rsidR="00364AE1">
        <w:t>6-</w:t>
      </w:r>
      <w:r w:rsidR="007B598A" w:rsidRPr="00941688">
        <w:t>12 months, but considered that further advice on an appropriate minimum interval should be sought from the RANZCP</w:t>
      </w:r>
      <w:r w:rsidR="00364AE1">
        <w:t>.</w:t>
      </w:r>
    </w:p>
    <w:p w14:paraId="6D55AC69" w14:textId="73548012" w:rsidR="009871A7" w:rsidRPr="00AC6B4B" w:rsidRDefault="007B598A" w:rsidP="00AC6B4B">
      <w:pPr>
        <w:tabs>
          <w:tab w:val="num" w:pos="720"/>
        </w:tabs>
        <w:spacing w:after="240"/>
        <w:rPr>
          <w:rFonts w:cs="Arial"/>
        </w:rPr>
      </w:pPr>
      <w:r>
        <w:t xml:space="preserve">MSAC noted the applicant’s advice </w:t>
      </w:r>
      <w:r w:rsidRPr="00A34591">
        <w:t xml:space="preserve">that the average number of therapy sessions required for a complete treatment cycle is 28, but the applicant </w:t>
      </w:r>
      <w:r>
        <w:t>suggests a limit of 35 </w:t>
      </w:r>
      <w:r w:rsidRPr="00A34591">
        <w:t xml:space="preserve">sessions. MSAC considered that the disparity may encourage </w:t>
      </w:r>
      <w:proofErr w:type="spellStart"/>
      <w:r w:rsidRPr="00A34591">
        <w:t>overservicing</w:t>
      </w:r>
      <w:proofErr w:type="spellEnd"/>
      <w:r w:rsidRPr="00A34591">
        <w:t xml:space="preserve">, unnecessarily increasing costs to the MBS. MSAC suggested that </w:t>
      </w:r>
      <w:r>
        <w:t xml:space="preserve">the initial course should be limited to a maximum of 20 sessions, and the remaining 15 sessions should </w:t>
      </w:r>
      <w:r w:rsidRPr="00935C58">
        <w:t xml:space="preserve">only be provided to patients who have responded but not achieved full symptom remission. This is in line with </w:t>
      </w:r>
      <w:r w:rsidRPr="00935C58">
        <w:rPr>
          <w:rFonts w:cs="Arial"/>
        </w:rPr>
        <w:t>Canadian Network for Mood and Anxiety Treatments (CANMAT) 2016 clinical guidelines for the management of adults with major depressive disorder.</w:t>
      </w:r>
    </w:p>
    <w:p w14:paraId="19274B10" w14:textId="0E29756B" w:rsidR="009871A7" w:rsidRDefault="007B598A" w:rsidP="00AC6B4B">
      <w:pPr>
        <w:tabs>
          <w:tab w:val="num" w:pos="720"/>
        </w:tabs>
        <w:spacing w:after="240"/>
      </w:pPr>
      <w:r>
        <w:t xml:space="preserve">MSAC noted that </w:t>
      </w:r>
      <w:r w:rsidRPr="00D8778D">
        <w:t>the proposed MBS item descriptors</w:t>
      </w:r>
      <w:r>
        <w:t xml:space="preserve"> have been modified in the resubmission to specifically exclude maintenance </w:t>
      </w:r>
      <w:r w:rsidRPr="00941688">
        <w:t>treatment</w:t>
      </w:r>
      <w:r>
        <w:t xml:space="preserve"> with </w:t>
      </w:r>
      <w:proofErr w:type="spellStart"/>
      <w:r>
        <w:t>rTMS</w:t>
      </w:r>
      <w:proofErr w:type="spellEnd"/>
      <w:r>
        <w:t xml:space="preserve">. MSAC considers this appropriate because of the lack of evidence for </w:t>
      </w:r>
      <w:r w:rsidRPr="00BB3E30">
        <w:t>comparative safety and clinical effectiveness</w:t>
      </w:r>
      <w:r w:rsidR="00AC6B4B">
        <w:t xml:space="preserve"> of </w:t>
      </w:r>
      <w:proofErr w:type="spellStart"/>
      <w:r w:rsidR="00AC6B4B">
        <w:t>rTMS</w:t>
      </w:r>
      <w:proofErr w:type="spellEnd"/>
      <w:r w:rsidR="00AC6B4B">
        <w:t xml:space="preserve"> for this use.</w:t>
      </w:r>
    </w:p>
    <w:p w14:paraId="1CBF6924" w14:textId="24B44EE8" w:rsidR="007B598A" w:rsidRDefault="007B598A" w:rsidP="007B598A">
      <w:r w:rsidRPr="002F5CBC">
        <w:t xml:space="preserve">MSAC noted that both the </w:t>
      </w:r>
      <w:proofErr w:type="spellStart"/>
      <w:r w:rsidRPr="002F5CBC">
        <w:t>EUnetHTA</w:t>
      </w:r>
      <w:proofErr w:type="spellEnd"/>
      <w:r w:rsidRPr="002F5CBC">
        <w:t xml:space="preserve"> 2017 and HQO 2016 reports showed positive results for </w:t>
      </w:r>
      <w:proofErr w:type="spellStart"/>
      <w:r w:rsidRPr="002F5CBC">
        <w:t>rTMS</w:t>
      </w:r>
      <w:proofErr w:type="spellEnd"/>
      <w:r w:rsidRPr="002F5CBC">
        <w:t xml:space="preserve">. MSAC considered this sufficient evidence for the clinical effectiveness of initial treatment with </w:t>
      </w:r>
      <w:proofErr w:type="spellStart"/>
      <w:r w:rsidRPr="002F5CBC">
        <w:t>rTMS</w:t>
      </w:r>
      <w:proofErr w:type="spellEnd"/>
      <w:r w:rsidRPr="002F5CBC">
        <w:t>.</w:t>
      </w:r>
    </w:p>
    <w:p w14:paraId="76D18159" w14:textId="03808AC1" w:rsidR="009871A7" w:rsidRPr="00FA7C90" w:rsidRDefault="007B598A" w:rsidP="00AC6B4B">
      <w:pPr>
        <w:spacing w:before="240" w:after="240"/>
      </w:pPr>
      <w:r>
        <w:t xml:space="preserve">MSAC noted </w:t>
      </w:r>
      <w:r w:rsidRPr="0069404B">
        <w:t xml:space="preserve">that </w:t>
      </w:r>
      <w:r>
        <w:t xml:space="preserve">the resubmission provided </w:t>
      </w:r>
      <w:r w:rsidRPr="0069404B">
        <w:t>n</w:t>
      </w:r>
      <w:r w:rsidRPr="0069404B">
        <w:rPr>
          <w:lang w:val="en-US"/>
        </w:rPr>
        <w:t xml:space="preserve">o </w:t>
      </w:r>
      <w:r>
        <w:rPr>
          <w:lang w:val="en-US"/>
        </w:rPr>
        <w:t xml:space="preserve">new </w:t>
      </w:r>
      <w:r w:rsidRPr="0069404B">
        <w:rPr>
          <w:lang w:val="en-US"/>
        </w:rPr>
        <w:t xml:space="preserve">clinical evidence for </w:t>
      </w:r>
      <w:r>
        <w:rPr>
          <w:lang w:val="en-US"/>
        </w:rPr>
        <w:t xml:space="preserve">the </w:t>
      </w:r>
      <w:r w:rsidRPr="0069404B">
        <w:rPr>
          <w:lang w:val="en-US"/>
        </w:rPr>
        <w:t>effective</w:t>
      </w:r>
      <w:r>
        <w:rPr>
          <w:lang w:val="en-US"/>
        </w:rPr>
        <w:t xml:space="preserve">ness of </w:t>
      </w:r>
      <w:proofErr w:type="spellStart"/>
      <w:r w:rsidRPr="0069404B">
        <w:rPr>
          <w:lang w:val="en-US"/>
        </w:rPr>
        <w:t>rTMS</w:t>
      </w:r>
      <w:proofErr w:type="spellEnd"/>
      <w:r w:rsidRPr="0069404B">
        <w:rPr>
          <w:lang w:val="en-US"/>
        </w:rPr>
        <w:t xml:space="preserve"> for retreatment, after either successful or failed </w:t>
      </w:r>
      <w:proofErr w:type="spellStart"/>
      <w:r w:rsidRPr="0069404B">
        <w:rPr>
          <w:lang w:val="en-US"/>
        </w:rPr>
        <w:t>rTMS</w:t>
      </w:r>
      <w:proofErr w:type="spellEnd"/>
      <w:r w:rsidRPr="0069404B">
        <w:rPr>
          <w:lang w:val="en-US"/>
        </w:rPr>
        <w:t xml:space="preserve"> treatment. </w:t>
      </w:r>
      <w:r w:rsidRPr="00FA7C90">
        <w:t xml:space="preserve">MSAC noted </w:t>
      </w:r>
      <w:r>
        <w:t>some</w:t>
      </w:r>
      <w:r w:rsidRPr="00FA7C90">
        <w:t xml:space="preserve"> evidence suggesting that those who respond to </w:t>
      </w:r>
      <w:proofErr w:type="spellStart"/>
      <w:r w:rsidRPr="00FA7C90">
        <w:t>rTMS</w:t>
      </w:r>
      <w:proofErr w:type="spellEnd"/>
      <w:r w:rsidRPr="00FA7C90">
        <w:t xml:space="preserve"> will probably respond to a further course of treatment if a relapse occurs, with a similar level of benefit. </w:t>
      </w:r>
      <w:r w:rsidRPr="00FA7C90">
        <w:rPr>
          <w:bCs/>
          <w:lang w:val="en-US"/>
        </w:rPr>
        <w:t xml:space="preserve">No </w:t>
      </w:r>
      <w:r w:rsidRPr="00FA7C90">
        <w:rPr>
          <w:lang w:val="en-US"/>
        </w:rPr>
        <w:t xml:space="preserve">studies have included patients who failed to respond to the initial course. </w:t>
      </w:r>
      <w:r w:rsidRPr="00FA7C90">
        <w:t>The duration of therapeutic benefit is also uncertain, and there is no evidence regarding a suitab</w:t>
      </w:r>
      <w:r w:rsidR="00AC6B4B">
        <w:t>le interval between treatments.</w:t>
      </w:r>
    </w:p>
    <w:p w14:paraId="667E6673" w14:textId="22F18CF4" w:rsidR="009269C4" w:rsidRDefault="007B598A" w:rsidP="00AC6B4B">
      <w:pPr>
        <w:spacing w:after="240"/>
      </w:pPr>
      <w:r>
        <w:t xml:space="preserve">MSAC noted that the additional evidence on maintenance </w:t>
      </w:r>
      <w:proofErr w:type="spellStart"/>
      <w:r>
        <w:t>rTMS</w:t>
      </w:r>
      <w:proofErr w:type="spellEnd"/>
      <w:r>
        <w:t xml:space="preserve"> provided in the resubmission is still limited and weak. </w:t>
      </w:r>
      <w:r w:rsidRPr="00941688">
        <w:t xml:space="preserve">Observational studies assessing </w:t>
      </w:r>
      <w:proofErr w:type="spellStart"/>
      <w:r w:rsidRPr="00941688">
        <w:t>rTMS</w:t>
      </w:r>
      <w:proofErr w:type="spellEnd"/>
      <w:r w:rsidRPr="00941688">
        <w:t xml:space="preserve"> maintenance treatment </w:t>
      </w:r>
      <w:r>
        <w:t xml:space="preserve">suggest </w:t>
      </w:r>
      <w:r w:rsidRPr="00941688">
        <w:t xml:space="preserve">some benefit compared </w:t>
      </w:r>
      <w:r>
        <w:t>with</w:t>
      </w:r>
      <w:r w:rsidRPr="00941688">
        <w:t xml:space="preserve"> no maintenance treatment or maintenance treatment with antidepressants alone.</w:t>
      </w:r>
      <w:r>
        <w:t xml:space="preserve"> However, the</w:t>
      </w:r>
      <w:r w:rsidRPr="00941688">
        <w:t xml:space="preserve"> one </w:t>
      </w:r>
      <w:r>
        <w:t xml:space="preserve">published </w:t>
      </w:r>
      <w:r w:rsidRPr="00941688">
        <w:t>randomised trial (</w:t>
      </w:r>
      <w:proofErr w:type="spellStart"/>
      <w:r w:rsidRPr="00941688">
        <w:t>Benadhira</w:t>
      </w:r>
      <w:proofErr w:type="spellEnd"/>
      <w:r w:rsidRPr="00941688">
        <w:t xml:space="preserve"> et al.</w:t>
      </w:r>
      <w:r>
        <w:t>,</w:t>
      </w:r>
      <w:r w:rsidRPr="00941688">
        <w:t xml:space="preserve"> 2017)</w:t>
      </w:r>
      <w:r>
        <w:t xml:space="preserve"> that</w:t>
      </w:r>
      <w:r w:rsidRPr="00941688">
        <w:t xml:space="preserve"> compar</w:t>
      </w:r>
      <w:r>
        <w:t>ed</w:t>
      </w:r>
      <w:r w:rsidRPr="00941688">
        <w:t xml:space="preserve"> maintenance </w:t>
      </w:r>
      <w:proofErr w:type="spellStart"/>
      <w:r w:rsidRPr="00941688">
        <w:t>rTMS</w:t>
      </w:r>
      <w:proofErr w:type="spellEnd"/>
      <w:r w:rsidRPr="00941688">
        <w:t xml:space="preserve"> with sham </w:t>
      </w:r>
      <w:proofErr w:type="spellStart"/>
      <w:r w:rsidRPr="00941688">
        <w:t>rTMS</w:t>
      </w:r>
      <w:proofErr w:type="spellEnd"/>
      <w:r>
        <w:t xml:space="preserve"> was </w:t>
      </w:r>
      <w:r w:rsidRPr="00941688">
        <w:t xml:space="preserve">insufficiently powered to </w:t>
      </w:r>
      <w:r>
        <w:t xml:space="preserve">detect </w:t>
      </w:r>
      <w:r w:rsidRPr="00941688">
        <w:t xml:space="preserve">statistically significant differences between </w:t>
      </w:r>
      <w:proofErr w:type="spellStart"/>
      <w:r w:rsidRPr="00941688">
        <w:t>rTMS</w:t>
      </w:r>
      <w:proofErr w:type="spellEnd"/>
      <w:r w:rsidRPr="00941688">
        <w:t xml:space="preserve"> and sham arms</w:t>
      </w:r>
      <w:r>
        <w:t xml:space="preserve"> at any </w:t>
      </w:r>
      <w:proofErr w:type="spellStart"/>
      <w:r>
        <w:t>timepoint</w:t>
      </w:r>
      <w:proofErr w:type="spellEnd"/>
      <w:r w:rsidRPr="00941688">
        <w:t>.</w:t>
      </w:r>
    </w:p>
    <w:p w14:paraId="7D85076E" w14:textId="045FEFDA" w:rsidR="009871A7" w:rsidRPr="0043433B" w:rsidRDefault="007B598A" w:rsidP="00AC6B4B">
      <w:pPr>
        <w:spacing w:after="240"/>
      </w:pPr>
      <w:r w:rsidRPr="0043433B">
        <w:t xml:space="preserve">MSAC noted that the efficacy results for </w:t>
      </w:r>
      <w:proofErr w:type="spellStart"/>
      <w:r w:rsidRPr="0043433B">
        <w:t>rTMS</w:t>
      </w:r>
      <w:proofErr w:type="spellEnd"/>
      <w:r w:rsidRPr="0043433B">
        <w:t xml:space="preserve"> from the </w:t>
      </w:r>
      <w:proofErr w:type="spellStart"/>
      <w:r w:rsidRPr="0043433B">
        <w:t>EUnetHTA</w:t>
      </w:r>
      <w:proofErr w:type="spellEnd"/>
      <w:r w:rsidRPr="0043433B">
        <w:t xml:space="preserve"> 2017 report are now applied in the economic modelling (instead of </w:t>
      </w:r>
      <w:proofErr w:type="spellStart"/>
      <w:r w:rsidRPr="0043433B">
        <w:t>Papadimitropoulou</w:t>
      </w:r>
      <w:proofErr w:type="spellEnd"/>
      <w:r w:rsidRPr="0043433B">
        <w:t>, 2017), which produces a more conservative economic model</w:t>
      </w:r>
      <w:r>
        <w:t>.</w:t>
      </w:r>
      <w:r w:rsidRPr="0043433B">
        <w:t xml:space="preserve"> </w:t>
      </w:r>
      <w:r>
        <w:t>H</w:t>
      </w:r>
      <w:r w:rsidRPr="0043433B">
        <w:t xml:space="preserve">owever, the studies included in the </w:t>
      </w:r>
      <w:proofErr w:type="spellStart"/>
      <w:r w:rsidRPr="0043433B">
        <w:t>Papadimitropoulou</w:t>
      </w:r>
      <w:proofErr w:type="spellEnd"/>
      <w:r w:rsidRPr="0043433B">
        <w:t xml:space="preserve"> 2017 review are more applicable to the population sought for MBS listing in terms of duration of </w:t>
      </w:r>
      <w:proofErr w:type="spellStart"/>
      <w:r w:rsidRPr="0043433B">
        <w:t>rTMS</w:t>
      </w:r>
      <w:proofErr w:type="spellEnd"/>
      <w:r w:rsidRPr="0043433B">
        <w:t xml:space="preserve"> therapy and level of t</w:t>
      </w:r>
      <w:r w:rsidR="00AC6B4B">
        <w:t>reatment resistance.</w:t>
      </w:r>
    </w:p>
    <w:p w14:paraId="54D04B77" w14:textId="725F40F0" w:rsidR="007B598A" w:rsidRDefault="007B598A" w:rsidP="007B598A">
      <w:r>
        <w:t xml:space="preserve">MSAC noted that some issues remain with model inputs for remission and response rates, and the </w:t>
      </w:r>
      <w:r w:rsidRPr="001A0089">
        <w:t>incremental cost-</w:t>
      </w:r>
      <w:r w:rsidRPr="001D5ADE">
        <w:t xml:space="preserve">effectiveness ratio (ICER) is highly sensitive to changes in these </w:t>
      </w:r>
      <w:r w:rsidRPr="0094214B">
        <w:t xml:space="preserve">estimates. </w:t>
      </w:r>
      <w:r>
        <w:t>MSAC also noted that</w:t>
      </w:r>
      <w:r w:rsidRPr="0094214B">
        <w:t xml:space="preserve"> a sensitivity analysis allowing retreatment with antidepressants</w:t>
      </w:r>
      <w:r>
        <w:t>,</w:t>
      </w:r>
      <w:r w:rsidRPr="0094214B">
        <w:t xml:space="preserve"> but not </w:t>
      </w:r>
      <w:proofErr w:type="spellStart"/>
      <w:r w:rsidRPr="0094214B">
        <w:t>rTMS</w:t>
      </w:r>
      <w:proofErr w:type="spellEnd"/>
      <w:r>
        <w:t>,</w:t>
      </w:r>
      <w:r w:rsidRPr="0094214B">
        <w:t xml:space="preserve"> produced an ICER more than 35% high</w:t>
      </w:r>
      <w:r w:rsidR="00AC6B4B">
        <w:t>er than the base case analysis.</w:t>
      </w:r>
    </w:p>
    <w:p w14:paraId="55EBF81C" w14:textId="77777777" w:rsidR="007B598A" w:rsidRDefault="007B598A" w:rsidP="007B598A">
      <w:pPr>
        <w:pStyle w:val="NormalBeforeBullet"/>
      </w:pPr>
      <w:r w:rsidRPr="0094214B">
        <w:lastRenderedPageBreak/>
        <w:t xml:space="preserve">MSAC noted that </w:t>
      </w:r>
      <w:r>
        <w:t xml:space="preserve">the resubmission did not address </w:t>
      </w:r>
      <w:r w:rsidRPr="0094214B">
        <w:t xml:space="preserve">some issues </w:t>
      </w:r>
      <w:r>
        <w:t>with</w:t>
      </w:r>
      <w:r w:rsidRPr="0094214B">
        <w:t xml:space="preserve"> the structure of the model, including</w:t>
      </w:r>
      <w:r>
        <w:t xml:space="preserve"> the:</w:t>
      </w:r>
    </w:p>
    <w:p w14:paraId="589A28E1" w14:textId="77777777" w:rsidR="007B598A" w:rsidRDefault="007B598A" w:rsidP="007B598A">
      <w:pPr>
        <w:pStyle w:val="Bullet"/>
      </w:pPr>
      <w:r w:rsidRPr="0094214B">
        <w:t>appropriateness of the chosen cycle length (3 months, which has implications for the interval between treatment cycles)</w:t>
      </w:r>
    </w:p>
    <w:p w14:paraId="2D1F305B" w14:textId="77777777" w:rsidR="007B598A" w:rsidRDefault="007B598A" w:rsidP="007B598A">
      <w:pPr>
        <w:pStyle w:val="BulletLast"/>
      </w:pPr>
      <w:proofErr w:type="gramStart"/>
      <w:r w:rsidRPr="0094214B">
        <w:t>high</w:t>
      </w:r>
      <w:proofErr w:type="gramEnd"/>
      <w:r w:rsidRPr="0094214B">
        <w:t xml:space="preserve"> level of uncertainty regarding the probability of hospita</w:t>
      </w:r>
      <w:r>
        <w:t xml:space="preserve">lisation and therefore the cost </w:t>
      </w:r>
      <w:r w:rsidRPr="0094214B">
        <w:t xml:space="preserve">offsets related to hospitalisation. </w:t>
      </w:r>
    </w:p>
    <w:p w14:paraId="208EED20" w14:textId="77777777" w:rsidR="007B598A" w:rsidRDefault="007B598A" w:rsidP="007B598A">
      <w:r w:rsidRPr="0094214B">
        <w:t xml:space="preserve">The uncertainty regarding the cost of adverse events associated with </w:t>
      </w:r>
      <w:proofErr w:type="spellStart"/>
      <w:r w:rsidRPr="0094214B">
        <w:t>rTMS</w:t>
      </w:r>
      <w:proofErr w:type="spellEnd"/>
      <w:r w:rsidRPr="0094214B">
        <w:t xml:space="preserve"> has also not been addressed. MSAC noted that the economic model was not appropriately structured or populated to specifically assess the cost-effectiveness of retreatment with </w:t>
      </w:r>
      <w:proofErr w:type="spellStart"/>
      <w:r w:rsidRPr="0094214B">
        <w:t>rTMS</w:t>
      </w:r>
      <w:proofErr w:type="spellEnd"/>
      <w:r>
        <w:t>.</w:t>
      </w:r>
      <w:r w:rsidRPr="0094214B">
        <w:t xml:space="preserve"> </w:t>
      </w:r>
      <w:r>
        <w:t>G</w:t>
      </w:r>
      <w:r w:rsidRPr="0094214B">
        <w:t>iven the short time horizon of the model (3 years), the full benefits of retreatment may not be realised.</w:t>
      </w:r>
    </w:p>
    <w:p w14:paraId="6C6B7549" w14:textId="418F379D" w:rsidR="009871A7" w:rsidRDefault="007B598A" w:rsidP="00AC6B4B">
      <w:pPr>
        <w:spacing w:after="240"/>
      </w:pPr>
      <w:r>
        <w:t xml:space="preserve">MSAC noted that the estimated ICER in the resubmission is much higher than that in Application 1196.1 ($37,734 vs $6,489 per quality-adjusted life year [QALY]). </w:t>
      </w:r>
      <w:r w:rsidRPr="0094214B">
        <w:t xml:space="preserve">MSAC also noted that the resubmission did not consider that </w:t>
      </w:r>
      <w:proofErr w:type="spellStart"/>
      <w:r w:rsidRPr="0094214B">
        <w:t>rTMS</w:t>
      </w:r>
      <w:proofErr w:type="spellEnd"/>
      <w:r w:rsidRPr="0094214B">
        <w:t xml:space="preserve"> may be associated with an additional consultation, over antidepressant treatment alone, if the patient requires a referral to another psychiatrist for </w:t>
      </w:r>
      <w:proofErr w:type="spellStart"/>
      <w:r w:rsidRPr="0094214B">
        <w:t>rTMS</w:t>
      </w:r>
      <w:proofErr w:type="spellEnd"/>
      <w:r w:rsidRPr="0094214B">
        <w:t xml:space="preserve"> treatment. A sensitivity analysis showed that the ICER is moderately sensitive to this additional cost (10% increase in the ICER).</w:t>
      </w:r>
    </w:p>
    <w:p w14:paraId="735F9921" w14:textId="38D80064" w:rsidR="007B598A" w:rsidRDefault="007B598A" w:rsidP="007B598A">
      <w:r>
        <w:t xml:space="preserve">MSAC noted that despite structural and input issues with the model, the respecified base case and sensitivity analyses in the Critique show that </w:t>
      </w:r>
      <w:proofErr w:type="spellStart"/>
      <w:r>
        <w:t>rTMS</w:t>
      </w:r>
      <w:proofErr w:type="spellEnd"/>
      <w:r>
        <w:t xml:space="preserve"> </w:t>
      </w:r>
      <w:r w:rsidR="009C1AA7">
        <w:t xml:space="preserve">largely </w:t>
      </w:r>
      <w:r>
        <w:t xml:space="preserve">remains cost-effective (ICER less than </w:t>
      </w:r>
      <w:r w:rsidRPr="006B481F">
        <w:t>$50,000/QALY</w:t>
      </w:r>
      <w:r>
        <w:t>).</w:t>
      </w:r>
    </w:p>
    <w:p w14:paraId="35827CB4" w14:textId="6AC0BA00" w:rsidR="007B598A" w:rsidRDefault="007B598A" w:rsidP="00224B3E">
      <w:pPr>
        <w:pStyle w:val="NormalBeforeBullet"/>
        <w:spacing w:before="240"/>
      </w:pPr>
      <w:r>
        <w:t>MSAC considered that the f</w:t>
      </w:r>
      <w:r w:rsidRPr="00C827A8">
        <w:t>inancial implications are likely underestimated</w:t>
      </w:r>
      <w:r>
        <w:t>, because:</w:t>
      </w:r>
    </w:p>
    <w:p w14:paraId="69F6C6A7" w14:textId="77777777" w:rsidR="007B598A" w:rsidRDefault="007B598A" w:rsidP="007B598A">
      <w:pPr>
        <w:pStyle w:val="Bullet"/>
      </w:pPr>
      <w:r w:rsidRPr="00C827A8">
        <w:t xml:space="preserve">repeat </w:t>
      </w:r>
      <w:proofErr w:type="spellStart"/>
      <w:r w:rsidRPr="00C827A8">
        <w:t>rTMS</w:t>
      </w:r>
      <w:proofErr w:type="spellEnd"/>
      <w:r w:rsidRPr="00C827A8">
        <w:t xml:space="preserve"> use may occur</w:t>
      </w:r>
    </w:p>
    <w:p w14:paraId="3B2FD686" w14:textId="77777777" w:rsidR="007B598A" w:rsidRDefault="007B598A" w:rsidP="007B598A">
      <w:pPr>
        <w:pStyle w:val="Bullet"/>
      </w:pPr>
      <w:r w:rsidRPr="00C827A8">
        <w:t xml:space="preserve">additional consults may be co-claimed </w:t>
      </w:r>
    </w:p>
    <w:p w14:paraId="3545B510" w14:textId="74FE603D" w:rsidR="007B598A" w:rsidRDefault="001027F0" w:rsidP="007B598A">
      <w:pPr>
        <w:pStyle w:val="BulletLast"/>
      </w:pPr>
      <w:proofErr w:type="gramStart"/>
      <w:r>
        <w:t>cost</w:t>
      </w:r>
      <w:proofErr w:type="gramEnd"/>
      <w:r>
        <w:t xml:space="preserve"> </w:t>
      </w:r>
      <w:r w:rsidR="007B598A" w:rsidRPr="00C827A8">
        <w:t xml:space="preserve">offsets are overestimated. </w:t>
      </w:r>
    </w:p>
    <w:p w14:paraId="4AA028A5" w14:textId="73781408" w:rsidR="009871A7" w:rsidRDefault="007B598A" w:rsidP="00AC6B4B">
      <w:pPr>
        <w:spacing w:after="240"/>
      </w:pPr>
      <w:r w:rsidRPr="00C93FB3">
        <w:t xml:space="preserve">MSAC acknowledged the risk of uptake being higher than predicted because of the ease of </w:t>
      </w:r>
      <w:proofErr w:type="spellStart"/>
      <w:r>
        <w:t>rTMS</w:t>
      </w:r>
      <w:proofErr w:type="spellEnd"/>
      <w:r>
        <w:t xml:space="preserve"> </w:t>
      </w:r>
      <w:r w:rsidRPr="00C93FB3">
        <w:t>administration, the low risk of side effects and the vulnerability of the patient population.</w:t>
      </w:r>
    </w:p>
    <w:p w14:paraId="057D59D7" w14:textId="77777777" w:rsidR="007B598A" w:rsidRDefault="007B598A" w:rsidP="007B598A">
      <w:r>
        <w:t xml:space="preserve">MSAC noted the issue of inequity of access for rural and remote patients who may not have access to specialist psychiatrists and treatment centres. MSAC also noted the importance of ensuring personnel delivering </w:t>
      </w:r>
      <w:proofErr w:type="spellStart"/>
      <w:r>
        <w:t>rTMS</w:t>
      </w:r>
      <w:proofErr w:type="spellEnd"/>
      <w:r>
        <w:t xml:space="preserve"> are appropriately trained.</w:t>
      </w:r>
    </w:p>
    <w:p w14:paraId="655F9258" w14:textId="12A05724" w:rsidR="007B598A" w:rsidRDefault="007B598A" w:rsidP="00224B3E">
      <w:pPr>
        <w:spacing w:before="240"/>
        <w:rPr>
          <w:rFonts w:cs="Arial"/>
        </w:rPr>
      </w:pPr>
      <w:r>
        <w:t xml:space="preserve">MSAC noted that </w:t>
      </w:r>
      <w:proofErr w:type="spellStart"/>
      <w:r w:rsidR="004144BA">
        <w:t>rTMS</w:t>
      </w:r>
      <w:proofErr w:type="spellEnd"/>
      <w:r w:rsidR="004144BA">
        <w:t xml:space="preserve"> </w:t>
      </w:r>
      <w:r>
        <w:t xml:space="preserve">maintenance treatment is commonly mentioned in consumer discussions on the Beyond Blue website. Some consumers say long-term maintenance is the only thing that helped them; other consumers had results after 5–10 sessions. Consumers mention the tedium of the treatment and the disruption caused by the need for multiple sessions each week. </w:t>
      </w:r>
      <w:r w:rsidRPr="00C93FB3">
        <w:t xml:space="preserve">MSAC also noted consumer </w:t>
      </w:r>
      <w:r w:rsidRPr="00C93FB3">
        <w:rPr>
          <w:rFonts w:cs="Arial"/>
        </w:rPr>
        <w:t xml:space="preserve">criticism that having to receive treatment in hospital because </w:t>
      </w:r>
      <w:proofErr w:type="spellStart"/>
      <w:r>
        <w:rPr>
          <w:rFonts w:cs="Arial"/>
        </w:rPr>
        <w:t>rTMS</w:t>
      </w:r>
      <w:proofErr w:type="spellEnd"/>
      <w:r>
        <w:rPr>
          <w:rFonts w:cs="Arial"/>
        </w:rPr>
        <w:t xml:space="preserve"> is</w:t>
      </w:r>
      <w:r w:rsidRPr="00C93FB3">
        <w:rPr>
          <w:rFonts w:cs="Arial"/>
        </w:rPr>
        <w:t xml:space="preserve"> not on the MBS is occupying a bed unnecessarily. </w:t>
      </w:r>
    </w:p>
    <w:p w14:paraId="2262BEE3" w14:textId="77777777" w:rsidR="00BC1364" w:rsidRPr="00F715D1" w:rsidRDefault="00BC1364" w:rsidP="00F715D1">
      <w:pPr>
        <w:pStyle w:val="Heading1"/>
      </w:pPr>
      <w:r w:rsidRPr="00F715D1">
        <w:t>Background</w:t>
      </w:r>
    </w:p>
    <w:p w14:paraId="11EFBA6D" w14:textId="602CAD6E" w:rsidR="00071E3A" w:rsidRDefault="00071E3A" w:rsidP="00AC6B4B">
      <w:pPr>
        <w:spacing w:after="240"/>
      </w:pPr>
      <w:r>
        <w:t xml:space="preserve">Previously, MSAC assessed </w:t>
      </w:r>
      <w:proofErr w:type="spellStart"/>
      <w:r>
        <w:t>rTMS</w:t>
      </w:r>
      <w:proofErr w:type="spellEnd"/>
      <w:r>
        <w:t xml:space="preserve"> under Application 1101 in 2007. </w:t>
      </w:r>
      <w:r w:rsidR="005455BA">
        <w:t>A</w:t>
      </w:r>
      <w:r>
        <w:t>pplication 1196 was considered by MSAC at its November 2014 meeting and the previous resubmission (1196.1) was considered at the July 2018 meeting.</w:t>
      </w:r>
    </w:p>
    <w:p w14:paraId="1A6BE5DD" w14:textId="6199F1B6" w:rsidR="00071E3A" w:rsidRDefault="007002A5" w:rsidP="00AC6B4B">
      <w:pPr>
        <w:spacing w:after="240"/>
      </w:pPr>
      <w:r>
        <w:t>A</w:t>
      </w:r>
      <w:r w:rsidR="00071E3A">
        <w:t xml:space="preserve">t the July 2018 meeting, the MSAC deferred its advice on MBS funding for </w:t>
      </w:r>
      <w:proofErr w:type="spellStart"/>
      <w:r w:rsidR="00071E3A">
        <w:t>rTMS</w:t>
      </w:r>
      <w:proofErr w:type="spellEnd"/>
      <w:r w:rsidR="00071E3A">
        <w:t xml:space="preserve"> </w:t>
      </w:r>
      <w:r w:rsidR="00071E3A" w:rsidRPr="008E6728">
        <w:t>for the treatment of depression</w:t>
      </w:r>
      <w:r w:rsidR="00071E3A">
        <w:t xml:space="preserve">. </w:t>
      </w:r>
      <w:r w:rsidR="00071E3A" w:rsidRPr="00335A16">
        <w:t xml:space="preserve">MSAC accepted </w:t>
      </w:r>
      <w:r w:rsidR="00071E3A">
        <w:t xml:space="preserve">that </w:t>
      </w:r>
      <w:r w:rsidR="00071E3A" w:rsidRPr="00335A16">
        <w:t xml:space="preserve">there was a clinical need and place for </w:t>
      </w:r>
      <w:proofErr w:type="spellStart"/>
      <w:r w:rsidR="00071E3A" w:rsidRPr="00335A16">
        <w:t>rT</w:t>
      </w:r>
      <w:r w:rsidR="00071E3A">
        <w:t>MS</w:t>
      </w:r>
      <w:proofErr w:type="spellEnd"/>
      <w:r w:rsidR="00071E3A">
        <w:t xml:space="preserve"> in the initial treatment, re</w:t>
      </w:r>
      <w:r w:rsidR="00071E3A" w:rsidRPr="00335A16">
        <w:t xml:space="preserve">treatment </w:t>
      </w:r>
      <w:r w:rsidR="00071E3A">
        <w:t>of</w:t>
      </w:r>
      <w:r w:rsidR="00071E3A" w:rsidRPr="00335A16">
        <w:t xml:space="preserve"> relapse of major </w:t>
      </w:r>
      <w:r w:rsidR="00071E3A">
        <w:t xml:space="preserve">treatment-resistant </w:t>
      </w:r>
      <w:r w:rsidR="00071E3A" w:rsidRPr="00335A16">
        <w:t xml:space="preserve">depression, </w:t>
      </w:r>
      <w:r w:rsidR="00071E3A">
        <w:t>but</w:t>
      </w:r>
      <w:r w:rsidR="00071E3A" w:rsidRPr="00335A16">
        <w:t xml:space="preserve"> </w:t>
      </w:r>
      <w:r w:rsidR="00071E3A" w:rsidRPr="00335A16">
        <w:lastRenderedPageBreak/>
        <w:t xml:space="preserve">considered that the evidence presented was limited and weak. MSAC did not accept </w:t>
      </w:r>
      <w:r w:rsidR="00071E3A">
        <w:t xml:space="preserve">that </w:t>
      </w:r>
      <w:r w:rsidR="00071E3A" w:rsidRPr="00335A16">
        <w:t>there was a place for maintenance treatment</w:t>
      </w:r>
      <w:r w:rsidR="00071E3A">
        <w:t xml:space="preserve"> with </w:t>
      </w:r>
      <w:proofErr w:type="spellStart"/>
      <w:r w:rsidR="00071E3A">
        <w:t>rTMS</w:t>
      </w:r>
      <w:proofErr w:type="spellEnd"/>
      <w:r w:rsidR="00071E3A" w:rsidRPr="00335A16">
        <w:t>.</w:t>
      </w:r>
    </w:p>
    <w:p w14:paraId="385E0A2E" w14:textId="72180CB5" w:rsidR="00071E3A" w:rsidRPr="00A66B88" w:rsidRDefault="00071E3A" w:rsidP="00071E3A">
      <w:r>
        <w:t xml:space="preserve">MSAC requested further evaluation from evidence provided in </w:t>
      </w:r>
      <w:proofErr w:type="spellStart"/>
      <w:r>
        <w:t>EUnetHTA</w:t>
      </w:r>
      <w:proofErr w:type="spellEnd"/>
      <w:r>
        <w:t xml:space="preserve"> </w:t>
      </w:r>
      <w:r w:rsidRPr="00A66B88">
        <w:t xml:space="preserve">Report, March 2017 (herein referred to as </w:t>
      </w:r>
      <w:proofErr w:type="spellStart"/>
      <w:r w:rsidRPr="00A66B88">
        <w:t>EUnetHTA</w:t>
      </w:r>
      <w:proofErr w:type="spellEnd"/>
      <w:r w:rsidRPr="00A66B88">
        <w:t xml:space="preserve"> 2017; and the Ontario Health Technology Assessment Series, March 2016 (herein referred to as HQO 2016). MSAC also requested that the proposed MBS item descriptors (to exclude maintenance), MBS fees, economic evaluation and MBS costings be reconsidered using a ‘frame of reference’ approach based on the extent of clinical benefit of </w:t>
      </w:r>
      <w:proofErr w:type="spellStart"/>
      <w:r w:rsidRPr="00A66B88">
        <w:t>rTMS</w:t>
      </w:r>
      <w:proofErr w:type="spellEnd"/>
      <w:r w:rsidRPr="00A66B88">
        <w:t xml:space="preserve"> being similar to the clinical benefit of switching to other pharmacological antidepressant agents on a cost per patient for the same duration of episodic treatment [Public Summary Document (PSD) Application No. 1196.1 2018, p2].</w:t>
      </w:r>
    </w:p>
    <w:p w14:paraId="0AB957B6" w14:textId="77777777" w:rsidR="00BC1364" w:rsidRPr="00F715D1" w:rsidRDefault="00BC1364" w:rsidP="00F715D1">
      <w:pPr>
        <w:pStyle w:val="Heading1"/>
      </w:pPr>
      <w:r w:rsidRPr="00F715D1">
        <w:t>Prerequisites to implementation of any funding advice</w:t>
      </w:r>
    </w:p>
    <w:p w14:paraId="0366A229" w14:textId="77777777" w:rsidR="00071E3A" w:rsidRPr="00F7484F" w:rsidRDefault="00071E3A" w:rsidP="00071E3A">
      <w:r>
        <w:t xml:space="preserve">Refer to Application 1196.1 PSD 2018, pp5-6 for details of three </w:t>
      </w:r>
      <w:proofErr w:type="spellStart"/>
      <w:r>
        <w:t>rTMS</w:t>
      </w:r>
      <w:proofErr w:type="spellEnd"/>
      <w:r>
        <w:t xml:space="preserve"> items listed on the ARTG.</w:t>
      </w:r>
    </w:p>
    <w:p w14:paraId="1367A57C" w14:textId="77777777" w:rsidR="00BC1364" w:rsidRPr="00F715D1" w:rsidRDefault="00BC1364" w:rsidP="00F715D1">
      <w:pPr>
        <w:pStyle w:val="Heading1"/>
      </w:pPr>
      <w:r w:rsidRPr="00F715D1">
        <w:t>Proposal for public funding</w:t>
      </w:r>
    </w:p>
    <w:p w14:paraId="79819744" w14:textId="5C6062F3" w:rsidR="00071E3A" w:rsidRDefault="00071E3A" w:rsidP="00AC6B4B">
      <w:pPr>
        <w:spacing w:after="240"/>
      </w:pPr>
      <w:r>
        <w:t xml:space="preserve">The resubmission presented updated item descriptors for </w:t>
      </w:r>
      <w:proofErr w:type="spellStart"/>
      <w:r>
        <w:t>rTMS</w:t>
      </w:r>
      <w:proofErr w:type="spellEnd"/>
      <w:r>
        <w:t xml:space="preserve"> in response to MSAC comments for Application 1196.1 (changes highlighted in green and Critiques edit’s in red). Specifically, separate MBS item </w:t>
      </w:r>
      <w:r w:rsidRPr="00AA3196">
        <w:t xml:space="preserve">descriptors </w:t>
      </w:r>
      <w:r>
        <w:t xml:space="preserve">for the treatment prescribing session and the treatment delivery session </w:t>
      </w:r>
      <w:r w:rsidRPr="00AA3196">
        <w:t xml:space="preserve">are presented in </w:t>
      </w:r>
      <w:r>
        <w:t xml:space="preserve">Table 1 </w:t>
      </w:r>
      <w:r w:rsidRPr="00AA3196">
        <w:t>and</w:t>
      </w:r>
      <w:r>
        <w:t xml:space="preserve"> Table 2, respectively. The current resubmission also proposed updated fees (highlighted in blue).</w:t>
      </w:r>
    </w:p>
    <w:p w14:paraId="201073CB" w14:textId="5E93BF91" w:rsidR="00071E3A" w:rsidRDefault="00071E3A" w:rsidP="00AC6B4B">
      <w:pPr>
        <w:spacing w:after="240"/>
      </w:pPr>
      <w:r>
        <w:t xml:space="preserve">If co-claiming was suitable, the Critique stated that the assessment and prescribing item should be </w:t>
      </w:r>
      <w:r w:rsidRPr="005D3E1A">
        <w:t xml:space="preserve">Category 3 – Therapeutic Procedures </w:t>
      </w:r>
      <w:r>
        <w:t>(</w:t>
      </w:r>
      <w:r w:rsidRPr="005D3E1A">
        <w:t>rather than Category 1 – Professional Attendances</w:t>
      </w:r>
      <w:r>
        <w:t>).</w:t>
      </w:r>
    </w:p>
    <w:p w14:paraId="7F4D68D3" w14:textId="68A3E9EA" w:rsidR="00071E3A" w:rsidRDefault="00071E3A" w:rsidP="00AC6B4B">
      <w:pPr>
        <w:spacing w:after="240"/>
      </w:pPr>
      <w:r>
        <w:t>The Critique also raised the issue to MSAC whether the mapping procedure should be restricted to psychiatrists as suggested by the College, or whether other appropriately trained health professionals may be eligible to do it.</w:t>
      </w:r>
    </w:p>
    <w:p w14:paraId="49AB0539" w14:textId="2A5D7F37" w:rsidR="00071E3A" w:rsidRDefault="00071E3A" w:rsidP="00071E3A">
      <w:r>
        <w:t xml:space="preserve">The Critique also commented that the proposed items do not explicitly preclude retreatment with </w:t>
      </w:r>
      <w:proofErr w:type="spellStart"/>
      <w:r>
        <w:t>rTMS</w:t>
      </w:r>
      <w:proofErr w:type="spellEnd"/>
      <w:r>
        <w:t>.</w:t>
      </w:r>
    </w:p>
    <w:p w14:paraId="40F42A88" w14:textId="77777777" w:rsidR="00071E3A" w:rsidRPr="005910C6" w:rsidRDefault="00071E3A" w:rsidP="005910C6">
      <w:pPr>
        <w:keepNext/>
        <w:keepLines/>
        <w:rPr>
          <w:rFonts w:ascii="Arial Narrow" w:hAnsi="Arial Narrow"/>
          <w:b/>
          <w:sz w:val="20"/>
        </w:rPr>
      </w:pPr>
      <w:bookmarkStart w:id="2" w:name="_Ref536618510"/>
      <w:bookmarkStart w:id="3" w:name="_Toc365587"/>
      <w:r w:rsidRPr="005910C6" w:rsidDel="00A134DA">
        <w:rPr>
          <w:rFonts w:ascii="Arial Narrow" w:hAnsi="Arial Narrow"/>
          <w:b/>
          <w:sz w:val="20"/>
        </w:rPr>
        <w:lastRenderedPageBreak/>
        <w:t>Table</w:t>
      </w:r>
      <w:bookmarkEnd w:id="2"/>
      <w:r w:rsidRPr="005910C6">
        <w:rPr>
          <w:rFonts w:ascii="Arial Narrow" w:hAnsi="Arial Narrow"/>
          <w:b/>
          <w:sz w:val="20"/>
        </w:rPr>
        <w:t xml:space="preserve"> 1</w:t>
      </w:r>
      <w:r w:rsidRPr="005910C6">
        <w:rPr>
          <w:rFonts w:ascii="Arial Narrow" w:hAnsi="Arial Narrow"/>
          <w:b/>
          <w:sz w:val="20"/>
        </w:rPr>
        <w:tab/>
      </w:r>
      <w:r w:rsidRPr="005910C6" w:rsidDel="00A134DA">
        <w:rPr>
          <w:rFonts w:ascii="Arial Narrow" w:hAnsi="Arial Narrow"/>
          <w:b/>
          <w:sz w:val="20"/>
        </w:rPr>
        <w:t>Proposed MBS item descriptor</w:t>
      </w:r>
      <w:r w:rsidRPr="005910C6">
        <w:rPr>
          <w:rFonts w:ascii="Arial Narrow" w:hAnsi="Arial Narrow"/>
          <w:b/>
          <w:sz w:val="20"/>
        </w:rPr>
        <w:t xml:space="preserve">, patient assessment and prescribing of </w:t>
      </w:r>
      <w:proofErr w:type="spellStart"/>
      <w:r w:rsidRPr="005910C6">
        <w:rPr>
          <w:rFonts w:ascii="Arial Narrow" w:hAnsi="Arial Narrow"/>
          <w:b/>
          <w:sz w:val="20"/>
        </w:rPr>
        <w:t>rTMS</w:t>
      </w:r>
      <w:bookmarkEnd w:id="3"/>
      <w:proofErr w:type="spellEnd"/>
      <w:r w:rsidRPr="005910C6">
        <w:rPr>
          <w:rFonts w:ascii="Arial Narrow" w:hAnsi="Arial Narrow"/>
          <w:b/>
          <w:sz w:val="20"/>
        </w:rPr>
        <w:t xml:space="preserve"> </w:t>
      </w:r>
    </w:p>
    <w:tbl>
      <w:tblPr>
        <w:tblStyle w:val="OPTUMTableNormal"/>
        <w:tblW w:w="9070" w:type="dxa"/>
        <w:tblLook w:val="04A0" w:firstRow="1" w:lastRow="0" w:firstColumn="1" w:lastColumn="0" w:noHBand="0" w:noVBand="1"/>
        <w:tblCaption w:val="Proposed MBS item descriptor, patient assessment and prescribing of rTMS "/>
        <w:tblDescription w:val="Summary of proposed MBS item descriptor: prescribing"/>
      </w:tblPr>
      <w:tblGrid>
        <w:gridCol w:w="9070"/>
      </w:tblGrid>
      <w:tr w:rsidR="00071E3A" w:rsidRPr="009E68E4" w:rsidDel="00A134DA" w14:paraId="7E2025DD" w14:textId="77777777" w:rsidTr="005910C6">
        <w:trPr>
          <w:cnfStyle w:val="100000000000" w:firstRow="1" w:lastRow="0" w:firstColumn="0" w:lastColumn="0" w:oddVBand="0" w:evenVBand="0" w:oddHBand="0" w:evenHBand="0" w:firstRowFirstColumn="0" w:firstRowLastColumn="0" w:lastRowFirstColumn="0" w:lastRowLastColumn="0"/>
          <w:tblHeader/>
        </w:trPr>
        <w:tc>
          <w:tcPr>
            <w:tcW w:w="9070" w:type="dxa"/>
          </w:tcPr>
          <w:p w14:paraId="7210808A" w14:textId="77777777" w:rsidR="00071E3A" w:rsidRPr="009E68E4" w:rsidDel="00A134DA" w:rsidRDefault="00071E3A" w:rsidP="005910C6">
            <w:pPr>
              <w:keepNext/>
              <w:keepLines/>
              <w:spacing w:before="20" w:after="40"/>
              <w:rPr>
                <w:rFonts w:ascii="Arial" w:hAnsi="Arial"/>
                <w:sz w:val="18"/>
                <w:lang w:eastAsia="en-US"/>
              </w:rPr>
            </w:pPr>
            <w:r w:rsidRPr="009E68E4" w:rsidDel="00A134DA">
              <w:rPr>
                <w:rFonts w:ascii="Arial" w:hAnsi="Arial"/>
                <w:sz w:val="18"/>
                <w:lang w:eastAsia="en-US"/>
              </w:rPr>
              <w:t xml:space="preserve">Category </w:t>
            </w:r>
            <w:r w:rsidRPr="009E68E4">
              <w:rPr>
                <w:rFonts w:ascii="Arial" w:hAnsi="Arial"/>
                <w:sz w:val="18"/>
                <w:lang w:eastAsia="en-US"/>
              </w:rPr>
              <w:t>3</w:t>
            </w:r>
            <w:r w:rsidRPr="009E68E4" w:rsidDel="00A134DA">
              <w:rPr>
                <w:rFonts w:ascii="Arial" w:hAnsi="Arial"/>
                <w:sz w:val="18"/>
                <w:lang w:eastAsia="en-US"/>
              </w:rPr>
              <w:t xml:space="preserve"> – </w:t>
            </w:r>
            <w:r w:rsidRPr="009E68E4">
              <w:rPr>
                <w:rFonts w:ascii="Arial" w:hAnsi="Arial"/>
                <w:sz w:val="18"/>
                <w:lang w:eastAsia="en-US"/>
              </w:rPr>
              <w:t>THERAPEUTIC PROCEDURES</w:t>
            </w:r>
            <w:r>
              <w:t xml:space="preserve"> </w:t>
            </w:r>
            <w:r w:rsidRPr="00EE1DC7">
              <w:rPr>
                <w:rFonts w:ascii="Arial" w:hAnsi="Arial"/>
                <w:strike/>
                <w:color w:val="FF0000"/>
                <w:sz w:val="18"/>
                <w:lang w:eastAsia="en-US"/>
              </w:rPr>
              <w:t>or Category 1 – PROFESSIONAL ATTENDANCES*</w:t>
            </w:r>
          </w:p>
        </w:tc>
      </w:tr>
      <w:tr w:rsidR="00071E3A" w:rsidRPr="009E68E4" w:rsidDel="00A134DA" w14:paraId="6CB2E948" w14:textId="77777777" w:rsidTr="005910C6">
        <w:tc>
          <w:tcPr>
            <w:tcW w:w="9070" w:type="dxa"/>
          </w:tcPr>
          <w:p w14:paraId="325999AE" w14:textId="77777777" w:rsidR="00071E3A" w:rsidRPr="009E68E4" w:rsidRDefault="00071E3A" w:rsidP="005910C6">
            <w:pPr>
              <w:keepNext/>
              <w:keepLines/>
              <w:spacing w:before="20" w:after="40"/>
              <w:rPr>
                <w:rFonts w:ascii="Arial" w:hAnsi="Arial"/>
                <w:sz w:val="18"/>
                <w:lang w:eastAsia="en-US"/>
              </w:rPr>
            </w:pPr>
            <w:r w:rsidRPr="009E68E4">
              <w:rPr>
                <w:rFonts w:ascii="Arial" w:hAnsi="Arial"/>
                <w:sz w:val="18"/>
                <w:lang w:eastAsia="en-US"/>
              </w:rPr>
              <w:t>MBS #####</w:t>
            </w:r>
          </w:p>
          <w:p w14:paraId="11C3A006" w14:textId="06F98B9B" w:rsidR="00071E3A" w:rsidRPr="009E68E4" w:rsidRDefault="00071E3A" w:rsidP="005910C6">
            <w:pPr>
              <w:keepNext/>
              <w:keepLines/>
              <w:spacing w:before="20" w:after="240"/>
              <w:rPr>
                <w:rFonts w:ascii="Arial" w:hAnsi="Arial"/>
                <w:sz w:val="18"/>
                <w:lang w:eastAsia="en-US"/>
              </w:rPr>
            </w:pPr>
            <w:r w:rsidRPr="009E68E4">
              <w:rPr>
                <w:rFonts w:ascii="Arial" w:hAnsi="Arial"/>
                <w:sz w:val="18"/>
                <w:lang w:eastAsia="en-US"/>
              </w:rPr>
              <w:t>REPETITIVE TRANSCRANIAL MAGNETIC STIMULATION (</w:t>
            </w:r>
            <w:proofErr w:type="spellStart"/>
            <w:r w:rsidRPr="009E68E4">
              <w:rPr>
                <w:rFonts w:ascii="Arial" w:hAnsi="Arial"/>
                <w:sz w:val="18"/>
                <w:lang w:eastAsia="en-US"/>
              </w:rPr>
              <w:t>rTMS</w:t>
            </w:r>
            <w:proofErr w:type="spellEnd"/>
            <w:r w:rsidRPr="009E68E4">
              <w:rPr>
                <w:rFonts w:ascii="Arial" w:hAnsi="Arial"/>
                <w:sz w:val="18"/>
                <w:lang w:eastAsia="en-US"/>
              </w:rPr>
              <w:t>) treatment</w:t>
            </w:r>
            <w:r w:rsidR="00AC6B4B">
              <w:rPr>
                <w:rFonts w:ascii="Arial" w:hAnsi="Arial"/>
                <w:sz w:val="18"/>
                <w:lang w:eastAsia="en-US"/>
              </w:rPr>
              <w:t xml:space="preserve"> prescription by a psychiatrist</w:t>
            </w:r>
          </w:p>
          <w:p w14:paraId="18DEB683" w14:textId="77777777" w:rsidR="00071E3A" w:rsidRPr="009E68E4" w:rsidRDefault="00071E3A" w:rsidP="005910C6">
            <w:pPr>
              <w:keepNext/>
              <w:keepLines/>
              <w:spacing w:before="20" w:after="40"/>
              <w:rPr>
                <w:rFonts w:ascii="Arial" w:hAnsi="Arial"/>
                <w:sz w:val="18"/>
                <w:lang w:eastAsia="en-US"/>
              </w:rPr>
            </w:pPr>
            <w:r w:rsidRPr="009E68E4">
              <w:rPr>
                <w:rFonts w:ascii="Arial" w:hAnsi="Arial"/>
                <w:sz w:val="18"/>
                <w:lang w:eastAsia="en-US"/>
              </w:rPr>
              <w:t>The patient to whom the service is provided must:</w:t>
            </w:r>
          </w:p>
          <w:p w14:paraId="330C7923" w14:textId="77777777" w:rsidR="00071E3A" w:rsidRDefault="00071E3A" w:rsidP="005910C6">
            <w:pPr>
              <w:keepNext/>
              <w:keepLines/>
              <w:numPr>
                <w:ilvl w:val="0"/>
                <w:numId w:val="26"/>
              </w:numPr>
              <w:spacing w:before="20" w:after="40"/>
              <w:jc w:val="both"/>
              <w:rPr>
                <w:rFonts w:ascii="Arial" w:hAnsi="Arial"/>
                <w:sz w:val="18"/>
                <w:lang w:eastAsia="en-US"/>
              </w:rPr>
            </w:pPr>
            <w:r w:rsidRPr="009E68E4">
              <w:rPr>
                <w:rFonts w:ascii="Arial" w:hAnsi="Arial"/>
                <w:sz w:val="18"/>
                <w:lang w:eastAsia="en-US"/>
              </w:rPr>
              <w:t>be an adult (≥18 years) diagnosed with a major depressive episode (MDE)</w:t>
            </w:r>
          </w:p>
          <w:p w14:paraId="008FFA60" w14:textId="77777777" w:rsidR="00071E3A" w:rsidRPr="00E27C22" w:rsidRDefault="00071E3A" w:rsidP="005910C6">
            <w:pPr>
              <w:keepNext/>
              <w:keepLines/>
              <w:numPr>
                <w:ilvl w:val="0"/>
                <w:numId w:val="26"/>
              </w:numPr>
              <w:spacing w:before="20" w:after="40"/>
              <w:jc w:val="both"/>
              <w:rPr>
                <w:rFonts w:ascii="Arial" w:hAnsi="Arial"/>
                <w:sz w:val="18"/>
                <w:lang w:eastAsia="en-US"/>
              </w:rPr>
            </w:pPr>
            <w:proofErr w:type="gramStart"/>
            <w:r w:rsidRPr="009E68E4">
              <w:rPr>
                <w:rFonts w:ascii="Arial" w:hAnsi="Arial"/>
                <w:sz w:val="18"/>
                <w:lang w:eastAsia="en-US"/>
              </w:rPr>
              <w:t>have</w:t>
            </w:r>
            <w:proofErr w:type="gramEnd"/>
            <w:r w:rsidRPr="009E68E4">
              <w:rPr>
                <w:rFonts w:ascii="Arial" w:hAnsi="Arial"/>
                <w:sz w:val="18"/>
                <w:lang w:eastAsia="en-US"/>
              </w:rPr>
              <w:t xml:space="preserve"> failed to receive satisfactory improvement despite the adequate trialling of at least two (2) different </w:t>
            </w:r>
            <w:r w:rsidRPr="0094714D">
              <w:rPr>
                <w:rFonts w:ascii="Arial" w:hAnsi="Arial"/>
                <w:color w:val="76923C" w:themeColor="accent3" w:themeShade="BF"/>
                <w:sz w:val="18"/>
                <w:lang w:eastAsia="en-US"/>
              </w:rPr>
              <w:t xml:space="preserve">classes of </w:t>
            </w:r>
            <w:r w:rsidRPr="009E68E4">
              <w:rPr>
                <w:rFonts w:ascii="Arial" w:hAnsi="Arial"/>
                <w:sz w:val="18"/>
                <w:lang w:eastAsia="en-US"/>
              </w:rPr>
              <w:t xml:space="preserve">antidepressant medications, unless contraindicated </w:t>
            </w:r>
            <w:r w:rsidRPr="0094714D">
              <w:rPr>
                <w:rFonts w:ascii="Arial" w:hAnsi="Arial"/>
                <w:strike/>
                <w:color w:val="76923C" w:themeColor="accent3" w:themeShade="BF"/>
                <w:sz w:val="18"/>
                <w:lang w:eastAsia="en-US"/>
              </w:rPr>
              <w:t>or intolerant.</w:t>
            </w:r>
          </w:p>
          <w:p w14:paraId="3D79235C" w14:textId="12C83889" w:rsidR="00071E3A" w:rsidRPr="00F136B7" w:rsidRDefault="00071E3A" w:rsidP="005910C6">
            <w:pPr>
              <w:keepNext/>
              <w:keepLines/>
              <w:numPr>
                <w:ilvl w:val="0"/>
                <w:numId w:val="26"/>
              </w:numPr>
              <w:spacing w:before="20" w:after="240"/>
              <w:ind w:left="714" w:hanging="357"/>
              <w:jc w:val="both"/>
              <w:rPr>
                <w:rFonts w:ascii="Arial" w:hAnsi="Arial"/>
                <w:color w:val="76923C" w:themeColor="accent3" w:themeShade="BF"/>
                <w:sz w:val="18"/>
                <w:lang w:eastAsia="en-US"/>
              </w:rPr>
            </w:pPr>
            <w:r w:rsidRPr="0094714D">
              <w:rPr>
                <w:rFonts w:ascii="Arial" w:hAnsi="Arial"/>
                <w:color w:val="76923C" w:themeColor="accent3" w:themeShade="BF"/>
                <w:sz w:val="18"/>
                <w:lang w:eastAsia="en-US"/>
              </w:rPr>
              <w:t>have undertaken psychological therapy unless inappropriate</w:t>
            </w:r>
          </w:p>
          <w:p w14:paraId="35055F47" w14:textId="5A2E0E84" w:rsidR="00071E3A" w:rsidRPr="009E68E4" w:rsidRDefault="00071E3A" w:rsidP="005910C6">
            <w:pPr>
              <w:keepNext/>
              <w:keepLines/>
              <w:spacing w:before="20" w:after="240"/>
              <w:rPr>
                <w:rFonts w:ascii="Arial" w:hAnsi="Arial"/>
                <w:sz w:val="18"/>
                <w:lang w:eastAsia="en-US"/>
              </w:rPr>
            </w:pPr>
            <w:r w:rsidRPr="009E68E4">
              <w:rPr>
                <w:rFonts w:ascii="Arial" w:hAnsi="Arial"/>
                <w:sz w:val="18"/>
                <w:lang w:eastAsia="en-US"/>
              </w:rPr>
              <w:t xml:space="preserve">The service is prescribed by a psychiatrist with appropriate training in </w:t>
            </w:r>
            <w:proofErr w:type="spellStart"/>
            <w:r w:rsidRPr="009E68E4">
              <w:rPr>
                <w:rFonts w:ascii="Arial" w:hAnsi="Arial"/>
                <w:sz w:val="18"/>
                <w:lang w:eastAsia="en-US"/>
              </w:rPr>
              <w:t>rTMS</w:t>
            </w:r>
            <w:proofErr w:type="spellEnd"/>
          </w:p>
          <w:p w14:paraId="6612357E" w14:textId="6BA8DF5C" w:rsidR="00071E3A" w:rsidRPr="00F136B7" w:rsidRDefault="00071E3A" w:rsidP="005910C6">
            <w:pPr>
              <w:keepNext/>
              <w:keepLines/>
              <w:spacing w:before="20" w:after="240"/>
              <w:rPr>
                <w:rFonts w:ascii="Arial" w:hAnsi="Arial"/>
                <w:color w:val="1F497D" w:themeColor="text2"/>
                <w:sz w:val="18"/>
                <w:lang w:eastAsia="en-US"/>
              </w:rPr>
            </w:pPr>
            <w:r w:rsidRPr="009E68E4">
              <w:rPr>
                <w:rFonts w:ascii="Arial" w:hAnsi="Arial"/>
                <w:sz w:val="18"/>
                <w:lang w:eastAsia="en-US"/>
              </w:rPr>
              <w:t>Fee</w:t>
            </w:r>
            <w:r w:rsidRPr="00B95A8C">
              <w:rPr>
                <w:rFonts w:ascii="Arial" w:hAnsi="Arial"/>
                <w:sz w:val="18"/>
                <w:lang w:eastAsia="en-US"/>
              </w:rPr>
              <w:t>: $186.40</w:t>
            </w:r>
            <w:r>
              <w:rPr>
                <w:rFonts w:ascii="Arial" w:hAnsi="Arial"/>
                <w:sz w:val="18"/>
                <w:lang w:eastAsia="en-US"/>
              </w:rPr>
              <w:t xml:space="preserve"> </w:t>
            </w:r>
            <w:r>
              <w:rPr>
                <w:rFonts w:ascii="Arial" w:hAnsi="Arial"/>
                <w:color w:val="1F497D" w:themeColor="text2"/>
                <w:sz w:val="18"/>
                <w:lang w:eastAsia="en-US"/>
              </w:rPr>
              <w:t>(from $385 in Application 1196.1)</w:t>
            </w:r>
          </w:p>
          <w:p w14:paraId="639AFE8F" w14:textId="77777777" w:rsidR="00071E3A" w:rsidRDefault="00071E3A" w:rsidP="005910C6">
            <w:pPr>
              <w:keepNext/>
              <w:keepLines/>
              <w:spacing w:before="20" w:after="40"/>
              <w:rPr>
                <w:rFonts w:ascii="Arial" w:hAnsi="Arial"/>
                <w:sz w:val="18"/>
                <w:lang w:eastAsia="en-US"/>
              </w:rPr>
            </w:pPr>
            <w:r w:rsidRPr="009E68E4">
              <w:rPr>
                <w:rFonts w:ascii="Arial" w:hAnsi="Arial"/>
                <w:sz w:val="18"/>
                <w:lang w:eastAsia="en-US"/>
              </w:rPr>
              <w:t xml:space="preserve">Note: </w:t>
            </w:r>
          </w:p>
          <w:p w14:paraId="344E8E4D" w14:textId="7C20AFA7" w:rsidR="00071E3A" w:rsidRPr="009E68E4" w:rsidRDefault="00071E3A" w:rsidP="005910C6">
            <w:pPr>
              <w:keepNext/>
              <w:keepLines/>
              <w:spacing w:before="20" w:after="240"/>
              <w:rPr>
                <w:rFonts w:ascii="Arial" w:hAnsi="Arial"/>
                <w:sz w:val="18"/>
                <w:lang w:eastAsia="en-US"/>
              </w:rPr>
            </w:pPr>
            <w:r>
              <w:rPr>
                <w:rFonts w:ascii="Arial" w:hAnsi="Arial"/>
                <w:sz w:val="18"/>
                <w:lang w:eastAsia="en-US"/>
              </w:rPr>
              <w:t>1.</w:t>
            </w:r>
            <w:r w:rsidRPr="009E68E4">
              <w:rPr>
                <w:rFonts w:ascii="Arial" w:hAnsi="Arial"/>
                <w:sz w:val="18"/>
                <w:lang w:eastAsia="en-US"/>
              </w:rPr>
              <w:t xml:space="preserve"> The trialling of each antidepressant medication must have been at the recommended therapeutic dose for a minimum of three (3) weeks. Where appropriate, the treatment must have been titrated to the maximum tolerated therapeutic dose. The patient</w:t>
            </w:r>
            <w:r>
              <w:rPr>
                <w:rFonts w:ascii="Arial" w:hAnsi="Arial"/>
                <w:sz w:val="18"/>
                <w:lang w:eastAsia="en-US"/>
              </w:rPr>
              <w:t>’</w:t>
            </w:r>
            <w:r w:rsidRPr="009E68E4">
              <w:rPr>
                <w:rFonts w:ascii="Arial" w:hAnsi="Arial"/>
                <w:sz w:val="18"/>
                <w:lang w:eastAsia="en-US"/>
              </w:rPr>
              <w:t>s adherence to antidepressant treatment must have been formally assessed.</w:t>
            </w:r>
          </w:p>
          <w:p w14:paraId="13F59578" w14:textId="5CA47DEF" w:rsidR="00071E3A" w:rsidRDefault="00071E3A" w:rsidP="005910C6">
            <w:pPr>
              <w:keepNext/>
              <w:keepLines/>
              <w:spacing w:before="20" w:after="240"/>
              <w:rPr>
                <w:rFonts w:ascii="Arial" w:hAnsi="Arial"/>
                <w:sz w:val="18"/>
                <w:lang w:eastAsia="en-US"/>
              </w:rPr>
            </w:pPr>
            <w:r w:rsidRPr="009E68E4">
              <w:rPr>
                <w:rFonts w:ascii="Arial" w:hAnsi="Arial"/>
                <w:sz w:val="18"/>
                <w:lang w:eastAsia="en-US"/>
              </w:rPr>
              <w:t xml:space="preserve">This item enables a psychiatrist to prescribe </w:t>
            </w:r>
            <w:proofErr w:type="spellStart"/>
            <w:r w:rsidRPr="009E68E4">
              <w:rPr>
                <w:rFonts w:ascii="Arial" w:hAnsi="Arial"/>
                <w:sz w:val="18"/>
                <w:lang w:eastAsia="en-US"/>
              </w:rPr>
              <w:t>rTMS</w:t>
            </w:r>
            <w:proofErr w:type="spellEnd"/>
            <w:r w:rsidRPr="009E68E4">
              <w:rPr>
                <w:rFonts w:ascii="Arial" w:hAnsi="Arial"/>
                <w:sz w:val="18"/>
                <w:lang w:eastAsia="en-US"/>
              </w:rPr>
              <w:t xml:space="preserve">, </w:t>
            </w:r>
            <w:r w:rsidRPr="0094714D">
              <w:rPr>
                <w:rFonts w:ascii="Arial" w:hAnsi="Arial"/>
                <w:strike/>
                <w:color w:val="76923C" w:themeColor="accent3" w:themeShade="BF"/>
                <w:sz w:val="18"/>
                <w:lang w:eastAsia="en-US"/>
              </w:rPr>
              <w:t>to determine if the patient is eligible to have the treatment,</w:t>
            </w:r>
            <w:r w:rsidRPr="00F953C4">
              <w:rPr>
                <w:rFonts w:ascii="Arial" w:hAnsi="Arial"/>
                <w:strike/>
                <w:color w:val="FF0000"/>
                <w:sz w:val="18"/>
                <w:lang w:eastAsia="en-US"/>
              </w:rPr>
              <w:t xml:space="preserve"> </w:t>
            </w:r>
            <w:r w:rsidRPr="009E68E4">
              <w:rPr>
                <w:rFonts w:ascii="Arial" w:hAnsi="Arial"/>
                <w:sz w:val="18"/>
                <w:lang w:eastAsia="en-US"/>
              </w:rPr>
              <w:t xml:space="preserve">to do the “mapping” procedure whereby the location of the motor cortex on the patients scalp is determined (enabling measurement forward to the dorsolateral prefrontal cortex), to assess the patients resting motor threshold to determine treatment intensity and to prescribe the dose of </w:t>
            </w:r>
            <w:proofErr w:type="spellStart"/>
            <w:r w:rsidRPr="009E68E4">
              <w:rPr>
                <w:rFonts w:ascii="Arial" w:hAnsi="Arial"/>
                <w:sz w:val="18"/>
                <w:lang w:eastAsia="en-US"/>
              </w:rPr>
              <w:t>rTMS</w:t>
            </w:r>
            <w:proofErr w:type="spellEnd"/>
            <w:r w:rsidRPr="009E68E4">
              <w:rPr>
                <w:rFonts w:ascii="Arial" w:hAnsi="Arial"/>
                <w:sz w:val="18"/>
                <w:lang w:eastAsia="en-US"/>
              </w:rPr>
              <w:t xml:space="preserve"> as a proportion of the motor threshold.</w:t>
            </w:r>
          </w:p>
          <w:p w14:paraId="2CE1C798" w14:textId="239F9B75" w:rsidR="00071E3A" w:rsidRPr="00F136B7" w:rsidDel="00A134DA" w:rsidRDefault="00071E3A" w:rsidP="005910C6">
            <w:pPr>
              <w:keepNext/>
              <w:keepLines/>
              <w:spacing w:before="20" w:after="40"/>
              <w:rPr>
                <w:rFonts w:ascii="Arial" w:hAnsi="Arial"/>
                <w:color w:val="76923C" w:themeColor="accent3" w:themeShade="BF"/>
                <w:sz w:val="18"/>
                <w:lang w:eastAsia="en-US"/>
              </w:rPr>
            </w:pPr>
            <w:r w:rsidRPr="0094714D">
              <w:rPr>
                <w:rFonts w:ascii="Arial" w:hAnsi="Arial"/>
                <w:color w:val="76923C" w:themeColor="accent3" w:themeShade="BF"/>
                <w:sz w:val="18"/>
                <w:lang w:eastAsia="en-US"/>
              </w:rPr>
              <w:t>This item is not to be used when it is determined that the patient is ineligible to have the treatment</w:t>
            </w:r>
          </w:p>
        </w:tc>
      </w:tr>
    </w:tbl>
    <w:p w14:paraId="26AC71E8" w14:textId="77777777" w:rsidR="00071E3A" w:rsidRDefault="00071E3A" w:rsidP="00071E3A">
      <w:pPr>
        <w:pStyle w:val="Tablefootnote"/>
        <w:rPr>
          <w:color w:val="000000" w:themeColor="text1"/>
        </w:rPr>
      </w:pPr>
      <w:r w:rsidRPr="0094714D">
        <w:rPr>
          <w:strike/>
          <w:color w:val="FF0000"/>
        </w:rPr>
        <w:t>Red</w:t>
      </w:r>
      <w:r>
        <w:rPr>
          <w:color w:val="000000" w:themeColor="text1"/>
        </w:rPr>
        <w:t xml:space="preserve"> </w:t>
      </w:r>
      <w:r w:rsidRPr="0094714D">
        <w:rPr>
          <w:color w:val="FF0000"/>
        </w:rPr>
        <w:t>Green</w:t>
      </w:r>
      <w:r w:rsidRPr="00CF6AAD">
        <w:rPr>
          <w:color w:val="000000" w:themeColor="text1"/>
        </w:rPr>
        <w:t xml:space="preserve"> text indicates </w:t>
      </w:r>
      <w:r>
        <w:rPr>
          <w:color w:val="000000" w:themeColor="text1"/>
        </w:rPr>
        <w:t xml:space="preserve">changes made </w:t>
      </w:r>
      <w:r w:rsidRPr="00CF6AAD">
        <w:rPr>
          <w:color w:val="000000" w:themeColor="text1"/>
        </w:rPr>
        <w:t>to the proposed wording since MSAC Application 1196.1</w:t>
      </w:r>
    </w:p>
    <w:p w14:paraId="409AA9C6" w14:textId="77777777" w:rsidR="00071E3A" w:rsidRPr="00D36B3D" w:rsidRDefault="00071E3A" w:rsidP="00071E3A">
      <w:pPr>
        <w:pStyle w:val="Tablefootnote"/>
      </w:pPr>
      <w:r w:rsidRPr="00D36B3D">
        <w:rPr>
          <w:color w:val="1F497D" w:themeColor="text2"/>
        </w:rPr>
        <w:t xml:space="preserve">Blue </w:t>
      </w:r>
      <w:r>
        <w:t>indicates the previous proposed fees from Application 1196.1</w:t>
      </w:r>
    </w:p>
    <w:p w14:paraId="086FD844" w14:textId="77777777" w:rsidR="00071E3A" w:rsidRPr="00CF6AAD" w:rsidRDefault="00071E3A" w:rsidP="00071E3A">
      <w:pPr>
        <w:pStyle w:val="Tablefootnote"/>
        <w:rPr>
          <w:color w:val="000000" w:themeColor="text1"/>
        </w:rPr>
      </w:pPr>
      <w:r>
        <w:rPr>
          <w:color w:val="000000" w:themeColor="text1"/>
        </w:rPr>
        <w:t>* A Category 1 listing was suggested as an alternative in the Critique of MSAC Application 1196.1 (Table 2)</w:t>
      </w:r>
    </w:p>
    <w:p w14:paraId="45C8592F" w14:textId="77777777" w:rsidR="00071E3A" w:rsidRPr="005910C6" w:rsidRDefault="00071E3A" w:rsidP="005910C6">
      <w:pPr>
        <w:rPr>
          <w:rFonts w:ascii="Arial Narrow" w:hAnsi="Arial Narrow"/>
          <w:b/>
          <w:sz w:val="20"/>
        </w:rPr>
      </w:pPr>
      <w:bookmarkStart w:id="4" w:name="_Ref535482999"/>
      <w:bookmarkStart w:id="5" w:name="_Toc365588"/>
      <w:r w:rsidRPr="005910C6">
        <w:rPr>
          <w:rFonts w:ascii="Arial Narrow" w:hAnsi="Arial Narrow"/>
          <w:b/>
          <w:sz w:val="20"/>
        </w:rPr>
        <w:t xml:space="preserve">Table </w:t>
      </w:r>
      <w:bookmarkEnd w:id="4"/>
      <w:r w:rsidRPr="005910C6">
        <w:rPr>
          <w:rFonts w:ascii="Arial Narrow" w:hAnsi="Arial Narrow"/>
          <w:b/>
          <w:sz w:val="20"/>
        </w:rPr>
        <w:t>2</w:t>
      </w:r>
      <w:r w:rsidRPr="005910C6">
        <w:rPr>
          <w:rFonts w:ascii="Arial Narrow" w:hAnsi="Arial Narrow"/>
          <w:b/>
          <w:sz w:val="20"/>
        </w:rPr>
        <w:tab/>
      </w:r>
      <w:r w:rsidRPr="005910C6" w:rsidDel="00A134DA">
        <w:rPr>
          <w:rFonts w:ascii="Arial Narrow" w:hAnsi="Arial Narrow"/>
          <w:b/>
          <w:sz w:val="20"/>
        </w:rPr>
        <w:t>Proposed MBS item descriptor</w:t>
      </w:r>
      <w:r w:rsidRPr="005910C6">
        <w:rPr>
          <w:rFonts w:ascii="Arial Narrow" w:hAnsi="Arial Narrow"/>
          <w:b/>
          <w:sz w:val="20"/>
        </w:rPr>
        <w:t xml:space="preserve">, </w:t>
      </w:r>
      <w:proofErr w:type="spellStart"/>
      <w:r w:rsidRPr="005910C6">
        <w:rPr>
          <w:rFonts w:ascii="Arial Narrow" w:hAnsi="Arial Narrow"/>
          <w:b/>
          <w:sz w:val="20"/>
        </w:rPr>
        <w:t>rTMS</w:t>
      </w:r>
      <w:proofErr w:type="spellEnd"/>
      <w:r w:rsidRPr="005910C6">
        <w:rPr>
          <w:rFonts w:ascii="Arial Narrow" w:hAnsi="Arial Narrow"/>
          <w:b/>
          <w:sz w:val="20"/>
        </w:rPr>
        <w:t xml:space="preserve"> treatment delivery</w:t>
      </w:r>
      <w:bookmarkEnd w:id="5"/>
      <w:r w:rsidRPr="005910C6">
        <w:rPr>
          <w:rFonts w:ascii="Arial Narrow" w:hAnsi="Arial Narrow"/>
          <w:b/>
          <w:sz w:val="20"/>
        </w:rPr>
        <w:t xml:space="preserve"> </w:t>
      </w:r>
    </w:p>
    <w:tbl>
      <w:tblPr>
        <w:tblStyle w:val="OPTUMTableNormal"/>
        <w:tblW w:w="9070" w:type="dxa"/>
        <w:tblLook w:val="04A0" w:firstRow="1" w:lastRow="0" w:firstColumn="1" w:lastColumn="0" w:noHBand="0" w:noVBand="1"/>
        <w:tblCaption w:val="Proposed MBS item descriptor, rTMS treatment delivery "/>
        <w:tblDescription w:val="Summary of proposed MBS item descriptor: treatment delivery"/>
      </w:tblPr>
      <w:tblGrid>
        <w:gridCol w:w="9070"/>
      </w:tblGrid>
      <w:tr w:rsidR="00071E3A" w:rsidRPr="009E68E4" w:rsidDel="00A134DA" w14:paraId="7D84575C" w14:textId="77777777" w:rsidTr="005910C6">
        <w:trPr>
          <w:cnfStyle w:val="100000000000" w:firstRow="1" w:lastRow="0" w:firstColumn="0" w:lastColumn="0" w:oddVBand="0" w:evenVBand="0" w:oddHBand="0" w:evenHBand="0" w:firstRowFirstColumn="0" w:firstRowLastColumn="0" w:lastRowFirstColumn="0" w:lastRowLastColumn="0"/>
          <w:tblHeader/>
        </w:trPr>
        <w:tc>
          <w:tcPr>
            <w:tcW w:w="9070" w:type="dxa"/>
          </w:tcPr>
          <w:p w14:paraId="3212278F" w14:textId="77777777" w:rsidR="00071E3A" w:rsidRPr="009E68E4" w:rsidDel="00A134DA" w:rsidRDefault="00071E3A" w:rsidP="001C20F8">
            <w:pPr>
              <w:keepNext/>
              <w:keepLines/>
              <w:spacing w:before="20" w:after="40"/>
              <w:rPr>
                <w:rFonts w:ascii="Arial" w:hAnsi="Arial"/>
                <w:sz w:val="18"/>
                <w:lang w:eastAsia="en-US"/>
              </w:rPr>
            </w:pPr>
            <w:r w:rsidRPr="009E68E4" w:rsidDel="00A134DA">
              <w:rPr>
                <w:rFonts w:ascii="Arial" w:hAnsi="Arial"/>
                <w:sz w:val="18"/>
                <w:lang w:eastAsia="en-US"/>
              </w:rPr>
              <w:t xml:space="preserve">Category </w:t>
            </w:r>
            <w:r w:rsidRPr="009E68E4">
              <w:rPr>
                <w:rFonts w:ascii="Arial" w:hAnsi="Arial"/>
                <w:sz w:val="18"/>
                <w:lang w:eastAsia="en-US"/>
              </w:rPr>
              <w:t>3</w:t>
            </w:r>
            <w:r w:rsidRPr="009E68E4" w:rsidDel="00A134DA">
              <w:rPr>
                <w:rFonts w:ascii="Arial" w:hAnsi="Arial"/>
                <w:sz w:val="18"/>
                <w:lang w:eastAsia="en-US"/>
              </w:rPr>
              <w:t xml:space="preserve"> – </w:t>
            </w:r>
            <w:r w:rsidRPr="009E68E4">
              <w:rPr>
                <w:rFonts w:ascii="Arial" w:hAnsi="Arial"/>
                <w:sz w:val="18"/>
                <w:lang w:eastAsia="en-US"/>
              </w:rPr>
              <w:t>THERAPEUTIC PROCEDURES</w:t>
            </w:r>
          </w:p>
        </w:tc>
      </w:tr>
      <w:tr w:rsidR="00071E3A" w:rsidRPr="009E68E4" w:rsidDel="00A134DA" w14:paraId="57157AFC" w14:textId="77777777" w:rsidTr="005910C6">
        <w:tc>
          <w:tcPr>
            <w:tcW w:w="9070" w:type="dxa"/>
          </w:tcPr>
          <w:p w14:paraId="59187063" w14:textId="77777777" w:rsidR="00071E3A" w:rsidRPr="009E68E4" w:rsidRDefault="00071E3A" w:rsidP="001C20F8">
            <w:pPr>
              <w:keepNext/>
              <w:keepLines/>
              <w:spacing w:before="20" w:after="40"/>
              <w:rPr>
                <w:rFonts w:ascii="Arial" w:hAnsi="Arial"/>
                <w:sz w:val="18"/>
                <w:lang w:eastAsia="en-US"/>
              </w:rPr>
            </w:pPr>
            <w:r w:rsidRPr="009E68E4">
              <w:rPr>
                <w:rFonts w:ascii="Arial" w:hAnsi="Arial"/>
                <w:sz w:val="18"/>
                <w:lang w:eastAsia="en-US"/>
              </w:rPr>
              <w:t>MBS #####</w:t>
            </w:r>
          </w:p>
          <w:p w14:paraId="20D49F56" w14:textId="30489627" w:rsidR="00071E3A" w:rsidRPr="009E68E4" w:rsidRDefault="00071E3A" w:rsidP="00F136B7">
            <w:pPr>
              <w:keepNext/>
              <w:keepLines/>
              <w:spacing w:before="20" w:after="240"/>
              <w:rPr>
                <w:rFonts w:ascii="Arial" w:hAnsi="Arial"/>
                <w:sz w:val="18"/>
                <w:lang w:eastAsia="en-US"/>
              </w:rPr>
            </w:pPr>
            <w:r w:rsidRPr="009E68E4">
              <w:rPr>
                <w:rFonts w:ascii="Arial" w:hAnsi="Arial"/>
                <w:sz w:val="18"/>
                <w:lang w:eastAsia="en-US"/>
              </w:rPr>
              <w:t>REPETITIVE TRANSCRANIAL MAGNETIC STIMULATION treatment provided by a health care professional, nurse or allied health professional.</w:t>
            </w:r>
          </w:p>
          <w:p w14:paraId="225EEA42" w14:textId="54C59E1B" w:rsidR="00071E3A" w:rsidRPr="009E68E4" w:rsidRDefault="00071E3A" w:rsidP="00F136B7">
            <w:pPr>
              <w:keepNext/>
              <w:keepLines/>
              <w:spacing w:before="20" w:after="240"/>
              <w:rPr>
                <w:rFonts w:ascii="Arial" w:hAnsi="Arial"/>
                <w:sz w:val="18"/>
                <w:lang w:eastAsia="en-US"/>
              </w:rPr>
            </w:pPr>
            <w:r w:rsidRPr="009E68E4">
              <w:rPr>
                <w:rFonts w:ascii="Arial" w:hAnsi="Arial"/>
                <w:sz w:val="18"/>
                <w:lang w:eastAsia="en-US"/>
              </w:rPr>
              <w:t>Patient must have previously received, or been eligible for, MBS-subsidised access to REPETITIVE TRANSCRANIAL MAGNETIC STIMULATION (</w:t>
            </w:r>
            <w:proofErr w:type="spellStart"/>
            <w:r w:rsidRPr="009E68E4">
              <w:rPr>
                <w:rFonts w:ascii="Arial" w:hAnsi="Arial"/>
                <w:sz w:val="18"/>
                <w:lang w:eastAsia="en-US"/>
              </w:rPr>
              <w:t>rTMS</w:t>
            </w:r>
            <w:proofErr w:type="spellEnd"/>
            <w:r w:rsidRPr="009E68E4">
              <w:rPr>
                <w:rFonts w:ascii="Arial" w:hAnsi="Arial"/>
                <w:sz w:val="18"/>
                <w:lang w:eastAsia="en-US"/>
              </w:rPr>
              <w:t>) treatment prescription by a psychiatrist (MBS #####) during the current course of treatment.</w:t>
            </w:r>
          </w:p>
          <w:p w14:paraId="73D0B41E" w14:textId="7C34CA6A" w:rsidR="00071E3A" w:rsidRPr="009E68E4" w:rsidRDefault="00071E3A" w:rsidP="00F136B7">
            <w:pPr>
              <w:keepNext/>
              <w:keepLines/>
              <w:spacing w:before="20" w:after="240"/>
              <w:rPr>
                <w:rFonts w:ascii="Arial" w:hAnsi="Arial"/>
                <w:sz w:val="18"/>
                <w:lang w:eastAsia="en-US"/>
              </w:rPr>
            </w:pPr>
            <w:r w:rsidRPr="009E68E4">
              <w:rPr>
                <w:rFonts w:ascii="Arial" w:hAnsi="Arial"/>
                <w:sz w:val="18"/>
                <w:lang w:eastAsia="en-US"/>
              </w:rPr>
              <w:t xml:space="preserve">The service is performed by personnel with appropriate training in </w:t>
            </w:r>
            <w:proofErr w:type="spellStart"/>
            <w:r w:rsidRPr="009E68E4">
              <w:rPr>
                <w:rFonts w:ascii="Arial" w:hAnsi="Arial"/>
                <w:sz w:val="18"/>
                <w:lang w:eastAsia="en-US"/>
              </w:rPr>
              <w:t>rTMS</w:t>
            </w:r>
            <w:proofErr w:type="spellEnd"/>
            <w:r w:rsidRPr="009E68E4">
              <w:rPr>
                <w:rFonts w:ascii="Arial" w:hAnsi="Arial"/>
                <w:sz w:val="18"/>
                <w:lang w:eastAsia="en-US"/>
              </w:rPr>
              <w:t>.</w:t>
            </w:r>
          </w:p>
          <w:p w14:paraId="57E1FB62" w14:textId="1DA11FA1" w:rsidR="00071E3A" w:rsidRPr="00F136B7" w:rsidRDefault="00071E3A" w:rsidP="00F136B7">
            <w:pPr>
              <w:keepNext/>
              <w:keepLines/>
              <w:spacing w:before="20" w:after="240"/>
              <w:rPr>
                <w:rFonts w:ascii="Arial" w:hAnsi="Arial"/>
                <w:color w:val="1F497D" w:themeColor="text2"/>
                <w:sz w:val="18"/>
                <w:lang w:eastAsia="en-US"/>
              </w:rPr>
            </w:pPr>
            <w:r w:rsidRPr="009E68E4">
              <w:rPr>
                <w:rFonts w:ascii="Arial" w:hAnsi="Arial"/>
                <w:sz w:val="18"/>
                <w:lang w:eastAsia="en-US"/>
              </w:rPr>
              <w:t>Fee</w:t>
            </w:r>
            <w:r w:rsidRPr="00B95A8C">
              <w:rPr>
                <w:rFonts w:ascii="Arial" w:hAnsi="Arial"/>
                <w:sz w:val="18"/>
                <w:lang w:eastAsia="en-US"/>
              </w:rPr>
              <w:t>: $160</w:t>
            </w:r>
            <w:r>
              <w:rPr>
                <w:rFonts w:ascii="Arial" w:hAnsi="Arial"/>
                <w:sz w:val="18"/>
                <w:lang w:eastAsia="en-US"/>
              </w:rPr>
              <w:t xml:space="preserve"> </w:t>
            </w:r>
            <w:r>
              <w:rPr>
                <w:rFonts w:ascii="Arial" w:hAnsi="Arial"/>
                <w:color w:val="1F497D" w:themeColor="text2"/>
                <w:sz w:val="18"/>
                <w:lang w:eastAsia="en-US"/>
              </w:rPr>
              <w:t>(from $185 in Application 1196.1)</w:t>
            </w:r>
          </w:p>
          <w:p w14:paraId="26EC7051" w14:textId="40A01190" w:rsidR="00071E3A" w:rsidRDefault="00071E3A" w:rsidP="00F136B7">
            <w:pPr>
              <w:keepNext/>
              <w:keepLines/>
              <w:spacing w:before="20" w:after="240"/>
              <w:rPr>
                <w:rFonts w:ascii="Arial" w:hAnsi="Arial"/>
                <w:sz w:val="18"/>
                <w:lang w:eastAsia="en-US"/>
              </w:rPr>
            </w:pPr>
            <w:r w:rsidRPr="009E68E4">
              <w:rPr>
                <w:rFonts w:ascii="Arial" w:hAnsi="Arial"/>
                <w:sz w:val="18"/>
                <w:lang w:eastAsia="en-US"/>
              </w:rPr>
              <w:t xml:space="preserve">This item enables a nurse or allied health professional to provide </w:t>
            </w:r>
            <w:proofErr w:type="spellStart"/>
            <w:r w:rsidRPr="009E68E4">
              <w:rPr>
                <w:rFonts w:ascii="Arial" w:hAnsi="Arial"/>
                <w:sz w:val="18"/>
                <w:lang w:eastAsia="en-US"/>
              </w:rPr>
              <w:t>rTMS</w:t>
            </w:r>
            <w:proofErr w:type="spellEnd"/>
            <w:r w:rsidRPr="009E68E4">
              <w:rPr>
                <w:rFonts w:ascii="Arial" w:hAnsi="Arial"/>
                <w:sz w:val="18"/>
                <w:lang w:eastAsia="en-US"/>
              </w:rPr>
              <w:t xml:space="preserve"> treatment to a patient, under medical supervision. The </w:t>
            </w:r>
            <w:proofErr w:type="spellStart"/>
            <w:r w:rsidRPr="009E68E4">
              <w:rPr>
                <w:rFonts w:ascii="Arial" w:hAnsi="Arial"/>
                <w:sz w:val="18"/>
                <w:lang w:eastAsia="en-US"/>
              </w:rPr>
              <w:t>rTMS</w:t>
            </w:r>
            <w:proofErr w:type="spellEnd"/>
            <w:r w:rsidRPr="009E68E4">
              <w:rPr>
                <w:rFonts w:ascii="Arial" w:hAnsi="Arial"/>
                <w:sz w:val="18"/>
                <w:lang w:eastAsia="en-US"/>
              </w:rPr>
              <w:t xml:space="preserve"> treatment must be prescribed by a psychiatrist (as described in MBS item #####) and be given in a setting where appropriate medical assistance is available if required.</w:t>
            </w:r>
          </w:p>
          <w:p w14:paraId="579DAD7D" w14:textId="77777777" w:rsidR="00071E3A" w:rsidRPr="00D76B3D" w:rsidDel="00A134DA" w:rsidRDefault="00071E3A" w:rsidP="001C20F8">
            <w:pPr>
              <w:keepNext/>
              <w:keepLines/>
              <w:spacing w:before="20" w:after="40"/>
              <w:rPr>
                <w:rFonts w:ascii="Arial" w:hAnsi="Arial"/>
                <w:color w:val="76923C" w:themeColor="accent3" w:themeShade="BF"/>
                <w:sz w:val="18"/>
                <w:lang w:eastAsia="en-US"/>
              </w:rPr>
            </w:pPr>
            <w:r w:rsidRPr="00D76B3D">
              <w:rPr>
                <w:rFonts w:ascii="Arial" w:hAnsi="Arial"/>
                <w:color w:val="76923C" w:themeColor="accent3" w:themeShade="BF"/>
                <w:sz w:val="18"/>
                <w:lang w:eastAsia="en-US"/>
              </w:rPr>
              <w:t>This item number is not be used for the use of TMS as maintenance therapy for the prevention of relapse of depression</w:t>
            </w:r>
          </w:p>
        </w:tc>
      </w:tr>
    </w:tbl>
    <w:p w14:paraId="6E1C08EF" w14:textId="77777777" w:rsidR="00071E3A" w:rsidRDefault="00071E3A" w:rsidP="00071E3A">
      <w:pPr>
        <w:pStyle w:val="Tablefootnote"/>
        <w:rPr>
          <w:color w:val="000000" w:themeColor="text1"/>
        </w:rPr>
      </w:pPr>
      <w:r w:rsidRPr="00D76B3D">
        <w:rPr>
          <w:strike/>
          <w:color w:val="FF0000"/>
        </w:rPr>
        <w:t>Red</w:t>
      </w:r>
      <w:r>
        <w:rPr>
          <w:color w:val="000000" w:themeColor="text1"/>
        </w:rPr>
        <w:t xml:space="preserve"> </w:t>
      </w:r>
      <w:r>
        <w:rPr>
          <w:color w:val="FF0000"/>
        </w:rPr>
        <w:t>Green</w:t>
      </w:r>
      <w:r w:rsidRPr="00CF6AAD">
        <w:rPr>
          <w:color w:val="000000" w:themeColor="text1"/>
        </w:rPr>
        <w:t xml:space="preserve"> text indicates </w:t>
      </w:r>
      <w:r>
        <w:rPr>
          <w:color w:val="000000" w:themeColor="text1"/>
        </w:rPr>
        <w:t xml:space="preserve">changes made </w:t>
      </w:r>
      <w:r w:rsidRPr="00CF6AAD">
        <w:rPr>
          <w:color w:val="000000" w:themeColor="text1"/>
        </w:rPr>
        <w:t>to the proposed wording since MSAC Application 1196.1</w:t>
      </w:r>
    </w:p>
    <w:p w14:paraId="448FAE89" w14:textId="77777777" w:rsidR="00071E3A" w:rsidRDefault="00071E3A" w:rsidP="00071E3A">
      <w:pPr>
        <w:pStyle w:val="Tablefootnote"/>
        <w:spacing w:after="240"/>
      </w:pPr>
      <w:r w:rsidRPr="00D36B3D">
        <w:rPr>
          <w:color w:val="1F497D" w:themeColor="text2"/>
        </w:rPr>
        <w:t xml:space="preserve">Blue </w:t>
      </w:r>
      <w:r>
        <w:t>indicates the previous proposed fees from Application 1196.1</w:t>
      </w:r>
    </w:p>
    <w:p w14:paraId="2700F58D" w14:textId="28157857" w:rsidR="00071E3A" w:rsidRDefault="00071E3A" w:rsidP="00071E3A">
      <w:r>
        <w:t>The summary of the changes to proposed MBS item descriptors are provided in Table 3 (and highl</w:t>
      </w:r>
      <w:r w:rsidR="00F136B7">
        <w:t>ighted in Table 1 and Table 2).</w:t>
      </w:r>
    </w:p>
    <w:p w14:paraId="6AD8DE3D" w14:textId="701914C1" w:rsidR="00071E3A" w:rsidRPr="005910C6" w:rsidRDefault="00071E3A" w:rsidP="005910C6">
      <w:pPr>
        <w:keepNext/>
        <w:keepLines/>
        <w:rPr>
          <w:rFonts w:ascii="Arial Narrow" w:hAnsi="Arial Narrow"/>
          <w:b/>
          <w:sz w:val="20"/>
        </w:rPr>
      </w:pPr>
      <w:bookmarkStart w:id="6" w:name="_Ref535843884"/>
      <w:bookmarkStart w:id="7" w:name="_Toc365586"/>
      <w:r w:rsidRPr="005910C6">
        <w:rPr>
          <w:rFonts w:ascii="Arial Narrow" w:hAnsi="Arial Narrow"/>
          <w:b/>
          <w:sz w:val="20"/>
        </w:rPr>
        <w:lastRenderedPageBreak/>
        <w:t>Table</w:t>
      </w:r>
      <w:bookmarkEnd w:id="6"/>
      <w:r w:rsidR="00B97D6E" w:rsidRPr="005910C6">
        <w:rPr>
          <w:rFonts w:ascii="Arial Narrow" w:hAnsi="Arial Narrow"/>
          <w:b/>
          <w:sz w:val="20"/>
        </w:rPr>
        <w:t xml:space="preserve"> </w:t>
      </w:r>
      <w:r w:rsidRPr="005910C6">
        <w:rPr>
          <w:rFonts w:ascii="Arial Narrow" w:hAnsi="Arial Narrow"/>
          <w:b/>
          <w:sz w:val="20"/>
        </w:rPr>
        <w:t>3</w:t>
      </w:r>
      <w:r w:rsidRPr="005910C6">
        <w:rPr>
          <w:rFonts w:ascii="Arial Narrow" w:hAnsi="Arial Narrow"/>
          <w:b/>
          <w:sz w:val="20"/>
        </w:rPr>
        <w:tab/>
        <w:t>Summary of changes to proposed MBS item descriptors</w:t>
      </w:r>
      <w:bookmarkEnd w:id="7"/>
      <w:r w:rsidRPr="005910C6">
        <w:rPr>
          <w:rFonts w:ascii="Arial Narrow" w:hAnsi="Arial Narrow"/>
          <w:b/>
          <w:sz w:val="20"/>
        </w:rPr>
        <w:t xml:space="preserve"> </w:t>
      </w:r>
    </w:p>
    <w:tbl>
      <w:tblPr>
        <w:tblStyle w:val="PlainTable21"/>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changes to proposed MBS item descriptors "/>
        <w:tblDescription w:val="Applicant's summary of MBS item descriptor changes"/>
      </w:tblPr>
      <w:tblGrid>
        <w:gridCol w:w="3975"/>
        <w:gridCol w:w="5055"/>
      </w:tblGrid>
      <w:tr w:rsidR="00071E3A" w14:paraId="51E1F736" w14:textId="77777777" w:rsidTr="00A66B88">
        <w:trPr>
          <w:cnfStyle w:val="100000000000" w:firstRow="1" w:lastRow="0" w:firstColumn="0" w:lastColumn="0" w:oddVBand="0" w:evenVBand="0" w:oddHBand="0" w:evenHBand="0" w:firstRowFirstColumn="0" w:firstRowLastColumn="0" w:lastRowFirstColumn="0" w:lastRowLastColumn="0"/>
          <w:trHeight w:val="231"/>
          <w:tblHeader/>
        </w:trPr>
        <w:tc>
          <w:tcPr>
            <w:cnfStyle w:val="001000000000" w:firstRow="0" w:lastRow="0" w:firstColumn="1" w:lastColumn="0" w:oddVBand="0" w:evenVBand="0" w:oddHBand="0" w:evenHBand="0" w:firstRowFirstColumn="0" w:firstRowLastColumn="0" w:lastRowFirstColumn="0" w:lastRowLastColumn="0"/>
            <w:tcW w:w="3975" w:type="dxa"/>
            <w:tcBorders>
              <w:bottom w:val="none" w:sz="0" w:space="0" w:color="auto"/>
            </w:tcBorders>
          </w:tcPr>
          <w:p w14:paraId="1CD2B6F5" w14:textId="77777777" w:rsidR="00071E3A" w:rsidRPr="00AA3196" w:rsidRDefault="00071E3A" w:rsidP="005910C6">
            <w:pPr>
              <w:pStyle w:val="TableText0"/>
              <w:keepLines/>
            </w:pPr>
            <w:r>
              <w:t xml:space="preserve">Suggested changes to item descriptors during evaluation of MSAC Application 1196.1 </w:t>
            </w:r>
          </w:p>
        </w:tc>
        <w:tc>
          <w:tcPr>
            <w:tcW w:w="5055" w:type="dxa"/>
            <w:tcBorders>
              <w:bottom w:val="none" w:sz="0" w:space="0" w:color="auto"/>
            </w:tcBorders>
          </w:tcPr>
          <w:p w14:paraId="5AC1A4F3" w14:textId="77777777" w:rsidR="00071E3A" w:rsidRPr="00AA3196" w:rsidRDefault="00071E3A" w:rsidP="005910C6">
            <w:pPr>
              <w:pStyle w:val="TableText0"/>
              <w:keepLines/>
              <w:cnfStyle w:val="100000000000" w:firstRow="1" w:lastRow="0" w:firstColumn="0" w:lastColumn="0" w:oddVBand="0" w:evenVBand="0" w:oddHBand="0" w:evenHBand="0" w:firstRowFirstColumn="0" w:firstRowLastColumn="0" w:lastRowFirstColumn="0" w:lastRowLastColumn="0"/>
            </w:pPr>
            <w:r>
              <w:t>Proposed</w:t>
            </w:r>
            <w:r w:rsidRPr="00AA3196">
              <w:t xml:space="preserve"> item descriptor </w:t>
            </w:r>
            <w:r>
              <w:t>in current resubmission</w:t>
            </w:r>
          </w:p>
        </w:tc>
      </w:tr>
      <w:tr w:rsidR="00071E3A" w14:paraId="41DDE856" w14:textId="77777777" w:rsidTr="00A66B8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975" w:type="dxa"/>
            <w:tcBorders>
              <w:top w:val="none" w:sz="0" w:space="0" w:color="auto"/>
              <w:bottom w:val="none" w:sz="0" w:space="0" w:color="auto"/>
            </w:tcBorders>
          </w:tcPr>
          <w:p w14:paraId="64D5B2E6" w14:textId="77777777" w:rsidR="00071E3A" w:rsidRPr="00AA3196" w:rsidRDefault="00071E3A" w:rsidP="005910C6">
            <w:pPr>
              <w:pStyle w:val="TableText0"/>
              <w:keepLines/>
              <w:rPr>
                <w:b w:val="0"/>
              </w:rPr>
            </w:pPr>
            <w:r w:rsidRPr="00AA3196">
              <w:rPr>
                <w:b w:val="0"/>
              </w:rPr>
              <w:t>“MSAC agreed with PASC that the definition of ‘adequate’ trialling of antidepressants in the item descriptor should mean two full courses of antidepressants from two different classes; it does not include treatment where a patient was intolerant and did not complete the course” (</w:t>
            </w:r>
            <w:r>
              <w:rPr>
                <w:b w:val="0"/>
              </w:rPr>
              <w:t xml:space="preserve">PSD, </w:t>
            </w:r>
            <w:r w:rsidRPr="00AA3196">
              <w:rPr>
                <w:b w:val="0"/>
              </w:rPr>
              <w:t>p.2).</w:t>
            </w:r>
          </w:p>
        </w:tc>
        <w:tc>
          <w:tcPr>
            <w:tcW w:w="5055" w:type="dxa"/>
            <w:tcBorders>
              <w:top w:val="none" w:sz="0" w:space="0" w:color="auto"/>
              <w:bottom w:val="none" w:sz="0" w:space="0" w:color="auto"/>
            </w:tcBorders>
          </w:tcPr>
          <w:p w14:paraId="753D0B0D" w14:textId="77777777" w:rsidR="00071E3A" w:rsidRDefault="00071E3A" w:rsidP="005910C6">
            <w:pPr>
              <w:pStyle w:val="TableText0"/>
              <w:keepLines/>
              <w:cnfStyle w:val="000000100000" w:firstRow="0" w:lastRow="0" w:firstColumn="0" w:lastColumn="0" w:oddVBand="0" w:evenVBand="0" w:oddHBand="1" w:evenHBand="0" w:firstRowFirstColumn="0" w:firstRowLastColumn="0" w:lastRowFirstColumn="0" w:lastRowLastColumn="0"/>
            </w:pPr>
            <w:r>
              <w:t xml:space="preserve">The descriptor now </w:t>
            </w:r>
            <w:r w:rsidRPr="00AA3196">
              <w:t>specif</w:t>
            </w:r>
            <w:r>
              <w:t xml:space="preserve">ies </w:t>
            </w:r>
            <w:r w:rsidRPr="00AA3196">
              <w:t>the requirement that two full courses of antidepressant medications from two different classes are to be trialled, with intolerance to a particular antidepressant within a class not constituting an adequate trial.</w:t>
            </w:r>
          </w:p>
        </w:tc>
      </w:tr>
      <w:tr w:rsidR="00071E3A" w14:paraId="4EF96D51" w14:textId="77777777" w:rsidTr="00A66B88">
        <w:trPr>
          <w:trHeight w:val="332"/>
        </w:trPr>
        <w:tc>
          <w:tcPr>
            <w:cnfStyle w:val="001000000000" w:firstRow="0" w:lastRow="0" w:firstColumn="1" w:lastColumn="0" w:oddVBand="0" w:evenVBand="0" w:oddHBand="0" w:evenHBand="0" w:firstRowFirstColumn="0" w:firstRowLastColumn="0" w:lastRowFirstColumn="0" w:lastRowLastColumn="0"/>
            <w:tcW w:w="3975" w:type="dxa"/>
          </w:tcPr>
          <w:p w14:paraId="7926F365" w14:textId="77777777" w:rsidR="00071E3A" w:rsidRPr="00AA3196" w:rsidRDefault="00071E3A" w:rsidP="001C20F8">
            <w:pPr>
              <w:pStyle w:val="TableText0"/>
              <w:rPr>
                <w:b w:val="0"/>
              </w:rPr>
            </w:pPr>
            <w:r w:rsidRPr="00AA3196">
              <w:rPr>
                <w:b w:val="0"/>
              </w:rPr>
              <w:t>“MSAC suggested that the descriptor should also reinforce that psychotherapy must have also been previously trialled” (</w:t>
            </w:r>
            <w:r>
              <w:rPr>
                <w:b w:val="0"/>
              </w:rPr>
              <w:t xml:space="preserve">PSD, </w:t>
            </w:r>
            <w:r w:rsidRPr="00AA3196">
              <w:rPr>
                <w:b w:val="0"/>
              </w:rPr>
              <w:t>p.2)</w:t>
            </w:r>
          </w:p>
        </w:tc>
        <w:tc>
          <w:tcPr>
            <w:tcW w:w="5055" w:type="dxa"/>
          </w:tcPr>
          <w:p w14:paraId="665466D2" w14:textId="77777777" w:rsidR="00071E3A" w:rsidRDefault="00071E3A" w:rsidP="001C20F8">
            <w:pPr>
              <w:pStyle w:val="TableText0"/>
              <w:cnfStyle w:val="000000000000" w:firstRow="0" w:lastRow="0" w:firstColumn="0" w:lastColumn="0" w:oddVBand="0" w:evenVBand="0" w:oddHBand="0" w:evenHBand="0" w:firstRowFirstColumn="0" w:firstRowLastColumn="0" w:lastRowFirstColumn="0" w:lastRowLastColumn="0"/>
            </w:pPr>
            <w:r>
              <w:t>Wording included in the descriptor which states that the patient must have previously trialled psychotherapy, unless inappropriate.</w:t>
            </w:r>
          </w:p>
        </w:tc>
      </w:tr>
      <w:tr w:rsidR="00071E3A" w14:paraId="3FD007EF" w14:textId="77777777" w:rsidTr="00A66B8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975" w:type="dxa"/>
            <w:tcBorders>
              <w:top w:val="none" w:sz="0" w:space="0" w:color="auto"/>
              <w:bottom w:val="none" w:sz="0" w:space="0" w:color="auto"/>
            </w:tcBorders>
          </w:tcPr>
          <w:p w14:paraId="51E38CE6" w14:textId="77777777" w:rsidR="00071E3A" w:rsidRPr="00AA3196" w:rsidRDefault="00071E3A" w:rsidP="001C20F8">
            <w:pPr>
              <w:pStyle w:val="TableText0"/>
              <w:rPr>
                <w:b w:val="0"/>
              </w:rPr>
            </w:pPr>
            <w:r w:rsidRPr="00AA3196">
              <w:rPr>
                <w:b w:val="0"/>
              </w:rPr>
              <w:t>MSAC requested that the proposed MBS item descriptors be updated to exclude maintenance treatment (</w:t>
            </w:r>
            <w:r>
              <w:rPr>
                <w:b w:val="0"/>
              </w:rPr>
              <w:t xml:space="preserve">PSD, </w:t>
            </w:r>
            <w:r w:rsidRPr="00AA3196">
              <w:rPr>
                <w:b w:val="0"/>
              </w:rPr>
              <w:t>p.1).</w:t>
            </w:r>
          </w:p>
        </w:tc>
        <w:tc>
          <w:tcPr>
            <w:tcW w:w="5055" w:type="dxa"/>
            <w:tcBorders>
              <w:top w:val="none" w:sz="0" w:space="0" w:color="auto"/>
              <w:bottom w:val="none" w:sz="0" w:space="0" w:color="auto"/>
            </w:tcBorders>
          </w:tcPr>
          <w:p w14:paraId="21A1308B" w14:textId="51725FB7" w:rsidR="00071E3A" w:rsidRDefault="00071E3A" w:rsidP="00F808E8">
            <w:pPr>
              <w:pStyle w:val="TableText0"/>
              <w:cnfStyle w:val="000000100000" w:firstRow="0" w:lastRow="0" w:firstColumn="0" w:lastColumn="0" w:oddVBand="0" w:evenVBand="0" w:oddHBand="1" w:evenHBand="0" w:firstRowFirstColumn="0" w:firstRowLastColumn="0" w:lastRowFirstColumn="0" w:lastRowLastColumn="0"/>
            </w:pPr>
            <w:r>
              <w:t xml:space="preserve">The current resubmission presents further evidence to support the use of </w:t>
            </w:r>
            <w:proofErr w:type="spellStart"/>
            <w:r>
              <w:t>rTMS</w:t>
            </w:r>
            <w:proofErr w:type="spellEnd"/>
            <w:r>
              <w:t xml:space="preserve"> as maintenance treatment. Nevertheless, the suggestion by MSAC to exclude maintenance TMS treatment from the item descriptor has been accepted.</w:t>
            </w:r>
          </w:p>
        </w:tc>
      </w:tr>
      <w:tr w:rsidR="00071E3A" w14:paraId="5BB156A7" w14:textId="77777777" w:rsidTr="00A66B88">
        <w:trPr>
          <w:trHeight w:val="523"/>
        </w:trPr>
        <w:tc>
          <w:tcPr>
            <w:cnfStyle w:val="001000000000" w:firstRow="0" w:lastRow="0" w:firstColumn="1" w:lastColumn="0" w:oddVBand="0" w:evenVBand="0" w:oddHBand="0" w:evenHBand="0" w:firstRowFirstColumn="0" w:firstRowLastColumn="0" w:lastRowFirstColumn="0" w:lastRowLastColumn="0"/>
            <w:tcW w:w="3975" w:type="dxa"/>
          </w:tcPr>
          <w:p w14:paraId="2ACD2196" w14:textId="77777777" w:rsidR="00071E3A" w:rsidRPr="00AA3196" w:rsidRDefault="00071E3A" w:rsidP="001C20F8">
            <w:pPr>
              <w:pStyle w:val="TableText0"/>
              <w:rPr>
                <w:b w:val="0"/>
              </w:rPr>
            </w:pPr>
            <w:r>
              <w:rPr>
                <w:b w:val="0"/>
              </w:rPr>
              <w:t>“</w:t>
            </w:r>
            <w:r w:rsidRPr="00392EA9">
              <w:rPr>
                <w:b w:val="0"/>
              </w:rPr>
              <w:t xml:space="preserve">Although the </w:t>
            </w:r>
            <w:r>
              <w:rPr>
                <w:b w:val="0"/>
              </w:rPr>
              <w:t xml:space="preserve">[first] </w:t>
            </w:r>
            <w:r w:rsidRPr="00392EA9">
              <w:rPr>
                <w:b w:val="0"/>
              </w:rPr>
              <w:t xml:space="preserve">item number is proposed to cover the assessment of whether a patient is suitable for </w:t>
            </w:r>
            <w:proofErr w:type="spellStart"/>
            <w:r w:rsidRPr="00392EA9">
              <w:rPr>
                <w:b w:val="0"/>
              </w:rPr>
              <w:t>rTMS</w:t>
            </w:r>
            <w:proofErr w:type="spellEnd"/>
            <w:r w:rsidRPr="00392EA9">
              <w:rPr>
                <w:b w:val="0"/>
              </w:rPr>
              <w:t xml:space="preserve"> or not, it should be explicit that the item is unable to be claimed if the patient is deemed ineligible for treatment</w:t>
            </w:r>
            <w:r>
              <w:rPr>
                <w:b w:val="0"/>
              </w:rPr>
              <w:t>” (Critique, p.30)</w:t>
            </w:r>
          </w:p>
        </w:tc>
        <w:tc>
          <w:tcPr>
            <w:tcW w:w="5055" w:type="dxa"/>
          </w:tcPr>
          <w:p w14:paraId="1A8E2F17" w14:textId="77777777" w:rsidR="00071E3A" w:rsidRPr="00B20BF3" w:rsidRDefault="00071E3A" w:rsidP="001C20F8">
            <w:pPr>
              <w:pStyle w:val="TableText0"/>
              <w:cnfStyle w:val="000000000000" w:firstRow="0" w:lastRow="0" w:firstColumn="0" w:lastColumn="0" w:oddVBand="0" w:evenVBand="0" w:oddHBand="0" w:evenHBand="0" w:firstRowFirstColumn="0" w:firstRowLastColumn="0" w:lastRowFirstColumn="0" w:lastRowLastColumn="0"/>
            </w:pPr>
            <w:r>
              <w:t xml:space="preserve">The requirement that the item number </w:t>
            </w:r>
            <w:r w:rsidRPr="00331BA2">
              <w:t>is not to be used when it is determined that the patient is ineligible to have the treatment</w:t>
            </w:r>
            <w:r>
              <w:t xml:space="preserve"> has been included within the descriptor. </w:t>
            </w:r>
          </w:p>
        </w:tc>
      </w:tr>
      <w:tr w:rsidR="00071E3A" w14:paraId="15103C75" w14:textId="77777777" w:rsidTr="00A66B8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75" w:type="dxa"/>
            <w:tcBorders>
              <w:top w:val="none" w:sz="0" w:space="0" w:color="auto"/>
              <w:bottom w:val="none" w:sz="0" w:space="0" w:color="auto"/>
            </w:tcBorders>
          </w:tcPr>
          <w:p w14:paraId="2C530D99" w14:textId="63675240" w:rsidR="00071E3A" w:rsidRDefault="00071E3A" w:rsidP="001C20F8">
            <w:pPr>
              <w:pStyle w:val="TableText0"/>
              <w:rPr>
                <w:b w:val="0"/>
              </w:rPr>
            </w:pPr>
            <w:r w:rsidRPr="00AA3196">
              <w:rPr>
                <w:b w:val="0"/>
              </w:rPr>
              <w:t>“ESC queried whether a limit to the number of treatments should be specified” (</w:t>
            </w:r>
            <w:r>
              <w:rPr>
                <w:b w:val="0"/>
              </w:rPr>
              <w:t xml:space="preserve">PSD, </w:t>
            </w:r>
            <w:r w:rsidRPr="00AA3196">
              <w:rPr>
                <w:b w:val="0"/>
              </w:rPr>
              <w:t>p.16).</w:t>
            </w:r>
          </w:p>
        </w:tc>
        <w:tc>
          <w:tcPr>
            <w:tcW w:w="5055" w:type="dxa"/>
            <w:tcBorders>
              <w:top w:val="none" w:sz="0" w:space="0" w:color="auto"/>
              <w:bottom w:val="none" w:sz="0" w:space="0" w:color="auto"/>
            </w:tcBorders>
          </w:tcPr>
          <w:p w14:paraId="093D7077" w14:textId="77777777" w:rsidR="00071E3A" w:rsidRDefault="00071E3A" w:rsidP="001C20F8">
            <w:pPr>
              <w:pStyle w:val="TableText0"/>
              <w:cnfStyle w:val="000000100000" w:firstRow="0" w:lastRow="0" w:firstColumn="0" w:lastColumn="0" w:oddVBand="0" w:evenVBand="0" w:oddHBand="1" w:evenHBand="0" w:firstRowFirstColumn="0" w:firstRowLastColumn="0" w:lastRowFirstColumn="0" w:lastRowLastColumn="0"/>
            </w:pPr>
            <w:r w:rsidRPr="00B20BF3">
              <w:t xml:space="preserve">The </w:t>
            </w:r>
            <w:r>
              <w:t>Applicant</w:t>
            </w:r>
            <w:r w:rsidRPr="00B20BF3">
              <w:t xml:space="preserve"> suggests a limit of 35 sessions for acute treatment would be reasonable and clinically appropriate</w:t>
            </w:r>
            <w:r>
              <w:t>, as stated in the Applicants response to the ESC report for MSAC Application 1196.1</w:t>
            </w:r>
            <w:r w:rsidRPr="00B20BF3">
              <w:t>.</w:t>
            </w:r>
            <w:r>
              <w:t xml:space="preserve"> Whether this needs to be specified in the descriptor itself will be left to the discretion of the MSAC. </w:t>
            </w:r>
          </w:p>
        </w:tc>
      </w:tr>
    </w:tbl>
    <w:p w14:paraId="2AEC02F6" w14:textId="77777777" w:rsidR="00071E3A" w:rsidRDefault="00071E3A" w:rsidP="00071E3A">
      <w:pPr>
        <w:pStyle w:val="Tablefootnote"/>
      </w:pPr>
      <w:r>
        <w:t>Source: Table 5 of the Resubmission</w:t>
      </w:r>
    </w:p>
    <w:p w14:paraId="3B3A6285"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49E26946" w14:textId="77777777" w:rsidR="00071E3A" w:rsidRDefault="00071E3A" w:rsidP="00071E3A">
      <w:r>
        <w:t>This was unchanged. Refer to Application 1196.1 PSD</w:t>
      </w:r>
      <w:r w:rsidRPr="000C582B">
        <w:t xml:space="preserve"> </w:t>
      </w:r>
      <w:r>
        <w:t>2018, p7.</w:t>
      </w:r>
    </w:p>
    <w:p w14:paraId="0DED7DEC" w14:textId="77777777" w:rsidR="00BC1364" w:rsidRPr="00F715D1" w:rsidRDefault="00BC1364" w:rsidP="00F715D1">
      <w:pPr>
        <w:pStyle w:val="Heading1"/>
      </w:pPr>
      <w:r w:rsidRPr="00F715D1">
        <w:t>Proposed intervention’s place in clinical management</w:t>
      </w:r>
    </w:p>
    <w:p w14:paraId="6B0471E4" w14:textId="77777777" w:rsidR="00071E3A" w:rsidRPr="009A6BAE" w:rsidRDefault="00071E3A" w:rsidP="00071E3A">
      <w:r>
        <w:t xml:space="preserve">This was unchanged. Refer to Application 1196.1 PSD 2018, pp7-8. </w:t>
      </w:r>
    </w:p>
    <w:p w14:paraId="249229A5" w14:textId="77777777" w:rsidR="00BC1364" w:rsidRPr="00F715D1" w:rsidRDefault="00BC1364" w:rsidP="00F715D1">
      <w:pPr>
        <w:pStyle w:val="Heading1"/>
      </w:pPr>
      <w:r w:rsidRPr="00F715D1">
        <w:t xml:space="preserve">Comparator </w:t>
      </w:r>
    </w:p>
    <w:p w14:paraId="1654757D" w14:textId="77777777" w:rsidR="00071E3A" w:rsidRDefault="00071E3A" w:rsidP="00071E3A">
      <w:pPr>
        <w:rPr>
          <w:lang w:eastAsia="en-US"/>
        </w:rPr>
      </w:pPr>
      <w:r>
        <w:rPr>
          <w:lang w:eastAsia="en-US"/>
        </w:rPr>
        <w:t>Consistent with the previous resubmission, t</w:t>
      </w:r>
      <w:r w:rsidRPr="00F72492">
        <w:rPr>
          <w:lang w:eastAsia="en-US"/>
        </w:rPr>
        <w:t>he main compar</w:t>
      </w:r>
      <w:r>
        <w:rPr>
          <w:lang w:eastAsia="en-US"/>
        </w:rPr>
        <w:t xml:space="preserve">ator to </w:t>
      </w:r>
      <w:proofErr w:type="spellStart"/>
      <w:r>
        <w:rPr>
          <w:lang w:eastAsia="en-US"/>
        </w:rPr>
        <w:t>rTMS</w:t>
      </w:r>
      <w:proofErr w:type="spellEnd"/>
      <w:r>
        <w:rPr>
          <w:lang w:eastAsia="en-US"/>
        </w:rPr>
        <w:t xml:space="preserve"> considered in the current re</w:t>
      </w:r>
      <w:r w:rsidRPr="00F72492">
        <w:rPr>
          <w:lang w:eastAsia="en-US"/>
        </w:rPr>
        <w:t>submission is thi</w:t>
      </w:r>
      <w:r>
        <w:rPr>
          <w:lang w:eastAsia="en-US"/>
        </w:rPr>
        <w:t>rd line antidepressant therapy.</w:t>
      </w:r>
    </w:p>
    <w:p w14:paraId="412BE805" w14:textId="77777777" w:rsidR="00BC1364" w:rsidRPr="00F715D1" w:rsidRDefault="00BC1364" w:rsidP="00F715D1">
      <w:pPr>
        <w:pStyle w:val="Heading1"/>
      </w:pPr>
      <w:r w:rsidRPr="00F715D1">
        <w:t>Comparative safety</w:t>
      </w:r>
    </w:p>
    <w:p w14:paraId="4C70D6B7" w14:textId="77777777" w:rsidR="00DB5833" w:rsidRPr="00071E3A" w:rsidRDefault="00071E3A" w:rsidP="00071E3A">
      <w:pPr>
        <w:rPr>
          <w:lang w:eastAsia="en-US"/>
        </w:rPr>
      </w:pPr>
      <w:r>
        <w:t xml:space="preserve">No new evidence was presented specifically assessing comparative safety of </w:t>
      </w:r>
      <w:proofErr w:type="spellStart"/>
      <w:r>
        <w:t>rTMS</w:t>
      </w:r>
      <w:proofErr w:type="spellEnd"/>
      <w:r>
        <w:t xml:space="preserve"> + antidepressants </w:t>
      </w:r>
      <w:r w:rsidRPr="00754146">
        <w:rPr>
          <w:i/>
        </w:rPr>
        <w:t>vs.</w:t>
      </w:r>
      <w:r>
        <w:t xml:space="preserve"> antidepressants alone. Therefore, the previous evidence for safety and the clinical claim of superior safety </w:t>
      </w:r>
      <w:r w:rsidRPr="00F72492">
        <w:rPr>
          <w:lang w:eastAsia="en-US"/>
        </w:rPr>
        <w:t>compared with third line antidepressants remain</w:t>
      </w:r>
      <w:r>
        <w:rPr>
          <w:lang w:eastAsia="en-US"/>
        </w:rPr>
        <w:t xml:space="preserve">s. </w:t>
      </w:r>
      <w:r>
        <w:t xml:space="preserve">MSAC noted that there are no major safety concerns related to use of </w:t>
      </w:r>
      <w:proofErr w:type="spellStart"/>
      <w:r>
        <w:t>rTMS</w:t>
      </w:r>
      <w:proofErr w:type="spellEnd"/>
      <w:r>
        <w:t xml:space="preserve"> [Application 1196.1 PSD 2018, p3].</w:t>
      </w:r>
    </w:p>
    <w:p w14:paraId="1FEA0E96" w14:textId="77777777" w:rsidR="00BC1364" w:rsidRPr="00F715D1" w:rsidRDefault="00BC1364" w:rsidP="00F715D1">
      <w:pPr>
        <w:pStyle w:val="Heading1"/>
      </w:pPr>
      <w:r w:rsidRPr="00F715D1">
        <w:t>Comparative effectiveness</w:t>
      </w:r>
    </w:p>
    <w:p w14:paraId="713E5DBE" w14:textId="77777777" w:rsidR="00071E3A" w:rsidRDefault="00071E3A" w:rsidP="00071E3A">
      <w:pPr>
        <w:rPr>
          <w:lang w:eastAsia="en-US"/>
        </w:rPr>
      </w:pPr>
      <w:r>
        <w:t xml:space="preserve">As requested, the current resubmission presented clinical evidence from </w:t>
      </w:r>
      <w:proofErr w:type="spellStart"/>
      <w:r>
        <w:t>EUnetHTA</w:t>
      </w:r>
      <w:proofErr w:type="spellEnd"/>
      <w:r>
        <w:t xml:space="preserve"> 2017 and the HQO 2016 Report. In addition, the applicant further identified </w:t>
      </w:r>
      <w:r>
        <w:rPr>
          <w:lang w:eastAsia="en-US"/>
        </w:rPr>
        <w:t xml:space="preserve">a more </w:t>
      </w:r>
      <w:r w:rsidRPr="002E5059">
        <w:rPr>
          <w:lang w:eastAsia="en-US"/>
        </w:rPr>
        <w:t xml:space="preserve">recent </w:t>
      </w:r>
      <w:r>
        <w:rPr>
          <w:lang w:eastAsia="en-US"/>
        </w:rPr>
        <w:t xml:space="preserve">systematic </w:t>
      </w:r>
      <w:r w:rsidRPr="002E5059">
        <w:rPr>
          <w:lang w:eastAsia="en-US"/>
        </w:rPr>
        <w:t xml:space="preserve">review </w:t>
      </w:r>
      <w:r>
        <w:rPr>
          <w:lang w:eastAsia="en-US"/>
        </w:rPr>
        <w:t xml:space="preserve">and meta-analysis of </w:t>
      </w:r>
      <w:proofErr w:type="spellStart"/>
      <w:r w:rsidRPr="002E5059">
        <w:rPr>
          <w:lang w:eastAsia="en-US"/>
        </w:rPr>
        <w:t>rTMS</w:t>
      </w:r>
      <w:proofErr w:type="spellEnd"/>
      <w:r w:rsidRPr="002E5059">
        <w:rPr>
          <w:lang w:eastAsia="en-US"/>
        </w:rPr>
        <w:t xml:space="preserve"> </w:t>
      </w:r>
      <w:r>
        <w:rPr>
          <w:lang w:eastAsia="en-US"/>
        </w:rPr>
        <w:t xml:space="preserve">versus sham, </w:t>
      </w:r>
      <w:r w:rsidRPr="002E5059">
        <w:rPr>
          <w:lang w:eastAsia="en-US"/>
        </w:rPr>
        <w:t>conducted by several of the authors of</w:t>
      </w:r>
      <w:r>
        <w:rPr>
          <w:lang w:eastAsia="en-US"/>
        </w:rPr>
        <w:t xml:space="preserve"> </w:t>
      </w:r>
      <w:r w:rsidRPr="002E5059">
        <w:rPr>
          <w:lang w:eastAsia="en-US"/>
        </w:rPr>
        <w:t>HQO 2016</w:t>
      </w:r>
      <w:r>
        <w:rPr>
          <w:lang w:eastAsia="en-US"/>
        </w:rPr>
        <w:t xml:space="preserve"> (</w:t>
      </w:r>
      <w:proofErr w:type="spellStart"/>
      <w:r w:rsidRPr="002E5059">
        <w:rPr>
          <w:lang w:eastAsia="en-US"/>
        </w:rPr>
        <w:t>Sehatzadeh</w:t>
      </w:r>
      <w:proofErr w:type="spellEnd"/>
      <w:r>
        <w:rPr>
          <w:lang w:eastAsia="en-US"/>
        </w:rPr>
        <w:t xml:space="preserve"> 2019) (Table 4).</w:t>
      </w:r>
    </w:p>
    <w:p w14:paraId="748C4D21" w14:textId="77777777" w:rsidR="00071E3A" w:rsidRPr="005455BA" w:rsidRDefault="00071E3A" w:rsidP="00A66B88">
      <w:r w:rsidRPr="00A66B88">
        <w:rPr>
          <w:i/>
        </w:rPr>
        <w:lastRenderedPageBreak/>
        <w:t>Primary evidence</w:t>
      </w:r>
    </w:p>
    <w:p w14:paraId="2130DA6C" w14:textId="0C912B94" w:rsidR="00071E3A" w:rsidRDefault="00071E3A" w:rsidP="00F136B7">
      <w:pPr>
        <w:spacing w:after="240"/>
        <w:rPr>
          <w:lang w:eastAsia="en-US"/>
        </w:rPr>
      </w:pPr>
      <w:r>
        <w:t xml:space="preserve">The authors in the HQO 2016 report commented that the weighted mean difference (WMD) in reduced depression scores </w:t>
      </w:r>
      <w:r w:rsidRPr="000F3D94">
        <w:t>on the Hamilton Rating Scale for Depression</w:t>
      </w:r>
      <w:r>
        <w:t xml:space="preserve"> (HAM-D) </w:t>
      </w:r>
      <w:r w:rsidRPr="000F3D94">
        <w:t>(</w:t>
      </w:r>
      <w:r>
        <w:t xml:space="preserve">WMD of </w:t>
      </w:r>
      <w:r w:rsidRPr="000F3D94">
        <w:t>2.31,</w:t>
      </w:r>
      <w:r>
        <w:t xml:space="preserve"> 95% CI: 1.19–3.43, p &lt; 0.001) </w:t>
      </w:r>
      <w:r w:rsidRPr="000F3D94">
        <w:t>did not meet the pre</w:t>
      </w:r>
      <w:r>
        <w:t>-</w:t>
      </w:r>
      <w:r w:rsidRPr="000F3D94">
        <w:t>specified criteria for clinical significance (specified a priori as 3.5 points).</w:t>
      </w:r>
      <w:r>
        <w:t xml:space="preserve"> However, the Critique highlighted the PBAC accepted </w:t>
      </w:r>
      <w:r>
        <w:rPr>
          <w:lang w:eastAsia="en-US"/>
        </w:rPr>
        <w:t xml:space="preserve">minimal clinically important difference (MCID) of 1.5 (based on Coleman 2012) for the purposes of </w:t>
      </w:r>
      <w:r w:rsidRPr="00DB5E21">
        <w:rPr>
          <w:lang w:eastAsia="en-US"/>
        </w:rPr>
        <w:t>the purposes of a cost-minimisation analysis between two active antidepressant medications was appropriate as a conservative cut-off for showing no difference</w:t>
      </w:r>
      <w:r>
        <w:rPr>
          <w:lang w:eastAsia="en-US"/>
        </w:rPr>
        <w:t xml:space="preserve">. Therefore, the Critique reasoned that the </w:t>
      </w:r>
      <w:r w:rsidRPr="00DB5E21">
        <w:rPr>
          <w:lang w:eastAsia="en-US"/>
        </w:rPr>
        <w:t>3.5 points as per specified a prior by the HQO 2016 report may</w:t>
      </w:r>
      <w:r w:rsidR="00F136B7">
        <w:rPr>
          <w:lang w:eastAsia="en-US"/>
        </w:rPr>
        <w:t xml:space="preserve"> therefore be more appropriate.</w:t>
      </w:r>
    </w:p>
    <w:p w14:paraId="5233A2F4" w14:textId="0EB6343A" w:rsidR="00224B3E" w:rsidRPr="00B97D6E" w:rsidRDefault="00071E3A">
      <w:pPr>
        <w:rPr>
          <w:lang w:eastAsia="en-US"/>
        </w:rPr>
      </w:pPr>
      <w:r>
        <w:rPr>
          <w:lang w:eastAsia="en-US"/>
        </w:rPr>
        <w:t xml:space="preserve">Included is results from the Critique’s additional </w:t>
      </w:r>
      <w:r>
        <w:t xml:space="preserve">meta-analysis </w:t>
      </w:r>
      <w:r w:rsidRPr="000B4AEC">
        <w:t>based on the systematic revi</w:t>
      </w:r>
      <w:r>
        <w:t xml:space="preserve">ew by </w:t>
      </w:r>
      <w:proofErr w:type="spellStart"/>
      <w:r>
        <w:t>Sehatzadeh</w:t>
      </w:r>
      <w:proofErr w:type="spellEnd"/>
      <w:r>
        <w:t xml:space="preserve"> et al. (2019), which </w:t>
      </w:r>
      <w:r w:rsidRPr="000B4AEC">
        <w:t xml:space="preserve">assessed unilateral or bilateral high frequency </w:t>
      </w:r>
      <w:proofErr w:type="spellStart"/>
      <w:r w:rsidRPr="000B4AEC">
        <w:rPr>
          <w:b/>
        </w:rPr>
        <w:t>rTMS</w:t>
      </w:r>
      <w:proofErr w:type="spellEnd"/>
      <w:r w:rsidRPr="000B4AEC">
        <w:rPr>
          <w:b/>
        </w:rPr>
        <w:t xml:space="preserve"> + antidepressants</w:t>
      </w:r>
      <w:r w:rsidRPr="000B4AEC">
        <w:t xml:space="preserve"> versus </w:t>
      </w:r>
      <w:r w:rsidRPr="000B4AEC">
        <w:rPr>
          <w:b/>
        </w:rPr>
        <w:t>sham + antidepressants</w:t>
      </w:r>
      <w:r w:rsidRPr="000B4AEC">
        <w:t xml:space="preserve"> were included if the participants in the study had failed to respond to at least two different antidepressants.  </w:t>
      </w:r>
      <w:r>
        <w:t>The Critique stated that the most applicable results on which base effectiveness of</w:t>
      </w:r>
      <w:r w:rsidRPr="00DE5B78">
        <w:t xml:space="preserve"> </w:t>
      </w:r>
      <w:proofErr w:type="spellStart"/>
      <w:r w:rsidRPr="00DE5B78">
        <w:t>rTMS</w:t>
      </w:r>
      <w:proofErr w:type="spellEnd"/>
      <w:r w:rsidRPr="00DE5B78">
        <w:t xml:space="preserve"> would therefore be the systematic review which presents </w:t>
      </w:r>
      <w:r>
        <w:t xml:space="preserve">data on </w:t>
      </w:r>
      <w:proofErr w:type="spellStart"/>
      <w:r w:rsidRPr="00DE5B78">
        <w:t>rTMS</w:t>
      </w:r>
      <w:proofErr w:type="spellEnd"/>
      <w:r w:rsidRPr="00DE5B78">
        <w:t xml:space="preserve"> + antidepressants vs sham + an</w:t>
      </w:r>
      <w:r w:rsidR="00F136B7">
        <w:t>tidepressants (</w:t>
      </w:r>
      <w:proofErr w:type="spellStart"/>
      <w:r w:rsidR="00F136B7">
        <w:t>Sehatzadeh</w:t>
      </w:r>
      <w:proofErr w:type="spellEnd"/>
      <w:r w:rsidR="00F136B7">
        <w:t xml:space="preserve"> 2019).</w:t>
      </w:r>
      <w:r w:rsidR="00224B3E">
        <w:br w:type="page"/>
      </w:r>
    </w:p>
    <w:p w14:paraId="78CA6B55" w14:textId="1B98DBC4" w:rsidR="00071E3A" w:rsidRPr="005910C6" w:rsidRDefault="00071E3A" w:rsidP="005910C6">
      <w:pPr>
        <w:rPr>
          <w:rFonts w:ascii="Arial Narrow" w:hAnsi="Arial Narrow"/>
          <w:b/>
          <w:sz w:val="20"/>
        </w:rPr>
      </w:pPr>
      <w:r w:rsidRPr="005910C6">
        <w:rPr>
          <w:rFonts w:ascii="Arial Narrow" w:hAnsi="Arial Narrow"/>
          <w:b/>
          <w:sz w:val="20"/>
        </w:rPr>
        <w:lastRenderedPageBreak/>
        <w:t>Table 4 Summary of systematic reviews and HTA reports (abridged version)</w:t>
      </w:r>
    </w:p>
    <w:tbl>
      <w:tblPr>
        <w:tblStyle w:val="TableGrid5"/>
        <w:tblW w:w="5000" w:type="pct"/>
        <w:tblCellMar>
          <w:left w:w="28" w:type="dxa"/>
          <w:right w:w="28" w:type="dxa"/>
        </w:tblCellMar>
        <w:tblLook w:val="04A0" w:firstRow="1" w:lastRow="0" w:firstColumn="1" w:lastColumn="0" w:noHBand="0" w:noVBand="1"/>
        <w:tblCaption w:val="Summary of systematic reviews and HTA reports (abridged version)"/>
        <w:tblDescription w:val="Summary of results for comparative effectiveness"/>
      </w:tblPr>
      <w:tblGrid>
        <w:gridCol w:w="1554"/>
        <w:gridCol w:w="2487"/>
        <w:gridCol w:w="2487"/>
        <w:gridCol w:w="2488"/>
      </w:tblGrid>
      <w:tr w:rsidR="00EA1A60" w:rsidRPr="00E965E7" w14:paraId="475A978C" w14:textId="77777777" w:rsidTr="00EA1A60">
        <w:trPr>
          <w:tblHeader/>
        </w:trPr>
        <w:tc>
          <w:tcPr>
            <w:tcW w:w="862" w:type="pct"/>
            <w:tcBorders>
              <w:right w:val="single" w:sz="4" w:space="0" w:color="auto"/>
            </w:tcBorders>
          </w:tcPr>
          <w:p w14:paraId="08849CFC" w14:textId="77777777" w:rsidR="00EA1A60" w:rsidRPr="00E965E7" w:rsidRDefault="00EA1A60" w:rsidP="001C20F8">
            <w:pPr>
              <w:pStyle w:val="Table"/>
              <w:rPr>
                <w:rFonts w:ascii="Arial Narrow" w:hAnsi="Arial Narrow"/>
                <w:szCs w:val="20"/>
              </w:rPr>
            </w:pPr>
          </w:p>
        </w:tc>
        <w:tc>
          <w:tcPr>
            <w:tcW w:w="1379" w:type="pct"/>
            <w:tcBorders>
              <w:top w:val="single" w:sz="4" w:space="0" w:color="auto"/>
              <w:left w:val="single" w:sz="4" w:space="0" w:color="auto"/>
              <w:bottom w:val="single" w:sz="4" w:space="0" w:color="auto"/>
              <w:right w:val="nil"/>
            </w:tcBorders>
          </w:tcPr>
          <w:p w14:paraId="628721D2" w14:textId="77777777" w:rsidR="00EA1A60" w:rsidRPr="00E965E7" w:rsidRDefault="00EA1A60" w:rsidP="00EA1A60">
            <w:pPr>
              <w:pStyle w:val="Table"/>
              <w:jc w:val="right"/>
              <w:rPr>
                <w:rFonts w:ascii="Arial Narrow" w:hAnsi="Arial Narrow"/>
                <w:b/>
                <w:szCs w:val="20"/>
              </w:rPr>
            </w:pPr>
            <w:r w:rsidRPr="00EA1A60">
              <w:rPr>
                <w:rFonts w:ascii="Arial Narrow" w:hAnsi="Arial Narrow"/>
                <w:b/>
                <w:szCs w:val="20"/>
              </w:rPr>
              <w:t>HTA reports requested</w:t>
            </w:r>
            <w:r>
              <w:rPr>
                <w:rFonts w:ascii="Arial Narrow" w:hAnsi="Arial Narrow"/>
                <w:b/>
                <w:szCs w:val="20"/>
              </w:rPr>
              <w:t xml:space="preserve"> to</w:t>
            </w:r>
          </w:p>
        </w:tc>
        <w:tc>
          <w:tcPr>
            <w:tcW w:w="1379" w:type="pct"/>
            <w:tcBorders>
              <w:top w:val="single" w:sz="4" w:space="0" w:color="auto"/>
              <w:left w:val="nil"/>
              <w:bottom w:val="single" w:sz="4" w:space="0" w:color="auto"/>
              <w:right w:val="single" w:sz="4" w:space="0" w:color="auto"/>
            </w:tcBorders>
          </w:tcPr>
          <w:p w14:paraId="752970EB" w14:textId="77777777" w:rsidR="00EA1A60" w:rsidRPr="00E965E7" w:rsidRDefault="00EA1A60" w:rsidP="00EA1A60">
            <w:pPr>
              <w:pStyle w:val="Table"/>
              <w:rPr>
                <w:rFonts w:ascii="Arial Narrow" w:hAnsi="Arial Narrow"/>
                <w:b/>
                <w:szCs w:val="20"/>
              </w:rPr>
            </w:pPr>
            <w:r w:rsidRPr="00EA1A60">
              <w:rPr>
                <w:rFonts w:ascii="Arial Narrow" w:hAnsi="Arial Narrow"/>
                <w:b/>
                <w:szCs w:val="20"/>
              </w:rPr>
              <w:t>be reviewed by MSAC</w:t>
            </w:r>
          </w:p>
        </w:tc>
        <w:tc>
          <w:tcPr>
            <w:tcW w:w="1380" w:type="pct"/>
            <w:tcBorders>
              <w:left w:val="single" w:sz="4" w:space="0" w:color="auto"/>
            </w:tcBorders>
          </w:tcPr>
          <w:p w14:paraId="51DDDC55" w14:textId="77777777" w:rsidR="00EA1A60" w:rsidRPr="00E965E7" w:rsidRDefault="00EA1A60" w:rsidP="001C20F8">
            <w:pPr>
              <w:pStyle w:val="Table"/>
              <w:jc w:val="center"/>
              <w:rPr>
                <w:rFonts w:ascii="Arial Narrow" w:hAnsi="Arial Narrow"/>
                <w:b/>
                <w:szCs w:val="20"/>
              </w:rPr>
            </w:pPr>
            <w:r w:rsidRPr="00E965E7">
              <w:rPr>
                <w:rFonts w:ascii="Arial Narrow" w:hAnsi="Arial Narrow"/>
                <w:b/>
                <w:szCs w:val="20"/>
              </w:rPr>
              <w:t>Updated HQO review</w:t>
            </w:r>
          </w:p>
        </w:tc>
      </w:tr>
      <w:tr w:rsidR="00071E3A" w:rsidRPr="00E965E7" w14:paraId="02892B3C" w14:textId="77777777" w:rsidTr="00EA1A60">
        <w:trPr>
          <w:tblHeader/>
        </w:trPr>
        <w:tc>
          <w:tcPr>
            <w:tcW w:w="862" w:type="pct"/>
          </w:tcPr>
          <w:p w14:paraId="7974BA8F" w14:textId="77777777" w:rsidR="00071E3A" w:rsidRPr="00E965E7" w:rsidRDefault="00071E3A" w:rsidP="001C20F8">
            <w:pPr>
              <w:pStyle w:val="Table"/>
              <w:rPr>
                <w:rFonts w:ascii="Arial Narrow" w:hAnsi="Arial Narrow"/>
                <w:szCs w:val="20"/>
              </w:rPr>
            </w:pPr>
            <w:bookmarkStart w:id="8" w:name="_Hlk536799527"/>
          </w:p>
        </w:tc>
        <w:tc>
          <w:tcPr>
            <w:tcW w:w="1379" w:type="pct"/>
            <w:tcBorders>
              <w:top w:val="single" w:sz="4" w:space="0" w:color="auto"/>
            </w:tcBorders>
          </w:tcPr>
          <w:p w14:paraId="0E2604F3" w14:textId="77777777" w:rsidR="00071E3A" w:rsidRPr="00E965E7" w:rsidRDefault="00071E3A" w:rsidP="001C20F8">
            <w:pPr>
              <w:pStyle w:val="Table"/>
              <w:jc w:val="center"/>
              <w:rPr>
                <w:rFonts w:ascii="Arial Narrow" w:hAnsi="Arial Narrow"/>
                <w:b/>
                <w:szCs w:val="20"/>
              </w:rPr>
            </w:pPr>
            <w:r w:rsidRPr="00E965E7">
              <w:rPr>
                <w:rFonts w:ascii="Arial Narrow" w:hAnsi="Arial Narrow"/>
                <w:b/>
                <w:szCs w:val="20"/>
              </w:rPr>
              <w:t>HQO 2016</w:t>
            </w:r>
          </w:p>
        </w:tc>
        <w:tc>
          <w:tcPr>
            <w:tcW w:w="1379" w:type="pct"/>
            <w:tcBorders>
              <w:top w:val="single" w:sz="4" w:space="0" w:color="auto"/>
            </w:tcBorders>
          </w:tcPr>
          <w:p w14:paraId="6398A1A3" w14:textId="77777777" w:rsidR="00071E3A" w:rsidRPr="00E965E7" w:rsidRDefault="00071E3A" w:rsidP="001C20F8">
            <w:pPr>
              <w:pStyle w:val="Table"/>
              <w:jc w:val="center"/>
              <w:rPr>
                <w:rFonts w:ascii="Arial Narrow" w:hAnsi="Arial Narrow"/>
                <w:b/>
                <w:szCs w:val="20"/>
              </w:rPr>
            </w:pPr>
            <w:proofErr w:type="spellStart"/>
            <w:r w:rsidRPr="00E965E7">
              <w:rPr>
                <w:rFonts w:ascii="Arial Narrow" w:hAnsi="Arial Narrow"/>
                <w:b/>
                <w:szCs w:val="20"/>
              </w:rPr>
              <w:t>EUnetHTA</w:t>
            </w:r>
            <w:proofErr w:type="spellEnd"/>
            <w:r w:rsidRPr="00E965E7">
              <w:rPr>
                <w:rFonts w:ascii="Arial Narrow" w:hAnsi="Arial Narrow"/>
                <w:b/>
                <w:szCs w:val="20"/>
              </w:rPr>
              <w:t xml:space="preserve"> 2017</w:t>
            </w:r>
          </w:p>
        </w:tc>
        <w:tc>
          <w:tcPr>
            <w:tcW w:w="1380" w:type="pct"/>
          </w:tcPr>
          <w:p w14:paraId="717DCF5E" w14:textId="77777777" w:rsidR="00071E3A" w:rsidRPr="00E965E7" w:rsidRDefault="00071E3A" w:rsidP="001C20F8">
            <w:pPr>
              <w:pStyle w:val="Table"/>
              <w:jc w:val="center"/>
              <w:rPr>
                <w:rFonts w:ascii="Arial Narrow" w:hAnsi="Arial Narrow"/>
                <w:b/>
                <w:szCs w:val="20"/>
              </w:rPr>
            </w:pPr>
            <w:proofErr w:type="spellStart"/>
            <w:r w:rsidRPr="00E965E7">
              <w:rPr>
                <w:rFonts w:ascii="Arial Narrow" w:hAnsi="Arial Narrow"/>
                <w:b/>
                <w:szCs w:val="20"/>
              </w:rPr>
              <w:t>Sehatzadeh</w:t>
            </w:r>
            <w:proofErr w:type="spellEnd"/>
            <w:r w:rsidRPr="00E965E7">
              <w:rPr>
                <w:rFonts w:ascii="Arial Narrow" w:hAnsi="Arial Narrow"/>
                <w:b/>
                <w:szCs w:val="20"/>
              </w:rPr>
              <w:t xml:space="preserve"> 2019 </w:t>
            </w:r>
          </w:p>
        </w:tc>
      </w:tr>
      <w:bookmarkEnd w:id="8"/>
      <w:tr w:rsidR="00071E3A" w:rsidRPr="00E965E7" w14:paraId="51FBC71B" w14:textId="77777777" w:rsidTr="001C20F8">
        <w:tc>
          <w:tcPr>
            <w:tcW w:w="862" w:type="pct"/>
            <w:tcBorders>
              <w:bottom w:val="dotted" w:sz="4" w:space="0" w:color="auto"/>
            </w:tcBorders>
          </w:tcPr>
          <w:p w14:paraId="634C476E" w14:textId="77777777" w:rsidR="00071E3A" w:rsidRPr="00E965E7" w:rsidRDefault="00071E3A" w:rsidP="001C20F8">
            <w:pPr>
              <w:pStyle w:val="Table"/>
              <w:rPr>
                <w:rFonts w:ascii="Arial Narrow" w:hAnsi="Arial Narrow"/>
                <w:b/>
                <w:szCs w:val="20"/>
              </w:rPr>
            </w:pPr>
            <w:r w:rsidRPr="00E965E7">
              <w:rPr>
                <w:rFonts w:ascii="Arial Narrow" w:hAnsi="Arial Narrow"/>
                <w:b/>
                <w:szCs w:val="20"/>
              </w:rPr>
              <w:t xml:space="preserve">Selection criteria </w:t>
            </w:r>
          </w:p>
        </w:tc>
        <w:tc>
          <w:tcPr>
            <w:tcW w:w="1379" w:type="pct"/>
            <w:tcBorders>
              <w:bottom w:val="dotted" w:sz="4" w:space="0" w:color="auto"/>
            </w:tcBorders>
          </w:tcPr>
          <w:p w14:paraId="005D2E5E" w14:textId="77777777" w:rsidR="00071E3A" w:rsidRPr="00E965E7" w:rsidRDefault="00071E3A" w:rsidP="001C20F8">
            <w:pPr>
              <w:pStyle w:val="Table"/>
              <w:rPr>
                <w:rFonts w:ascii="Arial Narrow" w:hAnsi="Arial Narrow"/>
                <w:szCs w:val="20"/>
              </w:rPr>
            </w:pPr>
          </w:p>
        </w:tc>
        <w:tc>
          <w:tcPr>
            <w:tcW w:w="1379" w:type="pct"/>
            <w:tcBorders>
              <w:bottom w:val="dotted" w:sz="4" w:space="0" w:color="auto"/>
            </w:tcBorders>
          </w:tcPr>
          <w:p w14:paraId="11C889BE" w14:textId="77777777" w:rsidR="00071E3A" w:rsidRPr="00E965E7" w:rsidRDefault="00071E3A" w:rsidP="001C20F8">
            <w:pPr>
              <w:pStyle w:val="Table"/>
              <w:rPr>
                <w:rFonts w:ascii="Arial Narrow" w:hAnsi="Arial Narrow"/>
                <w:szCs w:val="20"/>
              </w:rPr>
            </w:pPr>
          </w:p>
        </w:tc>
        <w:tc>
          <w:tcPr>
            <w:tcW w:w="1380" w:type="pct"/>
            <w:tcBorders>
              <w:bottom w:val="dotted" w:sz="4" w:space="0" w:color="auto"/>
            </w:tcBorders>
          </w:tcPr>
          <w:p w14:paraId="5558FD57" w14:textId="77777777" w:rsidR="00071E3A" w:rsidRPr="00E965E7" w:rsidRDefault="00071E3A" w:rsidP="001C20F8">
            <w:pPr>
              <w:pStyle w:val="Table"/>
              <w:rPr>
                <w:rFonts w:ascii="Arial Narrow" w:hAnsi="Arial Narrow"/>
                <w:szCs w:val="20"/>
              </w:rPr>
            </w:pPr>
          </w:p>
        </w:tc>
      </w:tr>
      <w:tr w:rsidR="00071E3A" w:rsidRPr="00E965E7" w14:paraId="6353B519" w14:textId="77777777" w:rsidTr="001C20F8">
        <w:tc>
          <w:tcPr>
            <w:tcW w:w="862" w:type="pct"/>
            <w:tcBorders>
              <w:top w:val="dotted" w:sz="4" w:space="0" w:color="auto"/>
              <w:bottom w:val="dotted" w:sz="4" w:space="0" w:color="auto"/>
            </w:tcBorders>
          </w:tcPr>
          <w:p w14:paraId="43123452" w14:textId="77777777" w:rsidR="00071E3A" w:rsidRPr="00E965E7" w:rsidRDefault="00071E3A" w:rsidP="001C20F8">
            <w:pPr>
              <w:pStyle w:val="Table"/>
              <w:rPr>
                <w:rFonts w:ascii="Arial Narrow" w:hAnsi="Arial Narrow"/>
                <w:i/>
                <w:szCs w:val="20"/>
              </w:rPr>
            </w:pPr>
            <w:r w:rsidRPr="00E965E7">
              <w:rPr>
                <w:rFonts w:ascii="Arial Narrow" w:hAnsi="Arial Narrow"/>
                <w:i/>
                <w:szCs w:val="20"/>
              </w:rPr>
              <w:t xml:space="preserve">Trial design </w:t>
            </w:r>
          </w:p>
        </w:tc>
        <w:tc>
          <w:tcPr>
            <w:tcW w:w="1379" w:type="pct"/>
            <w:tcBorders>
              <w:top w:val="dotted" w:sz="4" w:space="0" w:color="auto"/>
              <w:bottom w:val="dotted" w:sz="4" w:space="0" w:color="auto"/>
            </w:tcBorders>
          </w:tcPr>
          <w:p w14:paraId="2C6DFBA4" w14:textId="77777777" w:rsidR="00071E3A" w:rsidRPr="00E965E7" w:rsidRDefault="00071E3A" w:rsidP="001C20F8">
            <w:pPr>
              <w:pStyle w:val="Table"/>
              <w:rPr>
                <w:rFonts w:ascii="Arial Narrow" w:hAnsi="Arial Narrow"/>
                <w:szCs w:val="20"/>
              </w:rPr>
            </w:pPr>
            <w:r w:rsidRPr="00E965E7">
              <w:rPr>
                <w:rFonts w:ascii="Arial Narrow" w:hAnsi="Arial Narrow"/>
                <w:szCs w:val="20"/>
              </w:rPr>
              <w:t xml:space="preserve">RCTs of </w:t>
            </w:r>
            <w:proofErr w:type="spellStart"/>
            <w:r w:rsidRPr="00E965E7">
              <w:rPr>
                <w:rFonts w:ascii="Arial Narrow" w:hAnsi="Arial Narrow"/>
                <w:szCs w:val="20"/>
              </w:rPr>
              <w:t>rTMS</w:t>
            </w:r>
            <w:proofErr w:type="spellEnd"/>
            <w:r w:rsidRPr="00E965E7">
              <w:rPr>
                <w:rFonts w:ascii="Arial Narrow" w:hAnsi="Arial Narrow"/>
                <w:szCs w:val="20"/>
              </w:rPr>
              <w:t xml:space="preserve"> vs ECT</w:t>
            </w:r>
            <w:r w:rsidRPr="00E965E7">
              <w:rPr>
                <w:rFonts w:ascii="Arial Narrow" w:hAnsi="Arial Narrow"/>
                <w:szCs w:val="20"/>
                <w:vertAlign w:val="superscript"/>
              </w:rPr>
              <w:t xml:space="preserve"> *</w:t>
            </w:r>
            <w:r w:rsidRPr="00E965E7">
              <w:rPr>
                <w:rFonts w:ascii="Arial Narrow" w:hAnsi="Arial Narrow"/>
                <w:szCs w:val="20"/>
              </w:rPr>
              <w:t xml:space="preserve"> or sham </w:t>
            </w:r>
          </w:p>
        </w:tc>
        <w:tc>
          <w:tcPr>
            <w:tcW w:w="1379" w:type="pct"/>
            <w:tcBorders>
              <w:top w:val="dotted" w:sz="4" w:space="0" w:color="auto"/>
              <w:bottom w:val="dotted" w:sz="4" w:space="0" w:color="auto"/>
            </w:tcBorders>
          </w:tcPr>
          <w:p w14:paraId="125B91DB" w14:textId="77777777" w:rsidR="00071E3A" w:rsidRPr="00E965E7" w:rsidRDefault="00071E3A" w:rsidP="001C20F8">
            <w:pPr>
              <w:pStyle w:val="Table"/>
              <w:rPr>
                <w:rFonts w:ascii="Arial Narrow" w:hAnsi="Arial Narrow"/>
                <w:szCs w:val="20"/>
              </w:rPr>
            </w:pPr>
            <w:r w:rsidRPr="00E965E7">
              <w:rPr>
                <w:rFonts w:ascii="Arial Narrow" w:hAnsi="Arial Narrow"/>
                <w:szCs w:val="20"/>
              </w:rPr>
              <w:t xml:space="preserve">RCTs of </w:t>
            </w:r>
            <w:proofErr w:type="spellStart"/>
            <w:r w:rsidRPr="00E965E7">
              <w:rPr>
                <w:rFonts w:ascii="Arial Narrow" w:hAnsi="Arial Narrow"/>
                <w:szCs w:val="20"/>
              </w:rPr>
              <w:t>rTMS</w:t>
            </w:r>
            <w:proofErr w:type="spellEnd"/>
            <w:r w:rsidRPr="00E965E7">
              <w:rPr>
                <w:rFonts w:ascii="Arial Narrow" w:hAnsi="Arial Narrow"/>
                <w:szCs w:val="20"/>
              </w:rPr>
              <w:t xml:space="preserve"> vs ECT</w:t>
            </w:r>
            <w:r w:rsidRPr="00E965E7">
              <w:rPr>
                <w:rFonts w:ascii="Arial Narrow" w:hAnsi="Arial Narrow"/>
                <w:szCs w:val="20"/>
                <w:vertAlign w:val="superscript"/>
              </w:rPr>
              <w:t xml:space="preserve"> *</w:t>
            </w:r>
            <w:r w:rsidRPr="00E965E7">
              <w:rPr>
                <w:rFonts w:ascii="Arial Narrow" w:hAnsi="Arial Narrow"/>
                <w:szCs w:val="20"/>
              </w:rPr>
              <w:t xml:space="preserve"> or sham</w:t>
            </w:r>
          </w:p>
        </w:tc>
        <w:tc>
          <w:tcPr>
            <w:tcW w:w="1380" w:type="pct"/>
            <w:tcBorders>
              <w:top w:val="dotted" w:sz="4" w:space="0" w:color="auto"/>
              <w:bottom w:val="dotted" w:sz="4" w:space="0" w:color="auto"/>
            </w:tcBorders>
          </w:tcPr>
          <w:p w14:paraId="5DF738C7" w14:textId="77777777" w:rsidR="00071E3A" w:rsidRDefault="00071E3A" w:rsidP="001C20F8">
            <w:pPr>
              <w:pStyle w:val="Table"/>
              <w:rPr>
                <w:rFonts w:ascii="Arial Narrow" w:hAnsi="Arial Narrow"/>
                <w:szCs w:val="20"/>
              </w:rPr>
            </w:pPr>
            <w:r w:rsidRPr="00E965E7">
              <w:rPr>
                <w:rFonts w:ascii="Arial Narrow" w:hAnsi="Arial Narrow"/>
                <w:szCs w:val="20"/>
              </w:rPr>
              <w:t xml:space="preserve">RCTs of </w:t>
            </w:r>
            <w:proofErr w:type="spellStart"/>
            <w:r w:rsidRPr="00E965E7">
              <w:rPr>
                <w:rFonts w:ascii="Arial Narrow" w:hAnsi="Arial Narrow"/>
                <w:szCs w:val="20"/>
              </w:rPr>
              <w:t>rTMS</w:t>
            </w:r>
            <w:proofErr w:type="spellEnd"/>
            <w:r w:rsidRPr="00E965E7">
              <w:rPr>
                <w:rFonts w:ascii="Arial Narrow" w:hAnsi="Arial Narrow"/>
                <w:szCs w:val="20"/>
              </w:rPr>
              <w:t xml:space="preserve"> vs sham</w:t>
            </w:r>
          </w:p>
          <w:p w14:paraId="704A094D" w14:textId="77777777" w:rsidR="00071E3A" w:rsidRPr="00FD1AEC" w:rsidRDefault="00071E3A" w:rsidP="001C20F8">
            <w:pPr>
              <w:pStyle w:val="Table"/>
              <w:rPr>
                <w:rFonts w:ascii="Arial Narrow" w:hAnsi="Arial Narrow"/>
                <w:i/>
                <w:szCs w:val="20"/>
              </w:rPr>
            </w:pPr>
            <w:r w:rsidRPr="009E4F16">
              <w:rPr>
                <w:rFonts w:ascii="Arial Narrow" w:hAnsi="Arial Narrow"/>
                <w:i/>
                <w:szCs w:val="20"/>
              </w:rPr>
              <w:t xml:space="preserve">Critique confirmed majority of studies (and all of those since 2011) provided </w:t>
            </w:r>
            <w:proofErr w:type="spellStart"/>
            <w:r w:rsidRPr="009E4F16">
              <w:rPr>
                <w:rFonts w:ascii="Arial Narrow" w:hAnsi="Arial Narrow"/>
                <w:i/>
                <w:szCs w:val="20"/>
              </w:rPr>
              <w:t>rTMS</w:t>
            </w:r>
            <w:proofErr w:type="spellEnd"/>
            <w:r w:rsidRPr="009E4F16">
              <w:rPr>
                <w:rFonts w:ascii="Arial Narrow" w:hAnsi="Arial Narrow"/>
                <w:i/>
                <w:szCs w:val="20"/>
              </w:rPr>
              <w:t xml:space="preserve"> alongside antidepressants</w:t>
            </w:r>
          </w:p>
        </w:tc>
      </w:tr>
      <w:tr w:rsidR="00071E3A" w:rsidRPr="00E965E7" w14:paraId="374BB198" w14:textId="77777777" w:rsidTr="001C20F8">
        <w:tc>
          <w:tcPr>
            <w:tcW w:w="862" w:type="pct"/>
            <w:tcBorders>
              <w:top w:val="dotted" w:sz="4" w:space="0" w:color="auto"/>
              <w:bottom w:val="dotted" w:sz="4" w:space="0" w:color="auto"/>
            </w:tcBorders>
          </w:tcPr>
          <w:p w14:paraId="1D57701A" w14:textId="77777777" w:rsidR="00071E3A" w:rsidRPr="00E965E7" w:rsidRDefault="00071E3A" w:rsidP="001C20F8">
            <w:pPr>
              <w:pStyle w:val="Table"/>
              <w:rPr>
                <w:rFonts w:ascii="Arial Narrow" w:hAnsi="Arial Narrow"/>
                <w:i/>
                <w:szCs w:val="20"/>
              </w:rPr>
            </w:pPr>
            <w:r w:rsidRPr="00E965E7">
              <w:rPr>
                <w:rFonts w:ascii="Arial Narrow" w:hAnsi="Arial Narrow"/>
                <w:i/>
                <w:szCs w:val="20"/>
              </w:rPr>
              <w:t>Population</w:t>
            </w:r>
          </w:p>
        </w:tc>
        <w:tc>
          <w:tcPr>
            <w:tcW w:w="1379" w:type="pct"/>
            <w:tcBorders>
              <w:top w:val="dotted" w:sz="4" w:space="0" w:color="auto"/>
              <w:bottom w:val="dotted" w:sz="4" w:space="0" w:color="auto"/>
            </w:tcBorders>
          </w:tcPr>
          <w:p w14:paraId="3E745E20" w14:textId="77777777" w:rsidR="00071E3A" w:rsidRPr="00E965E7" w:rsidRDefault="00071E3A" w:rsidP="001C20F8">
            <w:pPr>
              <w:pStyle w:val="Table"/>
              <w:rPr>
                <w:rFonts w:ascii="Arial Narrow" w:hAnsi="Arial Narrow"/>
                <w:szCs w:val="20"/>
              </w:rPr>
            </w:pPr>
            <w:r w:rsidRPr="00E965E7">
              <w:rPr>
                <w:rFonts w:ascii="Arial Narrow" w:hAnsi="Arial Narrow"/>
                <w:szCs w:val="20"/>
              </w:rPr>
              <w:t>Adult patients (≥18 years) with unipolar depression only or proportion of bipolar patients ≤20%</w:t>
            </w:r>
          </w:p>
        </w:tc>
        <w:tc>
          <w:tcPr>
            <w:tcW w:w="1379" w:type="pct"/>
            <w:tcBorders>
              <w:top w:val="dotted" w:sz="4" w:space="0" w:color="auto"/>
              <w:bottom w:val="dotted" w:sz="4" w:space="0" w:color="auto"/>
            </w:tcBorders>
          </w:tcPr>
          <w:p w14:paraId="114BD2CF" w14:textId="77777777" w:rsidR="00071E3A" w:rsidRPr="00E965E7" w:rsidRDefault="00071E3A" w:rsidP="001C20F8">
            <w:pPr>
              <w:pStyle w:val="Table"/>
              <w:rPr>
                <w:rFonts w:ascii="Arial Narrow" w:hAnsi="Arial Narrow"/>
                <w:szCs w:val="20"/>
              </w:rPr>
            </w:pPr>
            <w:r w:rsidRPr="00E965E7">
              <w:rPr>
                <w:rFonts w:ascii="Arial Narrow" w:hAnsi="Arial Narrow"/>
                <w:szCs w:val="20"/>
              </w:rPr>
              <w:t xml:space="preserve">Adult patients (&gt;18 </w:t>
            </w:r>
            <w:proofErr w:type="spellStart"/>
            <w:r w:rsidRPr="00E965E7">
              <w:rPr>
                <w:rFonts w:ascii="Arial Narrow" w:hAnsi="Arial Narrow"/>
                <w:szCs w:val="20"/>
              </w:rPr>
              <w:t>yrs</w:t>
            </w:r>
            <w:proofErr w:type="spellEnd"/>
            <w:r w:rsidRPr="00E965E7">
              <w:rPr>
                <w:rFonts w:ascii="Arial Narrow" w:hAnsi="Arial Narrow"/>
                <w:szCs w:val="20"/>
              </w:rPr>
              <w:t>) with unipolar MDD or proportion of bipolar patients ≤20%</w:t>
            </w:r>
          </w:p>
        </w:tc>
        <w:tc>
          <w:tcPr>
            <w:tcW w:w="1380" w:type="pct"/>
            <w:tcBorders>
              <w:top w:val="dotted" w:sz="4" w:space="0" w:color="auto"/>
              <w:bottom w:val="dotted" w:sz="4" w:space="0" w:color="auto"/>
            </w:tcBorders>
          </w:tcPr>
          <w:p w14:paraId="24E3193B" w14:textId="77777777" w:rsidR="00071E3A" w:rsidRPr="00E965E7" w:rsidRDefault="00071E3A" w:rsidP="001C20F8">
            <w:pPr>
              <w:pStyle w:val="Table"/>
              <w:rPr>
                <w:rFonts w:ascii="Arial Narrow" w:hAnsi="Arial Narrow"/>
                <w:szCs w:val="20"/>
              </w:rPr>
            </w:pPr>
            <w:r w:rsidRPr="00E965E7">
              <w:rPr>
                <w:rFonts w:ascii="Arial Narrow" w:hAnsi="Arial Narrow"/>
                <w:szCs w:val="20"/>
              </w:rPr>
              <w:t>Adult patients (≥18 years) with unipolar depression only or proportion of bipolar patients ≤20%</w:t>
            </w:r>
          </w:p>
        </w:tc>
      </w:tr>
      <w:tr w:rsidR="00071E3A" w:rsidRPr="00E965E7" w14:paraId="1DB83386" w14:textId="77777777" w:rsidTr="001C20F8">
        <w:tc>
          <w:tcPr>
            <w:tcW w:w="862" w:type="pct"/>
            <w:tcBorders>
              <w:top w:val="dotted" w:sz="4" w:space="0" w:color="auto"/>
              <w:bottom w:val="dotted" w:sz="4" w:space="0" w:color="auto"/>
            </w:tcBorders>
          </w:tcPr>
          <w:p w14:paraId="6DE8E0CB" w14:textId="77777777" w:rsidR="00071E3A" w:rsidRPr="00E965E7" w:rsidRDefault="00071E3A" w:rsidP="001C20F8">
            <w:pPr>
              <w:pStyle w:val="Table"/>
              <w:rPr>
                <w:rFonts w:ascii="Arial Narrow" w:hAnsi="Arial Narrow"/>
                <w:i/>
                <w:szCs w:val="20"/>
              </w:rPr>
            </w:pPr>
            <w:proofErr w:type="spellStart"/>
            <w:r w:rsidRPr="00E965E7">
              <w:rPr>
                <w:rFonts w:ascii="Arial Narrow" w:hAnsi="Arial Narrow"/>
                <w:i/>
                <w:szCs w:val="20"/>
              </w:rPr>
              <w:t>rTMS</w:t>
            </w:r>
            <w:proofErr w:type="spellEnd"/>
            <w:r w:rsidRPr="00E965E7">
              <w:rPr>
                <w:rFonts w:ascii="Arial Narrow" w:hAnsi="Arial Narrow"/>
                <w:i/>
                <w:szCs w:val="20"/>
              </w:rPr>
              <w:t xml:space="preserve"> specifications</w:t>
            </w:r>
          </w:p>
        </w:tc>
        <w:tc>
          <w:tcPr>
            <w:tcW w:w="1379" w:type="pct"/>
            <w:tcBorders>
              <w:top w:val="dotted" w:sz="4" w:space="0" w:color="auto"/>
              <w:bottom w:val="dotted" w:sz="4" w:space="0" w:color="auto"/>
            </w:tcBorders>
          </w:tcPr>
          <w:p w14:paraId="1A04BE04" w14:textId="77777777" w:rsidR="00071E3A" w:rsidRPr="00E965E7" w:rsidRDefault="00071E3A" w:rsidP="001C20F8">
            <w:pPr>
              <w:pStyle w:val="Table"/>
              <w:rPr>
                <w:rFonts w:ascii="Arial Narrow" w:hAnsi="Arial Narrow"/>
                <w:szCs w:val="20"/>
              </w:rPr>
            </w:pPr>
            <w:r w:rsidRPr="00E965E7">
              <w:rPr>
                <w:rFonts w:ascii="Arial Narrow" w:hAnsi="Arial Narrow"/>
                <w:szCs w:val="20"/>
              </w:rPr>
              <w:t>HF unilateral (≥5 Hz) to the left DLPFC; at least 10 sessions per patient</w:t>
            </w:r>
          </w:p>
        </w:tc>
        <w:tc>
          <w:tcPr>
            <w:tcW w:w="1379" w:type="pct"/>
            <w:tcBorders>
              <w:top w:val="dotted" w:sz="4" w:space="0" w:color="auto"/>
              <w:bottom w:val="dotted" w:sz="4" w:space="0" w:color="auto"/>
            </w:tcBorders>
          </w:tcPr>
          <w:p w14:paraId="42FA5314" w14:textId="77777777" w:rsidR="00071E3A" w:rsidRPr="00E965E7" w:rsidRDefault="00071E3A" w:rsidP="001C20F8">
            <w:pPr>
              <w:pStyle w:val="Table"/>
              <w:rPr>
                <w:rFonts w:ascii="Arial Narrow" w:hAnsi="Arial Narrow"/>
                <w:szCs w:val="20"/>
              </w:rPr>
            </w:pPr>
            <w:r w:rsidRPr="00E965E7">
              <w:rPr>
                <w:rFonts w:ascii="Arial Narrow" w:hAnsi="Arial Narrow"/>
                <w:szCs w:val="20"/>
              </w:rPr>
              <w:t>HF unilateral (≥5 Hz) to the left DLPFC as monotherapy or add-on therapy</w:t>
            </w:r>
          </w:p>
        </w:tc>
        <w:tc>
          <w:tcPr>
            <w:tcW w:w="1380" w:type="pct"/>
            <w:tcBorders>
              <w:top w:val="dotted" w:sz="4" w:space="0" w:color="auto"/>
              <w:bottom w:val="dotted" w:sz="4" w:space="0" w:color="auto"/>
            </w:tcBorders>
          </w:tcPr>
          <w:p w14:paraId="185205E0" w14:textId="77777777" w:rsidR="00071E3A" w:rsidRPr="00E965E7" w:rsidRDefault="00071E3A" w:rsidP="001C20F8">
            <w:pPr>
              <w:pStyle w:val="Table"/>
              <w:rPr>
                <w:rFonts w:ascii="Arial Narrow" w:hAnsi="Arial Narrow"/>
                <w:szCs w:val="20"/>
              </w:rPr>
            </w:pPr>
            <w:r w:rsidRPr="00E965E7">
              <w:rPr>
                <w:rFonts w:ascii="Arial Narrow" w:hAnsi="Arial Narrow"/>
                <w:szCs w:val="20"/>
              </w:rPr>
              <w:t xml:space="preserve">HF unilateral (≥5 Hz) to the left DLPFC or sequential bilateral LF to the right DLPFC, complied with </w:t>
            </w:r>
            <w:proofErr w:type="spellStart"/>
            <w:r w:rsidRPr="00E965E7">
              <w:rPr>
                <w:rFonts w:ascii="Arial Narrow" w:hAnsi="Arial Narrow"/>
                <w:szCs w:val="20"/>
              </w:rPr>
              <w:t>rTMS</w:t>
            </w:r>
            <w:proofErr w:type="spellEnd"/>
            <w:r w:rsidRPr="00E965E7">
              <w:rPr>
                <w:rFonts w:ascii="Arial Narrow" w:hAnsi="Arial Narrow"/>
                <w:szCs w:val="20"/>
              </w:rPr>
              <w:t xml:space="preserve"> safety guidelines, one session per day, at least 10 sessions per patient</w:t>
            </w:r>
          </w:p>
        </w:tc>
      </w:tr>
      <w:tr w:rsidR="00071E3A" w:rsidRPr="00E965E7" w14:paraId="1AE987B4" w14:textId="77777777" w:rsidTr="001C20F8">
        <w:tc>
          <w:tcPr>
            <w:tcW w:w="862" w:type="pct"/>
            <w:tcBorders>
              <w:top w:val="dotted" w:sz="4" w:space="0" w:color="auto"/>
            </w:tcBorders>
          </w:tcPr>
          <w:p w14:paraId="3E9D6AA8" w14:textId="77777777" w:rsidR="00071E3A" w:rsidRPr="00E965E7" w:rsidRDefault="00071E3A" w:rsidP="001C20F8">
            <w:pPr>
              <w:pStyle w:val="Table"/>
              <w:rPr>
                <w:rFonts w:ascii="Arial Narrow" w:hAnsi="Arial Narrow"/>
                <w:i/>
                <w:szCs w:val="20"/>
              </w:rPr>
            </w:pPr>
            <w:r w:rsidRPr="00E965E7">
              <w:rPr>
                <w:rFonts w:ascii="Arial Narrow" w:hAnsi="Arial Narrow"/>
                <w:i/>
                <w:szCs w:val="20"/>
              </w:rPr>
              <w:t xml:space="preserve">Definition of TRD </w:t>
            </w:r>
          </w:p>
        </w:tc>
        <w:tc>
          <w:tcPr>
            <w:tcW w:w="1379" w:type="pct"/>
            <w:tcBorders>
              <w:top w:val="dotted" w:sz="4" w:space="0" w:color="auto"/>
            </w:tcBorders>
          </w:tcPr>
          <w:p w14:paraId="381173BE" w14:textId="77777777" w:rsidR="00071E3A" w:rsidRPr="00E965E7" w:rsidRDefault="00071E3A" w:rsidP="001C20F8">
            <w:pPr>
              <w:pStyle w:val="Table"/>
              <w:rPr>
                <w:rFonts w:ascii="Arial Narrow" w:hAnsi="Arial Narrow"/>
                <w:szCs w:val="20"/>
              </w:rPr>
            </w:pPr>
            <w:r w:rsidRPr="00E965E7">
              <w:rPr>
                <w:rFonts w:ascii="Arial Narrow" w:hAnsi="Arial Narrow"/>
                <w:szCs w:val="20"/>
              </w:rPr>
              <w:t>≥80% of patients resistant to treatment in each study</w:t>
            </w:r>
          </w:p>
        </w:tc>
        <w:tc>
          <w:tcPr>
            <w:tcW w:w="1379" w:type="pct"/>
            <w:tcBorders>
              <w:top w:val="dotted" w:sz="4" w:space="0" w:color="auto"/>
            </w:tcBorders>
          </w:tcPr>
          <w:p w14:paraId="10920928" w14:textId="77777777" w:rsidR="00071E3A" w:rsidRPr="00E965E7" w:rsidRDefault="00071E3A" w:rsidP="001C20F8">
            <w:pPr>
              <w:pStyle w:val="Table"/>
              <w:rPr>
                <w:rFonts w:ascii="Arial Narrow" w:hAnsi="Arial Narrow"/>
                <w:szCs w:val="20"/>
              </w:rPr>
            </w:pPr>
            <w:r w:rsidRPr="00E965E7">
              <w:rPr>
                <w:rFonts w:ascii="Arial Narrow" w:hAnsi="Arial Narrow"/>
                <w:szCs w:val="20"/>
              </w:rPr>
              <w:t xml:space="preserve">As per HQO 2016. </w:t>
            </w:r>
          </w:p>
          <w:p w14:paraId="4D7601CC" w14:textId="77777777" w:rsidR="00071E3A" w:rsidRPr="00E965E7" w:rsidRDefault="00071E3A" w:rsidP="001C20F8">
            <w:pPr>
              <w:pStyle w:val="Table"/>
              <w:rPr>
                <w:rFonts w:ascii="Arial Narrow" w:hAnsi="Arial Narrow"/>
                <w:i/>
                <w:szCs w:val="20"/>
              </w:rPr>
            </w:pPr>
            <w:r w:rsidRPr="00E965E7">
              <w:rPr>
                <w:rFonts w:ascii="Arial Narrow" w:hAnsi="Arial Narrow"/>
                <w:i/>
                <w:szCs w:val="20"/>
              </w:rPr>
              <w:t xml:space="preserve">See note </w:t>
            </w:r>
            <w:r w:rsidRPr="00E965E7">
              <w:rPr>
                <w:rFonts w:ascii="Calibri" w:hAnsi="Calibri" w:cs="Calibri"/>
                <w:i/>
                <w:szCs w:val="20"/>
              </w:rPr>
              <w:t>Ɨ</w:t>
            </w:r>
          </w:p>
        </w:tc>
        <w:tc>
          <w:tcPr>
            <w:tcW w:w="1380" w:type="pct"/>
            <w:tcBorders>
              <w:top w:val="dotted" w:sz="4" w:space="0" w:color="auto"/>
            </w:tcBorders>
          </w:tcPr>
          <w:p w14:paraId="432FC6C7" w14:textId="77777777" w:rsidR="00071E3A" w:rsidRPr="00E965E7" w:rsidRDefault="00071E3A" w:rsidP="001C20F8">
            <w:pPr>
              <w:pStyle w:val="Table"/>
              <w:rPr>
                <w:rFonts w:ascii="Arial Narrow" w:hAnsi="Arial Narrow"/>
                <w:szCs w:val="20"/>
              </w:rPr>
            </w:pPr>
            <w:r w:rsidRPr="00E965E7">
              <w:rPr>
                <w:rFonts w:ascii="Arial Narrow" w:hAnsi="Arial Narrow"/>
                <w:szCs w:val="20"/>
              </w:rPr>
              <w:t>≥80% of patients resistant to treatment in each study</w:t>
            </w:r>
          </w:p>
        </w:tc>
      </w:tr>
      <w:tr w:rsidR="00071E3A" w:rsidRPr="00E965E7" w14:paraId="27A85380" w14:textId="77777777" w:rsidTr="001C20F8">
        <w:trPr>
          <w:trHeight w:val="324"/>
        </w:trPr>
        <w:tc>
          <w:tcPr>
            <w:tcW w:w="862" w:type="pct"/>
          </w:tcPr>
          <w:p w14:paraId="0C07BBD7" w14:textId="77777777" w:rsidR="00071E3A" w:rsidRPr="00E965E7" w:rsidRDefault="00071E3A" w:rsidP="001C20F8">
            <w:pPr>
              <w:pStyle w:val="Table"/>
              <w:rPr>
                <w:rFonts w:ascii="Arial Narrow" w:hAnsi="Arial Narrow"/>
                <w:b/>
                <w:szCs w:val="20"/>
              </w:rPr>
            </w:pPr>
            <w:r w:rsidRPr="00E965E7">
              <w:rPr>
                <w:rFonts w:ascii="Arial Narrow" w:hAnsi="Arial Narrow"/>
                <w:b/>
                <w:szCs w:val="20"/>
              </w:rPr>
              <w:t xml:space="preserve">Included studies </w:t>
            </w:r>
          </w:p>
        </w:tc>
        <w:tc>
          <w:tcPr>
            <w:tcW w:w="1379" w:type="pct"/>
          </w:tcPr>
          <w:p w14:paraId="1FBDEA78" w14:textId="77777777" w:rsidR="00071E3A" w:rsidRPr="00E965E7" w:rsidRDefault="00071E3A" w:rsidP="001C20F8">
            <w:pPr>
              <w:pStyle w:val="Table"/>
              <w:rPr>
                <w:rFonts w:ascii="Arial Narrow" w:hAnsi="Arial Narrow"/>
                <w:szCs w:val="20"/>
              </w:rPr>
            </w:pPr>
            <w:r>
              <w:rPr>
                <w:rFonts w:ascii="Arial Narrow" w:hAnsi="Arial Narrow"/>
                <w:szCs w:val="20"/>
              </w:rPr>
              <w:t>23 RCTs (2 were not included in meta-analyses)</w:t>
            </w:r>
          </w:p>
        </w:tc>
        <w:tc>
          <w:tcPr>
            <w:tcW w:w="1379" w:type="pct"/>
          </w:tcPr>
          <w:p w14:paraId="53D8BC62" w14:textId="77777777" w:rsidR="00071E3A" w:rsidRPr="00E965E7" w:rsidRDefault="00071E3A" w:rsidP="001C20F8">
            <w:pPr>
              <w:pStyle w:val="Table"/>
              <w:rPr>
                <w:rFonts w:ascii="Arial Narrow" w:hAnsi="Arial Narrow"/>
                <w:szCs w:val="20"/>
              </w:rPr>
            </w:pPr>
            <w:r>
              <w:rPr>
                <w:rFonts w:ascii="Arial Narrow" w:hAnsi="Arial Narrow"/>
                <w:szCs w:val="20"/>
              </w:rPr>
              <w:t>25 RCTs (2 additional primary studies included (</w:t>
            </w:r>
            <w:proofErr w:type="spellStart"/>
            <w:r>
              <w:rPr>
                <w:rFonts w:ascii="Arial Narrow" w:hAnsi="Arial Narrow"/>
                <w:szCs w:val="20"/>
              </w:rPr>
              <w:t>Solvason</w:t>
            </w:r>
            <w:proofErr w:type="spellEnd"/>
            <w:r>
              <w:rPr>
                <w:rFonts w:ascii="Arial Narrow" w:hAnsi="Arial Narrow"/>
                <w:szCs w:val="20"/>
              </w:rPr>
              <w:t xml:space="preserve"> 2014 and Kang 2016</w:t>
            </w:r>
          </w:p>
        </w:tc>
        <w:tc>
          <w:tcPr>
            <w:tcW w:w="1380" w:type="pct"/>
          </w:tcPr>
          <w:p w14:paraId="3CBFDDAF" w14:textId="77777777" w:rsidR="00071E3A" w:rsidRPr="00E965E7" w:rsidRDefault="00071E3A" w:rsidP="001C20F8">
            <w:pPr>
              <w:pStyle w:val="Table"/>
              <w:rPr>
                <w:rFonts w:ascii="Arial Narrow" w:hAnsi="Arial Narrow"/>
                <w:szCs w:val="20"/>
              </w:rPr>
            </w:pPr>
            <w:r w:rsidRPr="00E965E7">
              <w:rPr>
                <w:rFonts w:ascii="Arial Narrow" w:hAnsi="Arial Narrow"/>
                <w:szCs w:val="20"/>
              </w:rPr>
              <w:t>23 RCTs (of which 19 a</w:t>
            </w:r>
            <w:r>
              <w:rPr>
                <w:rFonts w:ascii="Arial Narrow" w:hAnsi="Arial Narrow"/>
                <w:szCs w:val="20"/>
              </w:rPr>
              <w:t xml:space="preserve">re unilateral </w:t>
            </w:r>
            <w:proofErr w:type="spellStart"/>
            <w:r>
              <w:rPr>
                <w:rFonts w:ascii="Arial Narrow" w:hAnsi="Arial Narrow"/>
                <w:szCs w:val="20"/>
              </w:rPr>
              <w:t>rTMS</w:t>
            </w:r>
            <w:proofErr w:type="spellEnd"/>
            <w:r>
              <w:rPr>
                <w:rFonts w:ascii="Arial Narrow" w:hAnsi="Arial Narrow"/>
                <w:szCs w:val="20"/>
              </w:rPr>
              <w:t xml:space="preserve"> versus sham)</w:t>
            </w:r>
          </w:p>
        </w:tc>
      </w:tr>
      <w:tr w:rsidR="00071E3A" w:rsidRPr="00E965E7" w14:paraId="3ED42FC0" w14:textId="77777777" w:rsidTr="001C20F8">
        <w:trPr>
          <w:trHeight w:val="324"/>
        </w:trPr>
        <w:tc>
          <w:tcPr>
            <w:tcW w:w="862" w:type="pct"/>
            <w:tcBorders>
              <w:bottom w:val="single" w:sz="4" w:space="0" w:color="auto"/>
            </w:tcBorders>
          </w:tcPr>
          <w:p w14:paraId="7F980F91" w14:textId="77777777" w:rsidR="00071E3A" w:rsidRPr="00FD1AEC" w:rsidRDefault="00071E3A" w:rsidP="001C20F8">
            <w:pPr>
              <w:pStyle w:val="Table"/>
              <w:rPr>
                <w:rFonts w:ascii="Arial Narrow" w:hAnsi="Arial Narrow"/>
                <w:b/>
                <w:color w:val="FF0000"/>
                <w:szCs w:val="20"/>
              </w:rPr>
            </w:pPr>
            <w:r>
              <w:rPr>
                <w:rFonts w:ascii="Arial Narrow" w:hAnsi="Arial Narrow"/>
                <w:b/>
                <w:szCs w:val="20"/>
              </w:rPr>
              <w:t>Results</w:t>
            </w:r>
          </w:p>
        </w:tc>
        <w:tc>
          <w:tcPr>
            <w:tcW w:w="1379" w:type="pct"/>
            <w:tcBorders>
              <w:bottom w:val="single" w:sz="4" w:space="0" w:color="auto"/>
            </w:tcBorders>
          </w:tcPr>
          <w:p w14:paraId="079A251E" w14:textId="77777777" w:rsidR="00071E3A" w:rsidRPr="00FD1AEC" w:rsidRDefault="00071E3A" w:rsidP="001C20F8">
            <w:pPr>
              <w:pStyle w:val="Table"/>
              <w:rPr>
                <w:rFonts w:ascii="Arial Narrow" w:hAnsi="Arial Narrow"/>
                <w:szCs w:val="20"/>
              </w:rPr>
            </w:pPr>
            <w:r w:rsidRPr="00FD1AEC">
              <w:rPr>
                <w:rFonts w:ascii="Arial Narrow" w:hAnsi="Arial Narrow"/>
                <w:szCs w:val="20"/>
              </w:rPr>
              <w:t xml:space="preserve">Response RR=1.72 (95% CI 1.13, 2.62, p =0.011) </w:t>
            </w:r>
          </w:p>
          <w:p w14:paraId="3F8E91B1" w14:textId="77777777" w:rsidR="00071E3A" w:rsidRDefault="00071E3A" w:rsidP="001C20F8">
            <w:pPr>
              <w:pStyle w:val="Table"/>
              <w:rPr>
                <w:rFonts w:ascii="Arial Narrow" w:hAnsi="Arial Narrow"/>
                <w:szCs w:val="20"/>
              </w:rPr>
            </w:pPr>
            <w:r w:rsidRPr="00FD1AEC">
              <w:rPr>
                <w:rFonts w:ascii="Arial Narrow" w:hAnsi="Arial Narrow"/>
                <w:szCs w:val="20"/>
              </w:rPr>
              <w:t>Remission RR=2.20 (95% C:1.44, 3.38, p &lt;0.001)</w:t>
            </w:r>
          </w:p>
          <w:p w14:paraId="5B780A11" w14:textId="77777777" w:rsidR="00071E3A" w:rsidRPr="000F3D94" w:rsidRDefault="00071E3A" w:rsidP="001C20F8">
            <w:pPr>
              <w:pStyle w:val="Table"/>
              <w:rPr>
                <w:rFonts w:ascii="Arial Narrow" w:hAnsi="Arial Narrow"/>
                <w:szCs w:val="20"/>
                <w:vertAlign w:val="superscript"/>
              </w:rPr>
            </w:pPr>
            <w:r>
              <w:rPr>
                <w:rFonts w:ascii="Arial Narrow" w:hAnsi="Arial Narrow"/>
                <w:szCs w:val="20"/>
              </w:rPr>
              <w:t xml:space="preserve">WMD in depression scores=2.31 (95% CI: 1.19, </w:t>
            </w:r>
            <w:r w:rsidRPr="000B7485">
              <w:rPr>
                <w:rFonts w:ascii="Arial Narrow" w:hAnsi="Arial Narrow"/>
                <w:szCs w:val="20"/>
              </w:rPr>
              <w:t>3.43</w:t>
            </w:r>
            <w:r>
              <w:rPr>
                <w:rFonts w:ascii="Arial Narrow" w:hAnsi="Arial Narrow"/>
                <w:szCs w:val="20"/>
              </w:rPr>
              <w:t>)</w:t>
            </w:r>
            <w:r>
              <w:rPr>
                <w:rFonts w:ascii="Arial Narrow" w:hAnsi="Arial Narrow"/>
                <w:szCs w:val="20"/>
                <w:vertAlign w:val="superscript"/>
              </w:rPr>
              <w:t>a</w:t>
            </w:r>
          </w:p>
        </w:tc>
        <w:tc>
          <w:tcPr>
            <w:tcW w:w="1379" w:type="pct"/>
            <w:tcBorders>
              <w:bottom w:val="single" w:sz="4" w:space="0" w:color="auto"/>
            </w:tcBorders>
          </w:tcPr>
          <w:p w14:paraId="2727150E" w14:textId="77777777" w:rsidR="00071E3A" w:rsidRPr="00FD1AEC" w:rsidRDefault="00071E3A" w:rsidP="001C20F8">
            <w:pPr>
              <w:pStyle w:val="Table"/>
              <w:rPr>
                <w:rFonts w:ascii="Arial Narrow" w:hAnsi="Arial Narrow"/>
                <w:szCs w:val="20"/>
              </w:rPr>
            </w:pPr>
            <w:r w:rsidRPr="00FD1AEC">
              <w:rPr>
                <w:rFonts w:ascii="Arial Narrow" w:hAnsi="Arial Narrow"/>
                <w:szCs w:val="20"/>
              </w:rPr>
              <w:t>Response RR=1.82 (95% CI 1.18, 2.82, p=0.0068).</w:t>
            </w:r>
          </w:p>
          <w:p w14:paraId="215F7CA0" w14:textId="77777777" w:rsidR="00071E3A" w:rsidRDefault="00071E3A" w:rsidP="001C20F8">
            <w:pPr>
              <w:pStyle w:val="Table"/>
              <w:rPr>
                <w:rFonts w:ascii="Arial Narrow" w:hAnsi="Arial Narrow"/>
                <w:szCs w:val="20"/>
              </w:rPr>
            </w:pPr>
            <w:r w:rsidRPr="00FD1AEC">
              <w:rPr>
                <w:rFonts w:ascii="Arial Narrow" w:hAnsi="Arial Narrow"/>
                <w:szCs w:val="20"/>
              </w:rPr>
              <w:t>Remission RR=2.16 (95% CI 1.42, 3.29, p=0.0003)</w:t>
            </w:r>
          </w:p>
          <w:p w14:paraId="673CC4FD" w14:textId="77777777" w:rsidR="00071E3A" w:rsidRDefault="00071E3A" w:rsidP="001C20F8">
            <w:pPr>
              <w:pStyle w:val="Table"/>
              <w:rPr>
                <w:rFonts w:ascii="Arial Narrow" w:hAnsi="Arial Narrow"/>
                <w:szCs w:val="20"/>
              </w:rPr>
            </w:pPr>
            <w:r>
              <w:rPr>
                <w:rFonts w:ascii="Arial Narrow" w:hAnsi="Arial Narrow"/>
                <w:szCs w:val="20"/>
              </w:rPr>
              <w:t>WMD in depression scores =as per HQO 2016</w:t>
            </w:r>
          </w:p>
        </w:tc>
        <w:tc>
          <w:tcPr>
            <w:tcW w:w="1380" w:type="pct"/>
            <w:tcBorders>
              <w:bottom w:val="single" w:sz="4" w:space="0" w:color="auto"/>
            </w:tcBorders>
          </w:tcPr>
          <w:p w14:paraId="215E06F6" w14:textId="77777777" w:rsidR="00071E3A" w:rsidRPr="000B7485" w:rsidRDefault="00071E3A" w:rsidP="001C20F8">
            <w:pPr>
              <w:pStyle w:val="Table"/>
              <w:rPr>
                <w:rFonts w:ascii="Arial Narrow" w:hAnsi="Arial Narrow"/>
                <w:szCs w:val="20"/>
              </w:rPr>
            </w:pPr>
            <w:r>
              <w:rPr>
                <w:rFonts w:ascii="Arial Narrow" w:hAnsi="Arial Narrow"/>
                <w:szCs w:val="20"/>
              </w:rPr>
              <w:t>Response RR=2.00 (95% CI 1.26, 3.19</w:t>
            </w:r>
            <w:r w:rsidRPr="000B7485">
              <w:rPr>
                <w:rFonts w:ascii="Arial Narrow" w:hAnsi="Arial Narrow"/>
                <w:szCs w:val="20"/>
              </w:rPr>
              <w:t xml:space="preserve">) </w:t>
            </w:r>
          </w:p>
          <w:p w14:paraId="2F3DD82C" w14:textId="77777777" w:rsidR="00071E3A" w:rsidRDefault="00071E3A" w:rsidP="001C20F8">
            <w:pPr>
              <w:pStyle w:val="Table"/>
              <w:rPr>
                <w:rFonts w:ascii="Arial Narrow" w:hAnsi="Arial Narrow"/>
                <w:szCs w:val="20"/>
              </w:rPr>
            </w:pPr>
            <w:r>
              <w:rPr>
                <w:rFonts w:ascii="Arial Narrow" w:hAnsi="Arial Narrow"/>
                <w:szCs w:val="20"/>
              </w:rPr>
              <w:t>Remission RR= 2.33 (95% CI 1.52, 3.58</w:t>
            </w:r>
            <w:r w:rsidRPr="000B7485">
              <w:rPr>
                <w:rFonts w:ascii="Arial Narrow" w:hAnsi="Arial Narrow"/>
                <w:szCs w:val="20"/>
              </w:rPr>
              <w:t>)</w:t>
            </w:r>
          </w:p>
          <w:p w14:paraId="729ACA6D" w14:textId="77777777" w:rsidR="00071E3A" w:rsidRDefault="00071E3A" w:rsidP="001C20F8">
            <w:pPr>
              <w:pStyle w:val="Table"/>
              <w:rPr>
                <w:rFonts w:ascii="Arial Narrow" w:hAnsi="Arial Narrow"/>
                <w:szCs w:val="20"/>
              </w:rPr>
            </w:pPr>
            <w:r>
              <w:rPr>
                <w:rFonts w:ascii="Arial Narrow" w:hAnsi="Arial Narrow"/>
                <w:szCs w:val="20"/>
              </w:rPr>
              <w:t>WMD in depression scores =</w:t>
            </w:r>
            <w:r w:rsidRPr="000B7485">
              <w:rPr>
                <w:rFonts w:ascii="Arial Narrow" w:hAnsi="Arial Narrow"/>
                <w:szCs w:val="20"/>
              </w:rPr>
              <w:t>3.36 (95% CI: 1.85–4.88)</w:t>
            </w:r>
          </w:p>
          <w:p w14:paraId="3754AB83" w14:textId="77777777" w:rsidR="00071E3A" w:rsidRPr="009E4F16" w:rsidRDefault="00071E3A" w:rsidP="001C20F8">
            <w:pPr>
              <w:pStyle w:val="Table"/>
              <w:rPr>
                <w:rFonts w:ascii="Arial Narrow" w:hAnsi="Arial Narrow"/>
                <w:i/>
                <w:szCs w:val="20"/>
                <w:u w:val="single"/>
              </w:rPr>
            </w:pPr>
            <w:r w:rsidRPr="009E4F16">
              <w:rPr>
                <w:rFonts w:ascii="Arial Narrow" w:hAnsi="Arial Narrow"/>
                <w:i/>
                <w:szCs w:val="20"/>
                <w:u w:val="single"/>
              </w:rPr>
              <w:t>Critique’s meta analysis</w:t>
            </w:r>
          </w:p>
          <w:p w14:paraId="46449A6E" w14:textId="77777777" w:rsidR="00071E3A" w:rsidRPr="009E4F16" w:rsidRDefault="00071E3A" w:rsidP="001C20F8">
            <w:pPr>
              <w:pStyle w:val="Table"/>
              <w:rPr>
                <w:rFonts w:ascii="Arial Narrow" w:hAnsi="Arial Narrow"/>
                <w:i/>
                <w:szCs w:val="20"/>
              </w:rPr>
            </w:pPr>
            <w:r w:rsidRPr="009E4F16">
              <w:rPr>
                <w:rFonts w:ascii="Arial Narrow" w:hAnsi="Arial Narrow"/>
                <w:i/>
                <w:szCs w:val="20"/>
              </w:rPr>
              <w:t>Response RR= 2.30 (95%CI 1.29, 4.12)</w:t>
            </w:r>
          </w:p>
          <w:p w14:paraId="50E53FA2" w14:textId="77777777" w:rsidR="00071E3A" w:rsidRPr="009E4F16" w:rsidRDefault="00071E3A" w:rsidP="001C20F8">
            <w:pPr>
              <w:pStyle w:val="Table"/>
              <w:rPr>
                <w:rFonts w:ascii="Arial Narrow" w:hAnsi="Arial Narrow"/>
                <w:i/>
                <w:szCs w:val="20"/>
              </w:rPr>
            </w:pPr>
            <w:r w:rsidRPr="009E4F16">
              <w:rPr>
                <w:rFonts w:ascii="Arial Narrow" w:hAnsi="Arial Narrow"/>
                <w:i/>
                <w:szCs w:val="20"/>
              </w:rPr>
              <w:t>Remission RR=3.68 (95%CI 1.85, 7.32)</w:t>
            </w:r>
          </w:p>
          <w:p w14:paraId="05C7033F" w14:textId="77777777" w:rsidR="00071E3A" w:rsidRPr="000B4AEC" w:rsidRDefault="00071E3A" w:rsidP="001C20F8">
            <w:pPr>
              <w:pStyle w:val="Table"/>
              <w:rPr>
                <w:rFonts w:ascii="Arial Narrow" w:hAnsi="Arial Narrow"/>
                <w:i/>
                <w:szCs w:val="20"/>
              </w:rPr>
            </w:pPr>
            <w:r w:rsidRPr="009E4F16">
              <w:rPr>
                <w:rFonts w:ascii="Arial Narrow" w:hAnsi="Arial Narrow"/>
                <w:i/>
                <w:szCs w:val="20"/>
              </w:rPr>
              <w:t>WMD = 4.16 (95% CI 2.08, 6.24)</w:t>
            </w:r>
          </w:p>
        </w:tc>
      </w:tr>
    </w:tbl>
    <w:p w14:paraId="6D38A480" w14:textId="77777777" w:rsidR="00071E3A" w:rsidRDefault="00071E3A" w:rsidP="00071E3A">
      <w:pPr>
        <w:pStyle w:val="Tablefootnote"/>
        <w:keepLines w:val="0"/>
        <w:widowControl w:val="0"/>
      </w:pPr>
      <w:r>
        <w:t>Source: Compiled using Table 3 of the Resubmission and Table 1 of the Critique</w:t>
      </w:r>
    </w:p>
    <w:p w14:paraId="310BB4D8" w14:textId="77777777" w:rsidR="00071E3A" w:rsidRDefault="00071E3A" w:rsidP="00071E3A">
      <w:pPr>
        <w:pStyle w:val="Tablefootnote"/>
        <w:keepLines w:val="0"/>
        <w:widowControl w:val="0"/>
      </w:pPr>
      <w:r>
        <w:t xml:space="preserve">Abbreviations: CI, confidence interval; </w:t>
      </w:r>
      <w:proofErr w:type="spellStart"/>
      <w:r>
        <w:t>CrI</w:t>
      </w:r>
      <w:proofErr w:type="spellEnd"/>
      <w:r>
        <w:t xml:space="preserve">, credible intervals; </w:t>
      </w:r>
      <w:r w:rsidRPr="00527D63">
        <w:t>DLPFC</w:t>
      </w:r>
      <w:r>
        <w:t xml:space="preserve">, </w:t>
      </w:r>
      <w:r w:rsidRPr="00527D63">
        <w:t>dorsolateral prefrontal cortex</w:t>
      </w:r>
      <w:r>
        <w:t>;</w:t>
      </w:r>
      <w:r w:rsidRPr="00527D63">
        <w:t xml:space="preserve"> </w:t>
      </w:r>
      <w:r>
        <w:t xml:space="preserve">HQO, Health Quality Ontario; HTA, health technology assessment; MDD, major depressive disorder; NMA, network meta-analysis; RCT, randomised controlled trial; RR = rate ratio/relative risk; </w:t>
      </w:r>
      <w:proofErr w:type="spellStart"/>
      <w:r>
        <w:t>rTMS</w:t>
      </w:r>
      <w:proofErr w:type="spellEnd"/>
      <w:r>
        <w:t>, repetitive transcranial magnetic stimulation; SMD, standardised mean difference; SR, systematic review; WMD, weighted mean difference</w:t>
      </w:r>
    </w:p>
    <w:p w14:paraId="29257D24" w14:textId="77777777" w:rsidR="00071E3A" w:rsidRDefault="00071E3A" w:rsidP="00071E3A">
      <w:pPr>
        <w:pStyle w:val="Tablefootnote"/>
        <w:keepLines w:val="0"/>
        <w:widowControl w:val="0"/>
      </w:pPr>
      <w:r>
        <w:rPr>
          <w:rFonts w:ascii="Arial" w:hAnsi="Arial" w:cs="Arial"/>
        </w:rPr>
        <w:t>*</w:t>
      </w:r>
      <w:r>
        <w:t xml:space="preserve"> </w:t>
      </w:r>
      <w:r>
        <w:tab/>
        <w:t>Trials</w:t>
      </w:r>
      <w:r w:rsidRPr="00284664">
        <w:t xml:space="preserve"> compar</w:t>
      </w:r>
      <w:r>
        <w:t xml:space="preserve">ing </w:t>
      </w:r>
      <w:proofErr w:type="spellStart"/>
      <w:r w:rsidRPr="00284664">
        <w:t>rTMS</w:t>
      </w:r>
      <w:proofErr w:type="spellEnd"/>
      <w:r w:rsidRPr="00284664">
        <w:t xml:space="preserve"> with ECT</w:t>
      </w:r>
      <w:r>
        <w:t xml:space="preserve"> are not relevant to the submission and are not discussed in the table</w:t>
      </w:r>
    </w:p>
    <w:p w14:paraId="1E3E8A2C" w14:textId="77777777" w:rsidR="00071E3A" w:rsidRDefault="00071E3A" w:rsidP="00F136B7">
      <w:pPr>
        <w:pStyle w:val="Tablefootnote"/>
        <w:keepLines w:val="0"/>
        <w:widowControl w:val="0"/>
        <w:spacing w:after="240"/>
        <w:ind w:left="567" w:hanging="567"/>
      </w:pPr>
      <w:r>
        <w:rPr>
          <w:rFonts w:ascii="Arial" w:hAnsi="Arial" w:cs="Arial"/>
        </w:rPr>
        <w:t>Ɨ</w:t>
      </w:r>
      <w:r>
        <w:t xml:space="preserve"> </w:t>
      </w:r>
      <w:r>
        <w:tab/>
        <w:t xml:space="preserve">The initial scope of the report specified the identification of trials where patients had a lack of clinically meaningful improvement despite the </w:t>
      </w:r>
      <w:r w:rsidRPr="007D005D">
        <w:t>use of at least 2 antidepressant</w:t>
      </w:r>
      <w:r>
        <w:t xml:space="preserve"> agents from different pharmacological classes with each antidepressant medication trial being adequate in terms of dose, duration, compliance, and tolerability. </w:t>
      </w:r>
      <w:r w:rsidRPr="006E192D">
        <w:t xml:space="preserve">However, </w:t>
      </w:r>
      <w:r>
        <w:t xml:space="preserve">due to the identification of the </w:t>
      </w:r>
      <w:r w:rsidRPr="006E192D">
        <w:t>HQO report</w:t>
      </w:r>
      <w:r>
        <w:t xml:space="preserve"> in Phase 1 of the search</w:t>
      </w:r>
      <w:r w:rsidRPr="006E192D">
        <w:t xml:space="preserve">, </w:t>
      </w:r>
      <w:r>
        <w:t xml:space="preserve">which included </w:t>
      </w:r>
      <w:r w:rsidRPr="006E192D">
        <w:t xml:space="preserve">nine </w:t>
      </w:r>
      <w:r>
        <w:t xml:space="preserve">RCTs with a </w:t>
      </w:r>
      <w:r w:rsidRPr="006E192D">
        <w:t xml:space="preserve">less strict inclusion criteria where the study population was defined as having failed at least one antidepressant medication, the scope of the </w:t>
      </w:r>
      <w:proofErr w:type="spellStart"/>
      <w:r>
        <w:t>EUnetHTA</w:t>
      </w:r>
      <w:proofErr w:type="spellEnd"/>
      <w:r>
        <w:t xml:space="preserve"> </w:t>
      </w:r>
      <w:r w:rsidRPr="006E192D">
        <w:t>review was subsequently altered (</w:t>
      </w:r>
      <w:proofErr w:type="spellStart"/>
      <w:r w:rsidRPr="006E192D">
        <w:t>EUnetHTA</w:t>
      </w:r>
      <w:proofErr w:type="spellEnd"/>
      <w:r w:rsidRPr="006E192D">
        <w:t xml:space="preserve"> 2017, p.25).</w:t>
      </w:r>
    </w:p>
    <w:p w14:paraId="60478762" w14:textId="77777777" w:rsidR="00071E3A" w:rsidRDefault="00071E3A" w:rsidP="00F136B7">
      <w:pPr>
        <w:pStyle w:val="Tablefootnote"/>
        <w:keepLines w:val="0"/>
        <w:widowControl w:val="0"/>
        <w:spacing w:after="240"/>
        <w:ind w:left="567" w:hanging="567"/>
      </w:pPr>
      <w:proofErr w:type="gramStart"/>
      <w:r w:rsidRPr="000F3D94">
        <w:rPr>
          <w:rFonts w:cs="Arial"/>
          <w:vertAlign w:val="superscript"/>
        </w:rPr>
        <w:t>a</w:t>
      </w:r>
      <w:proofErr w:type="gramEnd"/>
      <w:r w:rsidRPr="000F3D94">
        <w:rPr>
          <w:rFonts w:cs="Arial"/>
          <w:vertAlign w:val="superscript"/>
        </w:rPr>
        <w:t xml:space="preserve"> </w:t>
      </w:r>
      <w:proofErr w:type="spellStart"/>
      <w:r w:rsidRPr="000F3D94">
        <w:rPr>
          <w:rFonts w:cs="Arial"/>
        </w:rPr>
        <w:t>Prespecified</w:t>
      </w:r>
      <w:proofErr w:type="spellEnd"/>
      <w:r w:rsidRPr="000F3D94">
        <w:rPr>
          <w:rFonts w:cs="Arial"/>
        </w:rPr>
        <w:t xml:space="preserve"> criteria for clinical significance on the Hamilton Ratin</w:t>
      </w:r>
      <w:r>
        <w:rPr>
          <w:rFonts w:cs="Arial"/>
        </w:rPr>
        <w:t>g Scale for Depression (HAM-D)</w:t>
      </w:r>
      <w:r>
        <w:rPr>
          <w:rFonts w:cs="Arial"/>
          <w:vertAlign w:val="superscript"/>
        </w:rPr>
        <w:t xml:space="preserve"> 2 </w:t>
      </w:r>
      <w:r>
        <w:t>was specified a priori as 3.5 points</w:t>
      </w:r>
    </w:p>
    <w:p w14:paraId="3321ACCB" w14:textId="77777777" w:rsidR="00071E3A" w:rsidRDefault="00071E3A" w:rsidP="00F808E8">
      <w:pPr>
        <w:pStyle w:val="Heading2"/>
        <w:keepNext w:val="0"/>
        <w:keepLines w:val="0"/>
      </w:pPr>
      <w:r>
        <w:t xml:space="preserve">Supportive evidence: </w:t>
      </w:r>
      <w:proofErr w:type="spellStart"/>
      <w:r>
        <w:t>rTMS</w:t>
      </w:r>
      <w:proofErr w:type="spellEnd"/>
      <w:r>
        <w:t xml:space="preserve"> as maintenance treatment</w:t>
      </w:r>
    </w:p>
    <w:p w14:paraId="3A7CF510" w14:textId="21584F8D" w:rsidR="009E4F16" w:rsidRPr="009E4F16" w:rsidRDefault="00071E3A" w:rsidP="00F136B7">
      <w:pPr>
        <w:spacing w:after="240"/>
        <w:rPr>
          <w:lang w:eastAsia="en-US"/>
        </w:rPr>
      </w:pPr>
      <w:r>
        <w:t>The current resubmission presented results from two reviews (</w:t>
      </w:r>
      <w:proofErr w:type="spellStart"/>
      <w:r>
        <w:t>Rachid</w:t>
      </w:r>
      <w:proofErr w:type="spellEnd"/>
      <w:r>
        <w:t xml:space="preserve"> et al.; 2018 and </w:t>
      </w:r>
      <w:proofErr w:type="spellStart"/>
      <w:r>
        <w:t>Senova</w:t>
      </w:r>
      <w:proofErr w:type="spellEnd"/>
      <w:r>
        <w:t xml:space="preserve"> et al. 2018) comprising 11 unique studies assessing </w:t>
      </w:r>
      <w:proofErr w:type="spellStart"/>
      <w:r>
        <w:t>rTMS</w:t>
      </w:r>
      <w:proofErr w:type="spellEnd"/>
      <w:r>
        <w:t xml:space="preserve"> </w:t>
      </w:r>
      <w:r>
        <w:rPr>
          <w:lang w:eastAsia="en-US"/>
        </w:rPr>
        <w:t xml:space="preserve">maintenance treatment in TRD. The studies were largely non-randomised and non-comparative with heterogeneity in terms of duration and protocol for maintenance, </w:t>
      </w:r>
      <w:proofErr w:type="spellStart"/>
      <w:r>
        <w:rPr>
          <w:lang w:eastAsia="en-US"/>
        </w:rPr>
        <w:t>rTMS</w:t>
      </w:r>
      <w:proofErr w:type="spellEnd"/>
      <w:r>
        <w:rPr>
          <w:lang w:eastAsia="en-US"/>
        </w:rPr>
        <w:t xml:space="preserve"> intensity and frequency parameters and the adjunctive use of antidepressant medication. The Critique stated that the updated evidence is still limited and weak. </w:t>
      </w:r>
      <w:r w:rsidRPr="002E3581">
        <w:rPr>
          <w:lang w:eastAsia="en-US"/>
        </w:rPr>
        <w:t xml:space="preserve">Observational studies assessing </w:t>
      </w:r>
      <w:proofErr w:type="spellStart"/>
      <w:r w:rsidRPr="002E3581">
        <w:rPr>
          <w:lang w:eastAsia="en-US"/>
        </w:rPr>
        <w:t>rTMS</w:t>
      </w:r>
      <w:proofErr w:type="spellEnd"/>
      <w:r w:rsidRPr="002E3581">
        <w:rPr>
          <w:lang w:eastAsia="en-US"/>
        </w:rPr>
        <w:t xml:space="preserve"> maintenance treatment are consistent that there appears to be some benefit compared to no maintenance treatment or maintenance treatment with antidepressants alone. However, there is currently only one randomised trial published comparing maintenance </w:t>
      </w:r>
      <w:proofErr w:type="spellStart"/>
      <w:r w:rsidRPr="002E3581">
        <w:rPr>
          <w:lang w:eastAsia="en-US"/>
        </w:rPr>
        <w:t>rTMS</w:t>
      </w:r>
      <w:proofErr w:type="spellEnd"/>
      <w:r w:rsidRPr="002E3581">
        <w:rPr>
          <w:lang w:eastAsia="en-US"/>
        </w:rPr>
        <w:t xml:space="preserve"> with sham </w:t>
      </w:r>
      <w:proofErr w:type="spellStart"/>
      <w:r w:rsidRPr="002E3581">
        <w:rPr>
          <w:lang w:eastAsia="en-US"/>
        </w:rPr>
        <w:t>rTMS</w:t>
      </w:r>
      <w:proofErr w:type="spellEnd"/>
      <w:r w:rsidRPr="002E3581">
        <w:rPr>
          <w:lang w:eastAsia="en-US"/>
        </w:rPr>
        <w:t xml:space="preserve">, which was </w:t>
      </w:r>
      <w:r w:rsidRPr="002E3581">
        <w:rPr>
          <w:lang w:eastAsia="en-US"/>
        </w:rPr>
        <w:lastRenderedPageBreak/>
        <w:t xml:space="preserve">insufficiently powered to report statistically significant differences between </w:t>
      </w:r>
      <w:proofErr w:type="spellStart"/>
      <w:r w:rsidRPr="002E3581">
        <w:rPr>
          <w:lang w:eastAsia="en-US"/>
        </w:rPr>
        <w:t>rTMS</w:t>
      </w:r>
      <w:proofErr w:type="spellEnd"/>
      <w:r w:rsidRPr="002E3581">
        <w:rPr>
          <w:lang w:eastAsia="en-US"/>
        </w:rPr>
        <w:t xml:space="preserve"> and sham arms after correcting for multiple analyses</w:t>
      </w:r>
      <w:r>
        <w:rPr>
          <w:lang w:eastAsia="en-US"/>
        </w:rPr>
        <w:t>.</w:t>
      </w:r>
    </w:p>
    <w:p w14:paraId="66D23BB4" w14:textId="77777777" w:rsidR="00F37B9C" w:rsidRDefault="00F37B9C" w:rsidP="00A66B88">
      <w:pPr>
        <w:tabs>
          <w:tab w:val="left" w:pos="720"/>
          <w:tab w:val="left" w:pos="1140"/>
        </w:tabs>
        <w:spacing w:after="120"/>
        <w:rPr>
          <w:b/>
          <w:szCs w:val="24"/>
        </w:rPr>
      </w:pPr>
      <w:r w:rsidRPr="00F37B9C">
        <w:rPr>
          <w:b/>
          <w:szCs w:val="24"/>
        </w:rPr>
        <w:t>Clinical Claim</w:t>
      </w:r>
    </w:p>
    <w:p w14:paraId="2A4960E1" w14:textId="77777777" w:rsidR="009E4F16" w:rsidRPr="009E4F16" w:rsidRDefault="009E4F16" w:rsidP="00F715D1">
      <w:pPr>
        <w:tabs>
          <w:tab w:val="left" w:pos="720"/>
          <w:tab w:val="left" w:pos="1140"/>
        </w:tabs>
        <w:spacing w:after="240"/>
        <w:rPr>
          <w:szCs w:val="24"/>
        </w:rPr>
      </w:pPr>
      <w:r>
        <w:rPr>
          <w:szCs w:val="24"/>
        </w:rPr>
        <w:t xml:space="preserve">The clinical claim was unchanged; </w:t>
      </w:r>
      <w:proofErr w:type="spellStart"/>
      <w:r>
        <w:rPr>
          <w:szCs w:val="24"/>
        </w:rPr>
        <w:t>rTMS</w:t>
      </w:r>
      <w:proofErr w:type="spellEnd"/>
      <w:r>
        <w:rPr>
          <w:szCs w:val="24"/>
        </w:rPr>
        <w:t xml:space="preserve"> plus antidepressants is superior to antidepressants alone. </w:t>
      </w:r>
    </w:p>
    <w:p w14:paraId="5C164E36" w14:textId="77777777" w:rsidR="00BC1364" w:rsidRPr="00F715D1" w:rsidRDefault="00BC1364" w:rsidP="00F715D1">
      <w:pPr>
        <w:pStyle w:val="Heading1"/>
      </w:pPr>
      <w:r w:rsidRPr="00F715D1">
        <w:t>Economic evaluation</w:t>
      </w:r>
    </w:p>
    <w:p w14:paraId="04E6C1B0" w14:textId="558C6147" w:rsidR="009E4F16" w:rsidRDefault="009E4F16" w:rsidP="00F136B7">
      <w:pPr>
        <w:spacing w:after="240"/>
      </w:pPr>
      <w:r>
        <w:t xml:space="preserve">The current resubmission presented a cost-utility analysis of </w:t>
      </w:r>
      <w:proofErr w:type="spellStart"/>
      <w:r>
        <w:t>rTMS</w:t>
      </w:r>
      <w:proofErr w:type="spellEnd"/>
      <w:r>
        <w:t xml:space="preserve"> + antidepressants </w:t>
      </w:r>
      <w:r w:rsidRPr="009E4F16">
        <w:rPr>
          <w:i/>
        </w:rPr>
        <w:t>vs</w:t>
      </w:r>
      <w:r>
        <w:t xml:space="preserve">. third-line antidepressants in TRD, over a three year time horizon. The Critique stated that the </w:t>
      </w:r>
      <w:r w:rsidRPr="0033605C">
        <w:t xml:space="preserve">structure of the </w:t>
      </w:r>
      <w:r>
        <w:t xml:space="preserve">microsimulation </w:t>
      </w:r>
      <w:r w:rsidRPr="0033605C">
        <w:t xml:space="preserve">model is generally unchanged from the previous submission, however the model no longer allows for </w:t>
      </w:r>
      <w:proofErr w:type="spellStart"/>
      <w:r w:rsidRPr="0033605C">
        <w:t>rTMS</w:t>
      </w:r>
      <w:proofErr w:type="spellEnd"/>
      <w:r w:rsidRPr="0033605C">
        <w:t xml:space="preserve"> retreatment nor maintenance.</w:t>
      </w:r>
      <w:r>
        <w:t xml:space="preserve"> The Critique stated that previous issues, including model structure issues (e.g. patients in the no response/relapse health state are not at risk of hospitalisation) were not addressed in current resubmission.</w:t>
      </w:r>
    </w:p>
    <w:p w14:paraId="7A4C7E5B" w14:textId="00B56FF9" w:rsidR="009E4F16" w:rsidRDefault="009E4F16" w:rsidP="00F136B7">
      <w:pPr>
        <w:spacing w:after="240"/>
        <w:rPr>
          <w:lang w:eastAsia="en-US"/>
        </w:rPr>
      </w:pPr>
      <w:r>
        <w:t xml:space="preserve">The </w:t>
      </w:r>
      <w:r w:rsidRPr="0033605C">
        <w:t xml:space="preserve">treatment effect of </w:t>
      </w:r>
      <w:proofErr w:type="spellStart"/>
      <w:r w:rsidRPr="0033605C">
        <w:t>rTMS</w:t>
      </w:r>
      <w:proofErr w:type="spellEnd"/>
      <w:r w:rsidRPr="0033605C">
        <w:t xml:space="preserve"> was</w:t>
      </w:r>
      <w:r>
        <w:t xml:space="preserve"> now</w:t>
      </w:r>
      <w:r w:rsidRPr="0033605C">
        <w:t xml:space="preserve"> based on </w:t>
      </w:r>
      <w:r>
        <w:t>relative risk (</w:t>
      </w:r>
      <w:r w:rsidRPr="0033605C">
        <w:t>RR</w:t>
      </w:r>
      <w:r>
        <w:t>)</w:t>
      </w:r>
      <w:r w:rsidRPr="0033605C">
        <w:t xml:space="preserve">s for remission (2.16) and response (1.82) reported in the </w:t>
      </w:r>
      <w:proofErr w:type="spellStart"/>
      <w:r w:rsidRPr="0033605C">
        <w:t>EUnetHTA</w:t>
      </w:r>
      <w:proofErr w:type="spellEnd"/>
      <w:r w:rsidRPr="0033605C">
        <w:t xml:space="preserve"> report (2017)</w:t>
      </w:r>
      <w:r>
        <w:t xml:space="preserve">, and for antidepressants continues to be estimated from the STAR-D study (now the rates of response and remission  observed </w:t>
      </w:r>
      <w:r>
        <w:rPr>
          <w:lang w:eastAsia="en-US"/>
        </w:rPr>
        <w:t xml:space="preserve">in patients treated with mirtazapine and nortriptyline in Step 3 of the STAR-D study). However, the Critique highlighted patients </w:t>
      </w:r>
      <w:r w:rsidRPr="00B774B1">
        <w:t xml:space="preserve">may have received prior bupropion or </w:t>
      </w:r>
      <w:proofErr w:type="spellStart"/>
      <w:r w:rsidRPr="00B774B1">
        <w:t>buspirone</w:t>
      </w:r>
      <w:proofErr w:type="spellEnd"/>
      <w:r w:rsidRPr="00B774B1">
        <w:t xml:space="preserve"> use in combination with citalopram</w:t>
      </w:r>
      <w:r>
        <w:t xml:space="preserve"> (Step 2); therefore the </w:t>
      </w:r>
      <w:r w:rsidRPr="00B774B1">
        <w:t>applicability concerns noted previously remain</w:t>
      </w:r>
      <w:r>
        <w:t xml:space="preserve"> [MSAC Application 1196 PSD, November 2014]</w:t>
      </w:r>
      <w:r w:rsidRPr="00B774B1">
        <w:t>.</w:t>
      </w:r>
    </w:p>
    <w:p w14:paraId="69EE16F1" w14:textId="5D1B44E8" w:rsidR="009E4F16" w:rsidRPr="0033605C" w:rsidRDefault="009E4F16" w:rsidP="00F136B7">
      <w:pPr>
        <w:spacing w:after="240"/>
      </w:pPr>
      <w:r w:rsidRPr="0050317C">
        <w:t xml:space="preserve">Furthermore, </w:t>
      </w:r>
      <w:r>
        <w:t xml:space="preserve">the Critique stated that </w:t>
      </w:r>
      <w:r w:rsidRPr="0050317C">
        <w:t>the remission and response rates from the STAR-D study were defined based on changes in the Quick Inventory of Depressive Symptomatology–Self-Report (QIDS-SR) score. A recent analysis (Kirsch et al. 2018) of the outcomes from the STAR-D study observed that remission and response rates were substantially inflated on the QIDS-SR relative to scores based on the Hamilton Rating Scale of Depression (HAM-D). Therefore the modelled baseline remission and respon</w:t>
      </w:r>
      <w:r>
        <w:t>se rates may be an overestimate.</w:t>
      </w:r>
    </w:p>
    <w:p w14:paraId="21B635B6" w14:textId="7B00A633" w:rsidR="009E4F16" w:rsidRDefault="009E4F16" w:rsidP="00F136B7">
      <w:pPr>
        <w:spacing w:after="240"/>
      </w:pPr>
      <w:r w:rsidRPr="0033605C">
        <w:t xml:space="preserve">The </w:t>
      </w:r>
      <w:r>
        <w:t xml:space="preserve">current resubmission’s </w:t>
      </w:r>
      <w:r w:rsidRPr="0033605C">
        <w:t xml:space="preserve">base-case incremental cost-effectiveness of </w:t>
      </w:r>
      <w:proofErr w:type="spellStart"/>
      <w:r w:rsidRPr="0033605C">
        <w:t>rTMS</w:t>
      </w:r>
      <w:proofErr w:type="spellEnd"/>
      <w:r w:rsidRPr="0033605C">
        <w:t xml:space="preserve"> (plus antidepressant) compared to antidepressant alone is presented below in</w:t>
      </w:r>
      <w:r>
        <w:t xml:space="preserve"> Table 5.</w:t>
      </w:r>
    </w:p>
    <w:p w14:paraId="66374A07" w14:textId="77777777" w:rsidR="009E4F16" w:rsidRPr="005910C6" w:rsidRDefault="009E4F16" w:rsidP="005910C6">
      <w:pPr>
        <w:rPr>
          <w:rFonts w:ascii="Arial Narrow" w:hAnsi="Arial Narrow"/>
          <w:b/>
          <w:sz w:val="20"/>
        </w:rPr>
      </w:pPr>
      <w:bookmarkStart w:id="9" w:name="_Ref505767549"/>
      <w:bookmarkStart w:id="10" w:name="_Toc505775598"/>
      <w:bookmarkStart w:id="11" w:name="_Toc365591"/>
      <w:r w:rsidRPr="005910C6">
        <w:rPr>
          <w:rFonts w:ascii="Arial Narrow" w:hAnsi="Arial Narrow"/>
          <w:b/>
          <w:sz w:val="20"/>
        </w:rPr>
        <w:t xml:space="preserve">Table </w:t>
      </w:r>
      <w:bookmarkEnd w:id="9"/>
      <w:r w:rsidRPr="005910C6">
        <w:rPr>
          <w:rFonts w:ascii="Arial Narrow" w:hAnsi="Arial Narrow"/>
          <w:b/>
          <w:sz w:val="20"/>
        </w:rPr>
        <w:t>5</w:t>
      </w:r>
      <w:r w:rsidRPr="005910C6">
        <w:rPr>
          <w:rFonts w:ascii="Arial Narrow" w:hAnsi="Arial Narrow"/>
          <w:b/>
          <w:sz w:val="20"/>
        </w:rPr>
        <w:tab/>
        <w:t>Incremental cost-effectiveness</w:t>
      </w:r>
      <w:bookmarkEnd w:id="10"/>
      <w:bookmarkEnd w:id="11"/>
    </w:p>
    <w:tbl>
      <w:tblPr>
        <w:tblStyle w:val="OPTUMTableNormal"/>
        <w:tblW w:w="5000" w:type="pct"/>
        <w:tblLook w:val="0000" w:firstRow="0" w:lastRow="0" w:firstColumn="0" w:lastColumn="0" w:noHBand="0" w:noVBand="0"/>
        <w:tblCaption w:val="Incremental cost-effectiveness"/>
        <w:tblDescription w:val="Summary of resubmission's economic results"/>
      </w:tblPr>
      <w:tblGrid>
        <w:gridCol w:w="2075"/>
        <w:gridCol w:w="2543"/>
        <w:gridCol w:w="2308"/>
        <w:gridCol w:w="2090"/>
      </w:tblGrid>
      <w:tr w:rsidR="009E4F16" w:rsidRPr="0046026B" w14:paraId="29651458" w14:textId="77777777" w:rsidTr="005910C6">
        <w:trPr>
          <w:tblHeader/>
        </w:trPr>
        <w:tc>
          <w:tcPr>
            <w:tcW w:w="1151" w:type="pct"/>
          </w:tcPr>
          <w:p w14:paraId="721FD03F" w14:textId="77777777" w:rsidR="009E4F16" w:rsidRPr="00346E94" w:rsidRDefault="009E4F16" w:rsidP="001C20F8">
            <w:pPr>
              <w:pStyle w:val="Tabletext1"/>
              <w:rPr>
                <w:b/>
              </w:rPr>
            </w:pPr>
            <w:r w:rsidRPr="00346E94">
              <w:rPr>
                <w:b/>
              </w:rPr>
              <w:t>Treatment arm</w:t>
            </w:r>
          </w:p>
        </w:tc>
        <w:tc>
          <w:tcPr>
            <w:tcW w:w="1410" w:type="pct"/>
          </w:tcPr>
          <w:p w14:paraId="4984FBB2" w14:textId="77777777" w:rsidR="009E4F16" w:rsidRPr="00346E94" w:rsidRDefault="009E4F16" w:rsidP="001C20F8">
            <w:pPr>
              <w:pStyle w:val="Tabletext1"/>
              <w:rPr>
                <w:b/>
              </w:rPr>
            </w:pPr>
            <w:proofErr w:type="spellStart"/>
            <w:r w:rsidRPr="00346E94">
              <w:rPr>
                <w:b/>
              </w:rPr>
              <w:t>rTMS</w:t>
            </w:r>
            <w:proofErr w:type="spellEnd"/>
          </w:p>
        </w:tc>
        <w:tc>
          <w:tcPr>
            <w:tcW w:w="1280" w:type="pct"/>
          </w:tcPr>
          <w:p w14:paraId="0DB8AA6B" w14:textId="77777777" w:rsidR="009E4F16" w:rsidRPr="00346E94" w:rsidRDefault="009E4F16" w:rsidP="001C20F8">
            <w:pPr>
              <w:pStyle w:val="Tabletext1"/>
              <w:rPr>
                <w:b/>
              </w:rPr>
            </w:pPr>
            <w:r w:rsidRPr="00346E94">
              <w:rPr>
                <w:b/>
              </w:rPr>
              <w:t>AD</w:t>
            </w:r>
          </w:p>
        </w:tc>
        <w:tc>
          <w:tcPr>
            <w:tcW w:w="1159" w:type="pct"/>
          </w:tcPr>
          <w:p w14:paraId="006E7AAE" w14:textId="77777777" w:rsidR="009E4F16" w:rsidRPr="00346E94" w:rsidRDefault="009E4F16" w:rsidP="001C20F8">
            <w:pPr>
              <w:pStyle w:val="Tabletext1"/>
              <w:rPr>
                <w:b/>
              </w:rPr>
            </w:pPr>
            <w:r w:rsidRPr="00346E94">
              <w:rPr>
                <w:b/>
              </w:rPr>
              <w:t>Incremental</w:t>
            </w:r>
          </w:p>
        </w:tc>
      </w:tr>
      <w:tr w:rsidR="009E4F16" w:rsidRPr="0046026B" w14:paraId="38CA8EB5" w14:textId="77777777" w:rsidTr="005910C6">
        <w:trPr>
          <w:trHeight w:val="262"/>
        </w:trPr>
        <w:tc>
          <w:tcPr>
            <w:tcW w:w="1151" w:type="pct"/>
          </w:tcPr>
          <w:p w14:paraId="25CA311D" w14:textId="77777777" w:rsidR="009E4F16" w:rsidRPr="0046026B" w:rsidRDefault="009E4F16" w:rsidP="001C20F8">
            <w:pPr>
              <w:pStyle w:val="Tabletext1"/>
            </w:pPr>
            <w:r w:rsidRPr="00F123E7">
              <w:t>Cost</w:t>
            </w:r>
          </w:p>
        </w:tc>
        <w:tc>
          <w:tcPr>
            <w:tcW w:w="1410" w:type="pct"/>
          </w:tcPr>
          <w:p w14:paraId="58CAECE7" w14:textId="77777777" w:rsidR="009E4F16" w:rsidRPr="0046026B" w:rsidRDefault="009E4F16" w:rsidP="001C20F8">
            <w:pPr>
              <w:pStyle w:val="Tabletext1"/>
            </w:pPr>
            <w:r w:rsidRPr="006327C9">
              <w:t>$21,663.24</w:t>
            </w:r>
          </w:p>
        </w:tc>
        <w:tc>
          <w:tcPr>
            <w:tcW w:w="1280" w:type="pct"/>
          </w:tcPr>
          <w:p w14:paraId="7BEF476C" w14:textId="77777777" w:rsidR="009E4F16" w:rsidRPr="0046026B" w:rsidRDefault="009E4F16" w:rsidP="001C20F8">
            <w:pPr>
              <w:pStyle w:val="Tabletext1"/>
            </w:pPr>
            <w:r w:rsidRPr="006327C9">
              <w:t>$20,732.36</w:t>
            </w:r>
          </w:p>
        </w:tc>
        <w:tc>
          <w:tcPr>
            <w:tcW w:w="1159" w:type="pct"/>
          </w:tcPr>
          <w:p w14:paraId="2593F92A" w14:textId="77777777" w:rsidR="009E4F16" w:rsidRPr="0046026B" w:rsidRDefault="009E4F16" w:rsidP="001C20F8">
            <w:pPr>
              <w:pStyle w:val="Tabletext1"/>
            </w:pPr>
            <w:r w:rsidRPr="006327C9">
              <w:t>$930.88</w:t>
            </w:r>
          </w:p>
        </w:tc>
      </w:tr>
      <w:tr w:rsidR="009E4F16" w:rsidRPr="0046026B" w14:paraId="535D4072" w14:textId="77777777" w:rsidTr="005910C6">
        <w:trPr>
          <w:trHeight w:val="280"/>
        </w:trPr>
        <w:tc>
          <w:tcPr>
            <w:tcW w:w="1151" w:type="pct"/>
          </w:tcPr>
          <w:p w14:paraId="4DD19669" w14:textId="77777777" w:rsidR="009E4F16" w:rsidRPr="0046026B" w:rsidRDefault="009E4F16" w:rsidP="001C20F8">
            <w:pPr>
              <w:pStyle w:val="Tabletext1"/>
            </w:pPr>
            <w:r w:rsidRPr="00F123E7">
              <w:t>QALYs</w:t>
            </w:r>
          </w:p>
        </w:tc>
        <w:tc>
          <w:tcPr>
            <w:tcW w:w="1410" w:type="pct"/>
          </w:tcPr>
          <w:p w14:paraId="7C84201E" w14:textId="77777777" w:rsidR="009E4F16" w:rsidRPr="0046026B" w:rsidRDefault="009E4F16" w:rsidP="001C20F8">
            <w:pPr>
              <w:pStyle w:val="Tabletext1"/>
            </w:pPr>
            <w:r w:rsidRPr="006327C9">
              <w:t>1.7269</w:t>
            </w:r>
          </w:p>
        </w:tc>
        <w:tc>
          <w:tcPr>
            <w:tcW w:w="1280" w:type="pct"/>
          </w:tcPr>
          <w:p w14:paraId="73D12744" w14:textId="77777777" w:rsidR="009E4F16" w:rsidRPr="0046026B" w:rsidRDefault="009E4F16" w:rsidP="001C20F8">
            <w:pPr>
              <w:pStyle w:val="Tabletext1"/>
            </w:pPr>
            <w:r w:rsidRPr="006327C9">
              <w:t>1.7022</w:t>
            </w:r>
          </w:p>
        </w:tc>
        <w:tc>
          <w:tcPr>
            <w:tcW w:w="1159" w:type="pct"/>
          </w:tcPr>
          <w:p w14:paraId="39DC4C05" w14:textId="77777777" w:rsidR="009E4F16" w:rsidRPr="0046026B" w:rsidRDefault="009E4F16" w:rsidP="001C20F8">
            <w:pPr>
              <w:pStyle w:val="Tabletext1"/>
            </w:pPr>
            <w:r w:rsidRPr="006327C9">
              <w:t>0.0247</w:t>
            </w:r>
          </w:p>
        </w:tc>
      </w:tr>
      <w:tr w:rsidR="009E4F16" w:rsidRPr="0046026B" w14:paraId="57C3A410" w14:textId="77777777" w:rsidTr="005910C6">
        <w:trPr>
          <w:trHeight w:val="280"/>
        </w:trPr>
        <w:tc>
          <w:tcPr>
            <w:tcW w:w="1151" w:type="pct"/>
          </w:tcPr>
          <w:p w14:paraId="3B7E2D15" w14:textId="77777777" w:rsidR="009E4F16" w:rsidRPr="00A23CA6" w:rsidRDefault="009E4F16" w:rsidP="001C20F8">
            <w:pPr>
              <w:pStyle w:val="Tabletext1"/>
            </w:pPr>
            <w:r w:rsidRPr="00F123E7">
              <w:t>ICER</w:t>
            </w:r>
          </w:p>
        </w:tc>
        <w:tc>
          <w:tcPr>
            <w:tcW w:w="1410" w:type="pct"/>
          </w:tcPr>
          <w:p w14:paraId="72944608" w14:textId="77777777" w:rsidR="009E4F16" w:rsidRPr="00A23CA6" w:rsidRDefault="009E4F16" w:rsidP="001C20F8">
            <w:pPr>
              <w:pStyle w:val="Tabletext1"/>
            </w:pPr>
          </w:p>
        </w:tc>
        <w:tc>
          <w:tcPr>
            <w:tcW w:w="1280" w:type="pct"/>
          </w:tcPr>
          <w:p w14:paraId="3D4FA515" w14:textId="77777777" w:rsidR="009E4F16" w:rsidRPr="00A23CA6" w:rsidRDefault="009E4F16" w:rsidP="001C20F8">
            <w:pPr>
              <w:pStyle w:val="Tabletext1"/>
            </w:pPr>
          </w:p>
        </w:tc>
        <w:tc>
          <w:tcPr>
            <w:tcW w:w="1159" w:type="pct"/>
          </w:tcPr>
          <w:p w14:paraId="337CD9FE" w14:textId="77777777" w:rsidR="009E4F16" w:rsidRPr="00A23CA6" w:rsidRDefault="009E4F16" w:rsidP="001C20F8">
            <w:pPr>
              <w:pStyle w:val="Tabletext1"/>
            </w:pPr>
            <w:r w:rsidRPr="006327C9">
              <w:t>$37,734</w:t>
            </w:r>
          </w:p>
        </w:tc>
      </w:tr>
    </w:tbl>
    <w:p w14:paraId="0779DBE6" w14:textId="77777777" w:rsidR="009E4F16" w:rsidRDefault="009E4F16" w:rsidP="009E4F16">
      <w:pPr>
        <w:pStyle w:val="Tablefootnote"/>
      </w:pPr>
      <w:r>
        <w:t>Source: Table 10 of the Resubmission</w:t>
      </w:r>
    </w:p>
    <w:p w14:paraId="68F5B11D" w14:textId="77777777" w:rsidR="009E4F16" w:rsidRDefault="009E4F16" w:rsidP="00A66B88">
      <w:pPr>
        <w:pStyle w:val="Tablefootnote"/>
        <w:spacing w:after="240"/>
      </w:pPr>
      <w:r>
        <w:t xml:space="preserve">Abbreviations: AD, anti-depressants; ICER, incremental cost-effectiveness ratio; QALY, quality adjusted life year; </w:t>
      </w:r>
      <w:proofErr w:type="spellStart"/>
      <w:r>
        <w:t>rTMS</w:t>
      </w:r>
      <w:proofErr w:type="spellEnd"/>
      <w:r>
        <w:t>, repetitive transcranial magnetic stimulation</w:t>
      </w:r>
    </w:p>
    <w:p w14:paraId="349885F8" w14:textId="77777777" w:rsidR="009E4F16" w:rsidRDefault="009E4F16" w:rsidP="009E4F16">
      <w:r>
        <w:t>The Critique respecified the base case ICER using:</w:t>
      </w:r>
    </w:p>
    <w:p w14:paraId="5A584C2A" w14:textId="77777777" w:rsidR="009E4F16" w:rsidRDefault="009E4F16" w:rsidP="009E4F16">
      <w:pPr>
        <w:pStyle w:val="ListParagraph"/>
        <w:numPr>
          <w:ilvl w:val="0"/>
          <w:numId w:val="27"/>
        </w:numPr>
      </w:pPr>
      <w:r>
        <w:t xml:space="preserve">the treatment effect of </w:t>
      </w:r>
      <w:proofErr w:type="spellStart"/>
      <w:r>
        <w:t>rTMS</w:t>
      </w:r>
      <w:proofErr w:type="spellEnd"/>
      <w:r>
        <w:t xml:space="preserve"> based on </w:t>
      </w:r>
      <w:r w:rsidRPr="0033605C">
        <w:t>the most applicable data (i.e</w:t>
      </w:r>
      <w:r w:rsidRPr="002531B7">
        <w:t xml:space="preserve">. </w:t>
      </w:r>
      <w:r w:rsidRPr="002531B7">
        <w:rPr>
          <w:i/>
        </w:rPr>
        <w:t>Critique’s</w:t>
      </w:r>
      <w:r w:rsidRPr="002531B7">
        <w:t xml:space="preserve"> </w:t>
      </w:r>
      <w:r w:rsidRPr="0033605C">
        <w:t xml:space="preserve">additional </w:t>
      </w:r>
      <w:r>
        <w:t>meta-</w:t>
      </w:r>
      <w:r w:rsidRPr="0033605C">
        <w:t>analyses b</w:t>
      </w:r>
      <w:r>
        <w:t xml:space="preserve">ased on </w:t>
      </w:r>
      <w:proofErr w:type="spellStart"/>
      <w:r>
        <w:t>Sehatzadeh</w:t>
      </w:r>
      <w:proofErr w:type="spellEnd"/>
      <w:r>
        <w:t xml:space="preserve"> et al. 2019), and </w:t>
      </w:r>
    </w:p>
    <w:p w14:paraId="1F064A52" w14:textId="3C609B77" w:rsidR="009E4F16" w:rsidRPr="003762CF" w:rsidRDefault="009E4F16" w:rsidP="00F136B7">
      <w:pPr>
        <w:pStyle w:val="ListParagraph"/>
        <w:numPr>
          <w:ilvl w:val="0"/>
          <w:numId w:val="27"/>
        </w:numPr>
      </w:pPr>
      <w:proofErr w:type="gramStart"/>
      <w:r>
        <w:t>baseline</w:t>
      </w:r>
      <w:proofErr w:type="gramEnd"/>
      <w:r>
        <w:t xml:space="preserve"> remission and response rates on antidepressants based on </w:t>
      </w:r>
      <w:proofErr w:type="spellStart"/>
      <w:r>
        <w:t>Blumberger</w:t>
      </w:r>
      <w:proofErr w:type="spellEnd"/>
      <w:r>
        <w:t xml:space="preserve"> et al. 2016 (largest study included in meta-analysis by </w:t>
      </w:r>
      <w:proofErr w:type="spellStart"/>
      <w:r>
        <w:t>Sehatzadeh</w:t>
      </w:r>
      <w:proofErr w:type="spellEnd"/>
      <w:r>
        <w:t xml:space="preserve"> et al. 2019 (Table 6).</w:t>
      </w:r>
    </w:p>
    <w:p w14:paraId="4F5DF48B" w14:textId="49EEC55A" w:rsidR="009E4F16" w:rsidRPr="005910C6" w:rsidRDefault="009E4F16" w:rsidP="005910C6">
      <w:pPr>
        <w:keepNext/>
        <w:keepLines/>
        <w:rPr>
          <w:rFonts w:ascii="Arial Narrow" w:hAnsi="Arial Narrow"/>
          <w:b/>
          <w:sz w:val="20"/>
        </w:rPr>
      </w:pPr>
      <w:r w:rsidRPr="005910C6">
        <w:rPr>
          <w:rFonts w:ascii="Arial Narrow" w:hAnsi="Arial Narrow"/>
          <w:b/>
          <w:sz w:val="20"/>
        </w:rPr>
        <w:lastRenderedPageBreak/>
        <w:t xml:space="preserve">Table 6 Respecified base case assuming RRs from </w:t>
      </w:r>
      <w:proofErr w:type="spellStart"/>
      <w:r w:rsidRPr="005910C6">
        <w:rPr>
          <w:rFonts w:ascii="Arial Narrow" w:hAnsi="Arial Narrow"/>
          <w:b/>
          <w:sz w:val="20"/>
        </w:rPr>
        <w:t>Sehatzadeh</w:t>
      </w:r>
      <w:proofErr w:type="spellEnd"/>
      <w:r w:rsidRPr="005910C6">
        <w:rPr>
          <w:rFonts w:ascii="Arial Narrow" w:hAnsi="Arial Narrow"/>
          <w:b/>
          <w:sz w:val="20"/>
        </w:rPr>
        <w:t xml:space="preserve"> et al. (2019), with varying baseline remission and response rates.</w:t>
      </w:r>
    </w:p>
    <w:tbl>
      <w:tblPr>
        <w:tblStyle w:val="OPTUMTableNormal"/>
        <w:tblW w:w="5000" w:type="pct"/>
        <w:tblLayout w:type="fixed"/>
        <w:tblLook w:val="04A0" w:firstRow="1" w:lastRow="0" w:firstColumn="1" w:lastColumn="0" w:noHBand="0" w:noVBand="1"/>
        <w:tblCaption w:val="Respecified base case assuming RRs from Sehatzadeh et al. (2019), with varying baseline remission and response rates."/>
        <w:tblDescription w:val="Summary of Critique's model results"/>
      </w:tblPr>
      <w:tblGrid>
        <w:gridCol w:w="5668"/>
        <w:gridCol w:w="1116"/>
        <w:gridCol w:w="1116"/>
        <w:gridCol w:w="1116"/>
      </w:tblGrid>
      <w:tr w:rsidR="009E4F16" w:rsidRPr="002531B7" w14:paraId="1CE3D064" w14:textId="77777777" w:rsidTr="00AF019C">
        <w:trPr>
          <w:cnfStyle w:val="100000000000" w:firstRow="1" w:lastRow="0" w:firstColumn="0" w:lastColumn="0" w:oddVBand="0" w:evenVBand="0" w:oddHBand="0" w:evenHBand="0" w:firstRowFirstColumn="0" w:firstRowLastColumn="0" w:lastRowFirstColumn="0" w:lastRowLastColumn="0"/>
          <w:trHeight w:val="300"/>
          <w:tblHeader/>
        </w:trPr>
        <w:tc>
          <w:tcPr>
            <w:tcW w:w="3143" w:type="pct"/>
            <w:noWrap/>
          </w:tcPr>
          <w:p w14:paraId="627B60A5" w14:textId="77777777" w:rsidR="009E4F16" w:rsidRPr="002531B7" w:rsidRDefault="009E4F16" w:rsidP="005910C6">
            <w:pPr>
              <w:pStyle w:val="CommentaryTabletext"/>
              <w:keepNext/>
              <w:keepLines/>
              <w:rPr>
                <w:b/>
                <w:color w:val="auto"/>
              </w:rPr>
            </w:pPr>
          </w:p>
        </w:tc>
        <w:tc>
          <w:tcPr>
            <w:tcW w:w="619" w:type="pct"/>
            <w:noWrap/>
          </w:tcPr>
          <w:p w14:paraId="32378637" w14:textId="77777777" w:rsidR="009E4F16" w:rsidRPr="002531B7" w:rsidRDefault="009E4F16" w:rsidP="005910C6">
            <w:pPr>
              <w:pStyle w:val="CommentaryTabletext"/>
              <w:keepNext/>
              <w:keepLines/>
              <w:jc w:val="center"/>
              <w:rPr>
                <w:b/>
                <w:color w:val="auto"/>
              </w:rPr>
            </w:pPr>
            <w:r w:rsidRPr="002531B7">
              <w:rPr>
                <w:b/>
                <w:color w:val="auto"/>
              </w:rPr>
              <w:t>Inc. cost</w:t>
            </w:r>
          </w:p>
        </w:tc>
        <w:tc>
          <w:tcPr>
            <w:tcW w:w="619" w:type="pct"/>
            <w:noWrap/>
          </w:tcPr>
          <w:p w14:paraId="1724B184" w14:textId="77777777" w:rsidR="009E4F16" w:rsidRPr="002531B7" w:rsidRDefault="009E4F16" w:rsidP="005910C6">
            <w:pPr>
              <w:pStyle w:val="CommentaryTabletext"/>
              <w:keepNext/>
              <w:keepLines/>
              <w:jc w:val="center"/>
              <w:rPr>
                <w:b/>
                <w:color w:val="auto"/>
              </w:rPr>
            </w:pPr>
            <w:r w:rsidRPr="002531B7">
              <w:rPr>
                <w:b/>
                <w:color w:val="auto"/>
              </w:rPr>
              <w:t>Inc. QALYs</w:t>
            </w:r>
          </w:p>
        </w:tc>
        <w:tc>
          <w:tcPr>
            <w:tcW w:w="619" w:type="pct"/>
            <w:noWrap/>
          </w:tcPr>
          <w:p w14:paraId="75BADE01" w14:textId="77777777" w:rsidR="009E4F16" w:rsidRPr="002531B7" w:rsidRDefault="009E4F16" w:rsidP="005910C6">
            <w:pPr>
              <w:pStyle w:val="CommentaryTabletext"/>
              <w:keepNext/>
              <w:keepLines/>
              <w:jc w:val="center"/>
              <w:rPr>
                <w:b/>
                <w:color w:val="auto"/>
              </w:rPr>
            </w:pPr>
            <w:r w:rsidRPr="002531B7">
              <w:rPr>
                <w:b/>
                <w:color w:val="auto"/>
              </w:rPr>
              <w:t>ICER</w:t>
            </w:r>
          </w:p>
        </w:tc>
      </w:tr>
      <w:tr w:rsidR="009E4F16" w:rsidRPr="002531B7" w14:paraId="3BA9D636" w14:textId="77777777" w:rsidTr="001C20F8">
        <w:trPr>
          <w:trHeight w:val="300"/>
        </w:trPr>
        <w:tc>
          <w:tcPr>
            <w:tcW w:w="3143" w:type="pct"/>
            <w:noWrap/>
            <w:hideMark/>
          </w:tcPr>
          <w:p w14:paraId="6ABE41E6" w14:textId="77777777" w:rsidR="009E4F16" w:rsidRPr="002531B7" w:rsidRDefault="009E4F16" w:rsidP="005910C6">
            <w:pPr>
              <w:pStyle w:val="CommentaryTabletext"/>
              <w:keepNext/>
              <w:keepLines/>
              <w:rPr>
                <w:b/>
                <w:color w:val="auto"/>
              </w:rPr>
            </w:pPr>
            <w:r w:rsidRPr="002531B7">
              <w:rPr>
                <w:b/>
                <w:color w:val="auto"/>
              </w:rPr>
              <w:t>Base case (</w:t>
            </w:r>
            <w:proofErr w:type="spellStart"/>
            <w:r w:rsidRPr="002531B7">
              <w:rPr>
                <w:b/>
                <w:color w:val="auto"/>
              </w:rPr>
              <w:t>EUnetHTA</w:t>
            </w:r>
            <w:proofErr w:type="spellEnd"/>
            <w:r w:rsidRPr="002531B7">
              <w:rPr>
                <w:b/>
                <w:color w:val="auto"/>
              </w:rPr>
              <w:t xml:space="preserve"> RRs and STAR-D baseline remission and response rates, 10.7% and 15.6%)</w:t>
            </w:r>
          </w:p>
        </w:tc>
        <w:tc>
          <w:tcPr>
            <w:tcW w:w="619" w:type="pct"/>
            <w:noWrap/>
            <w:hideMark/>
          </w:tcPr>
          <w:p w14:paraId="1FF30FE4" w14:textId="77777777" w:rsidR="009E4F16" w:rsidRPr="002531B7" w:rsidRDefault="009E4F16" w:rsidP="005910C6">
            <w:pPr>
              <w:pStyle w:val="CommentaryTabletext"/>
              <w:keepNext/>
              <w:keepLines/>
              <w:jc w:val="right"/>
              <w:rPr>
                <w:b/>
                <w:color w:val="auto"/>
              </w:rPr>
            </w:pPr>
            <w:r w:rsidRPr="002531B7">
              <w:rPr>
                <w:b/>
                <w:color w:val="auto"/>
              </w:rPr>
              <w:t>$931</w:t>
            </w:r>
          </w:p>
        </w:tc>
        <w:tc>
          <w:tcPr>
            <w:tcW w:w="619" w:type="pct"/>
            <w:noWrap/>
            <w:hideMark/>
          </w:tcPr>
          <w:p w14:paraId="4AB5508E" w14:textId="77777777" w:rsidR="009E4F16" w:rsidRPr="002531B7" w:rsidRDefault="009E4F16" w:rsidP="005910C6">
            <w:pPr>
              <w:pStyle w:val="CommentaryTabletext"/>
              <w:keepNext/>
              <w:keepLines/>
              <w:jc w:val="right"/>
              <w:rPr>
                <w:b/>
                <w:color w:val="auto"/>
              </w:rPr>
            </w:pPr>
            <w:r w:rsidRPr="002531B7">
              <w:rPr>
                <w:b/>
                <w:color w:val="auto"/>
              </w:rPr>
              <w:t>0.0247</w:t>
            </w:r>
          </w:p>
        </w:tc>
        <w:tc>
          <w:tcPr>
            <w:tcW w:w="619" w:type="pct"/>
            <w:noWrap/>
            <w:hideMark/>
          </w:tcPr>
          <w:p w14:paraId="28E0304E" w14:textId="77777777" w:rsidR="009E4F16" w:rsidRPr="002531B7" w:rsidRDefault="009E4F16" w:rsidP="005910C6">
            <w:pPr>
              <w:pStyle w:val="CommentaryTabletext"/>
              <w:keepNext/>
              <w:keepLines/>
              <w:jc w:val="right"/>
              <w:rPr>
                <w:b/>
                <w:color w:val="auto"/>
              </w:rPr>
            </w:pPr>
            <w:r w:rsidRPr="002531B7">
              <w:rPr>
                <w:b/>
                <w:color w:val="auto"/>
              </w:rPr>
              <w:t>$37,734</w:t>
            </w:r>
          </w:p>
        </w:tc>
      </w:tr>
      <w:tr w:rsidR="009E4F16" w:rsidRPr="002531B7" w14:paraId="1393736A" w14:textId="77777777" w:rsidTr="001C20F8">
        <w:trPr>
          <w:trHeight w:val="300"/>
        </w:trPr>
        <w:tc>
          <w:tcPr>
            <w:tcW w:w="3143" w:type="pct"/>
            <w:noWrap/>
          </w:tcPr>
          <w:p w14:paraId="7D8BA018" w14:textId="77777777" w:rsidR="009E4F16" w:rsidRPr="002531B7" w:rsidRDefault="009E4F16" w:rsidP="005910C6">
            <w:pPr>
              <w:pStyle w:val="CommentaryTabletext"/>
              <w:keepNext/>
              <w:keepLines/>
              <w:rPr>
                <w:b/>
                <w:color w:val="auto"/>
              </w:rPr>
            </w:pPr>
            <w:proofErr w:type="spellStart"/>
            <w:r w:rsidRPr="002531B7">
              <w:rPr>
                <w:color w:val="auto"/>
              </w:rPr>
              <w:t>Sehatzadeh</w:t>
            </w:r>
            <w:proofErr w:type="spellEnd"/>
            <w:r w:rsidRPr="002531B7">
              <w:rPr>
                <w:color w:val="auto"/>
              </w:rPr>
              <w:t xml:space="preserve"> et al (2019) RRs, assuming baseline remission and response rates from STAR-D (10.7% and 15.6%)</w:t>
            </w:r>
          </w:p>
        </w:tc>
        <w:tc>
          <w:tcPr>
            <w:tcW w:w="619" w:type="pct"/>
            <w:noWrap/>
          </w:tcPr>
          <w:p w14:paraId="7089A7AF" w14:textId="77777777" w:rsidR="009E4F16" w:rsidRPr="002531B7" w:rsidRDefault="009E4F16" w:rsidP="005910C6">
            <w:pPr>
              <w:pStyle w:val="CommentaryTabletext"/>
              <w:keepNext/>
              <w:keepLines/>
              <w:jc w:val="right"/>
              <w:rPr>
                <w:b/>
                <w:color w:val="auto"/>
              </w:rPr>
            </w:pPr>
            <w:r w:rsidRPr="002531B7">
              <w:rPr>
                <w:color w:val="auto"/>
              </w:rPr>
              <w:t>-$625</w:t>
            </w:r>
          </w:p>
        </w:tc>
        <w:tc>
          <w:tcPr>
            <w:tcW w:w="619" w:type="pct"/>
            <w:noWrap/>
          </w:tcPr>
          <w:p w14:paraId="6BF2E539" w14:textId="77777777" w:rsidR="009E4F16" w:rsidRPr="002531B7" w:rsidRDefault="009E4F16" w:rsidP="005910C6">
            <w:pPr>
              <w:pStyle w:val="CommentaryTabletext"/>
              <w:keepNext/>
              <w:keepLines/>
              <w:jc w:val="right"/>
              <w:rPr>
                <w:b/>
                <w:color w:val="auto"/>
              </w:rPr>
            </w:pPr>
            <w:r w:rsidRPr="002531B7">
              <w:rPr>
                <w:color w:val="auto"/>
              </w:rPr>
              <w:t>0.0558</w:t>
            </w:r>
          </w:p>
        </w:tc>
        <w:tc>
          <w:tcPr>
            <w:tcW w:w="619" w:type="pct"/>
            <w:noWrap/>
          </w:tcPr>
          <w:p w14:paraId="6050B743" w14:textId="77777777" w:rsidR="009E4F16" w:rsidRPr="002531B7" w:rsidRDefault="009E4F16" w:rsidP="005910C6">
            <w:pPr>
              <w:pStyle w:val="CommentaryTabletext"/>
              <w:keepNext/>
              <w:keepLines/>
              <w:jc w:val="right"/>
              <w:rPr>
                <w:b/>
                <w:color w:val="auto"/>
              </w:rPr>
            </w:pPr>
            <w:r w:rsidRPr="002531B7">
              <w:rPr>
                <w:color w:val="auto"/>
              </w:rPr>
              <w:t>Dominant</w:t>
            </w:r>
            <w:bookmarkStart w:id="12" w:name="OLE_LINK1"/>
            <w:r w:rsidRPr="002531B7">
              <w:rPr>
                <w:color w:val="auto"/>
              </w:rPr>
              <w:t xml:space="preserve"> </w:t>
            </w:r>
            <w:r w:rsidRPr="002531B7">
              <w:rPr>
                <w:color w:val="auto"/>
                <w:vertAlign w:val="superscript"/>
              </w:rPr>
              <w:t>a</w:t>
            </w:r>
            <w:bookmarkEnd w:id="12"/>
          </w:p>
        </w:tc>
      </w:tr>
      <w:tr w:rsidR="009E4F16" w:rsidRPr="002531B7" w14:paraId="71CF6B67" w14:textId="77777777" w:rsidTr="001C20F8">
        <w:trPr>
          <w:trHeight w:val="300"/>
        </w:trPr>
        <w:tc>
          <w:tcPr>
            <w:tcW w:w="3143" w:type="pct"/>
            <w:noWrap/>
            <w:hideMark/>
          </w:tcPr>
          <w:p w14:paraId="1ABF5678" w14:textId="77777777" w:rsidR="009E4F16" w:rsidRPr="002531B7" w:rsidRDefault="009E4F16" w:rsidP="001C20F8">
            <w:pPr>
              <w:pStyle w:val="CommentaryTabletext"/>
              <w:rPr>
                <w:color w:val="auto"/>
              </w:rPr>
            </w:pPr>
            <w:proofErr w:type="spellStart"/>
            <w:r w:rsidRPr="002531B7">
              <w:rPr>
                <w:color w:val="auto"/>
              </w:rPr>
              <w:t>Sehatzadeh</w:t>
            </w:r>
            <w:proofErr w:type="spellEnd"/>
            <w:r w:rsidRPr="002531B7">
              <w:rPr>
                <w:color w:val="auto"/>
              </w:rPr>
              <w:t xml:space="preserve"> et al (2019) RRs, assuming baseline remission and response rates from </w:t>
            </w:r>
            <w:proofErr w:type="spellStart"/>
            <w:r w:rsidRPr="002531B7">
              <w:rPr>
                <w:color w:val="auto"/>
              </w:rPr>
              <w:t>Blumberger</w:t>
            </w:r>
            <w:proofErr w:type="spellEnd"/>
            <w:r w:rsidRPr="002531B7">
              <w:rPr>
                <w:color w:val="auto"/>
              </w:rPr>
              <w:t xml:space="preserve"> et al. (2016) (2.4% and 4.9%)</w:t>
            </w:r>
            <w:r w:rsidRPr="002531B7">
              <w:rPr>
                <w:color w:val="auto"/>
                <w:vertAlign w:val="superscript"/>
              </w:rPr>
              <w:t>b</w:t>
            </w:r>
          </w:p>
        </w:tc>
        <w:tc>
          <w:tcPr>
            <w:tcW w:w="619" w:type="pct"/>
            <w:noWrap/>
            <w:hideMark/>
          </w:tcPr>
          <w:p w14:paraId="3964EC79" w14:textId="77777777" w:rsidR="009E4F16" w:rsidRPr="002531B7" w:rsidRDefault="009E4F16" w:rsidP="001C20F8">
            <w:pPr>
              <w:pStyle w:val="CommentaryTabletext"/>
              <w:jc w:val="right"/>
              <w:rPr>
                <w:color w:val="auto"/>
              </w:rPr>
            </w:pPr>
            <w:r w:rsidRPr="002531B7">
              <w:rPr>
                <w:color w:val="auto"/>
              </w:rPr>
              <w:t>$1,583</w:t>
            </w:r>
          </w:p>
        </w:tc>
        <w:tc>
          <w:tcPr>
            <w:tcW w:w="619" w:type="pct"/>
            <w:noWrap/>
            <w:hideMark/>
          </w:tcPr>
          <w:p w14:paraId="6FD09E3E" w14:textId="77777777" w:rsidR="009E4F16" w:rsidRPr="002531B7" w:rsidRDefault="009E4F16" w:rsidP="001C20F8">
            <w:pPr>
              <w:pStyle w:val="CommentaryTabletext"/>
              <w:jc w:val="right"/>
              <w:rPr>
                <w:color w:val="auto"/>
              </w:rPr>
            </w:pPr>
            <w:r w:rsidRPr="002531B7">
              <w:rPr>
                <w:color w:val="auto"/>
              </w:rPr>
              <w:t>0.0134</w:t>
            </w:r>
          </w:p>
        </w:tc>
        <w:tc>
          <w:tcPr>
            <w:tcW w:w="619" w:type="pct"/>
            <w:noWrap/>
            <w:hideMark/>
          </w:tcPr>
          <w:p w14:paraId="3153AAE2" w14:textId="77777777" w:rsidR="009E4F16" w:rsidRPr="002531B7" w:rsidRDefault="009E4F16" w:rsidP="001C20F8">
            <w:pPr>
              <w:pStyle w:val="CommentaryTabletext"/>
              <w:jc w:val="right"/>
              <w:rPr>
                <w:color w:val="auto"/>
              </w:rPr>
            </w:pPr>
            <w:r w:rsidRPr="002531B7">
              <w:rPr>
                <w:color w:val="auto"/>
              </w:rPr>
              <w:t>$118,135</w:t>
            </w:r>
          </w:p>
        </w:tc>
      </w:tr>
      <w:tr w:rsidR="009E4F16" w:rsidRPr="002531B7" w14:paraId="4D51E116" w14:textId="77777777" w:rsidTr="001C20F8">
        <w:trPr>
          <w:trHeight w:val="300"/>
        </w:trPr>
        <w:tc>
          <w:tcPr>
            <w:tcW w:w="3143" w:type="pct"/>
            <w:noWrap/>
            <w:hideMark/>
          </w:tcPr>
          <w:p w14:paraId="3D583D50" w14:textId="77777777" w:rsidR="009E4F16" w:rsidRPr="002531B7" w:rsidRDefault="009E4F16" w:rsidP="001C20F8">
            <w:pPr>
              <w:pStyle w:val="CommentaryTabletext"/>
              <w:rPr>
                <w:color w:val="auto"/>
              </w:rPr>
            </w:pPr>
            <w:proofErr w:type="spellStart"/>
            <w:r w:rsidRPr="002531B7">
              <w:rPr>
                <w:color w:val="auto"/>
              </w:rPr>
              <w:t>Sehatzadeh</w:t>
            </w:r>
            <w:proofErr w:type="spellEnd"/>
            <w:r w:rsidRPr="002531B7">
              <w:rPr>
                <w:color w:val="auto"/>
              </w:rPr>
              <w:t xml:space="preserve"> et al (2019) RRs, assuming the weighted average baseline remission and response rates (4.2% and 11.5%)</w:t>
            </w:r>
            <w:r w:rsidRPr="002531B7">
              <w:rPr>
                <w:color w:val="auto"/>
                <w:vertAlign w:val="superscript"/>
              </w:rPr>
              <w:t>c</w:t>
            </w:r>
          </w:p>
        </w:tc>
        <w:tc>
          <w:tcPr>
            <w:tcW w:w="619" w:type="pct"/>
            <w:noWrap/>
            <w:hideMark/>
          </w:tcPr>
          <w:p w14:paraId="7D34F94E" w14:textId="77777777" w:rsidR="009E4F16" w:rsidRPr="002531B7" w:rsidRDefault="009E4F16" w:rsidP="001C20F8">
            <w:pPr>
              <w:pStyle w:val="CommentaryTabletext"/>
              <w:jc w:val="right"/>
              <w:rPr>
                <w:color w:val="auto"/>
              </w:rPr>
            </w:pPr>
            <w:r w:rsidRPr="002531B7">
              <w:rPr>
                <w:color w:val="auto"/>
              </w:rPr>
              <w:t>$814</w:t>
            </w:r>
          </w:p>
        </w:tc>
        <w:tc>
          <w:tcPr>
            <w:tcW w:w="619" w:type="pct"/>
            <w:noWrap/>
            <w:hideMark/>
          </w:tcPr>
          <w:p w14:paraId="744D1DF8" w14:textId="77777777" w:rsidR="009E4F16" w:rsidRPr="002531B7" w:rsidRDefault="009E4F16" w:rsidP="001C20F8">
            <w:pPr>
              <w:pStyle w:val="CommentaryTabletext"/>
              <w:jc w:val="right"/>
              <w:rPr>
                <w:color w:val="auto"/>
              </w:rPr>
            </w:pPr>
            <w:r w:rsidRPr="002531B7">
              <w:rPr>
                <w:color w:val="auto"/>
              </w:rPr>
              <w:t>0.0243</w:t>
            </w:r>
          </w:p>
        </w:tc>
        <w:tc>
          <w:tcPr>
            <w:tcW w:w="619" w:type="pct"/>
            <w:noWrap/>
            <w:hideMark/>
          </w:tcPr>
          <w:p w14:paraId="4D839E04" w14:textId="77777777" w:rsidR="009E4F16" w:rsidRPr="002531B7" w:rsidRDefault="009E4F16" w:rsidP="001C20F8">
            <w:pPr>
              <w:pStyle w:val="CommentaryTabletext"/>
              <w:jc w:val="right"/>
              <w:rPr>
                <w:color w:val="auto"/>
              </w:rPr>
            </w:pPr>
            <w:r w:rsidRPr="002531B7">
              <w:rPr>
                <w:color w:val="auto"/>
              </w:rPr>
              <w:t>$33,495</w:t>
            </w:r>
          </w:p>
        </w:tc>
      </w:tr>
      <w:tr w:rsidR="009E4F16" w:rsidRPr="002531B7" w14:paraId="333A61B6" w14:textId="77777777" w:rsidTr="001C20F8">
        <w:trPr>
          <w:trHeight w:val="300"/>
        </w:trPr>
        <w:tc>
          <w:tcPr>
            <w:tcW w:w="3143" w:type="pct"/>
            <w:noWrap/>
            <w:hideMark/>
          </w:tcPr>
          <w:p w14:paraId="5934D678" w14:textId="77777777" w:rsidR="009E4F16" w:rsidRPr="002531B7" w:rsidRDefault="009E4F16" w:rsidP="001C20F8">
            <w:pPr>
              <w:pStyle w:val="CommentaryTabletext"/>
              <w:rPr>
                <w:color w:val="auto"/>
              </w:rPr>
            </w:pPr>
            <w:proofErr w:type="spellStart"/>
            <w:r w:rsidRPr="002531B7">
              <w:rPr>
                <w:color w:val="auto"/>
              </w:rPr>
              <w:t>Sehatzadeh</w:t>
            </w:r>
            <w:proofErr w:type="spellEnd"/>
            <w:r w:rsidRPr="002531B7">
              <w:rPr>
                <w:color w:val="auto"/>
              </w:rPr>
              <w:t xml:space="preserve"> et al (2019) RRs, assuming the average baseline remission and response rates, weighted by the random effects meta-analysis weights (6.3% and 21.3%)</w:t>
            </w:r>
            <w:r w:rsidRPr="002531B7">
              <w:rPr>
                <w:color w:val="auto"/>
                <w:vertAlign w:val="superscript"/>
              </w:rPr>
              <w:t>d</w:t>
            </w:r>
          </w:p>
        </w:tc>
        <w:tc>
          <w:tcPr>
            <w:tcW w:w="619" w:type="pct"/>
            <w:noWrap/>
            <w:hideMark/>
          </w:tcPr>
          <w:p w14:paraId="5B148C63" w14:textId="77777777" w:rsidR="009E4F16" w:rsidRPr="002531B7" w:rsidRDefault="009E4F16" w:rsidP="001C20F8">
            <w:pPr>
              <w:pStyle w:val="CommentaryTabletext"/>
              <w:jc w:val="right"/>
              <w:rPr>
                <w:color w:val="auto"/>
              </w:rPr>
            </w:pPr>
            <w:r w:rsidRPr="002531B7">
              <w:rPr>
                <w:color w:val="auto"/>
              </w:rPr>
              <w:t>-$387</w:t>
            </w:r>
          </w:p>
        </w:tc>
        <w:tc>
          <w:tcPr>
            <w:tcW w:w="619" w:type="pct"/>
            <w:noWrap/>
            <w:hideMark/>
          </w:tcPr>
          <w:p w14:paraId="3E5AA727" w14:textId="77777777" w:rsidR="009E4F16" w:rsidRPr="002531B7" w:rsidRDefault="009E4F16" w:rsidP="001C20F8">
            <w:pPr>
              <w:pStyle w:val="CommentaryTabletext"/>
              <w:jc w:val="right"/>
              <w:rPr>
                <w:color w:val="auto"/>
              </w:rPr>
            </w:pPr>
            <w:r w:rsidRPr="002531B7">
              <w:rPr>
                <w:color w:val="auto"/>
              </w:rPr>
              <w:t>0.0409</w:t>
            </w:r>
          </w:p>
        </w:tc>
        <w:tc>
          <w:tcPr>
            <w:tcW w:w="619" w:type="pct"/>
            <w:noWrap/>
            <w:hideMark/>
          </w:tcPr>
          <w:p w14:paraId="36CB604E" w14:textId="77777777" w:rsidR="009E4F16" w:rsidRPr="002531B7" w:rsidRDefault="009E4F16" w:rsidP="001C20F8">
            <w:pPr>
              <w:pStyle w:val="CommentaryTabletext"/>
              <w:jc w:val="right"/>
              <w:rPr>
                <w:color w:val="auto"/>
              </w:rPr>
            </w:pPr>
            <w:r w:rsidRPr="002531B7">
              <w:rPr>
                <w:color w:val="auto"/>
              </w:rPr>
              <w:t xml:space="preserve">Dominant </w:t>
            </w:r>
            <w:r w:rsidRPr="002531B7">
              <w:rPr>
                <w:color w:val="auto"/>
                <w:vertAlign w:val="superscript"/>
              </w:rPr>
              <w:t>a</w:t>
            </w:r>
            <w:r w:rsidRPr="002531B7">
              <w:rPr>
                <w:rStyle w:val="CommentReference"/>
                <w:rFonts w:ascii="Calibri" w:hAnsi="Calibri" w:cs="Tahoma"/>
                <w:i w:val="0"/>
                <w:snapToGrid/>
                <w:color w:val="auto"/>
                <w:szCs w:val="22"/>
              </w:rPr>
              <w:t xml:space="preserve"> </w:t>
            </w:r>
          </w:p>
        </w:tc>
      </w:tr>
    </w:tbl>
    <w:p w14:paraId="61C340A2" w14:textId="77777777" w:rsidR="009E4F16" w:rsidRPr="002531B7" w:rsidRDefault="009E4F16" w:rsidP="009E4F16">
      <w:pPr>
        <w:pStyle w:val="Commentarytablenotes"/>
        <w:rPr>
          <w:color w:val="auto"/>
        </w:rPr>
      </w:pPr>
      <w:r w:rsidRPr="002531B7">
        <w:rPr>
          <w:color w:val="auto"/>
        </w:rPr>
        <w:t>Source: SBA Critique Table 3</w:t>
      </w:r>
    </w:p>
    <w:p w14:paraId="1A936590" w14:textId="77777777" w:rsidR="009E4F16" w:rsidRPr="002531B7" w:rsidRDefault="009E4F16" w:rsidP="009E4F16">
      <w:pPr>
        <w:pStyle w:val="Commentarytablenotes"/>
        <w:rPr>
          <w:color w:val="auto"/>
        </w:rPr>
      </w:pPr>
      <w:r w:rsidRPr="002531B7">
        <w:rPr>
          <w:color w:val="auto"/>
        </w:rPr>
        <w:t>ICER = incremental cost-effectiveness ratio; QALY = quality-adjusted life year; RR = relative risk.</w:t>
      </w:r>
    </w:p>
    <w:p w14:paraId="23AC0F92" w14:textId="77777777" w:rsidR="009E4F16" w:rsidRPr="002531B7" w:rsidRDefault="009E4F16" w:rsidP="009E4F16">
      <w:pPr>
        <w:pStyle w:val="Commentarytablenotes"/>
        <w:rPr>
          <w:color w:val="auto"/>
        </w:rPr>
      </w:pPr>
      <w:proofErr w:type="gramStart"/>
      <w:r w:rsidRPr="002531B7">
        <w:rPr>
          <w:color w:val="auto"/>
          <w:vertAlign w:val="superscript"/>
        </w:rPr>
        <w:t>a</w:t>
      </w:r>
      <w:proofErr w:type="gramEnd"/>
      <w:r w:rsidRPr="002531B7">
        <w:rPr>
          <w:color w:val="auto"/>
        </w:rPr>
        <w:t xml:space="preserve"> </w:t>
      </w:r>
      <w:proofErr w:type="spellStart"/>
      <w:r w:rsidRPr="002531B7">
        <w:rPr>
          <w:color w:val="auto"/>
        </w:rPr>
        <w:t>A</w:t>
      </w:r>
      <w:proofErr w:type="spellEnd"/>
      <w:r w:rsidRPr="002531B7">
        <w:rPr>
          <w:color w:val="auto"/>
        </w:rPr>
        <w:t xml:space="preserve"> dominant ICER indicates that the intervention (i.e. </w:t>
      </w:r>
      <w:proofErr w:type="spellStart"/>
      <w:r w:rsidRPr="002531B7">
        <w:rPr>
          <w:color w:val="auto"/>
        </w:rPr>
        <w:t>rTMS</w:t>
      </w:r>
      <w:proofErr w:type="spellEnd"/>
      <w:r w:rsidRPr="002531B7">
        <w:rPr>
          <w:color w:val="auto"/>
        </w:rPr>
        <w:t xml:space="preserve"> + AD) is less costly and is associated with more QALYs than the comparator.</w:t>
      </w:r>
    </w:p>
    <w:p w14:paraId="1ADE07BE" w14:textId="77777777" w:rsidR="009E4F16" w:rsidRPr="002531B7" w:rsidRDefault="009E4F16" w:rsidP="009E4F16">
      <w:pPr>
        <w:pStyle w:val="Commentarytablenotes"/>
        <w:rPr>
          <w:color w:val="auto"/>
        </w:rPr>
      </w:pPr>
      <w:proofErr w:type="gramStart"/>
      <w:r w:rsidRPr="002531B7">
        <w:rPr>
          <w:color w:val="auto"/>
          <w:vertAlign w:val="superscript"/>
        </w:rPr>
        <w:t>b</w:t>
      </w:r>
      <w:proofErr w:type="gramEnd"/>
      <w:r w:rsidRPr="002531B7">
        <w:rPr>
          <w:color w:val="auto"/>
        </w:rPr>
        <w:t xml:space="preserve"> </w:t>
      </w:r>
      <w:proofErr w:type="spellStart"/>
      <w:r w:rsidRPr="002531B7">
        <w:rPr>
          <w:color w:val="auto"/>
        </w:rPr>
        <w:t>Blumberger</w:t>
      </w:r>
      <w:proofErr w:type="spellEnd"/>
      <w:r w:rsidRPr="002531B7">
        <w:rPr>
          <w:color w:val="auto"/>
        </w:rPr>
        <w:t xml:space="preserve"> et al. (2016) was the largest and among the most recent studies included in the meta-analysis conducted by </w:t>
      </w:r>
      <w:proofErr w:type="spellStart"/>
      <w:r w:rsidRPr="002531B7">
        <w:rPr>
          <w:color w:val="auto"/>
        </w:rPr>
        <w:t>Sehatzadeh</w:t>
      </w:r>
      <w:proofErr w:type="spellEnd"/>
      <w:r w:rsidRPr="002531B7">
        <w:rPr>
          <w:color w:val="auto"/>
        </w:rPr>
        <w:t xml:space="preserve"> et al. (2019). This study was also conducted in a comparable setting (Canada). </w:t>
      </w:r>
    </w:p>
    <w:p w14:paraId="52DBC43C" w14:textId="77777777" w:rsidR="009E4F16" w:rsidRPr="002531B7" w:rsidRDefault="009E4F16" w:rsidP="009E4F16">
      <w:pPr>
        <w:pStyle w:val="Commentarytablenotes"/>
        <w:rPr>
          <w:color w:val="auto"/>
        </w:rPr>
      </w:pPr>
      <w:proofErr w:type="gramStart"/>
      <w:r w:rsidRPr="002531B7">
        <w:rPr>
          <w:color w:val="auto"/>
          <w:vertAlign w:val="superscript"/>
        </w:rPr>
        <w:t>c</w:t>
      </w:r>
      <w:proofErr w:type="gramEnd"/>
      <w:r w:rsidRPr="002531B7">
        <w:rPr>
          <w:color w:val="auto"/>
        </w:rPr>
        <w:t xml:space="preserve"> Average remission and response rates were estimated from the studies in the meta-analysis conducted during the Critique, weighted by patient numbers in each of the included studies.</w:t>
      </w:r>
    </w:p>
    <w:p w14:paraId="5404252F" w14:textId="611A4FE5" w:rsidR="009E4F16" w:rsidRPr="002531B7" w:rsidRDefault="009E4F16" w:rsidP="00F808E8">
      <w:pPr>
        <w:pStyle w:val="Commentarytablenotes"/>
        <w:spacing w:after="0"/>
        <w:rPr>
          <w:color w:val="auto"/>
        </w:rPr>
      </w:pPr>
      <w:proofErr w:type="gramStart"/>
      <w:r w:rsidRPr="002531B7">
        <w:rPr>
          <w:color w:val="auto"/>
          <w:vertAlign w:val="superscript"/>
        </w:rPr>
        <w:t>d</w:t>
      </w:r>
      <w:proofErr w:type="gramEnd"/>
      <w:r w:rsidRPr="002531B7">
        <w:rPr>
          <w:color w:val="auto"/>
        </w:rPr>
        <w:t xml:space="preserve"> Average remission and response rates were estimated from the studies in the meta-analysis conducted during the Critique, weighted by the random effects weights as reported </w:t>
      </w:r>
      <w:r w:rsidRPr="00F808E8">
        <w:rPr>
          <w:color w:val="auto"/>
        </w:rPr>
        <w:t xml:space="preserve">in </w:t>
      </w:r>
      <w:r w:rsidRPr="00F808E8">
        <w:rPr>
          <w:color w:val="auto"/>
        </w:rPr>
        <w:fldChar w:fldCharType="begin"/>
      </w:r>
      <w:r w:rsidRPr="00F808E8">
        <w:rPr>
          <w:color w:val="auto"/>
        </w:rPr>
        <w:instrText xml:space="preserve"> REF _Ref4577220 \h </w:instrText>
      </w:r>
      <w:r w:rsidR="00F808E8" w:rsidRPr="00F808E8">
        <w:rPr>
          <w:color w:val="auto"/>
        </w:rPr>
        <w:instrText xml:space="preserve"> \* MERGEFORMAT </w:instrText>
      </w:r>
      <w:r w:rsidRPr="00F808E8">
        <w:rPr>
          <w:color w:val="auto"/>
        </w:rPr>
        <w:fldChar w:fldCharType="separate"/>
      </w:r>
      <w:r w:rsidR="00F808E8" w:rsidRPr="00F808E8">
        <w:rPr>
          <w:bCs/>
          <w:color w:val="auto"/>
          <w:lang w:val="en-US"/>
        </w:rPr>
        <w:t>SBA Critique Figure 2</w:t>
      </w:r>
      <w:r w:rsidRPr="00F808E8">
        <w:rPr>
          <w:color w:val="auto"/>
        </w:rPr>
        <w:fldChar w:fldCharType="end"/>
      </w:r>
      <w:r w:rsidRPr="002531B7">
        <w:rPr>
          <w:color w:val="auto"/>
        </w:rPr>
        <w:t xml:space="preserve"> and </w:t>
      </w:r>
      <w:r w:rsidR="00F808E8">
        <w:rPr>
          <w:color w:val="auto"/>
        </w:rPr>
        <w:t>SBA Critique Figure 1</w:t>
      </w:r>
      <w:r w:rsidRPr="002531B7">
        <w:rPr>
          <w:color w:val="auto"/>
        </w:rPr>
        <w:t xml:space="preserve"> respectively. </w:t>
      </w:r>
    </w:p>
    <w:p w14:paraId="3E1371C9" w14:textId="77777777" w:rsidR="009E4F16" w:rsidRDefault="009E4F16" w:rsidP="00F808E8">
      <w:pPr>
        <w:tabs>
          <w:tab w:val="left" w:pos="720"/>
          <w:tab w:val="left" w:pos="1140"/>
        </w:tabs>
        <w:spacing w:before="240"/>
      </w:pPr>
      <w:r>
        <w:t xml:space="preserve">The Critique stated that the </w:t>
      </w:r>
      <w:r w:rsidRPr="003762CF">
        <w:t>ICER is highly sensitive to changes in these estimates (an increase in the ICER of up to 900% was observed when values from alternate sources were tested).</w:t>
      </w:r>
      <w:r>
        <w:t xml:space="preserve"> The Critique stated that given that the Australian studies included in the meta-analysis could not provide information on both remission and response rates in an Australian population, MSAC may wish to consider what baseline remission and response rates would be most applicable, and whether the base case requires further </w:t>
      </w:r>
      <w:proofErr w:type="spellStart"/>
      <w:r>
        <w:t>respecification</w:t>
      </w:r>
      <w:proofErr w:type="spellEnd"/>
      <w:r>
        <w:t>.</w:t>
      </w:r>
    </w:p>
    <w:p w14:paraId="0B011393" w14:textId="77777777" w:rsidR="00BC1364" w:rsidRPr="00F715D1" w:rsidRDefault="00BC1364" w:rsidP="00F715D1">
      <w:pPr>
        <w:pStyle w:val="Heading1"/>
      </w:pPr>
      <w:r w:rsidRPr="00F715D1">
        <w:t>Financial/budgetary impacts</w:t>
      </w:r>
    </w:p>
    <w:p w14:paraId="59A78E01" w14:textId="5608BC0E" w:rsidR="009E4F16" w:rsidRDefault="009E4F16" w:rsidP="00F136B7">
      <w:pPr>
        <w:spacing w:after="240"/>
      </w:pPr>
      <w:r>
        <w:t xml:space="preserve">Consistent with previous resubmission, an epidemiological approach was used to estimate the financial implications to the MBS. The Critique stated that the current </w:t>
      </w:r>
      <w:r w:rsidRPr="003762CF">
        <w:t>resubmission has not presented the fin</w:t>
      </w:r>
      <w:r>
        <w:t>ancial implications to the MBS; this is presented in Table 7.</w:t>
      </w:r>
    </w:p>
    <w:p w14:paraId="0BFF8FD6" w14:textId="77777777" w:rsidR="009E4F16" w:rsidRPr="005910C6" w:rsidRDefault="009E4F16" w:rsidP="005910C6">
      <w:pPr>
        <w:rPr>
          <w:rFonts w:ascii="Arial Narrow" w:hAnsi="Arial Narrow"/>
          <w:b/>
          <w:sz w:val="20"/>
        </w:rPr>
      </w:pPr>
      <w:r w:rsidRPr="005910C6">
        <w:rPr>
          <w:rFonts w:ascii="Arial Narrow" w:hAnsi="Arial Narrow"/>
          <w:b/>
          <w:sz w:val="20"/>
        </w:rPr>
        <w:t>Table 7</w:t>
      </w:r>
      <w:r w:rsidRPr="005910C6">
        <w:rPr>
          <w:rFonts w:ascii="Arial Narrow" w:hAnsi="Arial Narrow"/>
          <w:b/>
          <w:sz w:val="20"/>
        </w:rPr>
        <w:tab/>
        <w:t>Resubmission base net financial implications to the MBS</w:t>
      </w:r>
    </w:p>
    <w:tbl>
      <w:tblPr>
        <w:tblStyle w:val="OPTUMTableNormal"/>
        <w:tblW w:w="5000" w:type="pct"/>
        <w:tblLayout w:type="fixed"/>
        <w:tblLook w:val="04A0" w:firstRow="1" w:lastRow="0" w:firstColumn="1" w:lastColumn="0" w:noHBand="0" w:noVBand="1"/>
        <w:tblCaption w:val="Resubmission base net financial implications to the MBS"/>
        <w:tblDescription w:val="Critique's summary of net implications to the MBS"/>
      </w:tblPr>
      <w:tblGrid>
        <w:gridCol w:w="2829"/>
        <w:gridCol w:w="1237"/>
        <w:gridCol w:w="1237"/>
        <w:gridCol w:w="1237"/>
        <w:gridCol w:w="1237"/>
        <w:gridCol w:w="1239"/>
      </w:tblGrid>
      <w:tr w:rsidR="009E4F16" w:rsidRPr="002531B7" w14:paraId="3A59717C" w14:textId="77777777" w:rsidTr="00AF019C">
        <w:trPr>
          <w:cnfStyle w:val="100000000000" w:firstRow="1" w:lastRow="0" w:firstColumn="0" w:lastColumn="0" w:oddVBand="0" w:evenVBand="0" w:oddHBand="0" w:evenHBand="0" w:firstRowFirstColumn="0" w:firstRowLastColumn="0" w:lastRowFirstColumn="0" w:lastRowLastColumn="0"/>
          <w:trHeight w:val="174"/>
          <w:tblHeader/>
        </w:trPr>
        <w:tc>
          <w:tcPr>
            <w:tcW w:w="1569" w:type="pct"/>
            <w:hideMark/>
          </w:tcPr>
          <w:p w14:paraId="663DC58E" w14:textId="77777777" w:rsidR="009E4F16" w:rsidRPr="002531B7" w:rsidRDefault="009E4F16" w:rsidP="001C20F8">
            <w:pPr>
              <w:pStyle w:val="CommentaryTabletext"/>
              <w:rPr>
                <w:rFonts w:eastAsia="Calibri"/>
                <w:b/>
                <w:color w:val="auto"/>
              </w:rPr>
            </w:pPr>
          </w:p>
        </w:tc>
        <w:tc>
          <w:tcPr>
            <w:tcW w:w="686" w:type="pct"/>
            <w:hideMark/>
          </w:tcPr>
          <w:p w14:paraId="6AD0B6FE" w14:textId="77777777" w:rsidR="009E4F16" w:rsidRPr="002531B7" w:rsidRDefault="009E4F16" w:rsidP="001C20F8">
            <w:pPr>
              <w:pStyle w:val="CommentaryTabletext"/>
              <w:jc w:val="center"/>
              <w:rPr>
                <w:rFonts w:eastAsia="Calibri"/>
                <w:b/>
                <w:color w:val="auto"/>
              </w:rPr>
            </w:pPr>
            <w:r w:rsidRPr="002531B7">
              <w:rPr>
                <w:rFonts w:eastAsia="Calibri"/>
                <w:b/>
                <w:color w:val="auto"/>
              </w:rPr>
              <w:t>Year 1</w:t>
            </w:r>
          </w:p>
        </w:tc>
        <w:tc>
          <w:tcPr>
            <w:tcW w:w="686" w:type="pct"/>
          </w:tcPr>
          <w:p w14:paraId="64092961" w14:textId="77777777" w:rsidR="009E4F16" w:rsidRPr="002531B7" w:rsidRDefault="009E4F16" w:rsidP="001C20F8">
            <w:pPr>
              <w:pStyle w:val="CommentaryTabletext"/>
              <w:jc w:val="center"/>
              <w:rPr>
                <w:rFonts w:eastAsia="Calibri"/>
                <w:b/>
                <w:color w:val="auto"/>
              </w:rPr>
            </w:pPr>
            <w:r w:rsidRPr="002531B7">
              <w:rPr>
                <w:rFonts w:eastAsia="Calibri"/>
                <w:b/>
                <w:color w:val="auto"/>
              </w:rPr>
              <w:t>Year 2</w:t>
            </w:r>
          </w:p>
        </w:tc>
        <w:tc>
          <w:tcPr>
            <w:tcW w:w="686" w:type="pct"/>
          </w:tcPr>
          <w:p w14:paraId="4E8558DC" w14:textId="77777777" w:rsidR="009E4F16" w:rsidRPr="002531B7" w:rsidRDefault="009E4F16" w:rsidP="001C20F8">
            <w:pPr>
              <w:pStyle w:val="CommentaryTabletext"/>
              <w:jc w:val="center"/>
              <w:rPr>
                <w:rFonts w:eastAsia="Calibri"/>
                <w:b/>
                <w:color w:val="auto"/>
              </w:rPr>
            </w:pPr>
            <w:r w:rsidRPr="002531B7">
              <w:rPr>
                <w:rFonts w:eastAsia="Calibri"/>
                <w:b/>
                <w:color w:val="auto"/>
              </w:rPr>
              <w:t>Year 3</w:t>
            </w:r>
          </w:p>
        </w:tc>
        <w:tc>
          <w:tcPr>
            <w:tcW w:w="686" w:type="pct"/>
          </w:tcPr>
          <w:p w14:paraId="6CAEDBF7" w14:textId="77777777" w:rsidR="009E4F16" w:rsidRPr="002531B7" w:rsidRDefault="009E4F16" w:rsidP="001C20F8">
            <w:pPr>
              <w:pStyle w:val="CommentaryTabletext"/>
              <w:jc w:val="center"/>
              <w:rPr>
                <w:rFonts w:eastAsia="Calibri"/>
                <w:b/>
                <w:color w:val="auto"/>
              </w:rPr>
            </w:pPr>
            <w:r w:rsidRPr="002531B7">
              <w:rPr>
                <w:rFonts w:eastAsia="Calibri"/>
                <w:b/>
                <w:color w:val="auto"/>
              </w:rPr>
              <w:t>Year 4</w:t>
            </w:r>
          </w:p>
        </w:tc>
        <w:tc>
          <w:tcPr>
            <w:tcW w:w="687" w:type="pct"/>
          </w:tcPr>
          <w:p w14:paraId="0B399017" w14:textId="77777777" w:rsidR="009E4F16" w:rsidRPr="002531B7" w:rsidRDefault="009E4F16" w:rsidP="001C20F8">
            <w:pPr>
              <w:pStyle w:val="CommentaryTabletext"/>
              <w:jc w:val="center"/>
              <w:rPr>
                <w:rFonts w:eastAsia="Calibri"/>
                <w:b/>
                <w:color w:val="auto"/>
              </w:rPr>
            </w:pPr>
            <w:r w:rsidRPr="002531B7">
              <w:rPr>
                <w:rFonts w:eastAsia="Calibri"/>
                <w:b/>
                <w:color w:val="auto"/>
              </w:rPr>
              <w:t>Year 5</w:t>
            </w:r>
          </w:p>
        </w:tc>
      </w:tr>
      <w:tr w:rsidR="009E4F16" w:rsidRPr="002531B7" w14:paraId="44966557" w14:textId="77777777" w:rsidTr="001C20F8">
        <w:trPr>
          <w:trHeight w:val="174"/>
        </w:trPr>
        <w:tc>
          <w:tcPr>
            <w:tcW w:w="1569" w:type="pct"/>
          </w:tcPr>
          <w:p w14:paraId="1463858E" w14:textId="77777777" w:rsidR="009E4F16" w:rsidRPr="002531B7" w:rsidRDefault="009E4F16" w:rsidP="001C20F8">
            <w:pPr>
              <w:pStyle w:val="CommentaryTabletext"/>
              <w:rPr>
                <w:rFonts w:eastAsia="MS Mincho"/>
                <w:color w:val="auto"/>
              </w:rPr>
            </w:pPr>
            <w:r w:rsidRPr="002531B7">
              <w:rPr>
                <w:rFonts w:eastAsia="MS Mincho"/>
                <w:color w:val="auto"/>
              </w:rPr>
              <w:t xml:space="preserve">Cost of </w:t>
            </w:r>
            <w:proofErr w:type="spellStart"/>
            <w:r w:rsidRPr="002531B7">
              <w:rPr>
                <w:rFonts w:eastAsia="MS Mincho"/>
                <w:color w:val="auto"/>
              </w:rPr>
              <w:t>rTMS</w:t>
            </w:r>
            <w:proofErr w:type="spellEnd"/>
            <w:r w:rsidRPr="002531B7">
              <w:rPr>
                <w:rFonts w:eastAsia="MS Mincho"/>
                <w:color w:val="auto"/>
              </w:rPr>
              <w:t xml:space="preserve"> to the MBS </w:t>
            </w:r>
          </w:p>
        </w:tc>
        <w:tc>
          <w:tcPr>
            <w:tcW w:w="686" w:type="pct"/>
          </w:tcPr>
          <w:p w14:paraId="49075474" w14:textId="77777777" w:rsidR="009E4F16" w:rsidRPr="002531B7" w:rsidRDefault="009E4F16" w:rsidP="001C20F8">
            <w:pPr>
              <w:pStyle w:val="CommentaryTabletext"/>
              <w:jc w:val="right"/>
              <w:rPr>
                <w:rFonts w:eastAsia="MS Mincho"/>
                <w:color w:val="auto"/>
              </w:rPr>
            </w:pPr>
            <w:r w:rsidRPr="002531B7">
              <w:rPr>
                <w:rFonts w:eastAsia="MS Mincho"/>
                <w:color w:val="auto"/>
              </w:rPr>
              <w:t>$45,076,623</w:t>
            </w:r>
          </w:p>
        </w:tc>
        <w:tc>
          <w:tcPr>
            <w:tcW w:w="686" w:type="pct"/>
          </w:tcPr>
          <w:p w14:paraId="393FC500" w14:textId="77777777" w:rsidR="009E4F16" w:rsidRPr="002531B7" w:rsidRDefault="009E4F16" w:rsidP="001C20F8">
            <w:pPr>
              <w:pStyle w:val="CommentaryTabletext"/>
              <w:jc w:val="right"/>
              <w:rPr>
                <w:rFonts w:eastAsia="MS Mincho"/>
                <w:color w:val="auto"/>
              </w:rPr>
            </w:pPr>
            <w:r w:rsidRPr="002531B7">
              <w:rPr>
                <w:rFonts w:eastAsia="MS Mincho"/>
                <w:color w:val="auto"/>
              </w:rPr>
              <w:t>$72,241,023</w:t>
            </w:r>
          </w:p>
        </w:tc>
        <w:tc>
          <w:tcPr>
            <w:tcW w:w="686" w:type="pct"/>
          </w:tcPr>
          <w:p w14:paraId="5E756930" w14:textId="77777777" w:rsidR="009E4F16" w:rsidRPr="002531B7" w:rsidRDefault="009E4F16" w:rsidP="001C20F8">
            <w:pPr>
              <w:pStyle w:val="CommentaryTabletext"/>
              <w:jc w:val="right"/>
              <w:rPr>
                <w:rFonts w:eastAsia="MS Mincho"/>
                <w:color w:val="auto"/>
              </w:rPr>
            </w:pPr>
            <w:r w:rsidRPr="002531B7">
              <w:rPr>
                <w:rFonts w:eastAsia="MS Mincho"/>
                <w:color w:val="auto"/>
              </w:rPr>
              <w:t>$86,936,156</w:t>
            </w:r>
          </w:p>
        </w:tc>
        <w:tc>
          <w:tcPr>
            <w:tcW w:w="686" w:type="pct"/>
          </w:tcPr>
          <w:p w14:paraId="59514E9F" w14:textId="77777777" w:rsidR="009E4F16" w:rsidRPr="002531B7" w:rsidRDefault="009E4F16" w:rsidP="001C20F8">
            <w:pPr>
              <w:pStyle w:val="CommentaryTabletext"/>
              <w:jc w:val="right"/>
              <w:rPr>
                <w:rFonts w:eastAsia="MS Mincho"/>
                <w:color w:val="auto"/>
              </w:rPr>
            </w:pPr>
            <w:r w:rsidRPr="002531B7">
              <w:rPr>
                <w:rFonts w:eastAsia="MS Mincho"/>
                <w:color w:val="auto"/>
              </w:rPr>
              <w:t>$87,129,717</w:t>
            </w:r>
          </w:p>
        </w:tc>
        <w:tc>
          <w:tcPr>
            <w:tcW w:w="687" w:type="pct"/>
          </w:tcPr>
          <w:p w14:paraId="1F421117" w14:textId="77777777" w:rsidR="009E4F16" w:rsidRPr="002531B7" w:rsidRDefault="009E4F16" w:rsidP="001C20F8">
            <w:pPr>
              <w:pStyle w:val="CommentaryTabletext"/>
              <w:jc w:val="right"/>
              <w:rPr>
                <w:rFonts w:eastAsia="MS Mincho"/>
                <w:color w:val="auto"/>
              </w:rPr>
            </w:pPr>
            <w:r w:rsidRPr="002531B7">
              <w:rPr>
                <w:rFonts w:eastAsia="MS Mincho"/>
                <w:color w:val="auto"/>
              </w:rPr>
              <w:t>$75,378,870</w:t>
            </w:r>
          </w:p>
        </w:tc>
      </w:tr>
      <w:tr w:rsidR="009E4F16" w:rsidRPr="002531B7" w14:paraId="51748BE2" w14:textId="77777777" w:rsidTr="001C20F8">
        <w:trPr>
          <w:trHeight w:val="174"/>
        </w:trPr>
        <w:tc>
          <w:tcPr>
            <w:tcW w:w="1569" w:type="pct"/>
          </w:tcPr>
          <w:p w14:paraId="58BA871B" w14:textId="77777777" w:rsidR="009E4F16" w:rsidRPr="002531B7" w:rsidRDefault="009E4F16" w:rsidP="001C20F8">
            <w:pPr>
              <w:pStyle w:val="CommentaryTabletext"/>
              <w:rPr>
                <w:rFonts w:eastAsia="MS Mincho"/>
                <w:color w:val="auto"/>
              </w:rPr>
            </w:pPr>
            <w:r w:rsidRPr="002531B7">
              <w:rPr>
                <w:rFonts w:eastAsia="MS Mincho"/>
                <w:color w:val="auto"/>
              </w:rPr>
              <w:t>Change in use of other MBS items</w:t>
            </w:r>
          </w:p>
        </w:tc>
        <w:tc>
          <w:tcPr>
            <w:tcW w:w="686" w:type="pct"/>
          </w:tcPr>
          <w:p w14:paraId="06DE021C" w14:textId="77777777" w:rsidR="009E4F16" w:rsidRPr="002531B7" w:rsidRDefault="009E4F16" w:rsidP="001C20F8">
            <w:pPr>
              <w:pStyle w:val="CommentaryTabletext"/>
              <w:jc w:val="right"/>
              <w:rPr>
                <w:rFonts w:eastAsia="MS Mincho"/>
                <w:color w:val="auto"/>
              </w:rPr>
            </w:pPr>
            <w:r w:rsidRPr="002531B7">
              <w:rPr>
                <w:rFonts w:eastAsia="MS Mincho"/>
                <w:color w:val="auto"/>
              </w:rPr>
              <w:t>−$2,240,507</w:t>
            </w:r>
          </w:p>
        </w:tc>
        <w:tc>
          <w:tcPr>
            <w:tcW w:w="686" w:type="pct"/>
          </w:tcPr>
          <w:p w14:paraId="0E03A3D9" w14:textId="77777777" w:rsidR="009E4F16" w:rsidRPr="002531B7" w:rsidRDefault="009E4F16" w:rsidP="001C20F8">
            <w:pPr>
              <w:pStyle w:val="CommentaryTabletext"/>
              <w:jc w:val="right"/>
              <w:rPr>
                <w:rFonts w:eastAsia="MS Mincho"/>
                <w:color w:val="auto"/>
              </w:rPr>
            </w:pPr>
            <w:r w:rsidRPr="002531B7">
              <w:rPr>
                <w:rFonts w:eastAsia="MS Mincho"/>
                <w:color w:val="auto"/>
              </w:rPr>
              <w:t>−$5,831,204</w:t>
            </w:r>
          </w:p>
        </w:tc>
        <w:tc>
          <w:tcPr>
            <w:tcW w:w="686" w:type="pct"/>
          </w:tcPr>
          <w:p w14:paraId="3CB16DBC" w14:textId="77777777" w:rsidR="009E4F16" w:rsidRPr="002531B7" w:rsidRDefault="009E4F16" w:rsidP="001C20F8">
            <w:pPr>
              <w:pStyle w:val="CommentaryTabletext"/>
              <w:jc w:val="right"/>
              <w:rPr>
                <w:rFonts w:eastAsia="MS Mincho"/>
                <w:color w:val="auto"/>
              </w:rPr>
            </w:pPr>
            <w:r w:rsidRPr="002531B7">
              <w:rPr>
                <w:rFonts w:eastAsia="MS Mincho"/>
                <w:color w:val="auto"/>
              </w:rPr>
              <w:t>−$10,152,315</w:t>
            </w:r>
          </w:p>
        </w:tc>
        <w:tc>
          <w:tcPr>
            <w:tcW w:w="686" w:type="pct"/>
          </w:tcPr>
          <w:p w14:paraId="7DCB9E15" w14:textId="77777777" w:rsidR="009E4F16" w:rsidRPr="002531B7" w:rsidRDefault="009E4F16" w:rsidP="001C20F8">
            <w:pPr>
              <w:pStyle w:val="CommentaryTabletext"/>
              <w:jc w:val="right"/>
              <w:rPr>
                <w:rFonts w:eastAsia="MS Mincho"/>
                <w:color w:val="auto"/>
              </w:rPr>
            </w:pPr>
            <w:r w:rsidRPr="002531B7">
              <w:rPr>
                <w:rFonts w:eastAsia="MS Mincho"/>
                <w:color w:val="auto"/>
              </w:rPr>
              <w:t>−$14,483,046</w:t>
            </w:r>
          </w:p>
        </w:tc>
        <w:tc>
          <w:tcPr>
            <w:tcW w:w="687" w:type="pct"/>
          </w:tcPr>
          <w:p w14:paraId="077C9533" w14:textId="77777777" w:rsidR="009E4F16" w:rsidRPr="002531B7" w:rsidRDefault="009E4F16" w:rsidP="001C20F8">
            <w:pPr>
              <w:pStyle w:val="CommentaryTabletext"/>
              <w:jc w:val="right"/>
              <w:rPr>
                <w:rFonts w:eastAsia="MS Mincho"/>
                <w:color w:val="auto"/>
              </w:rPr>
            </w:pPr>
            <w:r w:rsidRPr="002531B7">
              <w:rPr>
                <w:rFonts w:eastAsia="MS Mincho"/>
                <w:color w:val="auto"/>
              </w:rPr>
              <w:t>−$18,229,708</w:t>
            </w:r>
          </w:p>
        </w:tc>
      </w:tr>
      <w:tr w:rsidR="009E4F16" w:rsidRPr="002531B7" w14:paraId="0D64797C" w14:textId="77777777" w:rsidTr="001C20F8">
        <w:trPr>
          <w:trHeight w:val="174"/>
        </w:trPr>
        <w:tc>
          <w:tcPr>
            <w:tcW w:w="1569" w:type="pct"/>
          </w:tcPr>
          <w:p w14:paraId="7F274C71" w14:textId="77777777" w:rsidR="009E4F16" w:rsidRPr="002531B7" w:rsidRDefault="009E4F16" w:rsidP="001C20F8">
            <w:pPr>
              <w:pStyle w:val="CommentaryTabletext"/>
              <w:rPr>
                <w:rFonts w:eastAsia="MS Mincho"/>
                <w:b/>
                <w:color w:val="auto"/>
              </w:rPr>
            </w:pPr>
            <w:r w:rsidRPr="002531B7">
              <w:rPr>
                <w:rFonts w:eastAsia="MS Mincho"/>
                <w:b/>
                <w:color w:val="auto"/>
              </w:rPr>
              <w:t>Net implications to the MBS</w:t>
            </w:r>
          </w:p>
        </w:tc>
        <w:tc>
          <w:tcPr>
            <w:tcW w:w="686" w:type="pct"/>
            <w:vAlign w:val="bottom"/>
          </w:tcPr>
          <w:p w14:paraId="21AC881C" w14:textId="77777777" w:rsidR="009E4F16" w:rsidRPr="002531B7" w:rsidRDefault="009E4F16" w:rsidP="001C20F8">
            <w:pPr>
              <w:pStyle w:val="CommentaryTabletext"/>
              <w:jc w:val="right"/>
              <w:rPr>
                <w:rFonts w:eastAsia="MS Mincho"/>
                <w:b/>
                <w:color w:val="auto"/>
              </w:rPr>
            </w:pPr>
            <w:r w:rsidRPr="002531B7">
              <w:rPr>
                <w:b/>
                <w:color w:val="auto"/>
              </w:rPr>
              <w:t>$42,836,116</w:t>
            </w:r>
          </w:p>
        </w:tc>
        <w:tc>
          <w:tcPr>
            <w:tcW w:w="686" w:type="pct"/>
            <w:vAlign w:val="bottom"/>
          </w:tcPr>
          <w:p w14:paraId="72EE53CA" w14:textId="77777777" w:rsidR="009E4F16" w:rsidRPr="002531B7" w:rsidRDefault="009E4F16" w:rsidP="001C20F8">
            <w:pPr>
              <w:pStyle w:val="CommentaryTabletext"/>
              <w:jc w:val="right"/>
              <w:rPr>
                <w:rFonts w:eastAsia="MS Mincho"/>
                <w:b/>
                <w:color w:val="auto"/>
              </w:rPr>
            </w:pPr>
            <w:r w:rsidRPr="002531B7">
              <w:rPr>
                <w:b/>
                <w:color w:val="auto"/>
              </w:rPr>
              <w:t>$66,409,818</w:t>
            </w:r>
          </w:p>
        </w:tc>
        <w:tc>
          <w:tcPr>
            <w:tcW w:w="686" w:type="pct"/>
            <w:vAlign w:val="bottom"/>
          </w:tcPr>
          <w:p w14:paraId="3C11605F" w14:textId="77777777" w:rsidR="009E4F16" w:rsidRPr="002531B7" w:rsidRDefault="009E4F16" w:rsidP="001C20F8">
            <w:pPr>
              <w:pStyle w:val="CommentaryTabletext"/>
              <w:jc w:val="right"/>
              <w:rPr>
                <w:rFonts w:eastAsia="MS Mincho"/>
                <w:b/>
                <w:color w:val="auto"/>
              </w:rPr>
            </w:pPr>
            <w:r w:rsidRPr="002531B7">
              <w:rPr>
                <w:b/>
                <w:color w:val="auto"/>
              </w:rPr>
              <w:t>$76,783,842</w:t>
            </w:r>
          </w:p>
        </w:tc>
        <w:tc>
          <w:tcPr>
            <w:tcW w:w="686" w:type="pct"/>
            <w:vAlign w:val="bottom"/>
          </w:tcPr>
          <w:p w14:paraId="01AAFD40" w14:textId="77777777" w:rsidR="009E4F16" w:rsidRPr="002531B7" w:rsidRDefault="009E4F16" w:rsidP="001C20F8">
            <w:pPr>
              <w:pStyle w:val="CommentaryTabletext"/>
              <w:jc w:val="right"/>
              <w:rPr>
                <w:rFonts w:eastAsia="MS Mincho"/>
                <w:b/>
                <w:color w:val="auto"/>
              </w:rPr>
            </w:pPr>
            <w:r w:rsidRPr="002531B7">
              <w:rPr>
                <w:b/>
                <w:color w:val="auto"/>
              </w:rPr>
              <w:t>$72,646,671</w:t>
            </w:r>
          </w:p>
        </w:tc>
        <w:tc>
          <w:tcPr>
            <w:tcW w:w="687" w:type="pct"/>
            <w:vAlign w:val="bottom"/>
          </w:tcPr>
          <w:p w14:paraId="17C22079" w14:textId="77777777" w:rsidR="009E4F16" w:rsidRPr="002531B7" w:rsidRDefault="009E4F16" w:rsidP="001C20F8">
            <w:pPr>
              <w:pStyle w:val="CommentaryTabletext"/>
              <w:jc w:val="right"/>
              <w:rPr>
                <w:rFonts w:eastAsia="MS Mincho"/>
                <w:b/>
                <w:color w:val="auto"/>
              </w:rPr>
            </w:pPr>
            <w:r w:rsidRPr="002531B7">
              <w:rPr>
                <w:b/>
                <w:color w:val="auto"/>
              </w:rPr>
              <w:t>$57,149,161</w:t>
            </w:r>
          </w:p>
        </w:tc>
      </w:tr>
    </w:tbl>
    <w:p w14:paraId="62954503" w14:textId="70D119F1" w:rsidR="009E4F16" w:rsidRPr="002531B7" w:rsidRDefault="009E4F16" w:rsidP="00A66B88">
      <w:pPr>
        <w:pStyle w:val="Commentarytablenotes"/>
        <w:spacing w:after="240"/>
        <w:rPr>
          <w:color w:val="auto"/>
        </w:rPr>
      </w:pPr>
      <w:r w:rsidRPr="002531B7">
        <w:rPr>
          <w:color w:val="auto"/>
        </w:rPr>
        <w:t xml:space="preserve">Note: These have not corrected for the minor errors </w:t>
      </w:r>
      <w:r w:rsidR="008B6764">
        <w:rPr>
          <w:color w:val="auto"/>
        </w:rPr>
        <w:t xml:space="preserve">identified </w:t>
      </w:r>
    </w:p>
    <w:p w14:paraId="258998E2" w14:textId="6EBC9FC5" w:rsidR="00224B3E" w:rsidRPr="00C56349" w:rsidRDefault="009E4F16">
      <w:r w:rsidRPr="002531B7">
        <w:t xml:space="preserve">However, the Critique stated the costs offsets to the MBS are likely to have been substantially overestimated, as total hospital costs associated with ECT treatment have been assumed to offset MBS costs, and that cost offsets have been assumed to accrue in all years subsequent to </w:t>
      </w:r>
      <w:proofErr w:type="spellStart"/>
      <w:r w:rsidRPr="002531B7">
        <w:t>rTMS</w:t>
      </w:r>
      <w:proofErr w:type="spellEnd"/>
      <w:r w:rsidRPr="002531B7">
        <w:t xml:space="preserve"> treatment. A respecified analysis has been presented to attempt to account for these limitations (Table </w:t>
      </w:r>
      <w:r>
        <w:t>8</w:t>
      </w:r>
      <w:r w:rsidRPr="002531B7">
        <w:t>), sensitivity analyses exploring further key uncertainties have been presented around the respecified base case.</w:t>
      </w:r>
      <w:r w:rsidR="00224B3E">
        <w:br w:type="page"/>
      </w:r>
    </w:p>
    <w:p w14:paraId="2269737F" w14:textId="7625DC84" w:rsidR="009E4F16" w:rsidRPr="005910C6" w:rsidRDefault="009E4F16" w:rsidP="005910C6">
      <w:pPr>
        <w:rPr>
          <w:rFonts w:ascii="Arial Narrow" w:hAnsi="Arial Narrow"/>
          <w:b/>
          <w:sz w:val="20"/>
        </w:rPr>
      </w:pPr>
      <w:r w:rsidRPr="005910C6">
        <w:rPr>
          <w:rFonts w:ascii="Arial Narrow" w:hAnsi="Arial Narrow"/>
          <w:b/>
          <w:sz w:val="20"/>
        </w:rPr>
        <w:lastRenderedPageBreak/>
        <w:t>Table 8</w:t>
      </w:r>
      <w:r w:rsidRPr="005910C6">
        <w:rPr>
          <w:rFonts w:ascii="Arial Narrow" w:hAnsi="Arial Narrow"/>
          <w:b/>
          <w:sz w:val="20"/>
        </w:rPr>
        <w:tab/>
        <w:t>Respecified net financial implications to the MBS</w:t>
      </w:r>
    </w:p>
    <w:tbl>
      <w:tblPr>
        <w:tblStyle w:val="OPTUMTableNormal"/>
        <w:tblW w:w="5000" w:type="pct"/>
        <w:tblLayout w:type="fixed"/>
        <w:tblCellMar>
          <w:left w:w="28" w:type="dxa"/>
          <w:right w:w="28" w:type="dxa"/>
        </w:tblCellMar>
        <w:tblLook w:val="04A0" w:firstRow="1" w:lastRow="0" w:firstColumn="1" w:lastColumn="0" w:noHBand="0" w:noVBand="1"/>
        <w:tblCaption w:val="Respecified net financial implications to the MBS"/>
        <w:tblDescription w:val="Summary of Critique's respecified financial implications to the MBS"/>
      </w:tblPr>
      <w:tblGrid>
        <w:gridCol w:w="2974"/>
        <w:gridCol w:w="1209"/>
        <w:gridCol w:w="1209"/>
        <w:gridCol w:w="1208"/>
        <w:gridCol w:w="1208"/>
        <w:gridCol w:w="1208"/>
      </w:tblGrid>
      <w:tr w:rsidR="009E4F16" w:rsidRPr="002531B7" w14:paraId="16DE7D90" w14:textId="77777777" w:rsidTr="00AF019C">
        <w:trPr>
          <w:cnfStyle w:val="100000000000" w:firstRow="1" w:lastRow="0" w:firstColumn="0" w:lastColumn="0" w:oddVBand="0" w:evenVBand="0" w:oddHBand="0" w:evenHBand="0" w:firstRowFirstColumn="0" w:firstRowLastColumn="0" w:lastRowFirstColumn="0" w:lastRowLastColumn="0"/>
          <w:trHeight w:val="174"/>
          <w:tblHeader/>
        </w:trPr>
        <w:tc>
          <w:tcPr>
            <w:tcW w:w="1648" w:type="pct"/>
            <w:hideMark/>
          </w:tcPr>
          <w:p w14:paraId="428093FF" w14:textId="77777777" w:rsidR="009E4F16" w:rsidRPr="002531B7" w:rsidRDefault="009E4F16" w:rsidP="001C20F8">
            <w:pPr>
              <w:pStyle w:val="CommentaryTabletext"/>
              <w:rPr>
                <w:rFonts w:eastAsia="Calibri"/>
                <w:b/>
                <w:color w:val="auto"/>
              </w:rPr>
            </w:pPr>
          </w:p>
        </w:tc>
        <w:tc>
          <w:tcPr>
            <w:tcW w:w="670" w:type="pct"/>
            <w:hideMark/>
          </w:tcPr>
          <w:p w14:paraId="59BA74B4" w14:textId="77777777" w:rsidR="009E4F16" w:rsidRPr="002531B7" w:rsidRDefault="009E4F16" w:rsidP="001C20F8">
            <w:pPr>
              <w:pStyle w:val="CommentaryTabletext"/>
              <w:jc w:val="center"/>
              <w:rPr>
                <w:rFonts w:eastAsia="Calibri"/>
                <w:b/>
                <w:color w:val="auto"/>
              </w:rPr>
            </w:pPr>
            <w:r w:rsidRPr="002531B7">
              <w:rPr>
                <w:rFonts w:eastAsia="Calibri"/>
                <w:b/>
                <w:color w:val="auto"/>
              </w:rPr>
              <w:t>Year 1</w:t>
            </w:r>
          </w:p>
        </w:tc>
        <w:tc>
          <w:tcPr>
            <w:tcW w:w="670" w:type="pct"/>
          </w:tcPr>
          <w:p w14:paraId="611BF9C7" w14:textId="77777777" w:rsidR="009E4F16" w:rsidRPr="002531B7" w:rsidRDefault="009E4F16" w:rsidP="001C20F8">
            <w:pPr>
              <w:pStyle w:val="CommentaryTabletext"/>
              <w:jc w:val="center"/>
              <w:rPr>
                <w:rFonts w:eastAsia="Calibri"/>
                <w:b/>
                <w:color w:val="auto"/>
              </w:rPr>
            </w:pPr>
            <w:r w:rsidRPr="002531B7">
              <w:rPr>
                <w:rFonts w:eastAsia="Calibri"/>
                <w:b/>
                <w:color w:val="auto"/>
              </w:rPr>
              <w:t>Year 2</w:t>
            </w:r>
          </w:p>
        </w:tc>
        <w:tc>
          <w:tcPr>
            <w:tcW w:w="670" w:type="pct"/>
          </w:tcPr>
          <w:p w14:paraId="094A1FB6" w14:textId="77777777" w:rsidR="009E4F16" w:rsidRPr="002531B7" w:rsidRDefault="009E4F16" w:rsidP="001C20F8">
            <w:pPr>
              <w:pStyle w:val="CommentaryTabletext"/>
              <w:jc w:val="center"/>
              <w:rPr>
                <w:rFonts w:eastAsia="Calibri"/>
                <w:b/>
                <w:color w:val="auto"/>
              </w:rPr>
            </w:pPr>
            <w:r w:rsidRPr="002531B7">
              <w:rPr>
                <w:rFonts w:eastAsia="Calibri"/>
                <w:b/>
                <w:color w:val="auto"/>
              </w:rPr>
              <w:t>Year 3</w:t>
            </w:r>
          </w:p>
        </w:tc>
        <w:tc>
          <w:tcPr>
            <w:tcW w:w="670" w:type="pct"/>
          </w:tcPr>
          <w:p w14:paraId="7BAF497A" w14:textId="77777777" w:rsidR="009E4F16" w:rsidRPr="002531B7" w:rsidRDefault="009E4F16" w:rsidP="001C20F8">
            <w:pPr>
              <w:pStyle w:val="CommentaryTabletext"/>
              <w:jc w:val="center"/>
              <w:rPr>
                <w:rFonts w:eastAsia="Calibri"/>
                <w:b/>
                <w:color w:val="auto"/>
              </w:rPr>
            </w:pPr>
            <w:r w:rsidRPr="002531B7">
              <w:rPr>
                <w:rFonts w:eastAsia="Calibri"/>
                <w:b/>
                <w:color w:val="auto"/>
              </w:rPr>
              <w:t>Year 4</w:t>
            </w:r>
          </w:p>
        </w:tc>
        <w:tc>
          <w:tcPr>
            <w:tcW w:w="670" w:type="pct"/>
          </w:tcPr>
          <w:p w14:paraId="0EA2CEA6" w14:textId="77777777" w:rsidR="009E4F16" w:rsidRPr="002531B7" w:rsidRDefault="009E4F16" w:rsidP="001C20F8">
            <w:pPr>
              <w:pStyle w:val="CommentaryTabletext"/>
              <w:jc w:val="center"/>
              <w:rPr>
                <w:rFonts w:eastAsia="Calibri"/>
                <w:b/>
                <w:color w:val="auto"/>
              </w:rPr>
            </w:pPr>
            <w:r w:rsidRPr="002531B7">
              <w:rPr>
                <w:rFonts w:eastAsia="Calibri"/>
                <w:b/>
                <w:color w:val="auto"/>
              </w:rPr>
              <w:t>Year 5</w:t>
            </w:r>
          </w:p>
        </w:tc>
      </w:tr>
      <w:tr w:rsidR="009E4F16" w:rsidRPr="002531B7" w14:paraId="3B11362E" w14:textId="77777777" w:rsidTr="001C20F8">
        <w:trPr>
          <w:trHeight w:val="174"/>
        </w:trPr>
        <w:tc>
          <w:tcPr>
            <w:tcW w:w="1648" w:type="pct"/>
          </w:tcPr>
          <w:p w14:paraId="7083CD2F" w14:textId="77777777" w:rsidR="009E4F16" w:rsidRPr="002531B7" w:rsidRDefault="009E4F16" w:rsidP="001C20F8">
            <w:pPr>
              <w:pStyle w:val="TableText0"/>
              <w:rPr>
                <w:rFonts w:eastAsia="MS Mincho" w:cs="ArialMT"/>
                <w:bCs/>
                <w:szCs w:val="20"/>
                <w:lang w:val="en-GB"/>
              </w:rPr>
            </w:pPr>
            <w:r w:rsidRPr="002531B7">
              <w:rPr>
                <w:rFonts w:eastAsia="MS Mincho" w:cs="ArialMT"/>
                <w:bCs/>
                <w:szCs w:val="20"/>
                <w:lang w:val="en-GB"/>
              </w:rPr>
              <w:t>Population with TRD (less prior patients)</w:t>
            </w:r>
          </w:p>
        </w:tc>
        <w:tc>
          <w:tcPr>
            <w:tcW w:w="670" w:type="pct"/>
            <w:vAlign w:val="bottom"/>
          </w:tcPr>
          <w:p w14:paraId="0B63760B" w14:textId="77777777" w:rsidR="009E4F16" w:rsidRPr="002531B7" w:rsidRDefault="009E4F16" w:rsidP="001C20F8">
            <w:pPr>
              <w:pStyle w:val="TableText0"/>
              <w:rPr>
                <w:rFonts w:eastAsia="MS Mincho" w:cs="ArialMT"/>
                <w:bCs/>
                <w:szCs w:val="20"/>
                <w:lang w:val="en-GB"/>
              </w:rPr>
            </w:pPr>
            <w:r w:rsidRPr="002531B7">
              <w:rPr>
                <w:rFonts w:eastAsia="MS Mincho" w:cs="ArialMT"/>
                <w:bCs/>
                <w:szCs w:val="20"/>
                <w:lang w:val="en-GB"/>
              </w:rPr>
              <w:t>112,488</w:t>
            </w:r>
          </w:p>
        </w:tc>
        <w:tc>
          <w:tcPr>
            <w:tcW w:w="670" w:type="pct"/>
            <w:vAlign w:val="bottom"/>
          </w:tcPr>
          <w:p w14:paraId="01B4421E" w14:textId="77777777" w:rsidR="009E4F16" w:rsidRPr="002531B7" w:rsidRDefault="009E4F16" w:rsidP="001C20F8">
            <w:pPr>
              <w:pStyle w:val="TableText0"/>
              <w:rPr>
                <w:rFonts w:eastAsia="MS Mincho" w:cs="ArialMT"/>
                <w:bCs/>
                <w:szCs w:val="20"/>
                <w:lang w:val="en-GB"/>
              </w:rPr>
            </w:pPr>
            <w:r w:rsidRPr="002531B7">
              <w:rPr>
                <w:rFonts w:eastAsia="MS Mincho" w:cs="ArialMT"/>
                <w:bCs/>
                <w:szCs w:val="20"/>
                <w:lang w:val="en-GB"/>
              </w:rPr>
              <w:t>103,015</w:t>
            </w:r>
          </w:p>
        </w:tc>
        <w:tc>
          <w:tcPr>
            <w:tcW w:w="670" w:type="pct"/>
            <w:vAlign w:val="bottom"/>
          </w:tcPr>
          <w:p w14:paraId="7B591C43" w14:textId="77777777" w:rsidR="009E4F16" w:rsidRPr="002531B7" w:rsidRDefault="009E4F16" w:rsidP="001C20F8">
            <w:pPr>
              <w:pStyle w:val="TableText0"/>
              <w:rPr>
                <w:rFonts w:eastAsia="MS Mincho" w:cs="ArialMT"/>
                <w:bCs/>
                <w:szCs w:val="20"/>
                <w:lang w:val="en-GB"/>
              </w:rPr>
            </w:pPr>
            <w:r w:rsidRPr="002531B7">
              <w:rPr>
                <w:rFonts w:eastAsia="MS Mincho" w:cs="ArialMT"/>
                <w:bCs/>
                <w:szCs w:val="20"/>
                <w:lang w:val="en-GB"/>
              </w:rPr>
              <w:t>86,779</w:t>
            </w:r>
          </w:p>
        </w:tc>
        <w:tc>
          <w:tcPr>
            <w:tcW w:w="670" w:type="pct"/>
            <w:vAlign w:val="bottom"/>
          </w:tcPr>
          <w:p w14:paraId="249E2C5B" w14:textId="77777777" w:rsidR="009E4F16" w:rsidRPr="002531B7" w:rsidRDefault="009E4F16" w:rsidP="001C20F8">
            <w:pPr>
              <w:pStyle w:val="TableText0"/>
              <w:rPr>
                <w:rFonts w:eastAsia="MS Mincho" w:cs="ArialMT"/>
                <w:bCs/>
                <w:szCs w:val="20"/>
                <w:lang w:val="en-GB"/>
              </w:rPr>
            </w:pPr>
            <w:r w:rsidRPr="002531B7">
              <w:rPr>
                <w:rFonts w:eastAsia="MS Mincho" w:cs="ArialMT"/>
                <w:bCs/>
                <w:szCs w:val="20"/>
                <w:lang w:val="en-GB"/>
              </w:rPr>
              <w:t>66,902</w:t>
            </w:r>
          </w:p>
        </w:tc>
        <w:tc>
          <w:tcPr>
            <w:tcW w:w="670" w:type="pct"/>
            <w:vAlign w:val="bottom"/>
          </w:tcPr>
          <w:p w14:paraId="63186CC2" w14:textId="77777777" w:rsidR="009E4F16" w:rsidRPr="002531B7" w:rsidRDefault="009E4F16" w:rsidP="001C20F8">
            <w:pPr>
              <w:pStyle w:val="TableText0"/>
              <w:rPr>
                <w:rFonts w:eastAsia="MS Mincho" w:cs="ArialMT"/>
                <w:bCs/>
                <w:szCs w:val="20"/>
                <w:lang w:val="en-GB"/>
              </w:rPr>
            </w:pPr>
            <w:r w:rsidRPr="002531B7">
              <w:rPr>
                <w:rFonts w:eastAsia="MS Mincho" w:cs="ArialMT"/>
                <w:bCs/>
                <w:szCs w:val="20"/>
                <w:lang w:val="en-GB"/>
              </w:rPr>
              <w:t>47,027</w:t>
            </w:r>
          </w:p>
        </w:tc>
      </w:tr>
      <w:tr w:rsidR="009E4F16" w:rsidRPr="002531B7" w14:paraId="5D9D71F9" w14:textId="77777777" w:rsidTr="001C20F8">
        <w:trPr>
          <w:trHeight w:val="174"/>
        </w:trPr>
        <w:tc>
          <w:tcPr>
            <w:tcW w:w="1648" w:type="pct"/>
            <w:vAlign w:val="center"/>
          </w:tcPr>
          <w:p w14:paraId="1E58452D" w14:textId="77777777" w:rsidR="009E4F16" w:rsidRPr="002531B7" w:rsidRDefault="009E4F16" w:rsidP="001C20F8">
            <w:pPr>
              <w:pStyle w:val="TableText0"/>
              <w:rPr>
                <w:rFonts w:eastAsia="MS Mincho"/>
              </w:rPr>
            </w:pPr>
            <w:r w:rsidRPr="002531B7">
              <w:rPr>
                <w:rFonts w:eastAsia="MS Mincho" w:cs="ArialMT"/>
                <w:bCs/>
                <w:szCs w:val="20"/>
                <w:lang w:val="en-GB"/>
              </w:rPr>
              <w:t xml:space="preserve">Uptake rate of </w:t>
            </w:r>
            <w:proofErr w:type="spellStart"/>
            <w:r w:rsidRPr="002531B7">
              <w:rPr>
                <w:rFonts w:eastAsia="MS Mincho" w:cs="ArialMT"/>
                <w:bCs/>
                <w:szCs w:val="20"/>
                <w:lang w:val="en-GB"/>
              </w:rPr>
              <w:t>rTMS</w:t>
            </w:r>
            <w:proofErr w:type="spellEnd"/>
            <w:r w:rsidRPr="002531B7">
              <w:rPr>
                <w:rFonts w:eastAsia="MS Mincho" w:cs="ArialMT"/>
                <w:bCs/>
                <w:szCs w:val="20"/>
                <w:lang w:val="en-GB"/>
              </w:rPr>
              <w:t xml:space="preserve"> </w:t>
            </w:r>
          </w:p>
        </w:tc>
        <w:tc>
          <w:tcPr>
            <w:tcW w:w="670" w:type="pct"/>
            <w:vAlign w:val="bottom"/>
          </w:tcPr>
          <w:p w14:paraId="3B62873F" w14:textId="77777777" w:rsidR="009E4F16" w:rsidRPr="002531B7" w:rsidRDefault="009E4F16" w:rsidP="001C20F8">
            <w:pPr>
              <w:pStyle w:val="TableText0"/>
            </w:pPr>
            <w:r w:rsidRPr="002531B7">
              <w:rPr>
                <w:rFonts w:eastAsia="MS Mincho" w:cs="ArialMT"/>
                <w:bCs/>
                <w:szCs w:val="20"/>
                <w:lang w:val="en-GB"/>
              </w:rPr>
              <w:t>10.00%</w:t>
            </w:r>
          </w:p>
        </w:tc>
        <w:tc>
          <w:tcPr>
            <w:tcW w:w="670" w:type="pct"/>
            <w:vAlign w:val="bottom"/>
          </w:tcPr>
          <w:p w14:paraId="4DEB42B2" w14:textId="77777777" w:rsidR="009E4F16" w:rsidRPr="002531B7" w:rsidRDefault="009E4F16" w:rsidP="001C20F8">
            <w:pPr>
              <w:pStyle w:val="TableText0"/>
            </w:pPr>
            <w:r w:rsidRPr="002531B7">
              <w:rPr>
                <w:rFonts w:eastAsia="MS Mincho" w:cs="ArialMT"/>
                <w:bCs/>
                <w:szCs w:val="20"/>
                <w:lang w:val="en-GB"/>
              </w:rPr>
              <w:t>17.50%</w:t>
            </w:r>
          </w:p>
        </w:tc>
        <w:tc>
          <w:tcPr>
            <w:tcW w:w="670" w:type="pct"/>
            <w:vAlign w:val="bottom"/>
          </w:tcPr>
          <w:p w14:paraId="556A7317" w14:textId="77777777" w:rsidR="009E4F16" w:rsidRPr="002531B7" w:rsidRDefault="009E4F16" w:rsidP="001C20F8">
            <w:pPr>
              <w:pStyle w:val="TableText0"/>
            </w:pPr>
            <w:r w:rsidRPr="002531B7">
              <w:rPr>
                <w:rFonts w:eastAsia="MS Mincho" w:cs="ArialMT"/>
                <w:bCs/>
                <w:szCs w:val="20"/>
                <w:lang w:val="en-GB"/>
              </w:rPr>
              <w:t>25.00%</w:t>
            </w:r>
          </w:p>
        </w:tc>
        <w:tc>
          <w:tcPr>
            <w:tcW w:w="670" w:type="pct"/>
            <w:vAlign w:val="bottom"/>
          </w:tcPr>
          <w:p w14:paraId="6FCE1DAF" w14:textId="77777777" w:rsidR="009E4F16" w:rsidRPr="002531B7" w:rsidRDefault="009E4F16" w:rsidP="001C20F8">
            <w:pPr>
              <w:pStyle w:val="TableText0"/>
            </w:pPr>
            <w:r w:rsidRPr="002531B7">
              <w:rPr>
                <w:rFonts w:eastAsia="MS Mincho" w:cs="ArialMT"/>
                <w:bCs/>
                <w:szCs w:val="20"/>
                <w:lang w:val="en-GB"/>
              </w:rPr>
              <w:t>32.50%</w:t>
            </w:r>
          </w:p>
        </w:tc>
        <w:tc>
          <w:tcPr>
            <w:tcW w:w="670" w:type="pct"/>
            <w:vAlign w:val="bottom"/>
          </w:tcPr>
          <w:p w14:paraId="5155A4BB" w14:textId="77777777" w:rsidR="009E4F16" w:rsidRPr="002531B7" w:rsidRDefault="009E4F16" w:rsidP="001C20F8">
            <w:pPr>
              <w:pStyle w:val="TableText0"/>
            </w:pPr>
            <w:r w:rsidRPr="002531B7">
              <w:rPr>
                <w:rFonts w:eastAsia="MS Mincho" w:cs="ArialMT"/>
                <w:bCs/>
                <w:szCs w:val="20"/>
                <w:lang w:val="en-GB"/>
              </w:rPr>
              <w:t>40.00%</w:t>
            </w:r>
          </w:p>
        </w:tc>
      </w:tr>
      <w:tr w:rsidR="009E4F16" w:rsidRPr="002531B7" w14:paraId="3809B811" w14:textId="77777777" w:rsidTr="001C20F8">
        <w:trPr>
          <w:trHeight w:val="174"/>
        </w:trPr>
        <w:tc>
          <w:tcPr>
            <w:tcW w:w="1648" w:type="pct"/>
            <w:vAlign w:val="center"/>
          </w:tcPr>
          <w:p w14:paraId="7C2A47B4" w14:textId="77777777" w:rsidR="009E4F16" w:rsidRPr="002531B7" w:rsidRDefault="009E4F16" w:rsidP="001C20F8">
            <w:pPr>
              <w:pStyle w:val="TableText0"/>
              <w:rPr>
                <w:rFonts w:eastAsia="MS Mincho"/>
              </w:rPr>
            </w:pPr>
            <w:r w:rsidRPr="002531B7">
              <w:rPr>
                <w:rFonts w:eastAsia="MS Mincho" w:cs="ArialMT"/>
                <w:bCs/>
                <w:szCs w:val="20"/>
                <w:lang w:val="en-GB"/>
              </w:rPr>
              <w:t xml:space="preserve">Patients starting </w:t>
            </w:r>
            <w:proofErr w:type="spellStart"/>
            <w:r w:rsidRPr="002531B7">
              <w:rPr>
                <w:rFonts w:eastAsia="MS Mincho" w:cs="ArialMT"/>
                <w:bCs/>
                <w:szCs w:val="20"/>
                <w:lang w:val="en-GB"/>
              </w:rPr>
              <w:t>rTMS</w:t>
            </w:r>
            <w:proofErr w:type="spellEnd"/>
            <w:r w:rsidRPr="002531B7">
              <w:rPr>
                <w:rFonts w:eastAsia="MS Mincho" w:cs="ArialMT"/>
                <w:bCs/>
                <w:szCs w:val="20"/>
                <w:lang w:val="en-GB"/>
              </w:rPr>
              <w:t xml:space="preserve">  </w:t>
            </w:r>
          </w:p>
        </w:tc>
        <w:tc>
          <w:tcPr>
            <w:tcW w:w="670" w:type="pct"/>
            <w:vAlign w:val="bottom"/>
          </w:tcPr>
          <w:p w14:paraId="7D0DB3F5" w14:textId="77777777" w:rsidR="009E4F16" w:rsidRPr="002531B7" w:rsidRDefault="009E4F16" w:rsidP="001C20F8">
            <w:pPr>
              <w:pStyle w:val="TableText0"/>
            </w:pPr>
            <w:r w:rsidRPr="002531B7">
              <w:rPr>
                <w:rFonts w:eastAsia="MS Mincho" w:cs="ArialMT"/>
                <w:bCs/>
                <w:szCs w:val="20"/>
                <w:lang w:val="en-GB"/>
              </w:rPr>
              <w:t>11,249</w:t>
            </w:r>
          </w:p>
        </w:tc>
        <w:tc>
          <w:tcPr>
            <w:tcW w:w="670" w:type="pct"/>
            <w:vAlign w:val="bottom"/>
          </w:tcPr>
          <w:p w14:paraId="11BDA9AE" w14:textId="77777777" w:rsidR="009E4F16" w:rsidRPr="002531B7" w:rsidRDefault="009E4F16" w:rsidP="001C20F8">
            <w:pPr>
              <w:pStyle w:val="TableText0"/>
            </w:pPr>
            <w:r w:rsidRPr="002531B7">
              <w:rPr>
                <w:rFonts w:eastAsia="MS Mincho" w:cs="ArialMT"/>
                <w:bCs/>
                <w:szCs w:val="20"/>
                <w:lang w:val="en-GB"/>
              </w:rPr>
              <w:t>18,028</w:t>
            </w:r>
          </w:p>
        </w:tc>
        <w:tc>
          <w:tcPr>
            <w:tcW w:w="670" w:type="pct"/>
            <w:vAlign w:val="bottom"/>
          </w:tcPr>
          <w:p w14:paraId="34232C70" w14:textId="77777777" w:rsidR="009E4F16" w:rsidRPr="002531B7" w:rsidRDefault="009E4F16" w:rsidP="001C20F8">
            <w:pPr>
              <w:pStyle w:val="TableText0"/>
            </w:pPr>
            <w:r w:rsidRPr="002531B7">
              <w:rPr>
                <w:rFonts w:eastAsia="MS Mincho" w:cs="ArialMT"/>
                <w:bCs/>
                <w:szCs w:val="20"/>
                <w:lang w:val="en-GB"/>
              </w:rPr>
              <w:t>21,695</w:t>
            </w:r>
          </w:p>
        </w:tc>
        <w:tc>
          <w:tcPr>
            <w:tcW w:w="670" w:type="pct"/>
            <w:vAlign w:val="bottom"/>
          </w:tcPr>
          <w:p w14:paraId="446C8F51" w14:textId="77777777" w:rsidR="009E4F16" w:rsidRPr="002531B7" w:rsidRDefault="009E4F16" w:rsidP="001C20F8">
            <w:pPr>
              <w:pStyle w:val="TableText0"/>
            </w:pPr>
            <w:r w:rsidRPr="002531B7">
              <w:rPr>
                <w:rFonts w:eastAsia="MS Mincho" w:cs="ArialMT"/>
                <w:bCs/>
                <w:szCs w:val="20"/>
                <w:lang w:val="en-GB"/>
              </w:rPr>
              <w:t>21,743</w:t>
            </w:r>
          </w:p>
        </w:tc>
        <w:tc>
          <w:tcPr>
            <w:tcW w:w="670" w:type="pct"/>
            <w:vAlign w:val="bottom"/>
          </w:tcPr>
          <w:p w14:paraId="13C2ECF9" w14:textId="77777777" w:rsidR="009E4F16" w:rsidRPr="002531B7" w:rsidRDefault="009E4F16" w:rsidP="001C20F8">
            <w:pPr>
              <w:pStyle w:val="TableText0"/>
            </w:pPr>
            <w:r w:rsidRPr="002531B7">
              <w:rPr>
                <w:rFonts w:eastAsia="MS Mincho" w:cs="ArialMT"/>
                <w:bCs/>
                <w:szCs w:val="20"/>
                <w:lang w:val="en-GB"/>
              </w:rPr>
              <w:t>18,811</w:t>
            </w:r>
          </w:p>
        </w:tc>
      </w:tr>
      <w:tr w:rsidR="009E4F16" w:rsidRPr="002531B7" w14:paraId="6A0C9FF4" w14:textId="77777777" w:rsidTr="001C20F8">
        <w:trPr>
          <w:trHeight w:val="174"/>
        </w:trPr>
        <w:tc>
          <w:tcPr>
            <w:tcW w:w="1648" w:type="pct"/>
          </w:tcPr>
          <w:p w14:paraId="67E73313" w14:textId="77777777" w:rsidR="009E4F16" w:rsidRPr="002531B7" w:rsidRDefault="009E4F16" w:rsidP="001C20F8">
            <w:pPr>
              <w:pStyle w:val="CommentaryTabletext"/>
              <w:rPr>
                <w:rFonts w:eastAsia="MS Mincho"/>
                <w:b/>
                <w:color w:val="auto"/>
              </w:rPr>
            </w:pPr>
            <w:r w:rsidRPr="002531B7">
              <w:rPr>
                <w:rFonts w:eastAsia="MS Mincho"/>
                <w:b/>
                <w:color w:val="auto"/>
              </w:rPr>
              <w:t>Resubmission base net to the MBS</w:t>
            </w:r>
          </w:p>
        </w:tc>
        <w:tc>
          <w:tcPr>
            <w:tcW w:w="670" w:type="pct"/>
            <w:vAlign w:val="bottom"/>
          </w:tcPr>
          <w:p w14:paraId="2B9F4402" w14:textId="77777777" w:rsidR="009E4F16" w:rsidRPr="002531B7" w:rsidRDefault="009E4F16" w:rsidP="001C20F8">
            <w:pPr>
              <w:pStyle w:val="CommentaryTabletext"/>
              <w:jc w:val="right"/>
              <w:rPr>
                <w:rFonts w:eastAsia="MS Mincho"/>
                <w:b/>
                <w:color w:val="auto"/>
              </w:rPr>
            </w:pPr>
            <w:r w:rsidRPr="002531B7">
              <w:rPr>
                <w:b/>
                <w:color w:val="auto"/>
              </w:rPr>
              <w:t>$42,836,116</w:t>
            </w:r>
          </w:p>
        </w:tc>
        <w:tc>
          <w:tcPr>
            <w:tcW w:w="670" w:type="pct"/>
            <w:vAlign w:val="bottom"/>
          </w:tcPr>
          <w:p w14:paraId="1800CDFB" w14:textId="77777777" w:rsidR="009E4F16" w:rsidRPr="002531B7" w:rsidRDefault="009E4F16" w:rsidP="001C20F8">
            <w:pPr>
              <w:pStyle w:val="CommentaryTabletext"/>
              <w:jc w:val="right"/>
              <w:rPr>
                <w:rFonts w:eastAsia="MS Mincho"/>
                <w:b/>
                <w:color w:val="auto"/>
              </w:rPr>
            </w:pPr>
            <w:r w:rsidRPr="002531B7">
              <w:rPr>
                <w:b/>
                <w:color w:val="auto"/>
              </w:rPr>
              <w:t>$66,409,818</w:t>
            </w:r>
          </w:p>
        </w:tc>
        <w:tc>
          <w:tcPr>
            <w:tcW w:w="670" w:type="pct"/>
            <w:vAlign w:val="bottom"/>
          </w:tcPr>
          <w:p w14:paraId="71EAD412" w14:textId="77777777" w:rsidR="009E4F16" w:rsidRPr="002531B7" w:rsidRDefault="009E4F16" w:rsidP="001C20F8">
            <w:pPr>
              <w:pStyle w:val="CommentaryTabletext"/>
              <w:jc w:val="right"/>
              <w:rPr>
                <w:rFonts w:eastAsia="MS Mincho"/>
                <w:b/>
                <w:color w:val="auto"/>
              </w:rPr>
            </w:pPr>
            <w:r w:rsidRPr="002531B7">
              <w:rPr>
                <w:b/>
                <w:color w:val="auto"/>
              </w:rPr>
              <w:t>$76,783,842</w:t>
            </w:r>
          </w:p>
        </w:tc>
        <w:tc>
          <w:tcPr>
            <w:tcW w:w="670" w:type="pct"/>
            <w:vAlign w:val="bottom"/>
          </w:tcPr>
          <w:p w14:paraId="58D6B817" w14:textId="77777777" w:rsidR="009E4F16" w:rsidRPr="002531B7" w:rsidRDefault="009E4F16" w:rsidP="001C20F8">
            <w:pPr>
              <w:pStyle w:val="CommentaryTabletext"/>
              <w:jc w:val="right"/>
              <w:rPr>
                <w:rFonts w:eastAsia="MS Mincho"/>
                <w:b/>
                <w:color w:val="auto"/>
              </w:rPr>
            </w:pPr>
            <w:r w:rsidRPr="002531B7">
              <w:rPr>
                <w:b/>
                <w:color w:val="auto"/>
              </w:rPr>
              <w:t>$72,646,671</w:t>
            </w:r>
          </w:p>
        </w:tc>
        <w:tc>
          <w:tcPr>
            <w:tcW w:w="670" w:type="pct"/>
            <w:vAlign w:val="bottom"/>
          </w:tcPr>
          <w:p w14:paraId="40612671" w14:textId="77777777" w:rsidR="009E4F16" w:rsidRPr="002531B7" w:rsidRDefault="009E4F16" w:rsidP="001C20F8">
            <w:pPr>
              <w:pStyle w:val="CommentaryTabletext"/>
              <w:jc w:val="right"/>
              <w:rPr>
                <w:rFonts w:eastAsia="MS Mincho"/>
                <w:b/>
                <w:color w:val="auto"/>
              </w:rPr>
            </w:pPr>
            <w:r w:rsidRPr="002531B7">
              <w:rPr>
                <w:b/>
                <w:color w:val="auto"/>
              </w:rPr>
              <w:t>$57,149,161</w:t>
            </w:r>
          </w:p>
        </w:tc>
      </w:tr>
      <w:tr w:rsidR="009E4F16" w:rsidRPr="002531B7" w14:paraId="6310880F" w14:textId="77777777" w:rsidTr="001C20F8">
        <w:trPr>
          <w:trHeight w:val="174"/>
        </w:trPr>
        <w:tc>
          <w:tcPr>
            <w:tcW w:w="1648" w:type="pct"/>
          </w:tcPr>
          <w:p w14:paraId="01614ADB" w14:textId="77777777" w:rsidR="009E4F16" w:rsidRPr="002531B7" w:rsidRDefault="009E4F16" w:rsidP="009E4F16">
            <w:pPr>
              <w:pStyle w:val="CommentaryTabletext"/>
              <w:numPr>
                <w:ilvl w:val="0"/>
                <w:numId w:val="28"/>
              </w:numPr>
              <w:ind w:left="171" w:hanging="171"/>
              <w:rPr>
                <w:rFonts w:eastAsia="MS Mincho"/>
                <w:color w:val="auto"/>
              </w:rPr>
            </w:pPr>
            <w:r w:rsidRPr="002531B7">
              <w:rPr>
                <w:rFonts w:eastAsia="MS Mincho"/>
                <w:color w:val="auto"/>
              </w:rPr>
              <w:t xml:space="preserve">Estimating MBS costs as a proportion of ECT cost offsets </w:t>
            </w:r>
            <w:r w:rsidRPr="002531B7">
              <w:rPr>
                <w:rFonts w:eastAsia="MS Mincho"/>
                <w:color w:val="auto"/>
                <w:vertAlign w:val="superscript"/>
              </w:rPr>
              <w:t>a</w:t>
            </w:r>
          </w:p>
        </w:tc>
        <w:tc>
          <w:tcPr>
            <w:tcW w:w="670" w:type="pct"/>
          </w:tcPr>
          <w:p w14:paraId="0C8166AA" w14:textId="77777777" w:rsidR="009E4F16" w:rsidRPr="002531B7" w:rsidRDefault="009E4F16" w:rsidP="001C20F8">
            <w:pPr>
              <w:pStyle w:val="CommentaryTabletext"/>
              <w:jc w:val="right"/>
              <w:rPr>
                <w:color w:val="auto"/>
              </w:rPr>
            </w:pPr>
            <w:r w:rsidRPr="002531B7">
              <w:rPr>
                <w:color w:val="auto"/>
              </w:rPr>
              <w:t>$44,706,939</w:t>
            </w:r>
          </w:p>
        </w:tc>
        <w:tc>
          <w:tcPr>
            <w:tcW w:w="670" w:type="pct"/>
          </w:tcPr>
          <w:p w14:paraId="5B4C3696" w14:textId="77777777" w:rsidR="009E4F16" w:rsidRPr="002531B7" w:rsidRDefault="009E4F16" w:rsidP="001C20F8">
            <w:pPr>
              <w:pStyle w:val="CommentaryTabletext"/>
              <w:jc w:val="right"/>
              <w:rPr>
                <w:color w:val="auto"/>
              </w:rPr>
            </w:pPr>
            <w:r w:rsidRPr="002531B7">
              <w:rPr>
                <w:color w:val="auto"/>
              </w:rPr>
              <w:t>$71,278,874</w:t>
            </w:r>
          </w:p>
        </w:tc>
        <w:tc>
          <w:tcPr>
            <w:tcW w:w="670" w:type="pct"/>
          </w:tcPr>
          <w:p w14:paraId="15D711FE" w14:textId="77777777" w:rsidR="009E4F16" w:rsidRPr="002531B7" w:rsidRDefault="009E4F16" w:rsidP="001C20F8">
            <w:pPr>
              <w:pStyle w:val="CommentaryTabletext"/>
              <w:jc w:val="right"/>
              <w:rPr>
                <w:color w:val="auto"/>
              </w:rPr>
            </w:pPr>
            <w:r w:rsidRPr="002531B7">
              <w:rPr>
                <w:color w:val="auto"/>
              </w:rPr>
              <w:t>$85,261,024</w:t>
            </w:r>
          </w:p>
        </w:tc>
        <w:tc>
          <w:tcPr>
            <w:tcW w:w="670" w:type="pct"/>
          </w:tcPr>
          <w:p w14:paraId="76D9F1DF" w14:textId="77777777" w:rsidR="009E4F16" w:rsidRPr="002531B7" w:rsidRDefault="009E4F16" w:rsidP="001C20F8">
            <w:pPr>
              <w:pStyle w:val="CommentaryTabletext"/>
              <w:jc w:val="right"/>
              <w:rPr>
                <w:color w:val="auto"/>
              </w:rPr>
            </w:pPr>
            <w:r w:rsidRPr="002531B7">
              <w:rPr>
                <w:color w:val="auto"/>
              </w:rPr>
              <w:t>$84,740,015</w:t>
            </w:r>
          </w:p>
        </w:tc>
        <w:tc>
          <w:tcPr>
            <w:tcW w:w="670" w:type="pct"/>
          </w:tcPr>
          <w:p w14:paraId="2220E57C" w14:textId="77777777" w:rsidR="009E4F16" w:rsidRPr="002531B7" w:rsidRDefault="009E4F16" w:rsidP="001C20F8">
            <w:pPr>
              <w:pStyle w:val="CommentaryTabletext"/>
              <w:jc w:val="right"/>
              <w:rPr>
                <w:color w:val="auto"/>
              </w:rPr>
            </w:pPr>
            <w:r w:rsidRPr="002531B7">
              <w:rPr>
                <w:color w:val="auto"/>
              </w:rPr>
              <w:t>$72,370,968</w:t>
            </w:r>
          </w:p>
        </w:tc>
      </w:tr>
      <w:tr w:rsidR="009E4F16" w:rsidRPr="002531B7" w14:paraId="2AAB8A7B" w14:textId="77777777" w:rsidTr="001C20F8">
        <w:trPr>
          <w:trHeight w:val="174"/>
        </w:trPr>
        <w:tc>
          <w:tcPr>
            <w:tcW w:w="1648" w:type="pct"/>
          </w:tcPr>
          <w:p w14:paraId="0C408244" w14:textId="77777777" w:rsidR="009E4F16" w:rsidRPr="002531B7" w:rsidRDefault="009E4F16" w:rsidP="009E4F16">
            <w:pPr>
              <w:pStyle w:val="CommentaryTabletext"/>
              <w:numPr>
                <w:ilvl w:val="0"/>
                <w:numId w:val="28"/>
              </w:numPr>
              <w:ind w:left="171" w:hanging="171"/>
              <w:rPr>
                <w:rFonts w:eastAsia="MS Mincho"/>
                <w:color w:val="auto"/>
              </w:rPr>
            </w:pPr>
            <w:r w:rsidRPr="002531B7">
              <w:rPr>
                <w:rFonts w:eastAsia="MS Mincho"/>
                <w:color w:val="auto"/>
              </w:rPr>
              <w:t>Assuming cost offsets apply for three years (as per the model time horizon)</w:t>
            </w:r>
          </w:p>
        </w:tc>
        <w:tc>
          <w:tcPr>
            <w:tcW w:w="670" w:type="pct"/>
          </w:tcPr>
          <w:p w14:paraId="21D223E0" w14:textId="77777777" w:rsidR="009E4F16" w:rsidRPr="002531B7" w:rsidRDefault="009E4F16" w:rsidP="001C20F8">
            <w:pPr>
              <w:pStyle w:val="CommentaryTabletext"/>
              <w:jc w:val="right"/>
              <w:rPr>
                <w:color w:val="auto"/>
              </w:rPr>
            </w:pPr>
            <w:r w:rsidRPr="002531B7">
              <w:rPr>
                <w:color w:val="auto"/>
              </w:rPr>
              <w:t>$42,836,116</w:t>
            </w:r>
          </w:p>
        </w:tc>
        <w:tc>
          <w:tcPr>
            <w:tcW w:w="670" w:type="pct"/>
          </w:tcPr>
          <w:p w14:paraId="15B7128F" w14:textId="77777777" w:rsidR="009E4F16" w:rsidRPr="002531B7" w:rsidRDefault="009E4F16" w:rsidP="001C20F8">
            <w:pPr>
              <w:pStyle w:val="CommentaryTabletext"/>
              <w:jc w:val="right"/>
              <w:rPr>
                <w:color w:val="auto"/>
              </w:rPr>
            </w:pPr>
            <w:r w:rsidRPr="002531B7">
              <w:rPr>
                <w:color w:val="auto"/>
              </w:rPr>
              <w:t>$66,409,818</w:t>
            </w:r>
          </w:p>
        </w:tc>
        <w:tc>
          <w:tcPr>
            <w:tcW w:w="670" w:type="pct"/>
          </w:tcPr>
          <w:p w14:paraId="2B4FA4AF" w14:textId="77777777" w:rsidR="009E4F16" w:rsidRPr="002531B7" w:rsidRDefault="009E4F16" w:rsidP="001C20F8">
            <w:pPr>
              <w:pStyle w:val="CommentaryTabletext"/>
              <w:jc w:val="right"/>
              <w:rPr>
                <w:color w:val="auto"/>
              </w:rPr>
            </w:pPr>
            <w:r w:rsidRPr="002531B7">
              <w:rPr>
                <w:color w:val="auto"/>
              </w:rPr>
              <w:t>$76,783,842</w:t>
            </w:r>
          </w:p>
        </w:tc>
        <w:tc>
          <w:tcPr>
            <w:tcW w:w="670" w:type="pct"/>
          </w:tcPr>
          <w:p w14:paraId="296D91E9" w14:textId="77777777" w:rsidR="009E4F16" w:rsidRPr="002531B7" w:rsidRDefault="009E4F16" w:rsidP="001C20F8">
            <w:pPr>
              <w:pStyle w:val="CommentaryTabletext"/>
              <w:jc w:val="right"/>
              <w:rPr>
                <w:color w:val="auto"/>
              </w:rPr>
            </w:pPr>
            <w:r w:rsidRPr="002531B7">
              <w:rPr>
                <w:color w:val="auto"/>
              </w:rPr>
              <w:t>$74,887,178</w:t>
            </w:r>
          </w:p>
        </w:tc>
        <w:tc>
          <w:tcPr>
            <w:tcW w:w="670" w:type="pct"/>
          </w:tcPr>
          <w:p w14:paraId="6B83644B" w14:textId="77777777" w:rsidR="009E4F16" w:rsidRPr="002531B7" w:rsidRDefault="009E4F16" w:rsidP="001C20F8">
            <w:pPr>
              <w:pStyle w:val="CommentaryTabletext"/>
              <w:jc w:val="right"/>
              <w:rPr>
                <w:color w:val="auto"/>
              </w:rPr>
            </w:pPr>
            <w:r w:rsidRPr="002531B7">
              <w:rPr>
                <w:color w:val="auto"/>
              </w:rPr>
              <w:t>$62,980,366</w:t>
            </w:r>
          </w:p>
        </w:tc>
      </w:tr>
      <w:tr w:rsidR="009E4F16" w:rsidRPr="002531B7" w14:paraId="21DD474D" w14:textId="77777777" w:rsidTr="001C20F8">
        <w:trPr>
          <w:trHeight w:val="174"/>
        </w:trPr>
        <w:tc>
          <w:tcPr>
            <w:tcW w:w="1648" w:type="pct"/>
          </w:tcPr>
          <w:p w14:paraId="11EC66A1" w14:textId="77777777" w:rsidR="009E4F16" w:rsidRPr="002531B7" w:rsidRDefault="009E4F16" w:rsidP="001C20F8">
            <w:pPr>
              <w:pStyle w:val="CommentaryTabletext"/>
              <w:jc w:val="left"/>
              <w:rPr>
                <w:rFonts w:eastAsia="MS Mincho"/>
                <w:b/>
                <w:color w:val="auto"/>
              </w:rPr>
            </w:pPr>
            <w:r w:rsidRPr="002531B7">
              <w:rPr>
                <w:rFonts w:eastAsia="MS Mincho"/>
                <w:b/>
                <w:color w:val="auto"/>
              </w:rPr>
              <w:t>Respecified net implications to the MBS (i.e. multivariate analysis #1 and #2)</w:t>
            </w:r>
          </w:p>
        </w:tc>
        <w:tc>
          <w:tcPr>
            <w:tcW w:w="670" w:type="pct"/>
          </w:tcPr>
          <w:p w14:paraId="3529EF14" w14:textId="77777777" w:rsidR="009E4F16" w:rsidRPr="002531B7" w:rsidRDefault="009E4F16" w:rsidP="001C20F8">
            <w:pPr>
              <w:pStyle w:val="CommentaryTabletext"/>
              <w:jc w:val="right"/>
              <w:rPr>
                <w:b/>
                <w:color w:val="auto"/>
              </w:rPr>
            </w:pPr>
            <w:r w:rsidRPr="002531B7">
              <w:rPr>
                <w:b/>
                <w:color w:val="auto"/>
              </w:rPr>
              <w:t>$44,706,939</w:t>
            </w:r>
          </w:p>
        </w:tc>
        <w:tc>
          <w:tcPr>
            <w:tcW w:w="670" w:type="pct"/>
          </w:tcPr>
          <w:p w14:paraId="24C59BC6" w14:textId="77777777" w:rsidR="009E4F16" w:rsidRPr="002531B7" w:rsidRDefault="009E4F16" w:rsidP="001C20F8">
            <w:pPr>
              <w:pStyle w:val="CommentaryTabletext"/>
              <w:jc w:val="right"/>
              <w:rPr>
                <w:b/>
                <w:color w:val="auto"/>
              </w:rPr>
            </w:pPr>
            <w:r w:rsidRPr="002531B7">
              <w:rPr>
                <w:b/>
                <w:color w:val="auto"/>
              </w:rPr>
              <w:t>$71,278,874</w:t>
            </w:r>
          </w:p>
        </w:tc>
        <w:tc>
          <w:tcPr>
            <w:tcW w:w="670" w:type="pct"/>
          </w:tcPr>
          <w:p w14:paraId="4BF5B5AC" w14:textId="77777777" w:rsidR="009E4F16" w:rsidRPr="002531B7" w:rsidRDefault="009E4F16" w:rsidP="001C20F8">
            <w:pPr>
              <w:pStyle w:val="CommentaryTabletext"/>
              <w:jc w:val="right"/>
              <w:rPr>
                <w:b/>
                <w:color w:val="auto"/>
              </w:rPr>
            </w:pPr>
            <w:r w:rsidRPr="002531B7">
              <w:rPr>
                <w:b/>
                <w:color w:val="auto"/>
              </w:rPr>
              <w:t>$85,261,024</w:t>
            </w:r>
          </w:p>
        </w:tc>
        <w:tc>
          <w:tcPr>
            <w:tcW w:w="670" w:type="pct"/>
          </w:tcPr>
          <w:p w14:paraId="2C4770E9" w14:textId="77777777" w:rsidR="009E4F16" w:rsidRPr="002531B7" w:rsidRDefault="009E4F16" w:rsidP="001C20F8">
            <w:pPr>
              <w:pStyle w:val="CommentaryTabletext"/>
              <w:jc w:val="right"/>
              <w:rPr>
                <w:b/>
                <w:color w:val="auto"/>
              </w:rPr>
            </w:pPr>
            <w:r w:rsidRPr="002531B7">
              <w:rPr>
                <w:b/>
                <w:color w:val="auto"/>
              </w:rPr>
              <w:t>$85,109,698</w:t>
            </w:r>
          </w:p>
        </w:tc>
        <w:tc>
          <w:tcPr>
            <w:tcW w:w="670" w:type="pct"/>
          </w:tcPr>
          <w:p w14:paraId="4BC363ED" w14:textId="77777777" w:rsidR="009E4F16" w:rsidRPr="002531B7" w:rsidRDefault="009E4F16" w:rsidP="001C20F8">
            <w:pPr>
              <w:pStyle w:val="CommentaryTabletext"/>
              <w:jc w:val="right"/>
              <w:rPr>
                <w:b/>
                <w:color w:val="auto"/>
              </w:rPr>
            </w:pPr>
            <w:r w:rsidRPr="002531B7">
              <w:rPr>
                <w:b/>
                <w:color w:val="auto"/>
              </w:rPr>
              <w:t>$73,333,116</w:t>
            </w:r>
          </w:p>
        </w:tc>
      </w:tr>
      <w:tr w:rsidR="009E4F16" w:rsidRPr="002531B7" w14:paraId="7FC1E591" w14:textId="77777777" w:rsidTr="001C20F8">
        <w:trPr>
          <w:trHeight w:val="174"/>
        </w:trPr>
        <w:tc>
          <w:tcPr>
            <w:tcW w:w="1648" w:type="pct"/>
          </w:tcPr>
          <w:p w14:paraId="41052466" w14:textId="77777777" w:rsidR="009E4F16" w:rsidRPr="002531B7" w:rsidRDefault="009E4F16" w:rsidP="001C20F8">
            <w:pPr>
              <w:pStyle w:val="CommentaryTabletext"/>
              <w:rPr>
                <w:rFonts w:eastAsia="MS Mincho"/>
                <w:color w:val="auto"/>
              </w:rPr>
            </w:pPr>
            <w:r w:rsidRPr="002531B7">
              <w:rPr>
                <w:rFonts w:eastAsia="MS Mincho"/>
                <w:color w:val="auto"/>
              </w:rPr>
              <w:t>Assuming maximum uptake of 60%</w:t>
            </w:r>
            <w:r w:rsidRPr="002531B7">
              <w:rPr>
                <w:rFonts w:eastAsia="MS Mincho"/>
                <w:color w:val="auto"/>
                <w:vertAlign w:val="superscript"/>
              </w:rPr>
              <w:t>b</w:t>
            </w:r>
          </w:p>
        </w:tc>
        <w:tc>
          <w:tcPr>
            <w:tcW w:w="670" w:type="pct"/>
          </w:tcPr>
          <w:p w14:paraId="7D522535" w14:textId="77777777" w:rsidR="009E4F16" w:rsidRPr="002531B7" w:rsidRDefault="009E4F16" w:rsidP="001C20F8">
            <w:pPr>
              <w:pStyle w:val="CommentaryTabletext"/>
              <w:jc w:val="right"/>
              <w:rPr>
                <w:color w:val="auto"/>
              </w:rPr>
            </w:pPr>
            <w:r w:rsidRPr="002531B7">
              <w:rPr>
                <w:color w:val="auto"/>
              </w:rPr>
              <w:t>$44,706,939</w:t>
            </w:r>
          </w:p>
        </w:tc>
        <w:tc>
          <w:tcPr>
            <w:tcW w:w="670" w:type="pct"/>
          </w:tcPr>
          <w:p w14:paraId="536A5F62" w14:textId="77777777" w:rsidR="009E4F16" w:rsidRPr="002531B7" w:rsidRDefault="009E4F16" w:rsidP="001C20F8">
            <w:pPr>
              <w:pStyle w:val="CommentaryTabletext"/>
              <w:jc w:val="right"/>
              <w:rPr>
                <w:color w:val="auto"/>
              </w:rPr>
            </w:pPr>
            <w:r w:rsidRPr="002531B7">
              <w:rPr>
                <w:color w:val="auto"/>
              </w:rPr>
              <w:t>$91,749,890</w:t>
            </w:r>
          </w:p>
        </w:tc>
        <w:tc>
          <w:tcPr>
            <w:tcW w:w="670" w:type="pct"/>
          </w:tcPr>
          <w:p w14:paraId="32DA19A1" w14:textId="77777777" w:rsidR="009E4F16" w:rsidRPr="002531B7" w:rsidRDefault="009E4F16" w:rsidP="001C20F8">
            <w:pPr>
              <w:pStyle w:val="CommentaryTabletext"/>
              <w:jc w:val="right"/>
              <w:rPr>
                <w:color w:val="auto"/>
              </w:rPr>
            </w:pPr>
            <w:r w:rsidRPr="002531B7">
              <w:rPr>
                <w:color w:val="auto"/>
              </w:rPr>
              <w:t>$112,416,162</w:t>
            </w:r>
          </w:p>
        </w:tc>
        <w:tc>
          <w:tcPr>
            <w:tcW w:w="670" w:type="pct"/>
          </w:tcPr>
          <w:p w14:paraId="741605F5" w14:textId="77777777" w:rsidR="009E4F16" w:rsidRPr="002531B7" w:rsidRDefault="009E4F16" w:rsidP="001C20F8">
            <w:pPr>
              <w:pStyle w:val="CommentaryTabletext"/>
              <w:jc w:val="right"/>
              <w:rPr>
                <w:color w:val="auto"/>
              </w:rPr>
            </w:pPr>
            <w:r w:rsidRPr="002531B7">
              <w:rPr>
                <w:color w:val="auto"/>
              </w:rPr>
              <w:t>$101,895,560</w:t>
            </w:r>
          </w:p>
        </w:tc>
        <w:tc>
          <w:tcPr>
            <w:tcW w:w="670" w:type="pct"/>
          </w:tcPr>
          <w:p w14:paraId="0BEF8B5B" w14:textId="77777777" w:rsidR="009E4F16" w:rsidRPr="002531B7" w:rsidRDefault="009E4F16" w:rsidP="001C20F8">
            <w:pPr>
              <w:pStyle w:val="CommentaryTabletext"/>
              <w:jc w:val="right"/>
              <w:rPr>
                <w:color w:val="auto"/>
              </w:rPr>
            </w:pPr>
            <w:r w:rsidRPr="002531B7">
              <w:rPr>
                <w:color w:val="auto"/>
              </w:rPr>
              <w:t>$71,359,525</w:t>
            </w:r>
          </w:p>
        </w:tc>
      </w:tr>
      <w:tr w:rsidR="009E4F16" w:rsidRPr="002531B7" w14:paraId="0F3590A3" w14:textId="77777777" w:rsidTr="001C20F8">
        <w:trPr>
          <w:trHeight w:val="174"/>
        </w:trPr>
        <w:tc>
          <w:tcPr>
            <w:tcW w:w="1648" w:type="pct"/>
          </w:tcPr>
          <w:p w14:paraId="4C90DEC4" w14:textId="77777777" w:rsidR="009E4F16" w:rsidRPr="002531B7" w:rsidRDefault="009E4F16" w:rsidP="001C20F8">
            <w:pPr>
              <w:pStyle w:val="CommentaryTabletext"/>
              <w:rPr>
                <w:rFonts w:eastAsia="MS Mincho"/>
                <w:color w:val="auto"/>
              </w:rPr>
            </w:pPr>
            <w:r w:rsidRPr="002531B7">
              <w:rPr>
                <w:rFonts w:eastAsia="MS Mincho"/>
                <w:color w:val="auto"/>
              </w:rPr>
              <w:t xml:space="preserve">Assuming all prescription </w:t>
            </w:r>
            <w:proofErr w:type="spellStart"/>
            <w:r w:rsidRPr="002531B7">
              <w:rPr>
                <w:rFonts w:eastAsia="MS Mincho"/>
                <w:color w:val="auto"/>
              </w:rPr>
              <w:t>rTMS</w:t>
            </w:r>
            <w:proofErr w:type="spellEnd"/>
            <w:r w:rsidRPr="002531B7">
              <w:rPr>
                <w:rFonts w:eastAsia="MS Mincho"/>
                <w:color w:val="auto"/>
              </w:rPr>
              <w:t xml:space="preserve"> items are claimed with item 306</w:t>
            </w:r>
          </w:p>
        </w:tc>
        <w:tc>
          <w:tcPr>
            <w:tcW w:w="670" w:type="pct"/>
          </w:tcPr>
          <w:p w14:paraId="6CBEDF0A" w14:textId="77777777" w:rsidR="009E4F16" w:rsidRPr="002531B7" w:rsidRDefault="009E4F16" w:rsidP="001C20F8">
            <w:pPr>
              <w:pStyle w:val="CommentaryTabletext"/>
              <w:jc w:val="right"/>
              <w:rPr>
                <w:color w:val="auto"/>
              </w:rPr>
            </w:pPr>
            <w:r w:rsidRPr="002531B7">
              <w:rPr>
                <w:color w:val="auto"/>
              </w:rPr>
              <w:t>$46,489,199</w:t>
            </w:r>
          </w:p>
        </w:tc>
        <w:tc>
          <w:tcPr>
            <w:tcW w:w="670" w:type="pct"/>
          </w:tcPr>
          <w:p w14:paraId="717F7AAA" w14:textId="77777777" w:rsidR="009E4F16" w:rsidRPr="002531B7" w:rsidRDefault="009E4F16" w:rsidP="001C20F8">
            <w:pPr>
              <w:pStyle w:val="CommentaryTabletext"/>
              <w:jc w:val="right"/>
              <w:rPr>
                <w:color w:val="auto"/>
              </w:rPr>
            </w:pPr>
            <w:r w:rsidRPr="002531B7">
              <w:rPr>
                <w:color w:val="auto"/>
              </w:rPr>
              <w:t>$74,135,171</w:t>
            </w:r>
          </w:p>
        </w:tc>
        <w:tc>
          <w:tcPr>
            <w:tcW w:w="670" w:type="pct"/>
          </w:tcPr>
          <w:p w14:paraId="4291CBA9" w14:textId="77777777" w:rsidR="009E4F16" w:rsidRPr="002531B7" w:rsidRDefault="009E4F16" w:rsidP="001C20F8">
            <w:pPr>
              <w:pStyle w:val="CommentaryTabletext"/>
              <w:jc w:val="right"/>
              <w:rPr>
                <w:color w:val="auto"/>
              </w:rPr>
            </w:pPr>
            <w:r w:rsidRPr="002531B7">
              <w:rPr>
                <w:color w:val="auto"/>
              </w:rPr>
              <w:t>$88,698,344</w:t>
            </w:r>
          </w:p>
        </w:tc>
        <w:tc>
          <w:tcPr>
            <w:tcW w:w="670" w:type="pct"/>
          </w:tcPr>
          <w:p w14:paraId="6E3EEEA1" w14:textId="77777777" w:rsidR="009E4F16" w:rsidRPr="002531B7" w:rsidRDefault="009E4F16" w:rsidP="001C20F8">
            <w:pPr>
              <w:pStyle w:val="CommentaryTabletext"/>
              <w:jc w:val="right"/>
              <w:rPr>
                <w:color w:val="auto"/>
              </w:rPr>
            </w:pPr>
            <w:r w:rsidRPr="002531B7">
              <w:rPr>
                <w:color w:val="auto"/>
              </w:rPr>
              <w:t>$88,554,671</w:t>
            </w:r>
          </w:p>
        </w:tc>
        <w:tc>
          <w:tcPr>
            <w:tcW w:w="670" w:type="pct"/>
          </w:tcPr>
          <w:p w14:paraId="7F558754" w14:textId="77777777" w:rsidR="009E4F16" w:rsidRPr="002531B7" w:rsidRDefault="009E4F16" w:rsidP="001C20F8">
            <w:pPr>
              <w:pStyle w:val="CommentaryTabletext"/>
              <w:jc w:val="right"/>
              <w:rPr>
                <w:color w:val="auto"/>
              </w:rPr>
            </w:pPr>
            <w:r w:rsidRPr="002531B7">
              <w:rPr>
                <w:color w:val="auto"/>
              </w:rPr>
              <w:t>$76,313,479</w:t>
            </w:r>
          </w:p>
        </w:tc>
      </w:tr>
    </w:tbl>
    <w:p w14:paraId="14FA7F14" w14:textId="77777777" w:rsidR="009E4F16" w:rsidRPr="002531B7" w:rsidRDefault="009E4F16" w:rsidP="009E4F16">
      <w:pPr>
        <w:pStyle w:val="Commentarytablenotes"/>
        <w:rPr>
          <w:i w:val="0"/>
          <w:color w:val="auto"/>
        </w:rPr>
      </w:pPr>
      <w:r w:rsidRPr="002531B7">
        <w:rPr>
          <w:i w:val="0"/>
          <w:color w:val="auto"/>
        </w:rPr>
        <w:t>Source: compiled from Table 12 of Critique and SBA Critique Table 5</w:t>
      </w:r>
    </w:p>
    <w:p w14:paraId="68E9EF24" w14:textId="77777777" w:rsidR="009E4F16" w:rsidRPr="002531B7" w:rsidRDefault="009E4F16" w:rsidP="009E4F16">
      <w:pPr>
        <w:pStyle w:val="Commentarytablenotes"/>
        <w:rPr>
          <w:color w:val="auto"/>
        </w:rPr>
      </w:pPr>
      <w:r w:rsidRPr="002531B7">
        <w:rPr>
          <w:color w:val="auto"/>
        </w:rPr>
        <w:t>Note: These have not corrected for the minor errors as identified in Table 12.</w:t>
      </w:r>
    </w:p>
    <w:p w14:paraId="71881FDA" w14:textId="77777777" w:rsidR="009E4F16" w:rsidRPr="002531B7" w:rsidRDefault="009E4F16" w:rsidP="009E4F16">
      <w:pPr>
        <w:pStyle w:val="Commentarytablenotes"/>
        <w:rPr>
          <w:color w:val="auto"/>
        </w:rPr>
      </w:pPr>
      <w:proofErr w:type="spellStart"/>
      <w:proofErr w:type="gramStart"/>
      <w:r w:rsidRPr="002531B7">
        <w:rPr>
          <w:color w:val="auto"/>
          <w:vertAlign w:val="superscript"/>
        </w:rPr>
        <w:t>a</w:t>
      </w:r>
      <w:proofErr w:type="spellEnd"/>
      <w:proofErr w:type="gramEnd"/>
      <w:r w:rsidRPr="002531B7">
        <w:rPr>
          <w:color w:val="auto"/>
        </w:rPr>
        <w:t xml:space="preserve"> In the economic model, ECT treatment was comprised of 10 sessions at $907 (based on AR-DRG U40Z). MBS items associated with ECT are item 14224 ($70.35) and item 20104 ($79.20). Thus the component of ECT therapy costs attributed to the MBS is approximately 16.5%. </w:t>
      </w:r>
    </w:p>
    <w:p w14:paraId="7B3DE733" w14:textId="24B826B5" w:rsidR="00BC1364" w:rsidRPr="00F136B7" w:rsidRDefault="009E4F16" w:rsidP="00F136B7">
      <w:pPr>
        <w:pStyle w:val="Commentarytablenotes"/>
        <w:rPr>
          <w:color w:val="auto"/>
        </w:rPr>
      </w:pPr>
      <w:r w:rsidRPr="002531B7">
        <w:rPr>
          <w:color w:val="auto"/>
          <w:vertAlign w:val="superscript"/>
        </w:rPr>
        <w:t>b</w:t>
      </w:r>
      <w:r w:rsidRPr="002531B7">
        <w:rPr>
          <w:color w:val="auto"/>
        </w:rPr>
        <w:t xml:space="preserve"> While the proportion that uptake increases from Years 1 to 5, the pool of patients eligible for </w:t>
      </w:r>
      <w:proofErr w:type="spellStart"/>
      <w:r w:rsidRPr="002531B7">
        <w:rPr>
          <w:color w:val="auto"/>
        </w:rPr>
        <w:t>rTMS</w:t>
      </w:r>
      <w:proofErr w:type="spellEnd"/>
      <w:r w:rsidRPr="002531B7">
        <w:rPr>
          <w:color w:val="auto"/>
        </w:rPr>
        <w:t xml:space="preserve"> decreases as the number of patients eligible who had not previously received </w:t>
      </w:r>
      <w:proofErr w:type="spellStart"/>
      <w:r w:rsidRPr="002531B7">
        <w:rPr>
          <w:color w:val="auto"/>
        </w:rPr>
        <w:t>rTMS</w:t>
      </w:r>
      <w:proofErr w:type="spellEnd"/>
      <w:r w:rsidRPr="002531B7">
        <w:rPr>
          <w:color w:val="auto"/>
        </w:rPr>
        <w:t xml:space="preserve"> decreases. Thus the implications to the MBS are observed to peak in Year 3.</w:t>
      </w:r>
      <w:r w:rsidRPr="002531B7">
        <w:rPr>
          <w:color w:val="auto"/>
          <w:szCs w:val="24"/>
          <w:u w:val="single"/>
        </w:rPr>
        <w:t xml:space="preserve"> </w:t>
      </w:r>
    </w:p>
    <w:p w14:paraId="03630D0E" w14:textId="77777777" w:rsidR="006A0D97" w:rsidRPr="00F715D1" w:rsidRDefault="006A0D97" w:rsidP="00F715D1">
      <w:pPr>
        <w:pStyle w:val="Heading1"/>
      </w:pPr>
      <w:r w:rsidRPr="00F715D1">
        <w:lastRenderedPageBreak/>
        <w:t>Key issues from ESC for MSAC</w:t>
      </w:r>
    </w:p>
    <w:tbl>
      <w:tblPr>
        <w:tblStyle w:val="TableGrid"/>
        <w:tblW w:w="9351" w:type="dxa"/>
        <w:tblLook w:val="04A0" w:firstRow="1" w:lastRow="0" w:firstColumn="1" w:lastColumn="0" w:noHBand="0" w:noVBand="1"/>
        <w:tblCaption w:val="14. Key issues from ESC for MSAC"/>
      </w:tblPr>
      <w:tblGrid>
        <w:gridCol w:w="3681"/>
        <w:gridCol w:w="5670"/>
      </w:tblGrid>
      <w:tr w:rsidR="004817B2" w:rsidRPr="00B6535C" w14:paraId="5883BC29" w14:textId="77777777" w:rsidTr="00AF019C">
        <w:trPr>
          <w:tblHeader/>
        </w:trPr>
        <w:tc>
          <w:tcPr>
            <w:tcW w:w="3681" w:type="dxa"/>
          </w:tcPr>
          <w:p w14:paraId="09F872E8" w14:textId="77777777" w:rsidR="004817B2" w:rsidRPr="00B6535C" w:rsidRDefault="004817B2" w:rsidP="001C20F8">
            <w:pPr>
              <w:pStyle w:val="TableHeading"/>
              <w:rPr>
                <w:rFonts w:ascii="Arial" w:hAnsi="Arial" w:cs="Arial"/>
              </w:rPr>
            </w:pPr>
            <w:r w:rsidRPr="00B6535C">
              <w:rPr>
                <w:rFonts w:ascii="Arial" w:hAnsi="Arial" w:cs="Arial"/>
              </w:rPr>
              <w:t>ESC key issue</w:t>
            </w:r>
          </w:p>
        </w:tc>
        <w:tc>
          <w:tcPr>
            <w:tcW w:w="5670" w:type="dxa"/>
          </w:tcPr>
          <w:p w14:paraId="1B5CF730" w14:textId="77777777" w:rsidR="004817B2" w:rsidRPr="00B6535C" w:rsidRDefault="004817B2" w:rsidP="001C20F8">
            <w:pPr>
              <w:pStyle w:val="TableHeading"/>
              <w:rPr>
                <w:rFonts w:ascii="Arial" w:hAnsi="Arial" w:cs="Arial"/>
              </w:rPr>
            </w:pPr>
            <w:r w:rsidRPr="00B6535C">
              <w:rPr>
                <w:rFonts w:ascii="Arial" w:hAnsi="Arial" w:cs="Arial"/>
              </w:rPr>
              <w:t>ESC advice to MSAC</w:t>
            </w:r>
          </w:p>
        </w:tc>
      </w:tr>
      <w:tr w:rsidR="004817B2" w:rsidRPr="00B6535C" w14:paraId="7E3E2CD8" w14:textId="77777777" w:rsidTr="001C20F8">
        <w:tc>
          <w:tcPr>
            <w:tcW w:w="3681" w:type="dxa"/>
          </w:tcPr>
          <w:p w14:paraId="50D654EC"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 xml:space="preserve">Adequacy of response to MSAC </w:t>
            </w:r>
          </w:p>
        </w:tc>
        <w:tc>
          <w:tcPr>
            <w:tcW w:w="5670" w:type="dxa"/>
          </w:tcPr>
          <w:p w14:paraId="4984CE61"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Applicant has provided the comparative effectiveness evidence requested from MSAC in response to Application 1196.1.</w:t>
            </w:r>
          </w:p>
          <w:p w14:paraId="06EE479E"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A number of MSAC’s previous concerns about the economic evaluation have been addressed.</w:t>
            </w:r>
          </w:p>
        </w:tc>
      </w:tr>
      <w:tr w:rsidR="004817B2" w:rsidRPr="00B6535C" w14:paraId="342E097C" w14:textId="77777777" w:rsidTr="001C20F8">
        <w:tc>
          <w:tcPr>
            <w:tcW w:w="3681" w:type="dxa"/>
          </w:tcPr>
          <w:p w14:paraId="324B605E"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Comparative effectiveness</w:t>
            </w:r>
          </w:p>
        </w:tc>
        <w:tc>
          <w:tcPr>
            <w:tcW w:w="5670" w:type="dxa"/>
          </w:tcPr>
          <w:p w14:paraId="10BCC068"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 xml:space="preserve">HQO 2016 and </w:t>
            </w:r>
            <w:proofErr w:type="spellStart"/>
            <w:r w:rsidRPr="00B6535C">
              <w:rPr>
                <w:rFonts w:ascii="Arial" w:hAnsi="Arial" w:cs="Arial"/>
                <w:sz w:val="20"/>
                <w:szCs w:val="20"/>
              </w:rPr>
              <w:t>EUnetHTA</w:t>
            </w:r>
            <w:proofErr w:type="spellEnd"/>
            <w:r w:rsidRPr="00B6535C">
              <w:rPr>
                <w:rFonts w:ascii="Arial" w:hAnsi="Arial" w:cs="Arial"/>
                <w:sz w:val="20"/>
                <w:szCs w:val="20"/>
              </w:rPr>
              <w:t xml:space="preserve"> 2017 reports, and the results of a recent meta-analysis, confirm that </w:t>
            </w:r>
            <w:proofErr w:type="spellStart"/>
            <w:r w:rsidRPr="00B6535C">
              <w:rPr>
                <w:rFonts w:ascii="Arial" w:hAnsi="Arial" w:cs="Arial"/>
                <w:sz w:val="20"/>
                <w:szCs w:val="20"/>
              </w:rPr>
              <w:t>rTMS</w:t>
            </w:r>
            <w:proofErr w:type="spellEnd"/>
            <w:r w:rsidRPr="00B6535C">
              <w:rPr>
                <w:rFonts w:ascii="Arial" w:hAnsi="Arial" w:cs="Arial"/>
                <w:sz w:val="20"/>
                <w:szCs w:val="20"/>
              </w:rPr>
              <w:t xml:space="preserve"> is effective compared with sham, although long-term effectiveness is unknown.</w:t>
            </w:r>
          </w:p>
        </w:tc>
      </w:tr>
      <w:tr w:rsidR="004817B2" w:rsidRPr="00B6535C" w14:paraId="1599EA80" w14:textId="77777777" w:rsidTr="001C20F8">
        <w:tc>
          <w:tcPr>
            <w:tcW w:w="3681" w:type="dxa"/>
          </w:tcPr>
          <w:p w14:paraId="652E9A42"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Retreatment</w:t>
            </w:r>
          </w:p>
        </w:tc>
        <w:tc>
          <w:tcPr>
            <w:tcW w:w="5670" w:type="dxa"/>
          </w:tcPr>
          <w:p w14:paraId="47E0C95E"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 xml:space="preserve">There was lack of data to support the use of </w:t>
            </w:r>
            <w:proofErr w:type="spellStart"/>
            <w:r w:rsidRPr="00B6535C">
              <w:rPr>
                <w:rFonts w:ascii="Arial" w:hAnsi="Arial" w:cs="Arial"/>
                <w:sz w:val="20"/>
                <w:szCs w:val="20"/>
              </w:rPr>
              <w:t>rTMS</w:t>
            </w:r>
            <w:proofErr w:type="spellEnd"/>
            <w:r w:rsidRPr="00B6535C">
              <w:rPr>
                <w:rFonts w:ascii="Arial" w:hAnsi="Arial" w:cs="Arial"/>
                <w:sz w:val="20"/>
                <w:szCs w:val="20"/>
              </w:rPr>
              <w:t xml:space="preserve"> in retreatment. Specifically, there was substantial uncertainty related to the likelihood of response based on previous response, duration of therapeutic benefit, and the frequency of retreatment. The base case model and financial estimates did not include </w:t>
            </w:r>
            <w:proofErr w:type="spellStart"/>
            <w:r w:rsidRPr="00B6535C">
              <w:rPr>
                <w:rFonts w:ascii="Arial" w:hAnsi="Arial" w:cs="Arial"/>
                <w:sz w:val="20"/>
                <w:szCs w:val="20"/>
              </w:rPr>
              <w:t>rTMS</w:t>
            </w:r>
            <w:proofErr w:type="spellEnd"/>
            <w:r w:rsidRPr="00B6535C">
              <w:rPr>
                <w:rFonts w:ascii="Arial" w:hAnsi="Arial" w:cs="Arial"/>
                <w:sz w:val="20"/>
                <w:szCs w:val="20"/>
              </w:rPr>
              <w:t xml:space="preserve"> retreatment.</w:t>
            </w:r>
          </w:p>
        </w:tc>
      </w:tr>
      <w:tr w:rsidR="004817B2" w:rsidRPr="00B6535C" w14:paraId="045FD029" w14:textId="77777777" w:rsidTr="001C20F8">
        <w:tc>
          <w:tcPr>
            <w:tcW w:w="3681" w:type="dxa"/>
          </w:tcPr>
          <w:p w14:paraId="4CC5F1B0"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 xml:space="preserve">Evidence for </w:t>
            </w:r>
            <w:proofErr w:type="spellStart"/>
            <w:r w:rsidRPr="00B6535C">
              <w:rPr>
                <w:rFonts w:ascii="Arial" w:hAnsi="Arial" w:cs="Arial"/>
                <w:sz w:val="20"/>
                <w:szCs w:val="20"/>
              </w:rPr>
              <w:t>rTMS</w:t>
            </w:r>
            <w:proofErr w:type="spellEnd"/>
            <w:r w:rsidRPr="00B6535C">
              <w:rPr>
                <w:rFonts w:ascii="Arial" w:hAnsi="Arial" w:cs="Arial"/>
                <w:sz w:val="20"/>
                <w:szCs w:val="20"/>
              </w:rPr>
              <w:t xml:space="preserve"> maintenance therapy</w:t>
            </w:r>
          </w:p>
        </w:tc>
        <w:tc>
          <w:tcPr>
            <w:tcW w:w="5670" w:type="dxa"/>
          </w:tcPr>
          <w:p w14:paraId="60D5C7D3"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 xml:space="preserve">New evidence remains to be weak as is observational and subject to selection bias and the effects of confounding. RCT evidence is lacking. The base case model and financial estimates did not include </w:t>
            </w:r>
            <w:proofErr w:type="spellStart"/>
            <w:r w:rsidRPr="00B6535C">
              <w:rPr>
                <w:rFonts w:ascii="Arial" w:hAnsi="Arial" w:cs="Arial"/>
                <w:sz w:val="20"/>
                <w:szCs w:val="20"/>
              </w:rPr>
              <w:t>rTMS</w:t>
            </w:r>
            <w:proofErr w:type="spellEnd"/>
            <w:r w:rsidRPr="00B6535C">
              <w:rPr>
                <w:rFonts w:ascii="Arial" w:hAnsi="Arial" w:cs="Arial"/>
                <w:sz w:val="20"/>
                <w:szCs w:val="20"/>
              </w:rPr>
              <w:t xml:space="preserve"> maintenance therapy.</w:t>
            </w:r>
          </w:p>
        </w:tc>
      </w:tr>
      <w:tr w:rsidR="004817B2" w:rsidRPr="00B6535C" w14:paraId="73016F53" w14:textId="77777777" w:rsidTr="001C20F8">
        <w:tc>
          <w:tcPr>
            <w:tcW w:w="3681" w:type="dxa"/>
          </w:tcPr>
          <w:p w14:paraId="6AC15496"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Safety</w:t>
            </w:r>
          </w:p>
        </w:tc>
        <w:tc>
          <w:tcPr>
            <w:tcW w:w="5670" w:type="dxa"/>
          </w:tcPr>
          <w:p w14:paraId="15D6F854"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 xml:space="preserve">Evidence for safety of </w:t>
            </w:r>
            <w:proofErr w:type="spellStart"/>
            <w:r w:rsidRPr="00B6535C">
              <w:rPr>
                <w:rFonts w:ascii="Arial" w:hAnsi="Arial" w:cs="Arial"/>
                <w:sz w:val="20"/>
                <w:szCs w:val="20"/>
              </w:rPr>
              <w:t>rTMS</w:t>
            </w:r>
            <w:proofErr w:type="spellEnd"/>
            <w:r w:rsidRPr="00B6535C">
              <w:rPr>
                <w:rFonts w:ascii="Arial" w:hAnsi="Arial" w:cs="Arial"/>
                <w:sz w:val="20"/>
                <w:szCs w:val="20"/>
              </w:rPr>
              <w:t xml:space="preserve"> is unchanged. There are no major safety issues, although the long-term outcomes are still unknown.</w:t>
            </w:r>
          </w:p>
        </w:tc>
      </w:tr>
      <w:tr w:rsidR="004817B2" w:rsidRPr="00B6535C" w14:paraId="4958BA80" w14:textId="77777777" w:rsidTr="001C20F8">
        <w:tc>
          <w:tcPr>
            <w:tcW w:w="3681" w:type="dxa"/>
          </w:tcPr>
          <w:p w14:paraId="1918C7EE"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Item descriptor</w:t>
            </w:r>
          </w:p>
        </w:tc>
        <w:tc>
          <w:tcPr>
            <w:tcW w:w="5670" w:type="dxa"/>
          </w:tcPr>
          <w:p w14:paraId="66BAA3D7"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 xml:space="preserve">Clarify whether eligibility assessment is included in the fee or should it be excluded in the descriptor. </w:t>
            </w:r>
          </w:p>
          <w:p w14:paraId="212C59A8"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Amend wording to exclude retreatment</w:t>
            </w:r>
          </w:p>
          <w:p w14:paraId="3D7840BF"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It is likely that an additional consultation fee will be claimed; should co-claiming be considered?</w:t>
            </w:r>
          </w:p>
        </w:tc>
      </w:tr>
      <w:tr w:rsidR="004817B2" w:rsidRPr="00B6535C" w14:paraId="593DEA10" w14:textId="77777777" w:rsidTr="001C20F8">
        <w:tc>
          <w:tcPr>
            <w:tcW w:w="3681" w:type="dxa"/>
          </w:tcPr>
          <w:p w14:paraId="6BF7958B"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Model inputs: effectiveness data</w:t>
            </w:r>
          </w:p>
        </w:tc>
        <w:tc>
          <w:tcPr>
            <w:tcW w:w="5670" w:type="dxa"/>
          </w:tcPr>
          <w:p w14:paraId="1430D58F"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Probabilities of response and remission are key drivers of the model, with significant impact on the ICER.</w:t>
            </w:r>
          </w:p>
          <w:p w14:paraId="307D7D55" w14:textId="77777777" w:rsidR="004817B2" w:rsidRPr="00B6535C" w:rsidRDefault="004817B2" w:rsidP="001C20F8">
            <w:pPr>
              <w:pStyle w:val="TableText"/>
              <w:rPr>
                <w:rFonts w:ascii="Arial" w:hAnsi="Arial" w:cs="Arial"/>
                <w:sz w:val="20"/>
                <w:szCs w:val="20"/>
              </w:rPr>
            </w:pPr>
            <w:r w:rsidRPr="00B6535C">
              <w:rPr>
                <w:rFonts w:ascii="Arial" w:hAnsi="Arial" w:cs="Arial"/>
                <w:sz w:val="20"/>
                <w:szCs w:val="20"/>
              </w:rPr>
              <w:t xml:space="preserve">Evidence on effectiveness of third-line antidepressants and of </w:t>
            </w:r>
            <w:proofErr w:type="spellStart"/>
            <w:r w:rsidRPr="00B6535C">
              <w:rPr>
                <w:rFonts w:ascii="Arial" w:hAnsi="Arial" w:cs="Arial"/>
                <w:sz w:val="20"/>
                <w:szCs w:val="20"/>
              </w:rPr>
              <w:t>rTMS</w:t>
            </w:r>
            <w:proofErr w:type="spellEnd"/>
            <w:r w:rsidRPr="00B6535C">
              <w:rPr>
                <w:rFonts w:ascii="Arial" w:hAnsi="Arial" w:cs="Arial"/>
                <w:sz w:val="20"/>
                <w:szCs w:val="20"/>
              </w:rPr>
              <w:t xml:space="preserve"> does not strictly match the proposed population. </w:t>
            </w:r>
          </w:p>
        </w:tc>
      </w:tr>
      <w:tr w:rsidR="009E4F16" w:rsidRPr="00B6535C" w14:paraId="2FAC6F99" w14:textId="77777777" w:rsidTr="001C20F8">
        <w:tc>
          <w:tcPr>
            <w:tcW w:w="3681" w:type="dxa"/>
          </w:tcPr>
          <w:p w14:paraId="37494CE4" w14:textId="77777777" w:rsidR="009E4F16" w:rsidRPr="00B6535C" w:rsidRDefault="009E4F16" w:rsidP="009E4F16">
            <w:pPr>
              <w:pStyle w:val="TableText"/>
              <w:rPr>
                <w:rFonts w:ascii="Arial" w:hAnsi="Arial" w:cs="Arial"/>
                <w:sz w:val="20"/>
                <w:szCs w:val="20"/>
              </w:rPr>
            </w:pPr>
            <w:r w:rsidRPr="00B6535C">
              <w:rPr>
                <w:rFonts w:ascii="Arial" w:hAnsi="Arial" w:cs="Arial"/>
                <w:sz w:val="20"/>
                <w:szCs w:val="20"/>
              </w:rPr>
              <w:t>Model inputs: hospital admission data</w:t>
            </w:r>
          </w:p>
        </w:tc>
        <w:tc>
          <w:tcPr>
            <w:tcW w:w="5670" w:type="dxa"/>
          </w:tcPr>
          <w:p w14:paraId="1217A1F2" w14:textId="77777777" w:rsidR="009E4F16" w:rsidRPr="00B6535C" w:rsidRDefault="009E4F16" w:rsidP="009E4F16">
            <w:pPr>
              <w:pStyle w:val="TableText"/>
              <w:rPr>
                <w:rFonts w:ascii="Arial" w:hAnsi="Arial" w:cs="Arial"/>
                <w:sz w:val="20"/>
                <w:szCs w:val="20"/>
              </w:rPr>
            </w:pPr>
            <w:r w:rsidRPr="00B6535C">
              <w:rPr>
                <w:rFonts w:ascii="Arial" w:hAnsi="Arial" w:cs="Arial"/>
                <w:sz w:val="20"/>
                <w:szCs w:val="20"/>
              </w:rPr>
              <w:t>High level of uncertainty regarding the probability of hospital admissions and probability of remaining in hospital, which has a moderate to significant impact on the ICER.</w:t>
            </w:r>
          </w:p>
        </w:tc>
      </w:tr>
      <w:tr w:rsidR="009E4F16" w:rsidRPr="00B6535C" w14:paraId="653DB8B9" w14:textId="77777777" w:rsidTr="001C20F8">
        <w:tc>
          <w:tcPr>
            <w:tcW w:w="3681" w:type="dxa"/>
          </w:tcPr>
          <w:p w14:paraId="0541FA48" w14:textId="77777777" w:rsidR="009E4F16" w:rsidRPr="00B6535C" w:rsidRDefault="009E4F16" w:rsidP="009E4F16">
            <w:pPr>
              <w:pStyle w:val="TableText"/>
              <w:rPr>
                <w:rFonts w:ascii="Arial" w:hAnsi="Arial" w:cs="Arial"/>
                <w:sz w:val="20"/>
                <w:szCs w:val="20"/>
              </w:rPr>
            </w:pPr>
            <w:r w:rsidRPr="00B6535C">
              <w:rPr>
                <w:rFonts w:ascii="Arial" w:hAnsi="Arial" w:cs="Arial"/>
                <w:sz w:val="20"/>
                <w:szCs w:val="20"/>
              </w:rPr>
              <w:t>Financial/budgetary impact</w:t>
            </w:r>
          </w:p>
        </w:tc>
        <w:tc>
          <w:tcPr>
            <w:tcW w:w="5670" w:type="dxa"/>
          </w:tcPr>
          <w:p w14:paraId="4F2B4A63" w14:textId="77777777" w:rsidR="009E4F16" w:rsidRPr="00B6535C" w:rsidRDefault="009E4F16" w:rsidP="009E4F16">
            <w:pPr>
              <w:pStyle w:val="TableText"/>
              <w:rPr>
                <w:rFonts w:ascii="Arial" w:hAnsi="Arial" w:cs="Arial"/>
                <w:sz w:val="20"/>
                <w:szCs w:val="20"/>
              </w:rPr>
            </w:pPr>
            <w:r w:rsidRPr="00B6535C">
              <w:rPr>
                <w:rFonts w:ascii="Arial" w:hAnsi="Arial" w:cs="Arial"/>
                <w:sz w:val="20"/>
                <w:szCs w:val="20"/>
              </w:rPr>
              <w:t>The financial/budgetary impact has been underestimated.</w:t>
            </w:r>
          </w:p>
          <w:p w14:paraId="4AD19493" w14:textId="77777777" w:rsidR="009E4F16" w:rsidRPr="00B6535C" w:rsidRDefault="009E4F16" w:rsidP="009E4F16">
            <w:pPr>
              <w:pStyle w:val="TableText"/>
              <w:rPr>
                <w:rFonts w:ascii="Arial" w:hAnsi="Arial" w:cs="Arial"/>
                <w:sz w:val="20"/>
                <w:szCs w:val="20"/>
              </w:rPr>
            </w:pPr>
            <w:r w:rsidRPr="00B6535C">
              <w:rPr>
                <w:rFonts w:ascii="Arial" w:hAnsi="Arial" w:cs="Arial"/>
                <w:sz w:val="20"/>
                <w:szCs w:val="20"/>
              </w:rPr>
              <w:t>The treatment model being proposed does not fit the MBS funding model. The true financial impact on the health system may be underestimated because there is no direct relationship between the MBS cost (referrer) and cost to medical practices (to employ treatment provider).</w:t>
            </w:r>
          </w:p>
        </w:tc>
      </w:tr>
    </w:tbl>
    <w:p w14:paraId="6D155A87" w14:textId="77777777" w:rsidR="004817B2" w:rsidRDefault="004817B2" w:rsidP="004817B2">
      <w:pPr>
        <w:tabs>
          <w:tab w:val="left" w:pos="2265"/>
          <w:tab w:val="left" w:pos="3420"/>
          <w:tab w:val="left" w:pos="4320"/>
        </w:tabs>
        <w:rPr>
          <w:b/>
        </w:rPr>
      </w:pPr>
    </w:p>
    <w:p w14:paraId="72C76B26" w14:textId="7D38B3FE" w:rsidR="004817B2" w:rsidRPr="0025459F" w:rsidRDefault="004817B2" w:rsidP="0025459F">
      <w:pPr>
        <w:tabs>
          <w:tab w:val="left" w:pos="2265"/>
          <w:tab w:val="left" w:pos="3420"/>
          <w:tab w:val="left" w:pos="4320"/>
        </w:tabs>
        <w:spacing w:after="120"/>
        <w:rPr>
          <w:b/>
        </w:rPr>
      </w:pPr>
      <w:r w:rsidRPr="0025459F">
        <w:rPr>
          <w:b/>
        </w:rPr>
        <w:t>ESC Discussion</w:t>
      </w:r>
    </w:p>
    <w:p w14:paraId="652EE78A" w14:textId="5B67024B" w:rsidR="004817B2" w:rsidRDefault="004817B2" w:rsidP="00F136B7">
      <w:pPr>
        <w:spacing w:after="240"/>
      </w:pPr>
      <w:r w:rsidRPr="00AB5C0A">
        <w:t xml:space="preserve">Application </w:t>
      </w:r>
      <w:r>
        <w:t xml:space="preserve">1196.2 is a resubmission </w:t>
      </w:r>
      <w:r w:rsidRPr="00AB5C0A">
        <w:t xml:space="preserve">seeking </w:t>
      </w:r>
      <w:r>
        <w:t xml:space="preserve">Medicare Benefits Schedule (MBS) listing </w:t>
      </w:r>
      <w:r w:rsidRPr="00AB5C0A">
        <w:t>for</w:t>
      </w:r>
      <w:r>
        <w:t xml:space="preserve"> </w:t>
      </w:r>
      <w:r w:rsidRPr="00AB5C0A">
        <w:rPr>
          <w:lang w:val="en-US"/>
        </w:rPr>
        <w:t xml:space="preserve">repetitive </w:t>
      </w:r>
      <w:r>
        <w:rPr>
          <w:lang w:val="en-US"/>
        </w:rPr>
        <w:t>t</w:t>
      </w:r>
      <w:r w:rsidRPr="00AB5C0A">
        <w:rPr>
          <w:lang w:val="en-US"/>
        </w:rPr>
        <w:t xml:space="preserve">ranscranial </w:t>
      </w:r>
      <w:r>
        <w:rPr>
          <w:lang w:val="en-US"/>
        </w:rPr>
        <w:t>m</w:t>
      </w:r>
      <w:r w:rsidRPr="00AB5C0A">
        <w:rPr>
          <w:lang w:val="en-US"/>
        </w:rPr>
        <w:t xml:space="preserve">agnetic </w:t>
      </w:r>
      <w:r>
        <w:rPr>
          <w:lang w:val="en-US"/>
        </w:rPr>
        <w:t>s</w:t>
      </w:r>
      <w:r w:rsidRPr="00AB5C0A">
        <w:rPr>
          <w:lang w:val="en-US"/>
        </w:rPr>
        <w:t>timulation (</w:t>
      </w:r>
      <w:proofErr w:type="spellStart"/>
      <w:r w:rsidRPr="00AB5C0A">
        <w:rPr>
          <w:lang w:val="en-US"/>
        </w:rPr>
        <w:t>rTMS</w:t>
      </w:r>
      <w:proofErr w:type="spellEnd"/>
      <w:r w:rsidRPr="00AB5C0A">
        <w:rPr>
          <w:lang w:val="en-US"/>
        </w:rPr>
        <w:t>)</w:t>
      </w:r>
      <w:r>
        <w:rPr>
          <w:lang w:val="en-US"/>
        </w:rPr>
        <w:t xml:space="preserve"> to treat depression </w:t>
      </w:r>
      <w:r w:rsidRPr="00AB5C0A">
        <w:rPr>
          <w:lang w:val="en-US"/>
        </w:rPr>
        <w:t>after unsuccessful trial</w:t>
      </w:r>
      <w:r>
        <w:rPr>
          <w:lang w:val="en-US"/>
        </w:rPr>
        <w:t>i</w:t>
      </w:r>
      <w:r w:rsidRPr="00AB5C0A">
        <w:rPr>
          <w:lang w:val="en-US"/>
        </w:rPr>
        <w:t xml:space="preserve">ng of at least two different </w:t>
      </w:r>
      <w:r>
        <w:rPr>
          <w:lang w:val="en-US"/>
        </w:rPr>
        <w:t xml:space="preserve">classes of </w:t>
      </w:r>
      <w:r w:rsidRPr="00AB5C0A">
        <w:rPr>
          <w:lang w:val="en-US"/>
        </w:rPr>
        <w:t>antidepressant medications.</w:t>
      </w:r>
      <w:r>
        <w:rPr>
          <w:lang w:val="en-US"/>
        </w:rPr>
        <w:t xml:space="preserve"> </w:t>
      </w:r>
      <w:r>
        <w:t xml:space="preserve">ESC noted that the current resubmission </w:t>
      </w:r>
      <w:r w:rsidRPr="003C3543">
        <w:t xml:space="preserve">includes the ‘frame of reference’ approach </w:t>
      </w:r>
      <w:r>
        <w:t xml:space="preserve">previously </w:t>
      </w:r>
      <w:r w:rsidRPr="003C3543">
        <w:t>suggested</w:t>
      </w:r>
      <w:r>
        <w:t xml:space="preserve"> by MSAC,</w:t>
      </w:r>
      <w:r w:rsidRPr="003C3543">
        <w:t xml:space="preserve"> and</w:t>
      </w:r>
      <w:r>
        <w:t xml:space="preserve"> accepted by ESC,</w:t>
      </w:r>
      <w:r w:rsidRPr="003C3543">
        <w:t xml:space="preserve"> estimates the incremental cost-effectiveness of </w:t>
      </w:r>
      <w:proofErr w:type="spellStart"/>
      <w:r w:rsidRPr="003C3543">
        <w:t>rTMS</w:t>
      </w:r>
      <w:proofErr w:type="spellEnd"/>
      <w:r w:rsidRPr="003C3543">
        <w:t xml:space="preserve"> continued alongside antidepressants</w:t>
      </w:r>
      <w:r>
        <w:t>,</w:t>
      </w:r>
      <w:r w:rsidRPr="003C3543">
        <w:t xml:space="preserve"> compared with antidepressants alone.</w:t>
      </w:r>
    </w:p>
    <w:p w14:paraId="5BE82AB4" w14:textId="3096799A" w:rsidR="004817B2" w:rsidRPr="00704A9C" w:rsidRDefault="004817B2" w:rsidP="00F136B7">
      <w:pPr>
        <w:spacing w:after="240"/>
      </w:pPr>
      <w:r>
        <w:lastRenderedPageBreak/>
        <w:t xml:space="preserve">ESC agreed with the view of the </w:t>
      </w:r>
      <w:r w:rsidRPr="00736601">
        <w:t>Royal Australian and New Zealand College of Psychiatrists</w:t>
      </w:r>
      <w:r>
        <w:t xml:space="preserve"> (RANZCP) that </w:t>
      </w:r>
      <w:r w:rsidRPr="00736601">
        <w:t xml:space="preserve">the prescription of </w:t>
      </w:r>
      <w:proofErr w:type="spellStart"/>
      <w:r w:rsidRPr="00736601">
        <w:t>rTMS</w:t>
      </w:r>
      <w:proofErr w:type="spellEnd"/>
      <w:r w:rsidRPr="00736601">
        <w:t>, including the determination of treatment site and parameters (i.e.</w:t>
      </w:r>
      <w:r>
        <w:t> </w:t>
      </w:r>
      <w:r w:rsidRPr="00736601">
        <w:t>the mapping session), should be a specialist med</w:t>
      </w:r>
      <w:r>
        <w:t>ical activity undertaken by TMS-</w:t>
      </w:r>
      <w:r w:rsidRPr="00736601">
        <w:t>trained psychiatrists</w:t>
      </w:r>
      <w:r>
        <w:t>.</w:t>
      </w:r>
    </w:p>
    <w:p w14:paraId="4CCD74B2" w14:textId="1D469AC5" w:rsidR="004817B2" w:rsidRPr="00F136B7" w:rsidRDefault="004817B2" w:rsidP="00F136B7">
      <w:pPr>
        <w:spacing w:after="240"/>
        <w:rPr>
          <w:lang w:val="en-US"/>
        </w:rPr>
      </w:pPr>
      <w:r>
        <w:t>ESC noted that the revised MBS item descriptor for patient assessment and prescribing now includes a note that ‘</w:t>
      </w:r>
      <w:proofErr w:type="gramStart"/>
      <w:r>
        <w:t>T</w:t>
      </w:r>
      <w:r w:rsidRPr="00736601">
        <w:t>his</w:t>
      </w:r>
      <w:proofErr w:type="gramEnd"/>
      <w:r w:rsidRPr="00736601">
        <w:t xml:space="preserve"> item is not to be used when it is determined that the patient is ineligible to have the treatment</w:t>
      </w:r>
      <w:r>
        <w:t>’. ESC considered that this could be further revised to include ‘</w:t>
      </w:r>
      <w:r w:rsidRPr="00736601">
        <w:rPr>
          <w:lang w:val="en-US"/>
        </w:rPr>
        <w:t>or when prior treatment has been unsuccessful</w:t>
      </w:r>
      <w:r>
        <w:rPr>
          <w:lang w:val="en-US"/>
        </w:rPr>
        <w:t>’ to exclude use for re-treatment in patients who did not respond to initial treatment.</w:t>
      </w:r>
    </w:p>
    <w:p w14:paraId="5C2C015D" w14:textId="4A2EAC6E" w:rsidR="004817B2" w:rsidRDefault="004817B2" w:rsidP="00F136B7">
      <w:pPr>
        <w:spacing w:after="240"/>
      </w:pPr>
      <w:r>
        <w:t xml:space="preserve">ESC noted the applicant’s request that </w:t>
      </w:r>
      <w:r w:rsidRPr="006801A3">
        <w:t xml:space="preserve">MSAC reconsider the need to specify such </w:t>
      </w:r>
      <w:r>
        <w:t>‘</w:t>
      </w:r>
      <w:r w:rsidRPr="006801A3">
        <w:t>strict</w:t>
      </w:r>
      <w:r>
        <w:t>’</w:t>
      </w:r>
      <w:r w:rsidRPr="006801A3">
        <w:t xml:space="preserve"> requirements for defining treatment resistance</w:t>
      </w:r>
      <w:r>
        <w:t>. However, ESC considered the descriptor wording has sufficient scope for clinical interpretation and recommends that it does not need to be changed.</w:t>
      </w:r>
    </w:p>
    <w:p w14:paraId="0B863CA8" w14:textId="41329F7B" w:rsidR="004817B2" w:rsidRDefault="004817B2" w:rsidP="00F136B7">
      <w:pPr>
        <w:spacing w:after="240"/>
      </w:pPr>
      <w:r>
        <w:t xml:space="preserve">ESC noted that the proposed fee for patient assessment and prescribing has been significantly reduced (from $385 to $186.40) to be more in line with fees charged by private providers (e.g. the Black Dog Institute). However, ESC noted that the Black Dog fee of $200 for mapping and prescribing does not include assessment for eligibility; patients are charged separately for the assessment session using MBS consultation item 306, which has a fee of $186.40 (making Black Dog’s total charge $386). ESC therefore queried whether the lower fee proposed in the resubmission will include assessment of eligibility. </w:t>
      </w:r>
    </w:p>
    <w:p w14:paraId="021BA5AB" w14:textId="68BBC8C1" w:rsidR="00EA1A60" w:rsidRDefault="004817B2" w:rsidP="00F136B7">
      <w:pPr>
        <w:spacing w:after="240"/>
      </w:pPr>
      <w:r>
        <w:t>ESC noted the applicant’s pre-ESC response (May 2018) that i</w:t>
      </w:r>
      <w:r w:rsidRPr="008630FE">
        <w:t>f</w:t>
      </w:r>
      <w:r>
        <w:t xml:space="preserve"> a patient is</w:t>
      </w:r>
      <w:r w:rsidRPr="008630FE">
        <w:t xml:space="preserve"> assessed by a non-TMS trained psychiatrist</w:t>
      </w:r>
      <w:r>
        <w:t xml:space="preserve">, they would claim MBS item 306 and refer the patient to a TMS-trained doctor who would claim the proposed fee for prescription. If the patient is assessed by a TMS-trained doctor, a separate consultation for eligibility assessment would not be required. However, ESC considered that, if assessment is not included, the most likely scenario would be an additional consultation fee on top of the mapping and prescription item. </w:t>
      </w:r>
    </w:p>
    <w:p w14:paraId="55A4FF36" w14:textId="2C541204" w:rsidR="004817B2" w:rsidRDefault="004817B2" w:rsidP="00F136B7">
      <w:pPr>
        <w:spacing w:after="240"/>
      </w:pPr>
      <w:r>
        <w:t xml:space="preserve">ESC queried whether any changes are required to the item descriptor if assessment is not included, and whether co-claiming should be considered. ESC noted that the economic evaluation presented by the submission does not represent these scenarios. However, ESC noted that if an additional consultation fee ($186.40) is included, the impact on the ICER will be moderate (increasing the base case ICER to $41,512). </w:t>
      </w:r>
      <w:r w:rsidRPr="009E3320">
        <w:t xml:space="preserve"> </w:t>
      </w:r>
      <w:r>
        <w:t>ESC also queried what the impact would be on out-of-pocket costs for patients.</w:t>
      </w:r>
    </w:p>
    <w:p w14:paraId="5CF32250" w14:textId="4054B54D" w:rsidR="004817B2" w:rsidRDefault="004817B2" w:rsidP="004817B2">
      <w:r>
        <w:t>ESC commented that the treatment model being proposed (i.e. initiated by a specialist but provided by healthcare professional not eligible for Medicare) does not fit the MBS funding model. It is unclear how these items will be used in the real world. It is possible that the true financial impact on the health system has been underestimated because there is no direct relationship between the MBS cost (claimed by the referrer) and the cost to hospitals of employing the person providing the treatment.</w:t>
      </w:r>
    </w:p>
    <w:p w14:paraId="7E6B8365" w14:textId="6E5D33A2" w:rsidR="004817B2" w:rsidRDefault="004817B2" w:rsidP="00F136B7">
      <w:pPr>
        <w:spacing w:after="240"/>
      </w:pPr>
      <w:r>
        <w:t xml:space="preserve">ESC noted that the proposed fee for </w:t>
      </w:r>
      <w:proofErr w:type="spellStart"/>
      <w:r>
        <w:t>rTMS</w:t>
      </w:r>
      <w:proofErr w:type="spellEnd"/>
      <w:r>
        <w:t xml:space="preserve"> treatment delivery has also been reduced (from $185 to $160 per session), in line with the fee charged by the Black Dog Institute. ESC also noted that, given the need for five treatments per week for 4–6 weeks, this would contribute most of the cost.</w:t>
      </w:r>
    </w:p>
    <w:p w14:paraId="7E1BF463" w14:textId="0CF7F2D9" w:rsidR="004817B2" w:rsidRDefault="004817B2" w:rsidP="00F136B7">
      <w:pPr>
        <w:spacing w:after="240"/>
      </w:pPr>
      <w:r w:rsidDel="0048488A">
        <w:t xml:space="preserve">ESC noted the Critique’s comment that the proposed items do not explicitly exclude the use of </w:t>
      </w:r>
      <w:proofErr w:type="spellStart"/>
      <w:r w:rsidDel="0048488A">
        <w:t>rTMS</w:t>
      </w:r>
      <w:proofErr w:type="spellEnd"/>
      <w:r w:rsidDel="0048488A">
        <w:t xml:space="preserve"> for retreatment, and the applicant’s response that they would consider restricting </w:t>
      </w:r>
      <w:r w:rsidRPr="00AC3949" w:rsidDel="0048488A">
        <w:t>retreatment to patients with prior response or those with sufficient time between treatments</w:t>
      </w:r>
      <w:r w:rsidDel="0048488A">
        <w:t xml:space="preserve"> (</w:t>
      </w:r>
      <w:r w:rsidRPr="00AC3949" w:rsidDel="0048488A">
        <w:t>suggesting 1 year as an example</w:t>
      </w:r>
      <w:r w:rsidDel="0048488A">
        <w:t>)</w:t>
      </w:r>
      <w:r w:rsidRPr="00AC3949" w:rsidDel="0048488A">
        <w:t xml:space="preserve">. However, ESC noted that there is no clear evidence about </w:t>
      </w:r>
      <w:r w:rsidRPr="00AC3949" w:rsidDel="0048488A">
        <w:lastRenderedPageBreak/>
        <w:t>the likelihood of response based on previous response. The duration of therapeutic benefit is also uncertain</w:t>
      </w:r>
      <w:r w:rsidDel="0048488A">
        <w:t>, and there is no evidence regarding a suitable interval between treatments</w:t>
      </w:r>
      <w:r w:rsidRPr="00AC3949" w:rsidDel="0048488A">
        <w:t xml:space="preserve">. </w:t>
      </w:r>
      <w:r>
        <w:t xml:space="preserve">Based on these critical uncertainties, </w:t>
      </w:r>
      <w:r w:rsidDel="0048488A">
        <w:t xml:space="preserve">ESC </w:t>
      </w:r>
      <w:r>
        <w:t xml:space="preserve">advised that the item descriptor should be amended to exclude retreatment with </w:t>
      </w:r>
      <w:proofErr w:type="spellStart"/>
      <w:r>
        <w:t>rTMS</w:t>
      </w:r>
      <w:proofErr w:type="spellEnd"/>
      <w:r>
        <w:t>.</w:t>
      </w:r>
    </w:p>
    <w:p w14:paraId="47EB224D" w14:textId="0AE2EA69" w:rsidR="004817B2" w:rsidRDefault="004817B2" w:rsidP="00F136B7">
      <w:pPr>
        <w:spacing w:after="240"/>
      </w:pPr>
      <w:r>
        <w:t xml:space="preserve">ESC noted consumer comments that there have been reports of seizures associated with </w:t>
      </w:r>
      <w:proofErr w:type="spellStart"/>
      <w:r>
        <w:t>rTMS</w:t>
      </w:r>
      <w:proofErr w:type="spellEnd"/>
      <w:r>
        <w:t>, and that these seem to occur during the procedure rather than after treatment. However, the frequency of seizures, and whether there is any difference between the intervention and sham, is unknown. Consumers have also complained of facial spasms during treatment for which they were not sufficiently prepared. ESC noted that consumer information available from the Black Dog Institute and Beyond Blue do</w:t>
      </w:r>
      <w:r w:rsidR="00F136B7">
        <w:t xml:space="preserve"> not mention any safety issues.</w:t>
      </w:r>
    </w:p>
    <w:p w14:paraId="7EF04C0D" w14:textId="267FCCBD" w:rsidR="004817B2" w:rsidRPr="00710D52" w:rsidRDefault="004817B2" w:rsidP="00F136B7">
      <w:pPr>
        <w:spacing w:after="240"/>
      </w:pPr>
      <w:r>
        <w:t>ESC noted that the lack of evidence</w:t>
      </w:r>
      <w:r w:rsidRPr="00710D52">
        <w:t xml:space="preserve"> </w:t>
      </w:r>
      <w:r>
        <w:t xml:space="preserve">for consumers’ opinions on the value of </w:t>
      </w:r>
      <w:proofErr w:type="spellStart"/>
      <w:r>
        <w:t>rTMS</w:t>
      </w:r>
      <w:proofErr w:type="spellEnd"/>
      <w:r w:rsidRPr="00710D52">
        <w:t xml:space="preserve">. </w:t>
      </w:r>
      <w:r>
        <w:t>RANZCP</w:t>
      </w:r>
      <w:r w:rsidRPr="00710D52">
        <w:t xml:space="preserve"> argues that </w:t>
      </w:r>
      <w:r>
        <w:t>because</w:t>
      </w:r>
      <w:r w:rsidRPr="00710D52">
        <w:t xml:space="preserve"> </w:t>
      </w:r>
      <w:proofErr w:type="spellStart"/>
      <w:r w:rsidRPr="00710D52">
        <w:t>rTMS</w:t>
      </w:r>
      <w:proofErr w:type="spellEnd"/>
      <w:r w:rsidRPr="00710D52">
        <w:t xml:space="preserve"> </w:t>
      </w:r>
      <w:r>
        <w:t xml:space="preserve">is </w:t>
      </w:r>
      <w:r w:rsidRPr="00710D52">
        <w:t xml:space="preserve">a non-invasive procedure, people are very likely to opt for it. </w:t>
      </w:r>
      <w:r>
        <w:t>However,</w:t>
      </w:r>
      <w:r w:rsidRPr="00710D52">
        <w:t xml:space="preserve"> this does not reflect the reality of decision-making capacities among consumers generally or people with</w:t>
      </w:r>
      <w:r w:rsidR="00F136B7">
        <w:t xml:space="preserve"> major depression specifically.</w:t>
      </w:r>
    </w:p>
    <w:p w14:paraId="6D4C5789" w14:textId="1F079D17" w:rsidR="004817B2" w:rsidRDefault="004817B2" w:rsidP="00F136B7">
      <w:pPr>
        <w:spacing w:after="240"/>
      </w:pPr>
      <w:r>
        <w:t>ESC noted that because</w:t>
      </w:r>
      <w:r w:rsidRPr="00AA1C7F">
        <w:t xml:space="preserve"> psychiatrists are largely metro-based</w:t>
      </w:r>
      <w:r>
        <w:t>,</w:t>
      </w:r>
      <w:r w:rsidRPr="00AA1C7F">
        <w:t xml:space="preserve"> access </w:t>
      </w:r>
      <w:r>
        <w:t>will be</w:t>
      </w:r>
      <w:r w:rsidRPr="00AA1C7F">
        <w:t xml:space="preserve"> limited for rural/remote</w:t>
      </w:r>
      <w:r>
        <w:t xml:space="preserve"> patients</w:t>
      </w:r>
      <w:r w:rsidRPr="00AA1C7F">
        <w:t xml:space="preserve">. </w:t>
      </w:r>
      <w:r>
        <w:t xml:space="preserve">The requirement for </w:t>
      </w:r>
      <w:r w:rsidRPr="00AA1C7F">
        <w:t>20</w:t>
      </w:r>
      <w:r>
        <w:t>–</w:t>
      </w:r>
      <w:r w:rsidRPr="00AA1C7F">
        <w:t>30 treatments over a number of weeks will have a significant impact on rural/remote</w:t>
      </w:r>
      <w:r>
        <w:t xml:space="preserve"> patients</w:t>
      </w:r>
      <w:r w:rsidRPr="00AA1C7F">
        <w:t xml:space="preserve">.  People with major depression may be out of work and therefore </w:t>
      </w:r>
      <w:r>
        <w:t>un</w:t>
      </w:r>
      <w:r w:rsidRPr="00AA1C7F">
        <w:t xml:space="preserve">able to afford </w:t>
      </w:r>
      <w:r>
        <w:t>consultation with</w:t>
      </w:r>
      <w:r w:rsidRPr="00AA1C7F">
        <w:t xml:space="preserve"> a psy</w:t>
      </w:r>
      <w:r w:rsidR="00F136B7">
        <w:t>chiatrist.</w:t>
      </w:r>
    </w:p>
    <w:p w14:paraId="0539ABEE" w14:textId="0A22B6C2" w:rsidR="004817B2" w:rsidRPr="00704A9C" w:rsidRDefault="004817B2" w:rsidP="00F136B7">
      <w:pPr>
        <w:spacing w:after="240"/>
      </w:pPr>
      <w:r>
        <w:t>ESC noted that out-of-pocket c</w:t>
      </w:r>
      <w:r w:rsidRPr="00AA1C7F">
        <w:t xml:space="preserve">osts will be affected by specialist fees and gaps in </w:t>
      </w:r>
      <w:r>
        <w:t>private health insurance payments. Follow-</w:t>
      </w:r>
      <w:r w:rsidRPr="00AA1C7F">
        <w:t>up treatments will be an issue</w:t>
      </w:r>
      <w:r>
        <w:t>;</w:t>
      </w:r>
      <w:r w:rsidRPr="00AA1C7F">
        <w:t xml:space="preserve"> </w:t>
      </w:r>
      <w:r>
        <w:t>the l</w:t>
      </w:r>
      <w:r w:rsidRPr="00AA1C7F">
        <w:t xml:space="preserve">ength of treatment will have </w:t>
      </w:r>
      <w:r>
        <w:t xml:space="preserve">a </w:t>
      </w:r>
      <w:r w:rsidRPr="00AA1C7F">
        <w:t xml:space="preserve">significant impact on both </w:t>
      </w:r>
      <w:r>
        <w:t xml:space="preserve">patient </w:t>
      </w:r>
      <w:r w:rsidRPr="00AA1C7F">
        <w:t>outlays and income</w:t>
      </w:r>
      <w:r>
        <w:t>-</w:t>
      </w:r>
      <w:r w:rsidRPr="00AA1C7F">
        <w:t xml:space="preserve">earning capacity. </w:t>
      </w:r>
      <w:r>
        <w:t>However, t</w:t>
      </w:r>
      <w:r w:rsidRPr="00AA1C7F">
        <w:t>his might be offset if improved health allows the person to return to work.</w:t>
      </w:r>
    </w:p>
    <w:p w14:paraId="5E2CDFBD" w14:textId="33BEAF71" w:rsidR="004817B2" w:rsidRDefault="004817B2" w:rsidP="00F136B7">
      <w:pPr>
        <w:spacing w:after="240"/>
      </w:pPr>
      <w:r>
        <w:t>ESC noted that both</w:t>
      </w:r>
      <w:r w:rsidRPr="00015268">
        <w:t xml:space="preserve"> </w:t>
      </w:r>
      <w:r>
        <w:t xml:space="preserve">the </w:t>
      </w:r>
      <w:r w:rsidRPr="00015268">
        <w:t xml:space="preserve">European </w:t>
      </w:r>
      <w:r>
        <w:t>N</w:t>
      </w:r>
      <w:r w:rsidRPr="00015268">
        <w:t xml:space="preserve">etwork for </w:t>
      </w:r>
      <w:r>
        <w:t>H</w:t>
      </w:r>
      <w:r w:rsidRPr="00015268">
        <w:t xml:space="preserve">ealth </w:t>
      </w:r>
      <w:r>
        <w:t>T</w:t>
      </w:r>
      <w:r w:rsidRPr="00015268">
        <w:t xml:space="preserve">echnology </w:t>
      </w:r>
      <w:r>
        <w:t>A</w:t>
      </w:r>
      <w:r w:rsidRPr="00015268">
        <w:t xml:space="preserve">ssessment </w:t>
      </w:r>
      <w:r>
        <w:t>(</w:t>
      </w:r>
      <w:proofErr w:type="spellStart"/>
      <w:r w:rsidRPr="00015268">
        <w:t>EUnetHTA</w:t>
      </w:r>
      <w:proofErr w:type="spellEnd"/>
      <w:r>
        <w:t xml:space="preserve"> 2017)</w:t>
      </w:r>
      <w:r w:rsidRPr="00015268">
        <w:t xml:space="preserve"> </w:t>
      </w:r>
      <w:r>
        <w:t>r</w:t>
      </w:r>
      <w:r w:rsidRPr="00015268">
        <w:t>eport</w:t>
      </w:r>
      <w:r>
        <w:t xml:space="preserve"> </w:t>
      </w:r>
      <w:r w:rsidRPr="00015268">
        <w:t>and the Ontario Health Technology Assessment Series</w:t>
      </w:r>
      <w:r>
        <w:t xml:space="preserve"> (HQO 2016) report showed positive results for </w:t>
      </w:r>
      <w:proofErr w:type="spellStart"/>
      <w:r>
        <w:t>rTMS</w:t>
      </w:r>
      <w:proofErr w:type="spellEnd"/>
      <w:r>
        <w:t xml:space="preserve">. The </w:t>
      </w:r>
      <w:proofErr w:type="spellStart"/>
      <w:r w:rsidRPr="00015268">
        <w:t>EUnetHTA</w:t>
      </w:r>
      <w:proofErr w:type="spellEnd"/>
      <w:r>
        <w:t xml:space="preserve"> report </w:t>
      </w:r>
      <w:r w:rsidRPr="00564897">
        <w:t xml:space="preserve">found that patients were approximately twice as likely to experience response or remission with </w:t>
      </w:r>
      <w:proofErr w:type="spellStart"/>
      <w:r w:rsidRPr="00564897">
        <w:t>rTMS</w:t>
      </w:r>
      <w:proofErr w:type="spellEnd"/>
      <w:r w:rsidRPr="00564897">
        <w:t xml:space="preserve"> as with sham</w:t>
      </w:r>
      <w:r>
        <w:t xml:space="preserve">. The HQO report showed a significant reduction in </w:t>
      </w:r>
      <w:r w:rsidRPr="00727385">
        <w:t>Hamilton Rating Scale for Depression (HAM-D)</w:t>
      </w:r>
      <w:r>
        <w:t xml:space="preserve"> scores for </w:t>
      </w:r>
      <w:proofErr w:type="spellStart"/>
      <w:r>
        <w:t>rTMS</w:t>
      </w:r>
      <w:proofErr w:type="spellEnd"/>
      <w:r>
        <w:t xml:space="preserve"> compared with sham. However, although the studies in the HQO report all included a sham, ESC had limited confidence in the consistency of shams between studies.</w:t>
      </w:r>
      <w:r w:rsidRPr="006B4821">
        <w:t xml:space="preserve"> </w:t>
      </w:r>
      <w:r>
        <w:t>ESC also noted that the Critique’s meta-analysis (</w:t>
      </w:r>
      <w:r w:rsidRPr="002B0202">
        <w:t>based on the sys</w:t>
      </w:r>
      <w:r>
        <w:t xml:space="preserve">tematic review by </w:t>
      </w:r>
      <w:proofErr w:type="spellStart"/>
      <w:r>
        <w:t>Sehatzadeh</w:t>
      </w:r>
      <w:proofErr w:type="spellEnd"/>
      <w:r>
        <w:t xml:space="preserve"> </w:t>
      </w:r>
      <w:r w:rsidR="00071E3A">
        <w:t>et al.</w:t>
      </w:r>
      <w:r w:rsidRPr="002B0202">
        <w:t>.</w:t>
      </w:r>
      <w:r>
        <w:t>,</w:t>
      </w:r>
      <w:r w:rsidRPr="002B0202">
        <w:t xml:space="preserve"> 2019)</w:t>
      </w:r>
      <w:r>
        <w:t xml:space="preserve"> showed very positive results for </w:t>
      </w:r>
      <w:proofErr w:type="spellStart"/>
      <w:r>
        <w:t>rTMS</w:t>
      </w:r>
      <w:proofErr w:type="spellEnd"/>
      <w:r>
        <w:t xml:space="preserve"> compared with sham when antidepressants are used concurrently. ESC agreed with the Critique and considered the most applicable evidence on which to base the effectiveness of </w:t>
      </w:r>
      <w:proofErr w:type="spellStart"/>
      <w:r>
        <w:t>rTMS</w:t>
      </w:r>
      <w:proofErr w:type="spellEnd"/>
      <w:r>
        <w:t xml:space="preserve"> would be </w:t>
      </w:r>
      <w:proofErr w:type="spellStart"/>
      <w:r>
        <w:t>Sehatzadeh</w:t>
      </w:r>
      <w:proofErr w:type="spellEnd"/>
      <w:r>
        <w:t xml:space="preserve"> </w:t>
      </w:r>
      <w:r w:rsidR="00071E3A">
        <w:t>et al</w:t>
      </w:r>
      <w:proofErr w:type="gramStart"/>
      <w:r w:rsidR="00071E3A">
        <w:t>.</w:t>
      </w:r>
      <w:r>
        <w:t>.</w:t>
      </w:r>
      <w:proofErr w:type="gramEnd"/>
      <w:r>
        <w:t xml:space="preserve"> 2019 (</w:t>
      </w:r>
      <w:proofErr w:type="spellStart"/>
      <w:r>
        <w:t>rTMS</w:t>
      </w:r>
      <w:proofErr w:type="spellEnd"/>
      <w:r>
        <w:t xml:space="preserve"> + antidepressants vs. sham + antidepressants) (with 2 or more failed trials of antidepressants).</w:t>
      </w:r>
    </w:p>
    <w:p w14:paraId="0B0A75B0" w14:textId="411599D4" w:rsidR="004817B2" w:rsidRDefault="004817B2" w:rsidP="00F136B7">
      <w:pPr>
        <w:spacing w:after="240"/>
      </w:pPr>
      <w:r>
        <w:t xml:space="preserve">ESC considered that the updated evidence on maintenance </w:t>
      </w:r>
      <w:proofErr w:type="spellStart"/>
      <w:r>
        <w:t>rTMS</w:t>
      </w:r>
      <w:proofErr w:type="spellEnd"/>
      <w:r>
        <w:t xml:space="preserve"> provided in the submission is still limited and weak, and does not</w:t>
      </w:r>
      <w:r w:rsidRPr="00101D32">
        <w:t xml:space="preserve"> </w:t>
      </w:r>
      <w:r>
        <w:t>warrant reconsidering advice regarding maintenance treatment. O</w:t>
      </w:r>
      <w:r w:rsidRPr="00690596">
        <w:t xml:space="preserve">bservational studies assessing </w:t>
      </w:r>
      <w:proofErr w:type="spellStart"/>
      <w:r w:rsidRPr="00690596">
        <w:t>rTMS</w:t>
      </w:r>
      <w:proofErr w:type="spellEnd"/>
      <w:r w:rsidRPr="00690596">
        <w:t xml:space="preserve"> maintenance treatment are consistent</w:t>
      </w:r>
      <w:r>
        <w:t xml:space="preserve"> in showing </w:t>
      </w:r>
      <w:r w:rsidRPr="00690596">
        <w:t xml:space="preserve">some benefit compared </w:t>
      </w:r>
      <w:r>
        <w:t>with</w:t>
      </w:r>
      <w:r w:rsidRPr="00690596">
        <w:t xml:space="preserve"> no maintenance treatment or maintenance treatment with antidepressants alone.</w:t>
      </w:r>
      <w:r>
        <w:t xml:space="preserve"> However, these studies have a high risk of selection bias and confounding. The only randomised controlled trial comparing </w:t>
      </w:r>
      <w:proofErr w:type="spellStart"/>
      <w:r>
        <w:t>rTMS</w:t>
      </w:r>
      <w:proofErr w:type="spellEnd"/>
      <w:r>
        <w:t xml:space="preserve"> with sham was </w:t>
      </w:r>
      <w:r w:rsidRPr="00690596">
        <w:t xml:space="preserve">insufficiently powered to report statistically significant differences between </w:t>
      </w:r>
      <w:r>
        <w:t xml:space="preserve">the </w:t>
      </w:r>
      <w:proofErr w:type="spellStart"/>
      <w:r w:rsidRPr="00690596">
        <w:t>rTMS</w:t>
      </w:r>
      <w:proofErr w:type="spellEnd"/>
      <w:r w:rsidRPr="00690596">
        <w:t xml:space="preserve"> and sham arms</w:t>
      </w:r>
      <w:r>
        <w:t xml:space="preserve">. ESC noted the resubmission’s item descriptor was updated to exclude maintenance treatment with </w:t>
      </w:r>
      <w:proofErr w:type="spellStart"/>
      <w:r>
        <w:t>rTMS</w:t>
      </w:r>
      <w:proofErr w:type="spellEnd"/>
      <w:r>
        <w:t>.</w:t>
      </w:r>
    </w:p>
    <w:p w14:paraId="76975712" w14:textId="5934AC24" w:rsidR="004817B2" w:rsidRDefault="004817B2" w:rsidP="00F136B7">
      <w:pPr>
        <w:spacing w:after="240"/>
      </w:pPr>
      <w:r>
        <w:lastRenderedPageBreak/>
        <w:t xml:space="preserve">ESC noted that the updated economic evaluation in the </w:t>
      </w:r>
      <w:r w:rsidRPr="003C3543">
        <w:t>resubmission addresses MSAC’s previous concerns regarding the intervention (</w:t>
      </w:r>
      <w:proofErr w:type="spellStart"/>
      <w:r w:rsidRPr="003C3543">
        <w:t>rTMS</w:t>
      </w:r>
      <w:proofErr w:type="spellEnd"/>
      <w:r w:rsidRPr="003C3543">
        <w:t xml:space="preserve"> + antidepress</w:t>
      </w:r>
      <w:r>
        <w:t xml:space="preserve">ants to </w:t>
      </w:r>
      <w:r w:rsidRPr="002124AB">
        <w:t>reflect current clinical practice)</w:t>
      </w:r>
      <w:r>
        <w:t>; p</w:t>
      </w:r>
      <w:r w:rsidRPr="002124AB">
        <w:t>roposed fees</w:t>
      </w:r>
      <w:r>
        <w:t>; b</w:t>
      </w:r>
      <w:r w:rsidRPr="002124AB">
        <w:t>aseline response/remission rates (related to natural history of depression for the proposed target population)</w:t>
      </w:r>
      <w:r>
        <w:t xml:space="preserve">; and </w:t>
      </w:r>
      <w:proofErr w:type="spellStart"/>
      <w:r w:rsidRPr="002124AB">
        <w:t>rTMS</w:t>
      </w:r>
      <w:proofErr w:type="spellEnd"/>
      <w:r w:rsidRPr="002124AB">
        <w:t xml:space="preserve"> effects</w:t>
      </w:r>
      <w:r w:rsidR="00F136B7">
        <w:t>.</w:t>
      </w:r>
    </w:p>
    <w:p w14:paraId="026625A8" w14:textId="562FFE25" w:rsidR="004817B2" w:rsidRDefault="004817B2" w:rsidP="00F136B7">
      <w:pPr>
        <w:spacing w:after="240"/>
      </w:pPr>
      <w:r>
        <w:t xml:space="preserve">ESC noted that, after </w:t>
      </w:r>
      <w:proofErr w:type="spellStart"/>
      <w:r>
        <w:t>rTMS</w:t>
      </w:r>
      <w:proofErr w:type="spellEnd"/>
      <w:r>
        <w:t xml:space="preserve"> maintenance and re-treatment were removed from the base case, the resulting incremental cost-effectiveness ratio (ICER) ($37,734) is significantly higher than in the previous submission ($6,489) </w:t>
      </w:r>
      <w:r w:rsidRPr="00235B4C">
        <w:t xml:space="preserve">because of more conservative figures and assumptions </w:t>
      </w:r>
      <w:r>
        <w:t xml:space="preserve">used </w:t>
      </w:r>
      <w:r w:rsidRPr="00235B4C">
        <w:t>in the model</w:t>
      </w:r>
      <w:r>
        <w:t xml:space="preserve">. ESC noted that changes to the </w:t>
      </w:r>
      <w:proofErr w:type="spellStart"/>
      <w:r>
        <w:t>rTMS</w:t>
      </w:r>
      <w:proofErr w:type="spellEnd"/>
      <w:r>
        <w:t xml:space="preserve"> cost in the resubmission has minimal effect on the ICER.</w:t>
      </w:r>
    </w:p>
    <w:p w14:paraId="7F758513" w14:textId="16F7793F" w:rsidR="004817B2" w:rsidRDefault="004817B2" w:rsidP="00F136B7">
      <w:pPr>
        <w:spacing w:after="240"/>
      </w:pPr>
      <w:r>
        <w:t xml:space="preserve">ESC noted the sensitivity of the model to effectiveness data (remission and response rates of </w:t>
      </w:r>
      <w:proofErr w:type="spellStart"/>
      <w:r>
        <w:t>rTMS</w:t>
      </w:r>
      <w:proofErr w:type="spellEnd"/>
      <w:r>
        <w:t xml:space="preserve"> vs antidepressants), which has an indirect impact on cost offsets attributable to hospitalisation and electroconvulsive therapy. C</w:t>
      </w:r>
      <w:r w:rsidRPr="003E6FF2">
        <w:t xml:space="preserve">hanges in baseline remission and response </w:t>
      </w:r>
      <w:r>
        <w:t xml:space="preserve">rates </w:t>
      </w:r>
      <w:r w:rsidRPr="003E6FF2">
        <w:t>ch</w:t>
      </w:r>
      <w:r>
        <w:t>a</w:t>
      </w:r>
      <w:r w:rsidRPr="003E6FF2">
        <w:t xml:space="preserve">nge </w:t>
      </w:r>
      <w:r>
        <w:t>the ICER</w:t>
      </w:r>
      <w:r w:rsidRPr="003E6FF2">
        <w:t xml:space="preserve"> </w:t>
      </w:r>
      <w:r>
        <w:t>si</w:t>
      </w:r>
      <w:r w:rsidRPr="003E6FF2">
        <w:t>gnificant</w:t>
      </w:r>
      <w:r>
        <w:t>ly. ESC noted that the e</w:t>
      </w:r>
      <w:r w:rsidRPr="00DC55B3">
        <w:t xml:space="preserve">vidence </w:t>
      </w:r>
      <w:r>
        <w:t>for</w:t>
      </w:r>
      <w:r w:rsidRPr="00DC55B3">
        <w:t xml:space="preserve"> effectiveness of </w:t>
      </w:r>
      <w:r>
        <w:t xml:space="preserve">the </w:t>
      </w:r>
      <w:r w:rsidRPr="00DC55B3">
        <w:t>comparator (</w:t>
      </w:r>
      <w:r>
        <w:t>third-</w:t>
      </w:r>
      <w:r w:rsidRPr="00DC55B3">
        <w:t xml:space="preserve">line </w:t>
      </w:r>
      <w:r>
        <w:t>antidepressants</w:t>
      </w:r>
      <w:r w:rsidRPr="00DC55B3">
        <w:t xml:space="preserve">) and </w:t>
      </w:r>
      <w:r>
        <w:t xml:space="preserve">of </w:t>
      </w:r>
      <w:proofErr w:type="spellStart"/>
      <w:r w:rsidRPr="00DC55B3">
        <w:t>rTMS</w:t>
      </w:r>
      <w:proofErr w:type="spellEnd"/>
      <w:r>
        <w:t xml:space="preserve"> does</w:t>
      </w:r>
      <w:r w:rsidRPr="00DC55B3">
        <w:t xml:space="preserve"> </w:t>
      </w:r>
      <w:r>
        <w:t>n</w:t>
      </w:r>
      <w:r w:rsidRPr="00DC55B3">
        <w:t xml:space="preserve">ot strictly match the proposed </w:t>
      </w:r>
      <w:r w:rsidRPr="006D38CB">
        <w:t>population (e.g. different stages of anti-depressant resistance, different classes of anti-depressants).</w:t>
      </w:r>
    </w:p>
    <w:p w14:paraId="5D2E4C28" w14:textId="64EF9AB9" w:rsidR="004817B2" w:rsidRDefault="004817B2" w:rsidP="00F136B7">
      <w:pPr>
        <w:spacing w:after="240"/>
      </w:pPr>
      <w:r>
        <w:t>ESC noted that the model inputs for hospitalisation (e.g. probability of hospital admissions: 10.4%) remain based on assumption and consistent with previous MSAC advice, are highly uncertain.</w:t>
      </w:r>
      <w:r w:rsidRPr="00191B26">
        <w:t xml:space="preserve"> </w:t>
      </w:r>
      <w:r>
        <w:t>Changing these inputs has a moderate to significant impact on the ICER. A three-way sensitivity analysis changing inputs for hospital admission resulted in a 60% increase in the baseline ICER to ~$58,000 (changing probability of admission after treatment failure from 10.4% to 8%, probability of remission if admitted from 35% to 40%, and probability of remaining in hospital from 50% to 10%).</w:t>
      </w:r>
    </w:p>
    <w:p w14:paraId="48CC8E6F" w14:textId="7A02FE97" w:rsidR="004817B2" w:rsidRDefault="004817B2" w:rsidP="00F136B7">
      <w:pPr>
        <w:spacing w:after="240"/>
      </w:pPr>
      <w:r>
        <w:t xml:space="preserve">ESC noted that the cycle length of the model is 3 months, but according to 2015–16 data from the Australian Institute of Health and Welfare, the national average number of days per hospitalisation for ‘depressive episodes’ was only 14.3 days. ESC considered a more reasonable assumption in the model would be that </w:t>
      </w:r>
      <w:r w:rsidRPr="003E6FF2">
        <w:t>all patients who do not gain remission are discharged to the ‘No response/</w:t>
      </w:r>
      <w:r>
        <w:t>r</w:t>
      </w:r>
      <w:r w:rsidRPr="003E6FF2">
        <w:t>elapse’ state at the end of the cycle</w:t>
      </w:r>
      <w:r>
        <w:t>.</w:t>
      </w:r>
    </w:p>
    <w:p w14:paraId="6A810D4A" w14:textId="77777777" w:rsidR="004817B2" w:rsidRDefault="004817B2" w:rsidP="004817B2">
      <w:pPr>
        <w:tabs>
          <w:tab w:val="left" w:pos="2265"/>
          <w:tab w:val="left" w:pos="3420"/>
          <w:tab w:val="left" w:pos="4320"/>
        </w:tabs>
      </w:pPr>
      <w:r>
        <w:t xml:space="preserve">ESC agreed with the Critique that the </w:t>
      </w:r>
      <w:r w:rsidRPr="00257A3B">
        <w:t>financial/budgetary impact</w:t>
      </w:r>
      <w:r>
        <w:t xml:space="preserve"> on the MBS</w:t>
      </w:r>
      <w:r w:rsidRPr="00257A3B">
        <w:t xml:space="preserve"> has been underestimated</w:t>
      </w:r>
      <w:r>
        <w:t>, especially considering that an additional consultation item may be claimed.</w:t>
      </w:r>
    </w:p>
    <w:p w14:paraId="73E7CF55" w14:textId="77777777" w:rsidR="00D90A38" w:rsidRPr="00F715D1" w:rsidRDefault="00BC1364" w:rsidP="00F715D1">
      <w:pPr>
        <w:pStyle w:val="Heading1"/>
      </w:pPr>
      <w:r w:rsidRPr="00F715D1">
        <w:t>Other significant factors</w:t>
      </w:r>
    </w:p>
    <w:p w14:paraId="1F09EEF6" w14:textId="34E58DD9" w:rsidR="00BC1364" w:rsidRPr="00A66B88" w:rsidRDefault="00BC1364" w:rsidP="00F715D1">
      <w:pPr>
        <w:spacing w:after="240"/>
        <w:rPr>
          <w:szCs w:val="24"/>
        </w:rPr>
      </w:pPr>
      <w:r w:rsidRPr="00A66B88">
        <w:rPr>
          <w:szCs w:val="24"/>
        </w:rPr>
        <w:t>Nil</w:t>
      </w:r>
      <w:r w:rsidR="0025459F">
        <w:rPr>
          <w:szCs w:val="24"/>
        </w:rPr>
        <w:t>.</w:t>
      </w:r>
    </w:p>
    <w:p w14:paraId="5B21093D" w14:textId="77777777" w:rsidR="00BC1364" w:rsidRPr="00F715D1" w:rsidRDefault="00BC1364" w:rsidP="00F715D1">
      <w:pPr>
        <w:pStyle w:val="Heading1"/>
      </w:pPr>
      <w:r w:rsidRPr="00F715D1">
        <w:t xml:space="preserve">Applicant’s comments on MSAC’s </w:t>
      </w:r>
      <w:r w:rsidR="00DA56AA" w:rsidRPr="00F715D1">
        <w:t>Public Summary Document</w:t>
      </w:r>
    </w:p>
    <w:p w14:paraId="29E92F53" w14:textId="610A83B1" w:rsidR="00AC6B4B" w:rsidRDefault="00AC6B4B" w:rsidP="00F136B7">
      <w:pPr>
        <w:pStyle w:val="CommentText"/>
        <w:spacing w:after="240"/>
        <w:rPr>
          <w:color w:val="000000" w:themeColor="text1"/>
          <w:sz w:val="24"/>
          <w:szCs w:val="24"/>
        </w:rPr>
      </w:pPr>
      <w:r>
        <w:rPr>
          <w:color w:val="000000" w:themeColor="text1"/>
          <w:sz w:val="24"/>
          <w:szCs w:val="24"/>
        </w:rPr>
        <w:t xml:space="preserve">The Applicant, </w:t>
      </w:r>
      <w:r w:rsidRPr="00DF28E2">
        <w:rPr>
          <w:color w:val="000000" w:themeColor="text1"/>
          <w:sz w:val="24"/>
          <w:szCs w:val="24"/>
        </w:rPr>
        <w:t>RANZCP</w:t>
      </w:r>
      <w:r>
        <w:rPr>
          <w:color w:val="000000" w:themeColor="text1"/>
          <w:sz w:val="24"/>
          <w:szCs w:val="24"/>
        </w:rPr>
        <w:t>,</w:t>
      </w:r>
      <w:r w:rsidRPr="00DF28E2">
        <w:rPr>
          <w:color w:val="000000" w:themeColor="text1"/>
          <w:sz w:val="24"/>
          <w:szCs w:val="24"/>
        </w:rPr>
        <w:t xml:space="preserve"> welcomes MSAC approval of repetitive transcranial magnetic stimulation (</w:t>
      </w:r>
      <w:proofErr w:type="spellStart"/>
      <w:r w:rsidRPr="00DF28E2">
        <w:rPr>
          <w:color w:val="000000" w:themeColor="text1"/>
          <w:sz w:val="24"/>
          <w:szCs w:val="24"/>
        </w:rPr>
        <w:t>rTMS</w:t>
      </w:r>
      <w:proofErr w:type="spellEnd"/>
      <w:r w:rsidRPr="00DF28E2">
        <w:rPr>
          <w:color w:val="000000" w:themeColor="text1"/>
          <w:sz w:val="24"/>
          <w:szCs w:val="24"/>
        </w:rPr>
        <w:t xml:space="preserve">) for </w:t>
      </w:r>
      <w:r>
        <w:rPr>
          <w:color w:val="000000" w:themeColor="text1"/>
          <w:sz w:val="24"/>
          <w:szCs w:val="24"/>
        </w:rPr>
        <w:t xml:space="preserve">the initial </w:t>
      </w:r>
      <w:r w:rsidRPr="00DF28E2">
        <w:rPr>
          <w:color w:val="000000" w:themeColor="text1"/>
          <w:sz w:val="24"/>
          <w:szCs w:val="24"/>
        </w:rPr>
        <w:t>treatment of antidepressant medication</w:t>
      </w:r>
      <w:r>
        <w:rPr>
          <w:color w:val="000000" w:themeColor="text1"/>
          <w:sz w:val="24"/>
          <w:szCs w:val="24"/>
        </w:rPr>
        <w:t xml:space="preserve"> </w:t>
      </w:r>
      <w:r w:rsidRPr="00DF28E2">
        <w:rPr>
          <w:color w:val="000000" w:themeColor="text1"/>
          <w:sz w:val="24"/>
          <w:szCs w:val="24"/>
        </w:rPr>
        <w:t>resistant major depressive disorder (MDD)</w:t>
      </w:r>
      <w:r>
        <w:rPr>
          <w:color w:val="000000" w:themeColor="text1"/>
          <w:sz w:val="24"/>
          <w:szCs w:val="24"/>
        </w:rPr>
        <w:t xml:space="preserve"> and </w:t>
      </w:r>
      <w:r w:rsidRPr="00DF28E2">
        <w:rPr>
          <w:color w:val="000000" w:themeColor="text1"/>
          <w:sz w:val="24"/>
          <w:szCs w:val="24"/>
        </w:rPr>
        <w:t xml:space="preserve">is committed to working closely with MSAC and the </w:t>
      </w:r>
      <w:r>
        <w:rPr>
          <w:color w:val="000000" w:themeColor="text1"/>
          <w:sz w:val="24"/>
          <w:szCs w:val="24"/>
        </w:rPr>
        <w:t>Department of Health</w:t>
      </w:r>
      <w:r w:rsidRPr="00DF28E2">
        <w:rPr>
          <w:color w:val="000000" w:themeColor="text1"/>
          <w:sz w:val="24"/>
          <w:szCs w:val="24"/>
        </w:rPr>
        <w:t xml:space="preserve"> to </w:t>
      </w:r>
      <w:r>
        <w:rPr>
          <w:color w:val="000000" w:themeColor="text1"/>
          <w:sz w:val="24"/>
          <w:szCs w:val="24"/>
        </w:rPr>
        <w:t xml:space="preserve">ensure reimbursement for </w:t>
      </w:r>
      <w:proofErr w:type="spellStart"/>
      <w:r>
        <w:rPr>
          <w:color w:val="000000" w:themeColor="text1"/>
          <w:sz w:val="24"/>
          <w:szCs w:val="24"/>
        </w:rPr>
        <w:t>rTMS</w:t>
      </w:r>
      <w:proofErr w:type="spellEnd"/>
      <w:r>
        <w:rPr>
          <w:color w:val="000000" w:themeColor="text1"/>
          <w:sz w:val="24"/>
          <w:szCs w:val="24"/>
        </w:rPr>
        <w:t xml:space="preserve"> is</w:t>
      </w:r>
      <w:r w:rsidR="00F136B7">
        <w:rPr>
          <w:color w:val="000000" w:themeColor="text1"/>
          <w:sz w:val="24"/>
          <w:szCs w:val="24"/>
        </w:rPr>
        <w:t xml:space="preserve"> available as soon as possible.</w:t>
      </w:r>
    </w:p>
    <w:p w14:paraId="54017974" w14:textId="7B221CA3" w:rsidR="00AC6B4B" w:rsidRDefault="00AC6B4B" w:rsidP="00F136B7">
      <w:pPr>
        <w:pStyle w:val="CommentText"/>
        <w:spacing w:after="240"/>
        <w:rPr>
          <w:color w:val="000000" w:themeColor="text1"/>
          <w:sz w:val="24"/>
          <w:szCs w:val="24"/>
        </w:rPr>
      </w:pPr>
      <w:r>
        <w:rPr>
          <w:color w:val="000000" w:themeColor="text1"/>
          <w:sz w:val="24"/>
          <w:szCs w:val="24"/>
        </w:rPr>
        <w:t xml:space="preserve">RANZCP also appreciates MSAC’s acknowledgement of the clinical need for re-treatment with </w:t>
      </w:r>
      <w:proofErr w:type="spellStart"/>
      <w:r>
        <w:rPr>
          <w:color w:val="000000" w:themeColor="text1"/>
          <w:sz w:val="24"/>
          <w:szCs w:val="24"/>
        </w:rPr>
        <w:t>rTMS</w:t>
      </w:r>
      <w:proofErr w:type="spellEnd"/>
      <w:r>
        <w:rPr>
          <w:color w:val="000000" w:themeColor="text1"/>
          <w:sz w:val="24"/>
          <w:szCs w:val="24"/>
        </w:rPr>
        <w:t xml:space="preserve"> and accepts that whilst the evidence is not as robust as that for initial acute </w:t>
      </w:r>
      <w:proofErr w:type="spellStart"/>
      <w:r>
        <w:rPr>
          <w:color w:val="000000" w:themeColor="text1"/>
          <w:sz w:val="24"/>
          <w:szCs w:val="24"/>
        </w:rPr>
        <w:t>rTMS</w:t>
      </w:r>
      <w:proofErr w:type="spellEnd"/>
      <w:r>
        <w:rPr>
          <w:color w:val="000000" w:themeColor="text1"/>
          <w:sz w:val="24"/>
          <w:szCs w:val="24"/>
        </w:rPr>
        <w:t xml:space="preserve"> therapy, the requirement for re-treatment in patients who have previously responded to </w:t>
      </w:r>
      <w:proofErr w:type="spellStart"/>
      <w:r>
        <w:rPr>
          <w:color w:val="000000" w:themeColor="text1"/>
          <w:sz w:val="24"/>
          <w:szCs w:val="24"/>
        </w:rPr>
        <w:t>rTMS</w:t>
      </w:r>
      <w:proofErr w:type="spellEnd"/>
      <w:r>
        <w:rPr>
          <w:color w:val="000000" w:themeColor="text1"/>
          <w:sz w:val="24"/>
          <w:szCs w:val="24"/>
        </w:rPr>
        <w:t xml:space="preserve"> is an important aspect of patient management given the relapsing-remitting nature of antidepre</w:t>
      </w:r>
      <w:r w:rsidR="00F136B7">
        <w:rPr>
          <w:color w:val="000000" w:themeColor="text1"/>
          <w:sz w:val="24"/>
          <w:szCs w:val="24"/>
        </w:rPr>
        <w:t>ssant medication resistant MDD.</w:t>
      </w:r>
    </w:p>
    <w:p w14:paraId="1D6C5A01" w14:textId="579D461C" w:rsidR="00BC1364" w:rsidRPr="005A4362" w:rsidRDefault="00AC6B4B" w:rsidP="00AC6B4B">
      <w:pPr>
        <w:spacing w:after="240"/>
        <w:rPr>
          <w:color w:val="00B0F0"/>
          <w:szCs w:val="24"/>
        </w:rPr>
      </w:pPr>
      <w:r>
        <w:rPr>
          <w:color w:val="000000" w:themeColor="text1"/>
          <w:szCs w:val="24"/>
        </w:rPr>
        <w:lastRenderedPageBreak/>
        <w:t xml:space="preserve">RANZCP is willing to provide any further information on these and any other outstanding matters, </w:t>
      </w:r>
      <w:r w:rsidRPr="0049594B">
        <w:rPr>
          <w:color w:val="000000" w:themeColor="text1"/>
          <w:szCs w:val="24"/>
        </w:rPr>
        <w:t>including maximum session limits</w:t>
      </w:r>
      <w:r>
        <w:rPr>
          <w:color w:val="000000" w:themeColor="text1"/>
          <w:szCs w:val="24"/>
        </w:rPr>
        <w:t xml:space="preserve">, to help inform the decision regarding re-treatment and finalise the MBS item descriptor(s) for </w:t>
      </w:r>
      <w:proofErr w:type="spellStart"/>
      <w:r>
        <w:rPr>
          <w:color w:val="000000" w:themeColor="text1"/>
          <w:szCs w:val="24"/>
        </w:rPr>
        <w:t>rTMS</w:t>
      </w:r>
      <w:proofErr w:type="spellEnd"/>
      <w:r>
        <w:rPr>
          <w:color w:val="000000" w:themeColor="text1"/>
          <w:szCs w:val="24"/>
        </w:rPr>
        <w:t>.</w:t>
      </w:r>
    </w:p>
    <w:p w14:paraId="60C5A0F8" w14:textId="77777777" w:rsidR="00BC1364" w:rsidRPr="00F715D1" w:rsidRDefault="00271F18" w:rsidP="00F715D1">
      <w:pPr>
        <w:pStyle w:val="Heading1"/>
      </w:pPr>
      <w:r w:rsidRPr="00F715D1">
        <w:t>Further information on MSAC</w:t>
      </w:r>
    </w:p>
    <w:p w14:paraId="18BD244F"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9"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F3C94" w14:textId="77777777" w:rsidR="001C20F8" w:rsidRDefault="001C20F8" w:rsidP="00065623">
      <w:r>
        <w:separator/>
      </w:r>
    </w:p>
  </w:endnote>
  <w:endnote w:type="continuationSeparator" w:id="0">
    <w:p w14:paraId="7FFA8C87" w14:textId="77777777" w:rsidR="001C20F8" w:rsidRDefault="001C20F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3E66" w14:textId="77777777" w:rsidR="000C3A28" w:rsidRDefault="000C3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4CCB16EF" w14:textId="2E2C7315" w:rsidR="001C20F8" w:rsidRDefault="001C20F8">
        <w:pPr>
          <w:pStyle w:val="Footer"/>
          <w:jc w:val="right"/>
        </w:pPr>
        <w:r>
          <w:fldChar w:fldCharType="begin"/>
        </w:r>
        <w:r>
          <w:instrText xml:space="preserve"> PAGE   \* MERGEFORMAT </w:instrText>
        </w:r>
        <w:r>
          <w:fldChar w:fldCharType="separate"/>
        </w:r>
        <w:r w:rsidR="00F808E8">
          <w:rPr>
            <w:noProof/>
          </w:rPr>
          <w:t>17</w:t>
        </w:r>
        <w:r>
          <w:rPr>
            <w:noProof/>
          </w:rPr>
          <w:fldChar w:fldCharType="end"/>
        </w:r>
      </w:p>
    </w:sdtContent>
  </w:sdt>
  <w:p w14:paraId="263BBA20" w14:textId="77777777" w:rsidR="001C20F8" w:rsidRDefault="001C2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463A6" w14:textId="77777777" w:rsidR="000C3A28" w:rsidRDefault="000C3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B09D6" w14:textId="77777777" w:rsidR="001C20F8" w:rsidRDefault="001C20F8" w:rsidP="00065623">
      <w:r>
        <w:separator/>
      </w:r>
    </w:p>
  </w:footnote>
  <w:footnote w:type="continuationSeparator" w:id="0">
    <w:p w14:paraId="0608BC24" w14:textId="77777777" w:rsidR="001C20F8" w:rsidRDefault="001C20F8"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51EC" w14:textId="77777777" w:rsidR="000C3A28" w:rsidRDefault="000C3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61C0" w14:textId="77777777" w:rsidR="000C3A28" w:rsidRDefault="000C3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B2A0" w14:textId="77777777" w:rsidR="000C3A28" w:rsidRDefault="000C3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07387"/>
    <w:multiLevelType w:val="hybridMultilevel"/>
    <w:tmpl w:val="A54839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4BB6B36"/>
    <w:multiLevelType w:val="hybridMultilevel"/>
    <w:tmpl w:val="8200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5204B1B"/>
    <w:multiLevelType w:val="hybridMultilevel"/>
    <w:tmpl w:val="FC40B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8E81FDC"/>
    <w:multiLevelType w:val="hybridMultilevel"/>
    <w:tmpl w:val="8A6CD242"/>
    <w:lvl w:ilvl="0" w:tplc="DBFE5B42">
      <w:start w:val="1"/>
      <w:numFmt w:val="bullet"/>
      <w:pStyle w:val="BulletBeforeDash"/>
      <w:lvlText w:val="•"/>
      <w:lvlJc w:val="left"/>
      <w:pPr>
        <w:tabs>
          <w:tab w:val="num" w:pos="1920"/>
        </w:tabs>
        <w:ind w:left="19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2"/>
  </w:num>
  <w:num w:numId="4">
    <w:abstractNumId w:val="18"/>
  </w:num>
  <w:num w:numId="5">
    <w:abstractNumId w:val="12"/>
  </w:num>
  <w:num w:numId="6">
    <w:abstractNumId w:val="17"/>
  </w:num>
  <w:num w:numId="7">
    <w:abstractNumId w:val="21"/>
  </w:num>
  <w:num w:numId="8">
    <w:abstractNumId w:val="13"/>
  </w:num>
  <w:num w:numId="9">
    <w:abstractNumId w:val="28"/>
  </w:num>
  <w:num w:numId="10">
    <w:abstractNumId w:val="0"/>
  </w:num>
  <w:num w:numId="11">
    <w:abstractNumId w:val="20"/>
  </w:num>
  <w:num w:numId="12">
    <w:abstractNumId w:val="22"/>
  </w:num>
  <w:num w:numId="13">
    <w:abstractNumId w:val="6"/>
  </w:num>
  <w:num w:numId="14">
    <w:abstractNumId w:val="26"/>
  </w:num>
  <w:num w:numId="15">
    <w:abstractNumId w:val="19"/>
  </w:num>
  <w:num w:numId="16">
    <w:abstractNumId w:val="23"/>
  </w:num>
  <w:num w:numId="17">
    <w:abstractNumId w:val="14"/>
  </w:num>
  <w:num w:numId="18">
    <w:abstractNumId w:val="15"/>
  </w:num>
  <w:num w:numId="19">
    <w:abstractNumId w:val="25"/>
  </w:num>
  <w:num w:numId="20">
    <w:abstractNumId w:val="24"/>
  </w:num>
  <w:num w:numId="21">
    <w:abstractNumId w:val="4"/>
  </w:num>
  <w:num w:numId="22">
    <w:abstractNumId w:val="11"/>
  </w:num>
  <w:num w:numId="23">
    <w:abstractNumId w:val="3"/>
  </w:num>
  <w:num w:numId="24">
    <w:abstractNumId w:val="9"/>
  </w:num>
  <w:num w:numId="25">
    <w:abstractNumId w:val="7"/>
  </w:num>
  <w:num w:numId="26">
    <w:abstractNumId w:val="5"/>
  </w:num>
  <w:num w:numId="27">
    <w:abstractNumId w:val="10"/>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47606"/>
    <w:rsid w:val="00065623"/>
    <w:rsid w:val="00071E3A"/>
    <w:rsid w:val="000756B9"/>
    <w:rsid w:val="00096B67"/>
    <w:rsid w:val="00096DAF"/>
    <w:rsid w:val="000A0160"/>
    <w:rsid w:val="000C2F47"/>
    <w:rsid w:val="000C3A28"/>
    <w:rsid w:val="000D2B9A"/>
    <w:rsid w:val="000D6C00"/>
    <w:rsid w:val="000E4E04"/>
    <w:rsid w:val="000F14B4"/>
    <w:rsid w:val="000F6E94"/>
    <w:rsid w:val="000F75DF"/>
    <w:rsid w:val="0010075C"/>
    <w:rsid w:val="001023DC"/>
    <w:rsid w:val="001027F0"/>
    <w:rsid w:val="00131A6F"/>
    <w:rsid w:val="001328FA"/>
    <w:rsid w:val="00147AAF"/>
    <w:rsid w:val="001552C0"/>
    <w:rsid w:val="001640B1"/>
    <w:rsid w:val="00170FB5"/>
    <w:rsid w:val="0018435E"/>
    <w:rsid w:val="001A5D1E"/>
    <w:rsid w:val="001C20F8"/>
    <w:rsid w:val="0020129B"/>
    <w:rsid w:val="002041A1"/>
    <w:rsid w:val="002054F0"/>
    <w:rsid w:val="00224B3E"/>
    <w:rsid w:val="00230552"/>
    <w:rsid w:val="00230D6B"/>
    <w:rsid w:val="00232068"/>
    <w:rsid w:val="002330F2"/>
    <w:rsid w:val="00243D9E"/>
    <w:rsid w:val="00253B66"/>
    <w:rsid w:val="0025459F"/>
    <w:rsid w:val="00261DF1"/>
    <w:rsid w:val="0026473C"/>
    <w:rsid w:val="00271F18"/>
    <w:rsid w:val="00282779"/>
    <w:rsid w:val="0028334D"/>
    <w:rsid w:val="002B7FFA"/>
    <w:rsid w:val="002C2BCF"/>
    <w:rsid w:val="002F279D"/>
    <w:rsid w:val="002F43B8"/>
    <w:rsid w:val="00302F76"/>
    <w:rsid w:val="00335290"/>
    <w:rsid w:val="00336856"/>
    <w:rsid w:val="0034554D"/>
    <w:rsid w:val="00352224"/>
    <w:rsid w:val="0036077B"/>
    <w:rsid w:val="00364AE1"/>
    <w:rsid w:val="00364F0A"/>
    <w:rsid w:val="003671E6"/>
    <w:rsid w:val="00384272"/>
    <w:rsid w:val="00386D67"/>
    <w:rsid w:val="003945B8"/>
    <w:rsid w:val="003A48A9"/>
    <w:rsid w:val="003D0692"/>
    <w:rsid w:val="003D7F29"/>
    <w:rsid w:val="00405A6B"/>
    <w:rsid w:val="00407B1F"/>
    <w:rsid w:val="0041184F"/>
    <w:rsid w:val="004144BA"/>
    <w:rsid w:val="00414C57"/>
    <w:rsid w:val="0041758C"/>
    <w:rsid w:val="004310AB"/>
    <w:rsid w:val="004539DE"/>
    <w:rsid w:val="004817B2"/>
    <w:rsid w:val="004A2CF1"/>
    <w:rsid w:val="004B4EB6"/>
    <w:rsid w:val="004C3035"/>
    <w:rsid w:val="004C307F"/>
    <w:rsid w:val="004E4BA8"/>
    <w:rsid w:val="004F340F"/>
    <w:rsid w:val="004F75EC"/>
    <w:rsid w:val="004F7B7C"/>
    <w:rsid w:val="0052243D"/>
    <w:rsid w:val="00532435"/>
    <w:rsid w:val="005455BA"/>
    <w:rsid w:val="00550354"/>
    <w:rsid w:val="00571236"/>
    <w:rsid w:val="00584BCD"/>
    <w:rsid w:val="005910C6"/>
    <w:rsid w:val="005953A1"/>
    <w:rsid w:val="005A4362"/>
    <w:rsid w:val="005B5434"/>
    <w:rsid w:val="005D0332"/>
    <w:rsid w:val="005D0D8C"/>
    <w:rsid w:val="00602D76"/>
    <w:rsid w:val="00636FBB"/>
    <w:rsid w:val="006609CC"/>
    <w:rsid w:val="00676D8F"/>
    <w:rsid w:val="006776AE"/>
    <w:rsid w:val="00677F3B"/>
    <w:rsid w:val="006A0D97"/>
    <w:rsid w:val="006B1F86"/>
    <w:rsid w:val="006C0A91"/>
    <w:rsid w:val="007002A5"/>
    <w:rsid w:val="007054BB"/>
    <w:rsid w:val="00707064"/>
    <w:rsid w:val="00730683"/>
    <w:rsid w:val="0075261F"/>
    <w:rsid w:val="0075468E"/>
    <w:rsid w:val="007662A9"/>
    <w:rsid w:val="007665D8"/>
    <w:rsid w:val="00766E36"/>
    <w:rsid w:val="007765F4"/>
    <w:rsid w:val="00776633"/>
    <w:rsid w:val="00784D53"/>
    <w:rsid w:val="00797797"/>
    <w:rsid w:val="007A583C"/>
    <w:rsid w:val="007A63C9"/>
    <w:rsid w:val="007B32D1"/>
    <w:rsid w:val="007B598A"/>
    <w:rsid w:val="007B7095"/>
    <w:rsid w:val="007D24E1"/>
    <w:rsid w:val="007D6288"/>
    <w:rsid w:val="007F4CE9"/>
    <w:rsid w:val="007F4E20"/>
    <w:rsid w:val="00822C7E"/>
    <w:rsid w:val="00847060"/>
    <w:rsid w:val="00847A36"/>
    <w:rsid w:val="00856A33"/>
    <w:rsid w:val="00892620"/>
    <w:rsid w:val="008B6764"/>
    <w:rsid w:val="008C7D37"/>
    <w:rsid w:val="008D0FD2"/>
    <w:rsid w:val="008D5885"/>
    <w:rsid w:val="00923FA2"/>
    <w:rsid w:val="009269C4"/>
    <w:rsid w:val="00953738"/>
    <w:rsid w:val="0096060D"/>
    <w:rsid w:val="00974A50"/>
    <w:rsid w:val="0097585A"/>
    <w:rsid w:val="009871A7"/>
    <w:rsid w:val="009924B0"/>
    <w:rsid w:val="009942C9"/>
    <w:rsid w:val="009B35C4"/>
    <w:rsid w:val="009C1AA7"/>
    <w:rsid w:val="009C630A"/>
    <w:rsid w:val="009D1C7A"/>
    <w:rsid w:val="009E0D98"/>
    <w:rsid w:val="009E4F16"/>
    <w:rsid w:val="00A068A1"/>
    <w:rsid w:val="00A1207D"/>
    <w:rsid w:val="00A12FD8"/>
    <w:rsid w:val="00A346FC"/>
    <w:rsid w:val="00A66B88"/>
    <w:rsid w:val="00A846F2"/>
    <w:rsid w:val="00A84F93"/>
    <w:rsid w:val="00AB1AC5"/>
    <w:rsid w:val="00AB3BFC"/>
    <w:rsid w:val="00AC4F2E"/>
    <w:rsid w:val="00AC6B4B"/>
    <w:rsid w:val="00AD0C37"/>
    <w:rsid w:val="00AD385F"/>
    <w:rsid w:val="00AE6E2A"/>
    <w:rsid w:val="00AF019C"/>
    <w:rsid w:val="00B03EAB"/>
    <w:rsid w:val="00B31E9C"/>
    <w:rsid w:val="00B35595"/>
    <w:rsid w:val="00B51C6D"/>
    <w:rsid w:val="00B6535C"/>
    <w:rsid w:val="00B65887"/>
    <w:rsid w:val="00B83DD2"/>
    <w:rsid w:val="00B86D64"/>
    <w:rsid w:val="00B97D6E"/>
    <w:rsid w:val="00BA4AC5"/>
    <w:rsid w:val="00BC1364"/>
    <w:rsid w:val="00BC2667"/>
    <w:rsid w:val="00BC7DE9"/>
    <w:rsid w:val="00BF479B"/>
    <w:rsid w:val="00C02577"/>
    <w:rsid w:val="00C204FB"/>
    <w:rsid w:val="00C20BEE"/>
    <w:rsid w:val="00C2158D"/>
    <w:rsid w:val="00C56349"/>
    <w:rsid w:val="00C67DD2"/>
    <w:rsid w:val="00C725CB"/>
    <w:rsid w:val="00C76F5C"/>
    <w:rsid w:val="00C96BAD"/>
    <w:rsid w:val="00CA6944"/>
    <w:rsid w:val="00CB0F8E"/>
    <w:rsid w:val="00CB7E7D"/>
    <w:rsid w:val="00CC2911"/>
    <w:rsid w:val="00CE1369"/>
    <w:rsid w:val="00CF0C6D"/>
    <w:rsid w:val="00CF7307"/>
    <w:rsid w:val="00CF7C68"/>
    <w:rsid w:val="00D124FA"/>
    <w:rsid w:val="00D340DE"/>
    <w:rsid w:val="00D55723"/>
    <w:rsid w:val="00D62FAD"/>
    <w:rsid w:val="00D64355"/>
    <w:rsid w:val="00D70450"/>
    <w:rsid w:val="00D83BFD"/>
    <w:rsid w:val="00D90A38"/>
    <w:rsid w:val="00DA0515"/>
    <w:rsid w:val="00DA171E"/>
    <w:rsid w:val="00DA56AA"/>
    <w:rsid w:val="00DB5833"/>
    <w:rsid w:val="00DD2858"/>
    <w:rsid w:val="00E03E33"/>
    <w:rsid w:val="00E059E0"/>
    <w:rsid w:val="00E3642A"/>
    <w:rsid w:val="00E415C4"/>
    <w:rsid w:val="00E50016"/>
    <w:rsid w:val="00E50EAA"/>
    <w:rsid w:val="00E656D6"/>
    <w:rsid w:val="00E82B10"/>
    <w:rsid w:val="00E977EE"/>
    <w:rsid w:val="00EA1A60"/>
    <w:rsid w:val="00EA2F24"/>
    <w:rsid w:val="00EA67A2"/>
    <w:rsid w:val="00EB630F"/>
    <w:rsid w:val="00EB6B6F"/>
    <w:rsid w:val="00EC4F98"/>
    <w:rsid w:val="00F12F02"/>
    <w:rsid w:val="00F136B7"/>
    <w:rsid w:val="00F32E0D"/>
    <w:rsid w:val="00F35134"/>
    <w:rsid w:val="00F37B9C"/>
    <w:rsid w:val="00F41812"/>
    <w:rsid w:val="00F715D1"/>
    <w:rsid w:val="00F72715"/>
    <w:rsid w:val="00F73333"/>
    <w:rsid w:val="00F808E8"/>
    <w:rsid w:val="00F95D8F"/>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3A89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071E3A"/>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071E3A"/>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4817B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4817B2"/>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4817B2"/>
    <w:rPr>
      <w:rFonts w:ascii="Arial Narrow" w:eastAsia="Times New Roman" w:hAnsi="Arial Narrow" w:cs="Tahoma"/>
      <w:b/>
      <w:noProof/>
      <w:sz w:val="20"/>
      <w:szCs w:val="20"/>
    </w:rPr>
  </w:style>
  <w:style w:type="paragraph" w:customStyle="1" w:styleId="TableText">
    <w:name w:val="TableText"/>
    <w:basedOn w:val="Normal"/>
    <w:rsid w:val="004817B2"/>
    <w:pPr>
      <w:keepNext/>
      <w:spacing w:before="60" w:after="60"/>
    </w:pPr>
    <w:rPr>
      <w:color w:val="000000"/>
      <w:sz w:val="21"/>
      <w:szCs w:val="21"/>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w:basedOn w:val="Normal"/>
    <w:next w:val="Normal"/>
    <w:link w:val="CaptionChar"/>
    <w:unhideWhenUsed/>
    <w:qFormat/>
    <w:locked/>
    <w:rsid w:val="00071E3A"/>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Caption Char1 Char Char"/>
    <w:basedOn w:val="DefaultParagraphFont"/>
    <w:link w:val="Caption"/>
    <w:rsid w:val="00071E3A"/>
    <w:rPr>
      <w:rFonts w:ascii="Arial Narrow" w:eastAsia="Times New Roman" w:hAnsi="Arial Narrow" w:cs="Arial"/>
      <w:b/>
      <w:bCs/>
      <w:iCs/>
      <w:sz w:val="20"/>
      <w:szCs w:val="20"/>
      <w:lang w:eastAsia="en-US"/>
    </w:rPr>
  </w:style>
  <w:style w:type="paragraph" w:customStyle="1" w:styleId="Tablefootnote">
    <w:name w:val="Table footnote"/>
    <w:basedOn w:val="Normal"/>
    <w:link w:val="TablefootnoteChar"/>
    <w:qFormat/>
    <w:rsid w:val="00071E3A"/>
    <w:pPr>
      <w:keepLines/>
      <w:spacing w:after="360"/>
      <w:contextualSpacing/>
      <w:jc w:val="both"/>
    </w:pPr>
    <w:rPr>
      <w:rFonts w:ascii="Arial Narrow" w:hAnsi="Arial Narrow"/>
      <w:sz w:val="18"/>
      <w:szCs w:val="22"/>
      <w:lang w:eastAsia="en-US"/>
    </w:rPr>
  </w:style>
  <w:style w:type="character" w:customStyle="1" w:styleId="TablefootnoteChar">
    <w:name w:val="Table footnote Char"/>
    <w:basedOn w:val="DefaultParagraphFont"/>
    <w:link w:val="Tablefootnote"/>
    <w:rsid w:val="00071E3A"/>
    <w:rPr>
      <w:rFonts w:ascii="Arial Narrow" w:eastAsia="Times New Roman" w:hAnsi="Arial Narrow"/>
      <w:sz w:val="18"/>
      <w:lang w:eastAsia="en-US"/>
    </w:rPr>
  </w:style>
  <w:style w:type="paragraph" w:customStyle="1" w:styleId="TableText0">
    <w:name w:val="Table Text"/>
    <w:basedOn w:val="Normal"/>
    <w:link w:val="TableTextChar"/>
    <w:qFormat/>
    <w:rsid w:val="00071E3A"/>
    <w:pPr>
      <w:keepNext/>
      <w:spacing w:before="40" w:after="40"/>
      <w:jc w:val="both"/>
    </w:pPr>
    <w:rPr>
      <w:rFonts w:ascii="Arial Narrow" w:hAnsi="Arial Narrow" w:cs="Tahoma"/>
      <w:sz w:val="20"/>
      <w:szCs w:val="22"/>
      <w:lang w:eastAsia="en-US"/>
    </w:rPr>
  </w:style>
  <w:style w:type="character" w:customStyle="1" w:styleId="TableTextChar">
    <w:name w:val="Table Text Char"/>
    <w:link w:val="TableText0"/>
    <w:rsid w:val="00071E3A"/>
    <w:rPr>
      <w:rFonts w:ascii="Arial Narrow" w:eastAsia="Times New Roman" w:hAnsi="Arial Narrow" w:cs="Tahoma"/>
      <w:sz w:val="20"/>
      <w:lang w:eastAsia="en-US"/>
    </w:rPr>
  </w:style>
  <w:style w:type="table" w:customStyle="1" w:styleId="PlainTable21">
    <w:name w:val="Plain Table 21"/>
    <w:basedOn w:val="TableNormal"/>
    <w:uiPriority w:val="42"/>
    <w:rsid w:val="00071E3A"/>
    <w:rPr>
      <w:rFonts w:eastAsia="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
    <w:name w:val="Table"/>
    <w:basedOn w:val="Normal"/>
    <w:link w:val="TableChar"/>
    <w:qFormat/>
    <w:rsid w:val="00071E3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071E3A"/>
    <w:rPr>
      <w:rFonts w:ascii="Candara" w:eastAsiaTheme="majorEastAsia" w:hAnsi="Candara" w:cstheme="majorBidi"/>
      <w:sz w:val="20"/>
      <w:lang w:eastAsia="en-US" w:bidi="en-US"/>
    </w:rPr>
  </w:style>
  <w:style w:type="table" w:customStyle="1" w:styleId="TableGrid5">
    <w:name w:val="Table Grid5"/>
    <w:basedOn w:val="TableNormal"/>
    <w:next w:val="TableGrid"/>
    <w:uiPriority w:val="39"/>
    <w:rsid w:val="00071E3A"/>
    <w:rPr>
      <w:rFonts w:ascii="Calibri" w:hAnsi="Calibr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0"/>
    <w:qFormat/>
    <w:rsid w:val="009E4F16"/>
    <w:pPr>
      <w:spacing w:before="40" w:after="40"/>
    </w:pPr>
    <w:rPr>
      <w:rFonts w:ascii="Arial Narrow" w:hAnsi="Arial Narrow"/>
      <w:sz w:val="20"/>
      <w:szCs w:val="24"/>
      <w:lang w:eastAsia="en-US"/>
    </w:rPr>
  </w:style>
  <w:style w:type="character" w:customStyle="1" w:styleId="TabletextChar0">
    <w:name w:val="Table text Char"/>
    <w:basedOn w:val="DefaultParagraphFont"/>
    <w:link w:val="Tabletext1"/>
    <w:rsid w:val="009E4F16"/>
    <w:rPr>
      <w:rFonts w:ascii="Arial Narrow" w:eastAsia="Times New Roman" w:hAnsi="Arial Narrow"/>
      <w:sz w:val="20"/>
      <w:szCs w:val="24"/>
      <w:lang w:eastAsia="en-US"/>
    </w:rPr>
  </w:style>
  <w:style w:type="character" w:customStyle="1" w:styleId="ListParagraphChar">
    <w:name w:val="List Paragraph Char"/>
    <w:aliases w:val="Styl moj Char,Akapit z listą1 Char,Akapit z listą11 Char"/>
    <w:link w:val="ListParagraph"/>
    <w:uiPriority w:val="34"/>
    <w:rsid w:val="009E4F16"/>
    <w:rPr>
      <w:rFonts w:eastAsia="Times New Roman"/>
      <w:sz w:val="24"/>
      <w:szCs w:val="20"/>
    </w:rPr>
  </w:style>
  <w:style w:type="table" w:customStyle="1" w:styleId="OPTUMTableNormal">
    <w:name w:val="OPTUM Table Normal"/>
    <w:basedOn w:val="TableNormal"/>
    <w:rsid w:val="009E4F16"/>
    <w:pPr>
      <w:spacing w:before="40" w:after="20"/>
    </w:pPr>
    <w:rPr>
      <w:rFonts w:ascii="Calibri" w:eastAsia="Times New Roman"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Commentarytablenotes">
    <w:name w:val="Commentary table notes"/>
    <w:basedOn w:val="Normal"/>
    <w:link w:val="CommentarytablenotesChar"/>
    <w:qFormat/>
    <w:rsid w:val="009E4F16"/>
    <w:pPr>
      <w:keepLines/>
      <w:spacing w:after="360"/>
      <w:contextualSpacing/>
      <w:jc w:val="both"/>
    </w:pPr>
    <w:rPr>
      <w:rFonts w:ascii="Arial Narrow" w:hAnsi="Arial Narrow" w:cs="Arial"/>
      <w:i/>
      <w:snapToGrid w:val="0"/>
      <w:color w:val="FF0000"/>
      <w:sz w:val="18"/>
      <w:lang w:eastAsia="en-US"/>
    </w:rPr>
  </w:style>
  <w:style w:type="character" w:customStyle="1" w:styleId="CommentarytablenotesChar">
    <w:name w:val="Commentary table notes Char"/>
    <w:basedOn w:val="DefaultParagraphFont"/>
    <w:link w:val="Commentarytablenotes"/>
    <w:rsid w:val="009E4F16"/>
    <w:rPr>
      <w:rFonts w:ascii="Arial Narrow" w:eastAsia="Times New Roman" w:hAnsi="Arial Narrow" w:cs="Arial"/>
      <w:i/>
      <w:snapToGrid w:val="0"/>
      <w:color w:val="FF0000"/>
      <w:sz w:val="18"/>
      <w:szCs w:val="20"/>
      <w:lang w:eastAsia="en-US"/>
    </w:rPr>
  </w:style>
  <w:style w:type="paragraph" w:customStyle="1" w:styleId="CommentaryTabletext">
    <w:name w:val="Commentary Table text"/>
    <w:basedOn w:val="Commentarytablenotes"/>
    <w:link w:val="CommentaryTabletextChar"/>
    <w:qFormat/>
    <w:rsid w:val="009E4F16"/>
    <w:pPr>
      <w:keepLines w:val="0"/>
      <w:spacing w:before="20" w:after="0"/>
    </w:pPr>
    <w:rPr>
      <w:sz w:val="20"/>
    </w:rPr>
  </w:style>
  <w:style w:type="character" w:customStyle="1" w:styleId="CommentaryTabletextChar">
    <w:name w:val="Commentary Table text Char"/>
    <w:basedOn w:val="CommentarytablenotesChar"/>
    <w:link w:val="CommentaryTabletext"/>
    <w:rsid w:val="009E4F16"/>
    <w:rPr>
      <w:rFonts w:ascii="Arial Narrow" w:eastAsia="Times New Roman" w:hAnsi="Arial Narrow" w:cs="Arial"/>
      <w:i/>
      <w:snapToGrid w:val="0"/>
      <w:color w:val="FF0000"/>
      <w:sz w:val="20"/>
      <w:szCs w:val="20"/>
      <w:lang w:eastAsia="en-US"/>
    </w:rPr>
  </w:style>
  <w:style w:type="paragraph" w:customStyle="1" w:styleId="BulletBeforeDash">
    <w:name w:val="BulletBeforeDash"/>
    <w:basedOn w:val="Normal"/>
    <w:rsid w:val="007B598A"/>
    <w:pPr>
      <w:numPr>
        <w:numId w:val="29"/>
      </w:numPr>
      <w:ind w:left="720"/>
    </w:pPr>
    <w:rPr>
      <w:color w:val="000000"/>
    </w:rPr>
  </w:style>
  <w:style w:type="paragraph" w:customStyle="1" w:styleId="Bullet">
    <w:name w:val="Bullet"/>
    <w:basedOn w:val="BulletBeforeDash"/>
    <w:qFormat/>
    <w:rsid w:val="007B598A"/>
    <w:pPr>
      <w:spacing w:after="120"/>
    </w:pPr>
  </w:style>
  <w:style w:type="paragraph" w:customStyle="1" w:styleId="BulletLast">
    <w:name w:val="BulletLast"/>
    <w:basedOn w:val="Bullet"/>
    <w:qFormat/>
    <w:rsid w:val="007B598A"/>
    <w:pPr>
      <w:spacing w:after="240"/>
    </w:pPr>
  </w:style>
  <w:style w:type="paragraph" w:customStyle="1" w:styleId="NormalBeforeBullet">
    <w:name w:val="NormalBeforeBullet"/>
    <w:basedOn w:val="Normal"/>
    <w:qFormat/>
    <w:rsid w:val="007B598A"/>
    <w:pPr>
      <w:keepNext/>
      <w:spacing w:after="1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641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sa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7199</Words>
  <Characters>41016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1196.2 - Final PSD</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1196.2 - Final PSD</dc:title>
  <dc:creator/>
  <cp:lastModifiedBy/>
  <cp:revision>1</cp:revision>
  <dcterms:created xsi:type="dcterms:W3CDTF">2019-10-21T21:55:00Z</dcterms:created>
  <dcterms:modified xsi:type="dcterms:W3CDTF">2019-10-21T22:00:00Z</dcterms:modified>
</cp:coreProperties>
</file>