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w:t>
      </w:r>
      <w:r w:rsidR="00E34BDC">
        <w:rPr>
          <w:rFonts w:ascii="Arial" w:hAnsi="Arial" w:cs="Arial"/>
          <w:b/>
          <w:bCs/>
          <w:i/>
          <w:color w:val="000080"/>
          <w:sz w:val="28"/>
          <w:szCs w:val="28"/>
        </w:rPr>
        <w:t>1197.1</w:t>
      </w:r>
      <w:r w:rsidRPr="007B32D1">
        <w:rPr>
          <w:rFonts w:ascii="Arial" w:hAnsi="Arial" w:cs="Arial"/>
          <w:b/>
          <w:bCs/>
          <w:i/>
          <w:color w:val="000080"/>
          <w:sz w:val="28"/>
          <w:szCs w:val="28"/>
        </w:rPr>
        <w:t xml:space="preserve"> – </w:t>
      </w:r>
      <w:r w:rsidR="00E34BDC">
        <w:rPr>
          <w:rFonts w:ascii="Arial" w:hAnsi="Arial" w:cs="Arial"/>
          <w:b/>
          <w:i/>
          <w:color w:val="000080"/>
          <w:sz w:val="28"/>
          <w:szCs w:val="28"/>
        </w:rPr>
        <w:t>Remote monitoring for patients with implanted cardiac devices</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E34BDC" w:rsidP="00A50717">
      <w:pPr>
        <w:tabs>
          <w:tab w:val="left" w:pos="3544"/>
        </w:tabs>
        <w:rPr>
          <w:rFonts w:ascii="Arial" w:hAnsi="Arial" w:cs="Arial"/>
          <w:b/>
          <w:szCs w:val="24"/>
        </w:rPr>
      </w:pPr>
      <w:r>
        <w:rPr>
          <w:rFonts w:ascii="Arial" w:hAnsi="Arial" w:cs="Arial"/>
          <w:b/>
          <w:szCs w:val="24"/>
        </w:rPr>
        <w:t>Applicant</w:t>
      </w:r>
      <w:r w:rsidR="00A50717">
        <w:rPr>
          <w:rFonts w:ascii="Arial" w:hAnsi="Arial" w:cs="Arial"/>
          <w:b/>
          <w:szCs w:val="24"/>
        </w:rPr>
        <w:t>s:</w:t>
      </w:r>
      <w:r w:rsidR="00A50717">
        <w:rPr>
          <w:rFonts w:ascii="Arial" w:hAnsi="Arial" w:cs="Arial"/>
          <w:b/>
          <w:szCs w:val="24"/>
        </w:rPr>
        <w:tab/>
      </w:r>
      <w:r w:rsidR="00A50717">
        <w:rPr>
          <w:rFonts w:ascii="Arial" w:hAnsi="Arial" w:cs="Arial"/>
          <w:b/>
          <w:szCs w:val="24"/>
        </w:rPr>
        <w:tab/>
      </w:r>
      <w:proofErr w:type="spellStart"/>
      <w:r>
        <w:rPr>
          <w:rFonts w:ascii="Arial" w:hAnsi="Arial" w:cs="Arial"/>
          <w:b/>
          <w:szCs w:val="24"/>
        </w:rPr>
        <w:t>Biotronik</w:t>
      </w:r>
      <w:proofErr w:type="spellEnd"/>
      <w:r>
        <w:rPr>
          <w:rFonts w:ascii="Arial" w:hAnsi="Arial" w:cs="Arial"/>
          <w:b/>
          <w:szCs w:val="24"/>
        </w:rPr>
        <w:t xml:space="preserve"> Australia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A50717">
      <w:pPr>
        <w:tabs>
          <w:tab w:val="left" w:pos="3544"/>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A50717">
        <w:rPr>
          <w:rFonts w:ascii="Arial" w:hAnsi="Arial" w:cs="Arial"/>
          <w:b/>
          <w:szCs w:val="24"/>
        </w:rPr>
        <w:tab/>
      </w:r>
      <w:r w:rsidR="00E34BDC">
        <w:rPr>
          <w:rFonts w:ascii="Arial" w:hAnsi="Arial" w:cs="Arial"/>
          <w:b/>
          <w:szCs w:val="24"/>
        </w:rPr>
        <w:t>MSAC 62nd</w:t>
      </w:r>
      <w:r w:rsidRPr="00D90A38">
        <w:rPr>
          <w:rFonts w:ascii="Arial" w:hAnsi="Arial" w:cs="Arial"/>
          <w:b/>
          <w:szCs w:val="24"/>
        </w:rPr>
        <w:t xml:space="preserve"> Meeting, </w:t>
      </w:r>
      <w:r w:rsidR="00E34BDC">
        <w:rPr>
          <w:rFonts w:ascii="Arial" w:hAnsi="Arial" w:cs="Arial"/>
          <w:b/>
          <w:szCs w:val="24"/>
        </w:rPr>
        <w:t>26 – 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E34BDC" w:rsidRDefault="00E34BDC" w:rsidP="00E34BDC">
      <w:r>
        <w:t>A</w:t>
      </w:r>
      <w:r w:rsidRPr="000F7195">
        <w:t xml:space="preserve">n application requesting </w:t>
      </w:r>
      <w:r>
        <w:t xml:space="preserve">Medicare Benefits Schedule (MBS) </w:t>
      </w:r>
      <w:r w:rsidRPr="000F7195">
        <w:t xml:space="preserve">listing of remote monitoring of patients with </w:t>
      </w:r>
      <w:r w:rsidRPr="00D306C4">
        <w:t>cardiac implantable electronic devices</w:t>
      </w:r>
      <w:r>
        <w:t xml:space="preserve"> (CIEDs) was received from </w:t>
      </w:r>
      <w:proofErr w:type="spellStart"/>
      <w:r>
        <w:t>Biotronik</w:t>
      </w:r>
      <w:proofErr w:type="spellEnd"/>
      <w:r w:rsidRPr="000F7195">
        <w:t xml:space="preserve"> Australia Pty Ltd</w:t>
      </w:r>
      <w:r>
        <w:t xml:space="preserve"> </w:t>
      </w:r>
      <w:r w:rsidRPr="000F7195">
        <w:t>by the</w:t>
      </w:r>
      <w:r>
        <w:t xml:space="preserve"> Department</w:t>
      </w:r>
      <w:r w:rsidRPr="000F7195">
        <w:t xml:space="preserve"> in March 2012.</w:t>
      </w:r>
      <w:r>
        <w:t xml:space="preserve"> </w:t>
      </w:r>
    </w:p>
    <w:p w:rsidR="00E34BDC" w:rsidRDefault="00E34BDC" w:rsidP="00E34BDC"/>
    <w:p w:rsidR="00E34BDC" w:rsidRDefault="00E34BDC" w:rsidP="00E34BDC">
      <w:r>
        <w:t xml:space="preserve">Following </w:t>
      </w:r>
      <w:r w:rsidR="005478CB">
        <w:t>the MSAC April 2014 recommendation</w:t>
      </w:r>
      <w:r>
        <w:t xml:space="preserve"> to defer the application to request further information, a resubmission was received from the applicant in September 2014.</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096D64" w:rsidRDefault="004233D5" w:rsidP="00096D64">
      <w:r>
        <w:t xml:space="preserve">After considering the strength of the available evidence in relation to the safety, effectiveness and cost-effectiveness, </w:t>
      </w:r>
      <w:r w:rsidRPr="006E369E">
        <w:t>MSAC supported public fund</w:t>
      </w:r>
      <w:r w:rsidR="005478CB">
        <w:t xml:space="preserve">ing of new MBS items for remote </w:t>
      </w:r>
      <w:r w:rsidRPr="006E369E">
        <w:t>monitoring of implanted pacemakers and defibrillators (including cardiac res</w:t>
      </w:r>
      <w:r w:rsidR="001508C4">
        <w:t>ynchronisation devices)</w:t>
      </w:r>
      <w:r w:rsidR="005478CB">
        <w:t xml:space="preserve"> involving reviews of arrhythmias, lead and device parameters with one in-office yearly check</w:t>
      </w:r>
      <w:r w:rsidR="001508C4">
        <w:t xml:space="preserve">.  </w:t>
      </w:r>
      <w:r w:rsidR="00053B66">
        <w:t xml:space="preserve">It was noted </w:t>
      </w:r>
      <w:r w:rsidR="005478CB">
        <w:t>that p</w:t>
      </w:r>
      <w:r w:rsidRPr="006E369E">
        <w:t>atients m</w:t>
      </w:r>
      <w:r>
        <w:t>a</w:t>
      </w:r>
      <w:r w:rsidRPr="006E369E">
        <w:t xml:space="preserve">y </w:t>
      </w:r>
      <w:r w:rsidR="001508C4">
        <w:t xml:space="preserve">also </w:t>
      </w:r>
      <w:r w:rsidRPr="006E369E">
        <w:t>access unscheduled consultations and dia</w:t>
      </w:r>
      <w:r>
        <w:t>gnostic procedures as required.</w:t>
      </w:r>
    </w:p>
    <w:p w:rsidR="004233D5" w:rsidRPr="006E369E" w:rsidRDefault="00096D64" w:rsidP="00096D64">
      <w:r w:rsidRPr="006E369E">
        <w:t xml:space="preserve"> </w:t>
      </w:r>
    </w:p>
    <w:p w:rsidR="004233D5" w:rsidRPr="006E369E" w:rsidRDefault="004233D5" w:rsidP="00096D64">
      <w:r w:rsidRPr="006E369E">
        <w:t>In regards to the transmitter cost, MSAC accepted advice from the Department that exceptions for prostheses listings may be made if a non-implanted component is considered integral to the operation of an implanted device.</w:t>
      </w:r>
    </w:p>
    <w:p w:rsidR="004233D5" w:rsidRPr="006E369E" w:rsidRDefault="004233D5" w:rsidP="00096D64"/>
    <w:p w:rsidR="004233D5" w:rsidRDefault="004233D5" w:rsidP="00096D64">
      <w:r w:rsidRPr="006E369E">
        <w:t xml:space="preserve">MSAC did not support inclusion of event monitoring in the MBS items as the evidence did not indicate </w:t>
      </w:r>
      <w:r>
        <w:t>that this improved health</w:t>
      </w:r>
      <w:r w:rsidRPr="006E369E">
        <w:t xml:space="preserve"> outcomes.</w:t>
      </w:r>
    </w:p>
    <w:p w:rsidR="001A55E2" w:rsidRDefault="001A55E2">
      <w:pPr>
        <w:rPr>
          <w:rFonts w:eastAsia="Calibri"/>
          <w:color w:val="FF0000"/>
          <w:szCs w:val="24"/>
          <w:lang w:eastAsia="en-US"/>
        </w:rPr>
      </w:pPr>
      <w:r>
        <w:rPr>
          <w:color w:val="FF0000"/>
        </w:rPr>
        <w:br w:type="page"/>
      </w:r>
    </w:p>
    <w:p w:rsidR="00550354" w:rsidRDefault="00550354" w:rsidP="00550354">
      <w:pPr>
        <w:pStyle w:val="Heading1"/>
        <w:numPr>
          <w:ilvl w:val="0"/>
          <w:numId w:val="23"/>
        </w:numPr>
        <w:ind w:hanging="720"/>
      </w:pPr>
      <w:r w:rsidRPr="008D5885">
        <w:lastRenderedPageBreak/>
        <w:t>Summary of consideration and rationale for MSAC’s advice</w:t>
      </w:r>
      <w:r w:rsidRPr="00707064">
        <w:t xml:space="preserve"> </w:t>
      </w:r>
    </w:p>
    <w:p w:rsidR="00550354" w:rsidRDefault="00550354" w:rsidP="00550354">
      <w:pPr>
        <w:rPr>
          <w:szCs w:val="24"/>
        </w:rPr>
      </w:pPr>
    </w:p>
    <w:p w:rsidR="005478CB" w:rsidRDefault="004233D5">
      <w:r>
        <w:t>MSAC noted that the proposed public funding of remote monitoring of patients with cardiac implantable electronic devices (CIEDs) had previously</w:t>
      </w:r>
      <w:r w:rsidRPr="00F73B41">
        <w:t xml:space="preserve"> </w:t>
      </w:r>
      <w:r>
        <w:t xml:space="preserve">been </w:t>
      </w:r>
      <w:r w:rsidR="00345E75">
        <w:t xml:space="preserve">deferred </w:t>
      </w:r>
      <w:r>
        <w:t>in April 2014 (Application 1197</w:t>
      </w:r>
      <w:r w:rsidR="00345E75">
        <w:t>)</w:t>
      </w:r>
      <w:r>
        <w:t xml:space="preserve"> </w:t>
      </w:r>
      <w:r w:rsidR="005478CB">
        <w:t>to seek additional information</w:t>
      </w:r>
      <w:r w:rsidR="00345E75">
        <w:t>.</w:t>
      </w:r>
    </w:p>
    <w:p w:rsidR="004233D5" w:rsidRDefault="004233D5" w:rsidP="004233D5"/>
    <w:p w:rsidR="004233D5" w:rsidRDefault="004233D5" w:rsidP="004233D5">
      <w:r>
        <w:t>MSAC reaffirmed their acceptance of the safety and effectiveness data presented at the previous meeting. Based on the overall evidence, it was concluded that remote monitoring:</w:t>
      </w:r>
    </w:p>
    <w:p w:rsidR="004233D5" w:rsidRDefault="004233D5" w:rsidP="004233D5">
      <w:pPr>
        <w:pStyle w:val="ListParagraph"/>
        <w:numPr>
          <w:ilvl w:val="0"/>
          <w:numId w:val="27"/>
        </w:numPr>
      </w:pPr>
      <w:r>
        <w:t>leads to a reduction in overall in-office follow-up visits;</w:t>
      </w:r>
      <w:r w:rsidR="00552894">
        <w:t xml:space="preserve"> and</w:t>
      </w:r>
    </w:p>
    <w:p w:rsidR="00552894" w:rsidRDefault="004233D5" w:rsidP="00C80A94">
      <w:pPr>
        <w:pStyle w:val="ListParagraph"/>
        <w:numPr>
          <w:ilvl w:val="0"/>
          <w:numId w:val="27"/>
        </w:numPr>
      </w:pPr>
      <w:proofErr w:type="gramStart"/>
      <w:r>
        <w:t>is</w:t>
      </w:r>
      <w:proofErr w:type="gramEnd"/>
      <w:r>
        <w:t xml:space="preserve"> as safe as conventional follow-up, demonstrated by outcomes including adverse events, mortality, inappropriate shocks, hospitalisations and emergency department visits</w:t>
      </w:r>
      <w:r w:rsidR="00552894">
        <w:t>.</w:t>
      </w:r>
    </w:p>
    <w:p w:rsidR="004233D5" w:rsidRDefault="004233D5" w:rsidP="00C80A94">
      <w:pPr>
        <w:pStyle w:val="ListParagraph"/>
      </w:pPr>
    </w:p>
    <w:p w:rsidR="004233D5" w:rsidRDefault="004233D5" w:rsidP="004233D5">
      <w:r>
        <w:t xml:space="preserve">Additional data from the IN-TIME trial reported a mortality benefit for patients with ICDs/CRT-Ds receiving remote monitoring in addition to standard care compared with standard care alone (3.4% vs 8.7%). The study also showed that remote monitoring patients had an extra 0.32 office visits per year compared with the control group. MSAC commented that the </w:t>
      </w:r>
      <w:r w:rsidRPr="00346518">
        <w:t>intensified therapy rather than remote monitoring alone</w:t>
      </w:r>
      <w:r>
        <w:t xml:space="preserve"> could have contributed to the mortality benefits, resulting in a</w:t>
      </w:r>
      <w:r w:rsidR="00345E75">
        <w:t xml:space="preserve"> potential</w:t>
      </w:r>
      <w:r>
        <w:t xml:space="preserve"> overestimation of clinical effectiveness.</w:t>
      </w:r>
    </w:p>
    <w:p w:rsidR="004233D5" w:rsidRDefault="004233D5" w:rsidP="004233D5"/>
    <w:p w:rsidR="00905153" w:rsidRDefault="00552894" w:rsidP="004233D5">
      <w:r>
        <w:t xml:space="preserve">In April 2014 </w:t>
      </w:r>
      <w:r w:rsidR="004233D5">
        <w:t>MSAC was concerned that current patients with a CIED do not have a transmitter, and</w:t>
      </w:r>
      <w:r>
        <w:t xml:space="preserve"> </w:t>
      </w:r>
      <w:r w:rsidR="004233D5">
        <w:t xml:space="preserve">questioned uptake given issues associated with subsidisation for the transmitter. </w:t>
      </w:r>
      <w:r>
        <w:t>A</w:t>
      </w:r>
      <w:r w:rsidR="004233D5">
        <w:t>n update</w:t>
      </w:r>
      <w:r>
        <w:t>d</w:t>
      </w:r>
      <w:r w:rsidR="004233D5">
        <w:t xml:space="preserve"> economic evaluation that included </w:t>
      </w:r>
      <w:r>
        <w:t xml:space="preserve">the full </w:t>
      </w:r>
      <w:r w:rsidR="004233D5">
        <w:t>cost of the remote monitoring device (</w:t>
      </w:r>
      <w:r>
        <w:t xml:space="preserve">including the transmitter cost of </w:t>
      </w:r>
      <w:r w:rsidR="004233D5">
        <w:t>$3,000) and enhanced battery longevity with remote monitoring</w:t>
      </w:r>
      <w:r>
        <w:t xml:space="preserve"> was presented</w:t>
      </w:r>
      <w:r w:rsidR="004233D5">
        <w:t xml:space="preserve">. The Department informed MSAC that while a </w:t>
      </w:r>
      <w:r w:rsidR="004233D5" w:rsidRPr="002E7936">
        <w:t>device</w:t>
      </w:r>
      <w:r w:rsidR="004233D5">
        <w:t xml:space="preserve"> generally</w:t>
      </w:r>
      <w:r w:rsidR="004233D5" w:rsidRPr="002E7936">
        <w:t xml:space="preserve"> must be implant</w:t>
      </w:r>
      <w:r w:rsidR="004233D5">
        <w:t xml:space="preserve">ed </w:t>
      </w:r>
      <w:r w:rsidR="004233D5" w:rsidRPr="002E7936">
        <w:t>to be listed</w:t>
      </w:r>
      <w:r w:rsidR="004233D5">
        <w:t xml:space="preserve"> on the Prostheses List (PL), e</w:t>
      </w:r>
      <w:r w:rsidR="004233D5" w:rsidRPr="002E7936">
        <w:t>xceptions may be made if a non-implanted component is integral to the operation of an implanted device.</w:t>
      </w:r>
    </w:p>
    <w:p w:rsidR="00905153" w:rsidRDefault="00905153" w:rsidP="004233D5"/>
    <w:p w:rsidR="004233D5" w:rsidRDefault="004233D5" w:rsidP="004233D5">
      <w:pPr>
        <w:rPr>
          <w:lang w:val="en-US"/>
        </w:rPr>
      </w:pPr>
      <w:r>
        <w:t>MSAC considered that cost savings associated with remote monitoring may become more apparent as the CIEDs reached end of life –</w:t>
      </w:r>
      <w:r>
        <w:rPr>
          <w:lang w:val="en-US"/>
        </w:rPr>
        <w:t xml:space="preserve"> when </w:t>
      </w:r>
      <w:r w:rsidRPr="00DF1E0C">
        <w:rPr>
          <w:lang w:val="en-US"/>
        </w:rPr>
        <w:t>they would usually require more frequent monitoring</w:t>
      </w:r>
      <w:r>
        <w:rPr>
          <w:lang w:val="en-US"/>
        </w:rPr>
        <w:t xml:space="preserve"> – as </w:t>
      </w:r>
      <w:r w:rsidRPr="00DF1E0C">
        <w:rPr>
          <w:lang w:val="en-US"/>
        </w:rPr>
        <w:t xml:space="preserve">timing for device replacement may be extended in the setting of </w:t>
      </w:r>
      <w:r>
        <w:rPr>
          <w:lang w:val="en-US"/>
        </w:rPr>
        <w:t>remote monitoring.</w:t>
      </w:r>
    </w:p>
    <w:p w:rsidR="004233D5" w:rsidRDefault="004233D5" w:rsidP="004233D5">
      <w:pPr>
        <w:rPr>
          <w:lang w:val="en-US"/>
        </w:rPr>
      </w:pPr>
    </w:p>
    <w:p w:rsidR="004233D5" w:rsidRDefault="004233D5" w:rsidP="004233D5">
      <w:pPr>
        <w:rPr>
          <w:lang w:val="en-US"/>
        </w:rPr>
      </w:pPr>
      <w:r>
        <w:rPr>
          <w:lang w:val="en-US"/>
        </w:rPr>
        <w:t xml:space="preserve">MSAC agreed with the Department regarding a potential implementation model </w:t>
      </w:r>
      <w:r w:rsidRPr="00040CE4">
        <w:rPr>
          <w:lang w:val="en-US"/>
        </w:rPr>
        <w:t>for remote monitoring</w:t>
      </w:r>
      <w:r>
        <w:rPr>
          <w:lang w:val="en-US"/>
        </w:rPr>
        <w:t xml:space="preserve"> involving a proposed annual cycle of care that reflects current CIED guidelines.</w:t>
      </w:r>
    </w:p>
    <w:p w:rsidR="004233D5" w:rsidRDefault="004233D5" w:rsidP="004233D5">
      <w:pPr>
        <w:rPr>
          <w:lang w:val="en-US"/>
        </w:rPr>
      </w:pPr>
    </w:p>
    <w:tbl>
      <w:tblPr>
        <w:tblStyle w:val="TableGrid"/>
        <w:tblW w:w="8755" w:type="dxa"/>
        <w:tblLook w:val="04A0" w:firstRow="1" w:lastRow="0" w:firstColumn="1" w:lastColumn="0" w:noHBand="0" w:noVBand="1"/>
        <w:tblCaption w:val="Potential implementation model for remote monitoring involving a proposed annual cycle of care that reflects current CIED guidelines"/>
      </w:tblPr>
      <w:tblGrid>
        <w:gridCol w:w="2200"/>
        <w:gridCol w:w="4220"/>
        <w:gridCol w:w="2335"/>
      </w:tblGrid>
      <w:tr w:rsidR="004233D5" w:rsidRPr="00040CE4" w:rsidTr="00FE6F2C">
        <w:trPr>
          <w:tblHeader/>
        </w:trPr>
        <w:tc>
          <w:tcPr>
            <w:tcW w:w="2200" w:type="dxa"/>
            <w:hideMark/>
          </w:tcPr>
          <w:p w:rsidR="004233D5" w:rsidRPr="00040CE4" w:rsidRDefault="004233D5" w:rsidP="006F2B22">
            <w:r w:rsidRPr="00040CE4">
              <w:rPr>
                <w:b/>
                <w:bCs/>
                <w:lang w:val="en-US"/>
              </w:rPr>
              <w:t>Device</w:t>
            </w:r>
            <w:r w:rsidRPr="00040CE4">
              <w:rPr>
                <w:b/>
                <w:bCs/>
              </w:rPr>
              <w:t xml:space="preserve"> </w:t>
            </w:r>
          </w:p>
        </w:tc>
        <w:tc>
          <w:tcPr>
            <w:tcW w:w="4220" w:type="dxa"/>
            <w:hideMark/>
          </w:tcPr>
          <w:p w:rsidR="004233D5" w:rsidRPr="00040CE4" w:rsidRDefault="004233D5" w:rsidP="006F2B22">
            <w:r w:rsidRPr="00040CE4">
              <w:rPr>
                <w:b/>
                <w:bCs/>
                <w:lang w:val="en-US"/>
              </w:rPr>
              <w:t>Proposed Annual Cycle of Care</w:t>
            </w:r>
            <w:r w:rsidRPr="00040CE4">
              <w:rPr>
                <w:b/>
                <w:bCs/>
              </w:rPr>
              <w:t xml:space="preserve"> </w:t>
            </w:r>
          </w:p>
        </w:tc>
        <w:tc>
          <w:tcPr>
            <w:tcW w:w="2335" w:type="dxa"/>
            <w:hideMark/>
          </w:tcPr>
          <w:p w:rsidR="004233D5" w:rsidRPr="00040CE4" w:rsidRDefault="004233D5" w:rsidP="006F2B22">
            <w:r w:rsidRPr="00040CE4">
              <w:rPr>
                <w:b/>
                <w:bCs/>
                <w:lang w:val="en-US"/>
              </w:rPr>
              <w:t>Current MBS item</w:t>
            </w:r>
            <w:r w:rsidR="00FE6F2C">
              <w:rPr>
                <w:b/>
                <w:bCs/>
                <w:lang w:val="en-US"/>
              </w:rPr>
              <w:t>s</w:t>
            </w:r>
            <w:r w:rsidRPr="00040CE4">
              <w:rPr>
                <w:b/>
                <w:bCs/>
              </w:rPr>
              <w:t xml:space="preserve"> </w:t>
            </w:r>
          </w:p>
        </w:tc>
      </w:tr>
      <w:tr w:rsidR="00FE6F2C" w:rsidRPr="00040CE4" w:rsidTr="00FE6F2C">
        <w:trPr>
          <w:trHeight w:val="838"/>
        </w:trPr>
        <w:tc>
          <w:tcPr>
            <w:tcW w:w="2200" w:type="dxa"/>
            <w:hideMark/>
          </w:tcPr>
          <w:p w:rsidR="00FE6F2C" w:rsidRPr="00040CE4" w:rsidRDefault="00FE6F2C" w:rsidP="006F2B22">
            <w:r w:rsidRPr="00040CE4">
              <w:rPr>
                <w:b/>
                <w:bCs/>
                <w:lang w:val="en-US"/>
              </w:rPr>
              <w:t>Pacemaker</w:t>
            </w:r>
            <w:r w:rsidRPr="00040CE4">
              <w:rPr>
                <w:b/>
                <w:bCs/>
              </w:rPr>
              <w:t xml:space="preserve"> </w:t>
            </w:r>
          </w:p>
        </w:tc>
        <w:tc>
          <w:tcPr>
            <w:tcW w:w="4220" w:type="dxa"/>
            <w:hideMark/>
          </w:tcPr>
          <w:p w:rsidR="00FE6F2C" w:rsidRPr="00040CE4" w:rsidRDefault="00FE6F2C" w:rsidP="006F2B22">
            <w:r w:rsidRPr="00040CE4">
              <w:rPr>
                <w:lang w:val="en-US"/>
              </w:rPr>
              <w:t>1 annual consult (in-office)</w:t>
            </w:r>
            <w:r w:rsidRPr="00040CE4">
              <w:t xml:space="preserve"> </w:t>
            </w:r>
          </w:p>
          <w:p w:rsidR="00FE6F2C" w:rsidRPr="00040CE4" w:rsidRDefault="00FE6F2C" w:rsidP="006F2B22">
            <w:r w:rsidRPr="00040CE4">
              <w:rPr>
                <w:lang w:val="en-US"/>
              </w:rPr>
              <w:t>1 annual diagnostic procedure (in-office)</w:t>
            </w:r>
            <w:r w:rsidRPr="00040CE4">
              <w:t xml:space="preserve"> </w:t>
            </w:r>
          </w:p>
          <w:p w:rsidR="00FE6F2C" w:rsidRPr="00040CE4" w:rsidRDefault="00FE6F2C" w:rsidP="006F2B22">
            <w:r w:rsidRPr="00040CE4">
              <w:rPr>
                <w:lang w:val="en-US"/>
              </w:rPr>
              <w:t>2 scheduled reviews (in office or remote)</w:t>
            </w:r>
            <w:r w:rsidRPr="00040CE4">
              <w:t xml:space="preserve"> </w:t>
            </w:r>
          </w:p>
        </w:tc>
        <w:tc>
          <w:tcPr>
            <w:tcW w:w="2335" w:type="dxa"/>
            <w:hideMark/>
          </w:tcPr>
          <w:p w:rsidR="00FE6F2C" w:rsidRPr="00040CE4" w:rsidRDefault="00FE6F2C" w:rsidP="006F2B22">
            <w:r w:rsidRPr="00040CE4">
              <w:rPr>
                <w:lang w:val="en-US"/>
              </w:rPr>
              <w:t>MBS 116</w:t>
            </w:r>
            <w:r w:rsidRPr="00040CE4">
              <w:t xml:space="preserve"> </w:t>
            </w:r>
          </w:p>
          <w:p w:rsidR="00FE6F2C" w:rsidRPr="00040CE4" w:rsidRDefault="00FE6F2C" w:rsidP="006F2B22">
            <w:r w:rsidRPr="00040CE4">
              <w:rPr>
                <w:lang w:val="en-US"/>
              </w:rPr>
              <w:t>MBS 11718 or 11721</w:t>
            </w:r>
            <w:r w:rsidRPr="00040CE4">
              <w:t xml:space="preserve"> </w:t>
            </w:r>
          </w:p>
        </w:tc>
      </w:tr>
      <w:tr w:rsidR="00FE6F2C" w:rsidRPr="00040CE4" w:rsidTr="00FE6F2C">
        <w:trPr>
          <w:trHeight w:val="828"/>
        </w:trPr>
        <w:tc>
          <w:tcPr>
            <w:tcW w:w="2200" w:type="dxa"/>
            <w:hideMark/>
          </w:tcPr>
          <w:p w:rsidR="00FE6F2C" w:rsidRPr="00040CE4" w:rsidRDefault="00FE6F2C" w:rsidP="006F2B22">
            <w:r w:rsidRPr="00040CE4">
              <w:rPr>
                <w:b/>
                <w:bCs/>
                <w:lang w:val="en-US"/>
              </w:rPr>
              <w:t>ICD/CRT-D</w:t>
            </w:r>
            <w:r w:rsidRPr="00040CE4">
              <w:rPr>
                <w:b/>
                <w:bCs/>
              </w:rPr>
              <w:t xml:space="preserve"> </w:t>
            </w:r>
          </w:p>
        </w:tc>
        <w:tc>
          <w:tcPr>
            <w:tcW w:w="4220" w:type="dxa"/>
            <w:hideMark/>
          </w:tcPr>
          <w:p w:rsidR="00FE6F2C" w:rsidRPr="00040CE4" w:rsidRDefault="00FE6F2C" w:rsidP="006F2B22">
            <w:r w:rsidRPr="00040CE4">
              <w:rPr>
                <w:lang w:val="en-US"/>
              </w:rPr>
              <w:t>1 annual in-office consult (in-office)</w:t>
            </w:r>
            <w:r w:rsidRPr="00040CE4">
              <w:t xml:space="preserve"> </w:t>
            </w:r>
          </w:p>
          <w:p w:rsidR="00FE6F2C" w:rsidRPr="00040CE4" w:rsidRDefault="00FE6F2C" w:rsidP="006F2B22">
            <w:r w:rsidRPr="00040CE4">
              <w:rPr>
                <w:lang w:val="en-US"/>
              </w:rPr>
              <w:t>1 annual diagnostic procedure (in-office)</w:t>
            </w:r>
            <w:r w:rsidRPr="00040CE4">
              <w:t xml:space="preserve"> </w:t>
            </w:r>
          </w:p>
          <w:p w:rsidR="00FE6F2C" w:rsidRPr="00040CE4" w:rsidRDefault="00FE6F2C" w:rsidP="006F2B22">
            <w:r w:rsidRPr="00040CE4">
              <w:rPr>
                <w:lang w:val="en-US"/>
              </w:rPr>
              <w:t>4 scheduled reviews (in office or remote)</w:t>
            </w:r>
            <w:r w:rsidRPr="00040CE4">
              <w:t xml:space="preserve"> </w:t>
            </w:r>
          </w:p>
        </w:tc>
        <w:tc>
          <w:tcPr>
            <w:tcW w:w="2335" w:type="dxa"/>
            <w:hideMark/>
          </w:tcPr>
          <w:p w:rsidR="00FE6F2C" w:rsidRPr="00040CE4" w:rsidRDefault="00FE6F2C" w:rsidP="006F2B22">
            <w:r w:rsidRPr="00040CE4">
              <w:rPr>
                <w:lang w:val="en-US"/>
              </w:rPr>
              <w:t>MBS 116</w:t>
            </w:r>
            <w:r w:rsidRPr="00040CE4">
              <w:t xml:space="preserve"> </w:t>
            </w:r>
          </w:p>
          <w:p w:rsidR="00FE6F2C" w:rsidRPr="00040CE4" w:rsidRDefault="00FE6F2C" w:rsidP="006F2B22">
            <w:r w:rsidRPr="00040CE4">
              <w:rPr>
                <w:lang w:val="en-US"/>
              </w:rPr>
              <w:t>MBS 11727</w:t>
            </w:r>
            <w:r w:rsidRPr="00040CE4">
              <w:t xml:space="preserve"> </w:t>
            </w:r>
          </w:p>
        </w:tc>
      </w:tr>
    </w:tbl>
    <w:p w:rsidR="004233D5" w:rsidRDefault="004233D5" w:rsidP="004233D5">
      <w:pPr>
        <w:rPr>
          <w:lang w:val="en-US"/>
        </w:rPr>
      </w:pPr>
    </w:p>
    <w:p w:rsidR="004233D5" w:rsidRDefault="004233D5" w:rsidP="004233D5">
      <w:r>
        <w:rPr>
          <w:lang w:val="en-US"/>
        </w:rPr>
        <w:t xml:space="preserve">MSAC also noted that evidence currently suggests that event </w:t>
      </w:r>
      <w:r w:rsidRPr="00FE3FC5">
        <w:rPr>
          <w:lang w:val="en-US"/>
        </w:rPr>
        <w:t>monitoring results in faster physician response to events and increased services for patients.  However, the evidence does not indicate that it leads to better patient outcomes</w:t>
      </w:r>
      <w:r>
        <w:rPr>
          <w:lang w:val="en-US"/>
        </w:rPr>
        <w:t>.</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E34BDC" w:rsidRDefault="00E34BDC" w:rsidP="00E34BDC">
      <w:r>
        <w:t>Application</w:t>
      </w:r>
      <w:r w:rsidRPr="00B7796D">
        <w:t xml:space="preserve"> 1111 </w:t>
      </w:r>
      <w:r>
        <w:t xml:space="preserve">- </w:t>
      </w:r>
      <w:r>
        <w:rPr>
          <w:lang w:val="en"/>
        </w:rPr>
        <w:t xml:space="preserve">Remote Monitoring Systems for Patients with Implanted Cardiac Device, </w:t>
      </w:r>
      <w:r w:rsidRPr="00B7796D">
        <w:t xml:space="preserve">was considered by MSAC in June 2008. MSAC </w:t>
      </w:r>
      <w:r>
        <w:t>considered</w:t>
      </w:r>
      <w:r w:rsidRPr="00B7796D">
        <w:t xml:space="preserve"> that the procedure was safe, but </w:t>
      </w:r>
      <w:r w:rsidRPr="00B7796D">
        <w:lastRenderedPageBreak/>
        <w:t>that clinical effectiveness had not been demonstrated and a formal economic assessment could not be</w:t>
      </w:r>
      <w:r>
        <w:t xml:space="preserve"> performed.</w:t>
      </w:r>
    </w:p>
    <w:p w:rsidR="00E34BDC" w:rsidRDefault="00E34BDC" w:rsidP="00E34BDC"/>
    <w:p w:rsidR="00E34BDC" w:rsidRDefault="00E34BDC" w:rsidP="00E34BDC">
      <w:r>
        <w:t xml:space="preserve">MSAC considered </w:t>
      </w:r>
      <w:r w:rsidR="00345E75">
        <w:t>A</w:t>
      </w:r>
      <w:r>
        <w:t xml:space="preserve">pplication 1197 in </w:t>
      </w:r>
      <w:r w:rsidRPr="007B46F3">
        <w:t>April 2014</w:t>
      </w:r>
      <w:r>
        <w:t xml:space="preserve"> and concluded that remote monitoring was</w:t>
      </w:r>
      <w:r w:rsidRPr="00712DD5">
        <w:t xml:space="preserve"> as safe as </w:t>
      </w:r>
      <w:r>
        <w:t xml:space="preserve">standard care and that it was effective, however there was insufficient evidence to demonstrate a </w:t>
      </w:r>
      <w:r w:rsidRPr="00712DD5">
        <w:t xml:space="preserve">survival benefit. </w:t>
      </w:r>
      <w:r>
        <w:t xml:space="preserve">MSAC also concluded that remote monitoring was </w:t>
      </w:r>
      <w:r w:rsidRPr="00712DD5">
        <w:t>not cost neutral</w:t>
      </w:r>
      <w:r>
        <w:t xml:space="preserve"> but </w:t>
      </w:r>
      <w:r w:rsidRPr="00712DD5">
        <w:t>may be cost-effective</w:t>
      </w:r>
      <w:r>
        <w:t>.</w:t>
      </w:r>
    </w:p>
    <w:p w:rsidR="00E34BDC" w:rsidRDefault="00E34BDC" w:rsidP="00E34BDC"/>
    <w:p w:rsidR="00E34BDC" w:rsidRDefault="00E34BDC" w:rsidP="00E34BDC">
      <w:r>
        <w:t>MSAC deferred the application to seek additional information from:</w:t>
      </w:r>
    </w:p>
    <w:p w:rsidR="00E34BDC" w:rsidRDefault="00E34BDC" w:rsidP="00E34BDC">
      <w:pPr>
        <w:numPr>
          <w:ilvl w:val="0"/>
          <w:numId w:val="25"/>
        </w:numPr>
      </w:pPr>
      <w:r>
        <w:t xml:space="preserve">the Prostheses Listing Advisory Committee (PLAC) regarding the suitability of the transmitter for listing on the prostheses list; </w:t>
      </w:r>
    </w:p>
    <w:p w:rsidR="00E34BDC" w:rsidRDefault="00E34BDC" w:rsidP="00E34BDC">
      <w:pPr>
        <w:numPr>
          <w:ilvl w:val="0"/>
          <w:numId w:val="25"/>
        </w:numPr>
      </w:pPr>
      <w:r>
        <w:t>the applicant regarding (a) the IN-TIME study results, particularly the mortality data and potential benefit when remote monitoring replaces in-office monitoring rather than supplements it; and (b) the potential need for multiple software packages associated with different brands of remote monitoring equipment; and (c) need for further economic modelling to take account of the cost of the transmitter to the healthcare system</w:t>
      </w:r>
      <w:r w:rsidR="001A55E2">
        <w:t>; and</w:t>
      </w:r>
    </w:p>
    <w:p w:rsidR="00E34BDC" w:rsidRDefault="00E34BDC" w:rsidP="00E34BDC">
      <w:pPr>
        <w:numPr>
          <w:ilvl w:val="0"/>
          <w:numId w:val="25"/>
        </w:numPr>
      </w:pPr>
      <w:proofErr w:type="gramStart"/>
      <w:r>
        <w:t>the</w:t>
      </w:r>
      <w:proofErr w:type="gramEnd"/>
      <w:r>
        <w:t xml:space="preserve"> Department regarding how best to incentivise monitoring practice through prospective and/or retrospective fees.</w:t>
      </w:r>
    </w:p>
    <w:p w:rsidR="00E34BDC" w:rsidRDefault="00E34BDC" w:rsidP="00E34BDC"/>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E34BDC" w:rsidRDefault="00E34BDC" w:rsidP="00E34BDC">
      <w:r>
        <w:t xml:space="preserve">The resubmission </w:t>
      </w:r>
      <w:r w:rsidR="008808B7">
        <w:t xml:space="preserve">did </w:t>
      </w:r>
      <w:r>
        <w:t>not indicate any change to the TGA listing status of the remote monitoring device or any similar devices.</w:t>
      </w:r>
    </w:p>
    <w:p w:rsidR="00E34BDC" w:rsidRDefault="00E34BDC" w:rsidP="00E34BDC"/>
    <w:p w:rsidR="00E34BDC" w:rsidRDefault="00E34BDC" w:rsidP="00E34BDC">
      <w:r w:rsidRPr="00B80EAC">
        <w:t xml:space="preserve">The PLAC secretariat advised that, in general, a device must be implanted for it to be listed on the Prostheses List.  Exceptions may be made if a non-implanted component is integral to the operation of the implanted device. </w:t>
      </w:r>
    </w:p>
    <w:p w:rsidR="00E34BDC" w:rsidRPr="00B80EAC" w:rsidRDefault="00E34BDC" w:rsidP="00E34BDC"/>
    <w:p w:rsidR="00E34BDC" w:rsidRDefault="00E34BDC" w:rsidP="00E34BDC">
      <w:r w:rsidRPr="00B80EAC">
        <w:t>The Applicant has agreed that, should the</w:t>
      </w:r>
      <w:r w:rsidRPr="00581B99">
        <w:t xml:space="preserve"> MSAC recommend public funding for this service, </w:t>
      </w:r>
      <w:r>
        <w:t xml:space="preserve">they will </w:t>
      </w:r>
      <w:r w:rsidRPr="00581B99">
        <w:t xml:space="preserve">submit two applications for </w:t>
      </w:r>
      <w:r>
        <w:t>listing on the Prostheses List</w:t>
      </w:r>
      <w:r w:rsidRPr="00581B99">
        <w:t>:</w:t>
      </w:r>
    </w:p>
    <w:p w:rsidR="00E34BDC" w:rsidRDefault="00E34BDC" w:rsidP="00E34BDC">
      <w:pPr>
        <w:pStyle w:val="Default"/>
        <w:numPr>
          <w:ilvl w:val="0"/>
          <w:numId w:val="26"/>
        </w:numPr>
        <w:jc w:val="both"/>
      </w:pPr>
      <w:proofErr w:type="gramStart"/>
      <w:r>
        <w:t>device</w:t>
      </w:r>
      <w:proofErr w:type="gramEnd"/>
      <w:r w:rsidRPr="00581B99">
        <w:t xml:space="preserve"> plus transmitter</w:t>
      </w:r>
      <w:r>
        <w:t xml:space="preserve">, </w:t>
      </w:r>
      <w:r w:rsidRPr="00581B99">
        <w:t>new patients</w:t>
      </w:r>
      <w:r>
        <w:t>,</w:t>
      </w:r>
      <w:r w:rsidRPr="00581B99">
        <w:t xml:space="preserve"> RM is integral to treatment plan</w:t>
      </w:r>
      <w:r>
        <w:t>.</w:t>
      </w:r>
    </w:p>
    <w:p w:rsidR="00E34BDC" w:rsidRDefault="00E34BDC" w:rsidP="00E34BDC">
      <w:pPr>
        <w:pStyle w:val="Default"/>
        <w:numPr>
          <w:ilvl w:val="0"/>
          <w:numId w:val="26"/>
        </w:numPr>
        <w:jc w:val="both"/>
      </w:pPr>
      <w:proofErr w:type="gramStart"/>
      <w:r w:rsidRPr="00581B99">
        <w:t>transmitter</w:t>
      </w:r>
      <w:proofErr w:type="gramEnd"/>
      <w:r>
        <w:t>,</w:t>
      </w:r>
      <w:r w:rsidRPr="00581B99">
        <w:t xml:space="preserve"> existing patients</w:t>
      </w:r>
      <w:r>
        <w:t>,</w:t>
      </w:r>
      <w:r w:rsidRPr="00581B99">
        <w:t xml:space="preserve"> to </w:t>
      </w:r>
      <w:r>
        <w:t>add</w:t>
      </w:r>
      <w:r w:rsidRPr="00581B99">
        <w:t xml:space="preserve"> RM </w:t>
      </w:r>
      <w:r>
        <w:t>to</w:t>
      </w:r>
      <w:r w:rsidRPr="00581B99">
        <w:t xml:space="preserve"> treatment plan.</w:t>
      </w:r>
    </w:p>
    <w:p w:rsidR="00BC1364" w:rsidRPr="00707064" w:rsidRDefault="00BC1364" w:rsidP="00C80A94">
      <w:pPr>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E34BDC" w:rsidRPr="00D9760E" w:rsidRDefault="00E34BDC" w:rsidP="00E34BDC">
      <w:r w:rsidRPr="00B0753D">
        <w:t xml:space="preserve">The proposed MBS item descriptors for </w:t>
      </w:r>
      <w:r>
        <w:t>delivering</w:t>
      </w:r>
      <w:r w:rsidRPr="00B0753D">
        <w:t xml:space="preserve"> the remote monitoring</w:t>
      </w:r>
      <w:r>
        <w:t xml:space="preserve"> service remain consistent with the original submission</w:t>
      </w:r>
      <w:r w:rsidRPr="00B0753D">
        <w:t xml:space="preserve">. </w:t>
      </w:r>
      <w:r w:rsidRPr="00D9760E">
        <w:t>The proposed intervention involves:</w:t>
      </w:r>
    </w:p>
    <w:p w:rsidR="00E34BDC" w:rsidRDefault="00E34BDC" w:rsidP="00E34BDC">
      <w:pPr>
        <w:numPr>
          <w:ilvl w:val="0"/>
          <w:numId w:val="25"/>
        </w:numPr>
      </w:pPr>
      <w:proofErr w:type="gramStart"/>
      <w:r>
        <w:t>an</w:t>
      </w:r>
      <w:proofErr w:type="gramEnd"/>
      <w:r>
        <w:t xml:space="preserve"> annual in-office check.</w:t>
      </w:r>
    </w:p>
    <w:p w:rsidR="00E34BDC" w:rsidRPr="00D9760E" w:rsidRDefault="00E34BDC" w:rsidP="00E34BDC">
      <w:pPr>
        <w:numPr>
          <w:ilvl w:val="0"/>
          <w:numId w:val="25"/>
        </w:numPr>
      </w:pPr>
      <w:proofErr w:type="gramStart"/>
      <w:r>
        <w:t>regular</w:t>
      </w:r>
      <w:proofErr w:type="gramEnd"/>
      <w:r>
        <w:t xml:space="preserve"> remote monitoring reviews (4 for ICD/CRT patients; 2 for PM patients).</w:t>
      </w:r>
    </w:p>
    <w:p w:rsidR="00E34BDC" w:rsidRDefault="00E34BDC" w:rsidP="00E34BDC">
      <w:pPr>
        <w:numPr>
          <w:ilvl w:val="0"/>
          <w:numId w:val="25"/>
        </w:numPr>
      </w:pPr>
      <w:proofErr w:type="gramStart"/>
      <w:r>
        <w:t>event</w:t>
      </w:r>
      <w:proofErr w:type="gramEnd"/>
      <w:r>
        <w:t xml:space="preserve"> monitoring (18 mins per annum).</w:t>
      </w:r>
    </w:p>
    <w:p w:rsidR="00E34BDC" w:rsidRPr="00B80EAC" w:rsidRDefault="00E34BDC" w:rsidP="00E34BDC">
      <w:pPr>
        <w:numPr>
          <w:ilvl w:val="0"/>
          <w:numId w:val="25"/>
        </w:numPr>
      </w:pPr>
      <w:proofErr w:type="gramStart"/>
      <w:r w:rsidRPr="00D9760E">
        <w:t>unscheduled</w:t>
      </w:r>
      <w:proofErr w:type="gramEnd"/>
      <w:r w:rsidRPr="00D9760E">
        <w:t xml:space="preserve"> in-office visits for </w:t>
      </w:r>
      <w:r>
        <w:t xml:space="preserve">consultations and </w:t>
      </w:r>
      <w:r w:rsidRPr="00D9760E">
        <w:t>diagnostic procedures.</w:t>
      </w:r>
    </w:p>
    <w:p w:rsidR="00BC1364" w:rsidRDefault="00BC1364" w:rsidP="00AB3BFC">
      <w:pPr>
        <w:tabs>
          <w:tab w:val="left" w:pos="720"/>
          <w:tab w:val="left" w:pos="1140"/>
        </w:tabs>
        <w:rPr>
          <w:color w:val="0070C0"/>
          <w:szCs w:val="24"/>
        </w:rPr>
      </w:pPr>
    </w:p>
    <w:p w:rsidR="00B3678D" w:rsidRDefault="00B3678D" w:rsidP="00B3678D">
      <w:pPr>
        <w:pStyle w:val="Default"/>
      </w:pPr>
      <w:r w:rsidRPr="001B1DFD">
        <w:t xml:space="preserve">The proposed MBS item descriptors for delivering the remote monitoring service are described </w:t>
      </w:r>
      <w:r>
        <w:t>below</w:t>
      </w:r>
      <w:r w:rsidRPr="001B1DFD">
        <w:t>.</w:t>
      </w:r>
    </w:p>
    <w:p w:rsidR="00B3678D" w:rsidRDefault="00B3678D" w:rsidP="00B3678D">
      <w:pPr>
        <w:rPr>
          <w:rFonts w:eastAsia="Calibri"/>
          <w:color w:val="000000"/>
          <w:szCs w:val="24"/>
          <w:lang w:eastAsia="en-US"/>
        </w:rPr>
      </w:pPr>
      <w:r>
        <w:br w:type="page"/>
      </w:r>
    </w:p>
    <w:p w:rsidR="00B3678D" w:rsidRDefault="00B3678D" w:rsidP="00B3678D">
      <w:pPr>
        <w:pStyle w:val="Default"/>
        <w:rPr>
          <w:b/>
          <w:bCs/>
        </w:rPr>
      </w:pPr>
      <w:r>
        <w:rPr>
          <w:b/>
          <w:bCs/>
        </w:rPr>
        <w:lastRenderedPageBreak/>
        <w:t xml:space="preserve"> </w:t>
      </w:r>
    </w:p>
    <w:p w:rsidR="00B3678D" w:rsidRDefault="00B3678D" w:rsidP="00B3678D">
      <w:pPr>
        <w:tabs>
          <w:tab w:val="left" w:pos="720"/>
          <w:tab w:val="left" w:pos="1140"/>
        </w:tabs>
        <w:rPr>
          <w:b/>
          <w:bCs/>
          <w:szCs w:val="24"/>
        </w:rPr>
      </w:pPr>
      <w:r w:rsidRPr="001B1DFD">
        <w:rPr>
          <w:b/>
          <w:bCs/>
          <w:szCs w:val="24"/>
        </w:rPr>
        <w:t>Proposed MBS Item Descriptors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2"/>
      </w:tblGrid>
      <w:tr w:rsidR="00B3678D" w:rsidRPr="00227AA0" w:rsidTr="00221C55">
        <w:trPr>
          <w:trHeight w:val="94"/>
        </w:trPr>
        <w:tc>
          <w:tcPr>
            <w:tcW w:w="8882" w:type="dxa"/>
          </w:tcPr>
          <w:p w:rsidR="00B3678D" w:rsidRPr="00227AA0" w:rsidRDefault="00B3678D" w:rsidP="00221C55">
            <w:pPr>
              <w:autoSpaceDE w:val="0"/>
              <w:autoSpaceDN w:val="0"/>
              <w:adjustRightInd w:val="0"/>
              <w:jc w:val="right"/>
              <w:rPr>
                <w:rFonts w:ascii="Arial" w:eastAsia="Calibri" w:hAnsi="Arial" w:cs="Arial"/>
                <w:color w:val="000000"/>
                <w:sz w:val="20"/>
              </w:rPr>
            </w:pPr>
            <w:r w:rsidRPr="00227AA0">
              <w:rPr>
                <w:rFonts w:ascii="Arial" w:eastAsia="Calibri" w:hAnsi="Arial" w:cs="Arial"/>
                <w:color w:val="000000"/>
                <w:sz w:val="20"/>
              </w:rPr>
              <w:t xml:space="preserve">Category 2 – Diagnostic procedures and investigations </w:t>
            </w:r>
          </w:p>
        </w:tc>
      </w:tr>
      <w:tr w:rsidR="00B3678D" w:rsidRPr="00227AA0" w:rsidTr="00221C55">
        <w:trPr>
          <w:trHeight w:val="438"/>
        </w:trPr>
        <w:tc>
          <w:tcPr>
            <w:tcW w:w="8882" w:type="dxa"/>
          </w:tcPr>
          <w:p w:rsidR="00B3678D" w:rsidRPr="00227AA0" w:rsidRDefault="00B3678D" w:rsidP="00221C55">
            <w:pPr>
              <w:autoSpaceDE w:val="0"/>
              <w:autoSpaceDN w:val="0"/>
              <w:adjustRightInd w:val="0"/>
              <w:rPr>
                <w:rFonts w:ascii="Arial" w:eastAsia="Calibri" w:hAnsi="Arial" w:cs="Arial"/>
                <w:color w:val="000000"/>
                <w:sz w:val="20"/>
              </w:rPr>
            </w:pP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PACEMAKER, (including Cardiac Resynchronisation Pacemaker) REMOTE MONITORING involving reviews (without patient attendance) of arrhythmias, lead and device parameters and one in-office check in a period of 12 consecutive months.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Fee: $192.86</w:t>
            </w:r>
          </w:p>
          <w:p w:rsidR="00B3678D" w:rsidRPr="00227AA0" w:rsidRDefault="00B3678D" w:rsidP="00221C55">
            <w:pPr>
              <w:autoSpaceDE w:val="0"/>
              <w:autoSpaceDN w:val="0"/>
              <w:adjustRightInd w:val="0"/>
              <w:rPr>
                <w:rFonts w:ascii="Arial" w:eastAsia="Calibri" w:hAnsi="Arial" w:cs="Arial"/>
                <w:color w:val="000000"/>
                <w:sz w:val="20"/>
              </w:rPr>
            </w:pPr>
          </w:p>
        </w:tc>
      </w:tr>
      <w:tr w:rsidR="00B3678D" w:rsidRPr="00227AA0" w:rsidTr="00221C55">
        <w:trPr>
          <w:trHeight w:val="437"/>
        </w:trPr>
        <w:tc>
          <w:tcPr>
            <w:tcW w:w="8882" w:type="dxa"/>
          </w:tcPr>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DEFIBRILLATOR, (including Cardiac Resynchronisation Defibrillator) REMOTE MONITORING involving reviews (without patient attendance) of arrhythmias, lead and device parameters and one in-office check in a period of 12 consecutive months.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Fee: $282.95</w:t>
            </w:r>
          </w:p>
          <w:p w:rsidR="00B3678D" w:rsidRPr="00227AA0" w:rsidRDefault="00B3678D" w:rsidP="00221C55">
            <w:pPr>
              <w:autoSpaceDE w:val="0"/>
              <w:autoSpaceDN w:val="0"/>
              <w:adjustRightInd w:val="0"/>
              <w:rPr>
                <w:rFonts w:ascii="Arial" w:eastAsia="Calibri" w:hAnsi="Arial" w:cs="Arial"/>
                <w:color w:val="000000"/>
                <w:sz w:val="20"/>
              </w:rPr>
            </w:pPr>
          </w:p>
        </w:tc>
      </w:tr>
      <w:tr w:rsidR="00B3678D" w:rsidRPr="00227AA0" w:rsidTr="00221C55">
        <w:trPr>
          <w:trHeight w:val="552"/>
        </w:trPr>
        <w:tc>
          <w:tcPr>
            <w:tcW w:w="8882" w:type="dxa"/>
          </w:tcPr>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PACEMAKER TESTING indicated by remote monitoring involving electrocardiography, measurement of rate, width and amplitude of stimulus including reprogramming when required, not being a service associated with a service to which item 11718 or 11721 applies.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Fee: $66.86 </w:t>
            </w:r>
          </w:p>
          <w:p w:rsidR="00B3678D" w:rsidRPr="00227AA0" w:rsidRDefault="00B3678D" w:rsidP="00221C55">
            <w:pPr>
              <w:autoSpaceDE w:val="0"/>
              <w:autoSpaceDN w:val="0"/>
              <w:adjustRightInd w:val="0"/>
              <w:rPr>
                <w:rFonts w:ascii="Arial" w:eastAsia="Calibri" w:hAnsi="Arial" w:cs="Arial"/>
                <w:color w:val="000000"/>
                <w:sz w:val="20"/>
              </w:rPr>
            </w:pPr>
          </w:p>
        </w:tc>
      </w:tr>
      <w:tr w:rsidR="00B3678D" w:rsidRPr="00227AA0" w:rsidTr="00221C55">
        <w:trPr>
          <w:trHeight w:val="553"/>
        </w:trPr>
        <w:tc>
          <w:tcPr>
            <w:tcW w:w="8882" w:type="dxa"/>
          </w:tcPr>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DEFIBRILLATOR TESTING indicated by remote monitoring involving electrocardiography, measurement of rate, width and amplitude of stimulus including reprogramming when required, not being a service associated with a service to which item 11718 or 11721 applies. </w:t>
            </w:r>
          </w:p>
          <w:p w:rsidR="00B3678D" w:rsidRPr="00227AA0" w:rsidRDefault="00B3678D" w:rsidP="00221C55">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Fee: $94.75 </w:t>
            </w:r>
          </w:p>
        </w:tc>
      </w:tr>
    </w:tbl>
    <w:p w:rsidR="00007D9A" w:rsidRPr="00707064" w:rsidRDefault="00007D9A"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E34BDC" w:rsidRDefault="00E34BDC" w:rsidP="00E34BDC">
      <w:pPr>
        <w:rPr>
          <w:rFonts w:eastAsiaTheme="minorHAnsi"/>
          <w:lang w:eastAsia="en-US"/>
        </w:rPr>
      </w:pPr>
      <w:r>
        <w:rPr>
          <w:rFonts w:eastAsiaTheme="minorHAnsi"/>
          <w:lang w:eastAsia="en-US"/>
        </w:rPr>
        <w:t>For consumers, r</w:t>
      </w:r>
      <w:r w:rsidRPr="00B80EAC">
        <w:rPr>
          <w:rFonts w:eastAsiaTheme="minorHAnsi"/>
          <w:lang w:eastAsia="en-US"/>
        </w:rPr>
        <w:t>emote monitoring as a triage procedure</w:t>
      </w:r>
      <w:r>
        <w:rPr>
          <w:rFonts w:eastAsiaTheme="minorHAnsi"/>
          <w:lang w:eastAsia="en-US"/>
        </w:rPr>
        <w:t xml:space="preserve"> (</w:t>
      </w:r>
      <w:r w:rsidRPr="00B80EAC">
        <w:rPr>
          <w:rFonts w:eastAsiaTheme="minorHAnsi"/>
          <w:lang w:eastAsia="en-US"/>
        </w:rPr>
        <w:t>with reports to the patient where follow-up appointments are not required</w:t>
      </w:r>
      <w:r>
        <w:rPr>
          <w:rFonts w:eastAsiaTheme="minorHAnsi"/>
          <w:lang w:eastAsia="en-US"/>
        </w:rPr>
        <w:t>)</w:t>
      </w:r>
      <w:r w:rsidRPr="00B80EAC">
        <w:rPr>
          <w:rFonts w:eastAsiaTheme="minorHAnsi"/>
          <w:lang w:eastAsia="en-US"/>
        </w:rPr>
        <w:t xml:space="preserve"> could save time, money and concern</w:t>
      </w:r>
      <w:r>
        <w:rPr>
          <w:rFonts w:eastAsiaTheme="minorHAnsi"/>
          <w:lang w:eastAsia="en-US"/>
        </w:rPr>
        <w:t>. However, it is important that a</w:t>
      </w:r>
      <w:r w:rsidRPr="00B80EAC">
        <w:rPr>
          <w:rFonts w:eastAsiaTheme="minorHAnsi"/>
          <w:lang w:eastAsia="en-US"/>
        </w:rPr>
        <w:t xml:space="preserve">vailability of remote monitoring </w:t>
      </w:r>
      <w:r>
        <w:rPr>
          <w:rFonts w:eastAsiaTheme="minorHAnsi"/>
          <w:lang w:eastAsia="en-US"/>
        </w:rPr>
        <w:t xml:space="preserve">does not become </w:t>
      </w:r>
      <w:r w:rsidRPr="00B80EAC">
        <w:rPr>
          <w:rFonts w:eastAsiaTheme="minorHAnsi"/>
          <w:lang w:eastAsia="en-US"/>
        </w:rPr>
        <w:t>a barrier to people speaking with a speci</w:t>
      </w:r>
      <w:r>
        <w:rPr>
          <w:rFonts w:eastAsiaTheme="minorHAnsi"/>
          <w:lang w:eastAsia="en-US"/>
        </w:rPr>
        <w:t xml:space="preserve">alist should they have concerns or </w:t>
      </w:r>
      <w:r w:rsidRPr="00B80EAC">
        <w:rPr>
          <w:rFonts w:eastAsiaTheme="minorHAnsi"/>
          <w:lang w:eastAsia="en-US"/>
        </w:rPr>
        <w:t xml:space="preserve">prefer </w:t>
      </w:r>
      <w:r>
        <w:rPr>
          <w:rFonts w:eastAsiaTheme="minorHAnsi"/>
          <w:lang w:eastAsia="en-US"/>
        </w:rPr>
        <w:t>face-to-face interaction.</w:t>
      </w:r>
    </w:p>
    <w:p w:rsidR="00E34BDC" w:rsidRDefault="00E34BDC" w:rsidP="00E34BDC">
      <w:pPr>
        <w:rPr>
          <w:rFonts w:eastAsiaTheme="minorHAnsi"/>
          <w:lang w:eastAsia="en-US"/>
        </w:rPr>
      </w:pPr>
    </w:p>
    <w:p w:rsidR="00E34BDC" w:rsidRDefault="00E34BDC" w:rsidP="00E34BDC">
      <w:pPr>
        <w:rPr>
          <w:rFonts w:eastAsiaTheme="minorHAnsi"/>
          <w:lang w:eastAsia="en-US"/>
        </w:rPr>
      </w:pPr>
      <w:r>
        <w:rPr>
          <w:rFonts w:eastAsiaTheme="minorHAnsi"/>
          <w:lang w:eastAsia="en-US"/>
        </w:rPr>
        <w:t>In particular, patients receiving remote monitoring of a CIED may benefit from reduced need for in-office visits and associated travel time and costs.</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BC1364" w:rsidRDefault="0030509F" w:rsidP="00DD2858">
      <w:r w:rsidRPr="00B80EAC">
        <w:t xml:space="preserve">The resubmission </w:t>
      </w:r>
      <w:r w:rsidR="008808B7">
        <w:t>did</w:t>
      </w:r>
      <w:r w:rsidR="008808B7" w:rsidRPr="00B80EAC">
        <w:t xml:space="preserve"> </w:t>
      </w:r>
      <w:r w:rsidRPr="00B80EAC">
        <w:t>not propose any change</w:t>
      </w:r>
      <w:r>
        <w:t xml:space="preserve"> to the intervention’s place in clinical management</w:t>
      </w:r>
      <w:r w:rsidRPr="00B80EAC">
        <w:t xml:space="preserve">. </w:t>
      </w:r>
    </w:p>
    <w:p w:rsidR="00397232" w:rsidRPr="006353F1" w:rsidRDefault="00397232" w:rsidP="00DD2858"/>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30509F" w:rsidRDefault="0030509F" w:rsidP="0030509F">
      <w:r>
        <w:t>T</w:t>
      </w:r>
      <w:r w:rsidRPr="00713DE6">
        <w:t>he</w:t>
      </w:r>
      <w:r>
        <w:t xml:space="preserve"> resubmission </w:t>
      </w:r>
      <w:r w:rsidR="008808B7">
        <w:t xml:space="preserve">did </w:t>
      </w:r>
      <w:r>
        <w:t>not propose any change to the primary</w:t>
      </w:r>
      <w:r w:rsidRPr="00713DE6">
        <w:t xml:space="preserve"> comparator </w:t>
      </w:r>
      <w:r>
        <w:t>(</w:t>
      </w:r>
      <w:r w:rsidRPr="00713DE6">
        <w:t xml:space="preserve">regular in-office </w:t>
      </w:r>
      <w:r>
        <w:t xml:space="preserve">(diagnostic) testing conducted by a technician on behalf of </w:t>
      </w:r>
      <w:r w:rsidRPr="00713DE6">
        <w:t>a cardiolo</w:t>
      </w:r>
      <w:r>
        <w:t>gist - currently MBS i</w:t>
      </w:r>
      <w:r w:rsidRPr="00713DE6">
        <w:t>tems 11718, 11721 and 11727</w:t>
      </w:r>
      <w:r>
        <w:t>)</w:t>
      </w:r>
      <w:r w:rsidRPr="00713DE6">
        <w:t>.</w:t>
      </w:r>
      <w:r w:rsidRPr="00B80EAC">
        <w:t xml:space="preserve"> </w:t>
      </w:r>
      <w:r>
        <w:t xml:space="preserve"> This is a private service conducted out-of-hospital.</w:t>
      </w:r>
      <w:r w:rsidRPr="00B80EAC">
        <w:t xml:space="preserve"> </w:t>
      </w:r>
      <w:r>
        <w:t xml:space="preserve"> The comparator remains appropriate.</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30509F" w:rsidRDefault="0030509F" w:rsidP="0030509F">
      <w:r>
        <w:t xml:space="preserve">The resubmission </w:t>
      </w:r>
      <w:r w:rsidR="008808B7">
        <w:t xml:space="preserve">did </w:t>
      </w:r>
      <w:r>
        <w:t>not change the evidence for safety of remote monitoring which was accepted by MSAC in April 2014.</w:t>
      </w:r>
    </w:p>
    <w:p w:rsidR="00BC1364" w:rsidRPr="00707064" w:rsidRDefault="00BC1364" w:rsidP="00DD2858">
      <w:pPr>
        <w:pStyle w:val="ListParagraph"/>
        <w:ind w:left="0"/>
        <w:rPr>
          <w:b/>
          <w:szCs w:val="24"/>
        </w:rPr>
      </w:pPr>
    </w:p>
    <w:p w:rsidR="00BC1364" w:rsidRPr="008D5885" w:rsidRDefault="00BC1364">
      <w:pPr>
        <w:pStyle w:val="Heading1"/>
        <w:numPr>
          <w:ilvl w:val="0"/>
          <w:numId w:val="23"/>
        </w:numPr>
        <w:ind w:hanging="720"/>
      </w:pPr>
      <w:r w:rsidRPr="008D5885">
        <w:t>Comparative effectiveness</w:t>
      </w:r>
    </w:p>
    <w:p w:rsidR="00BC1364" w:rsidRDefault="00BC1364">
      <w:pPr>
        <w:rPr>
          <w:b/>
        </w:rPr>
      </w:pPr>
    </w:p>
    <w:p w:rsidR="0030509F" w:rsidRDefault="0030509F" w:rsidP="00C80A94">
      <w:pPr>
        <w:tabs>
          <w:tab w:val="left" w:pos="720"/>
          <w:tab w:val="left" w:pos="1140"/>
        </w:tabs>
      </w:pPr>
      <w:r>
        <w:t xml:space="preserve">The resubmission </w:t>
      </w:r>
      <w:r w:rsidR="008808B7">
        <w:t xml:space="preserve">did </w:t>
      </w:r>
      <w:r>
        <w:t xml:space="preserve">provide any further evidence regarding the effectiveness of remote monitoring which was accepted by MSAC in April 2014. </w:t>
      </w:r>
    </w:p>
    <w:p w:rsidR="0030509F" w:rsidRDefault="0030509F" w:rsidP="0030509F">
      <w:pPr>
        <w:tabs>
          <w:tab w:val="left" w:pos="709"/>
        </w:tabs>
        <w:spacing w:before="240"/>
      </w:pPr>
      <w:r>
        <w:rPr>
          <w:szCs w:val="24"/>
        </w:rPr>
        <w:t xml:space="preserve">Further information on the IN-TIME study </w:t>
      </w:r>
      <w:r w:rsidR="001A55E2">
        <w:rPr>
          <w:szCs w:val="24"/>
        </w:rPr>
        <w:t>was presented</w:t>
      </w:r>
      <w:r>
        <w:t>:</w:t>
      </w:r>
    </w:p>
    <w:p w:rsidR="0030509F" w:rsidRDefault="0030509F" w:rsidP="0030509F"/>
    <w:tbl>
      <w:tblPr>
        <w:tblStyle w:val="TableGrid"/>
        <w:tblW w:w="9782" w:type="dxa"/>
        <w:tblInd w:w="-176" w:type="dxa"/>
        <w:tblLayout w:type="fixed"/>
        <w:tblLook w:val="04A0" w:firstRow="1" w:lastRow="0" w:firstColumn="1" w:lastColumn="0" w:noHBand="0" w:noVBand="1"/>
        <w:tblCaption w:val="Further information on the IN-TIME study was presented"/>
      </w:tblPr>
      <w:tblGrid>
        <w:gridCol w:w="1135"/>
        <w:gridCol w:w="1417"/>
        <w:gridCol w:w="2268"/>
        <w:gridCol w:w="2410"/>
        <w:gridCol w:w="2552"/>
      </w:tblGrid>
      <w:tr w:rsidR="0030509F" w:rsidRPr="00581B99" w:rsidTr="00A50717">
        <w:trPr>
          <w:cantSplit/>
          <w:tblHeader/>
        </w:trPr>
        <w:tc>
          <w:tcPr>
            <w:tcW w:w="1135" w:type="dxa"/>
          </w:tcPr>
          <w:p w:rsidR="0030509F" w:rsidRPr="00581B99" w:rsidRDefault="0030509F" w:rsidP="00C866C0">
            <w:pPr>
              <w:jc w:val="center"/>
              <w:rPr>
                <w:b/>
                <w:sz w:val="20"/>
              </w:rPr>
            </w:pPr>
            <w:r>
              <w:rPr>
                <w:b/>
                <w:sz w:val="20"/>
              </w:rPr>
              <w:t>Care t</w:t>
            </w:r>
            <w:r w:rsidRPr="00581B99">
              <w:rPr>
                <w:b/>
                <w:sz w:val="20"/>
              </w:rPr>
              <w:t>ype</w:t>
            </w:r>
          </w:p>
        </w:tc>
        <w:tc>
          <w:tcPr>
            <w:tcW w:w="1417" w:type="dxa"/>
          </w:tcPr>
          <w:p w:rsidR="0030509F" w:rsidRPr="00581B99" w:rsidRDefault="0030509F" w:rsidP="00C866C0">
            <w:pPr>
              <w:jc w:val="center"/>
              <w:rPr>
                <w:b/>
                <w:sz w:val="20"/>
              </w:rPr>
            </w:pPr>
            <w:r w:rsidRPr="00581B99">
              <w:rPr>
                <w:b/>
                <w:sz w:val="20"/>
              </w:rPr>
              <w:t>Comparator</w:t>
            </w:r>
          </w:p>
        </w:tc>
        <w:tc>
          <w:tcPr>
            <w:tcW w:w="2268" w:type="dxa"/>
          </w:tcPr>
          <w:p w:rsidR="0030509F" w:rsidRPr="00581B99" w:rsidRDefault="0030509F" w:rsidP="00C866C0">
            <w:pPr>
              <w:jc w:val="center"/>
              <w:rPr>
                <w:b/>
                <w:sz w:val="20"/>
              </w:rPr>
            </w:pPr>
            <w:r w:rsidRPr="00581B99">
              <w:rPr>
                <w:b/>
                <w:sz w:val="20"/>
              </w:rPr>
              <w:t>Population</w:t>
            </w:r>
          </w:p>
        </w:tc>
        <w:tc>
          <w:tcPr>
            <w:tcW w:w="2410" w:type="dxa"/>
          </w:tcPr>
          <w:p w:rsidR="0030509F" w:rsidRPr="00581B99" w:rsidRDefault="0030509F" w:rsidP="00C866C0">
            <w:pPr>
              <w:jc w:val="center"/>
              <w:rPr>
                <w:b/>
                <w:sz w:val="20"/>
              </w:rPr>
            </w:pPr>
            <w:r w:rsidRPr="00581B99">
              <w:rPr>
                <w:b/>
                <w:sz w:val="20"/>
              </w:rPr>
              <w:t xml:space="preserve">RM Daily parameters </w:t>
            </w:r>
          </w:p>
        </w:tc>
        <w:tc>
          <w:tcPr>
            <w:tcW w:w="2552" w:type="dxa"/>
          </w:tcPr>
          <w:p w:rsidR="0030509F" w:rsidRPr="00581B99" w:rsidRDefault="0030509F" w:rsidP="00C866C0">
            <w:pPr>
              <w:jc w:val="center"/>
              <w:rPr>
                <w:b/>
                <w:sz w:val="20"/>
              </w:rPr>
            </w:pPr>
            <w:r w:rsidRPr="00581B99">
              <w:rPr>
                <w:b/>
                <w:sz w:val="20"/>
              </w:rPr>
              <w:t xml:space="preserve">RM Event parameters </w:t>
            </w:r>
          </w:p>
        </w:tc>
      </w:tr>
      <w:tr w:rsidR="0030509F" w:rsidRPr="00581B99" w:rsidTr="00C866C0">
        <w:trPr>
          <w:cantSplit/>
        </w:trPr>
        <w:tc>
          <w:tcPr>
            <w:tcW w:w="1135" w:type="dxa"/>
          </w:tcPr>
          <w:p w:rsidR="0030509F" w:rsidRPr="00581B99" w:rsidRDefault="0030509F" w:rsidP="00C866C0">
            <w:pPr>
              <w:rPr>
                <w:sz w:val="20"/>
              </w:rPr>
            </w:pPr>
            <w:r w:rsidRPr="00581B99">
              <w:rPr>
                <w:sz w:val="20"/>
              </w:rPr>
              <w:t>standard in-office care plus daily RM</w:t>
            </w:r>
          </w:p>
        </w:tc>
        <w:tc>
          <w:tcPr>
            <w:tcW w:w="1417" w:type="dxa"/>
          </w:tcPr>
          <w:p w:rsidR="0030509F" w:rsidRPr="00581B99" w:rsidRDefault="0030509F" w:rsidP="00C866C0">
            <w:pPr>
              <w:rPr>
                <w:sz w:val="20"/>
              </w:rPr>
            </w:pPr>
            <w:r w:rsidRPr="00581B99">
              <w:rPr>
                <w:sz w:val="20"/>
              </w:rPr>
              <w:t xml:space="preserve">standard </w:t>
            </w:r>
          </w:p>
          <w:p w:rsidR="0030509F" w:rsidRPr="00581B99" w:rsidRDefault="0030509F" w:rsidP="00C866C0">
            <w:pPr>
              <w:rPr>
                <w:sz w:val="20"/>
              </w:rPr>
            </w:pPr>
            <w:r w:rsidRPr="00581B99">
              <w:rPr>
                <w:sz w:val="20"/>
              </w:rPr>
              <w:t>in-office care</w:t>
            </w:r>
          </w:p>
        </w:tc>
        <w:tc>
          <w:tcPr>
            <w:tcW w:w="2268" w:type="dxa"/>
          </w:tcPr>
          <w:p w:rsidR="0030509F" w:rsidRPr="00581B99" w:rsidRDefault="0030509F" w:rsidP="00C866C0">
            <w:pPr>
              <w:rPr>
                <w:sz w:val="20"/>
              </w:rPr>
            </w:pPr>
            <w:r w:rsidRPr="00581B99">
              <w:rPr>
                <w:sz w:val="20"/>
              </w:rPr>
              <w:t>- ICD/CRT-D indication</w:t>
            </w:r>
          </w:p>
          <w:p w:rsidR="0030509F" w:rsidRPr="00581B99" w:rsidRDefault="0030509F" w:rsidP="00C866C0">
            <w:pPr>
              <w:rPr>
                <w:sz w:val="20"/>
              </w:rPr>
            </w:pPr>
            <w:r w:rsidRPr="00581B99">
              <w:rPr>
                <w:sz w:val="20"/>
              </w:rPr>
              <w:t>- NYHA class II (43%) or NYHA class III (57%)</w:t>
            </w:r>
          </w:p>
          <w:p w:rsidR="0030509F" w:rsidRPr="00581B99" w:rsidRDefault="0030509F" w:rsidP="00C866C0">
            <w:pPr>
              <w:rPr>
                <w:sz w:val="20"/>
              </w:rPr>
            </w:pPr>
            <w:r w:rsidRPr="00581B99">
              <w:rPr>
                <w:sz w:val="20"/>
              </w:rPr>
              <w:t xml:space="preserve">- LVEF </w:t>
            </w:r>
            <w:r w:rsidRPr="00581B99">
              <w:rPr>
                <w:rFonts w:ascii="Cambria Math" w:hAnsi="Cambria Math" w:cs="Cambria Math"/>
                <w:sz w:val="20"/>
              </w:rPr>
              <w:t>≦</w:t>
            </w:r>
            <w:r w:rsidRPr="00581B99">
              <w:rPr>
                <w:sz w:val="20"/>
              </w:rPr>
              <w:t>35%</w:t>
            </w:r>
          </w:p>
          <w:p w:rsidR="0030509F" w:rsidRPr="00581B99" w:rsidRDefault="0030509F" w:rsidP="00C866C0">
            <w:pPr>
              <w:rPr>
                <w:sz w:val="20"/>
              </w:rPr>
            </w:pPr>
            <w:r w:rsidRPr="00581B99">
              <w:rPr>
                <w:sz w:val="20"/>
              </w:rPr>
              <w:t xml:space="preserve">- no hypertension </w:t>
            </w:r>
          </w:p>
          <w:p w:rsidR="0030509F" w:rsidRPr="00581B99" w:rsidRDefault="0030509F" w:rsidP="00C866C0">
            <w:pPr>
              <w:rPr>
                <w:sz w:val="20"/>
              </w:rPr>
            </w:pPr>
            <w:r w:rsidRPr="00581B99">
              <w:rPr>
                <w:sz w:val="20"/>
              </w:rPr>
              <w:t>- no AF</w:t>
            </w:r>
          </w:p>
          <w:p w:rsidR="0030509F" w:rsidRPr="00581B99" w:rsidRDefault="0030509F" w:rsidP="00C866C0">
            <w:pPr>
              <w:rPr>
                <w:sz w:val="20"/>
              </w:rPr>
            </w:pPr>
            <w:r w:rsidRPr="00581B99">
              <w:rPr>
                <w:sz w:val="20"/>
              </w:rPr>
              <w:t>- use of ACE inhibitors, ARBs &amp;/or beta blockers</w:t>
            </w:r>
          </w:p>
        </w:tc>
        <w:tc>
          <w:tcPr>
            <w:tcW w:w="2410" w:type="dxa"/>
          </w:tcPr>
          <w:p w:rsidR="0030509F" w:rsidRPr="00581B99" w:rsidRDefault="0030509F" w:rsidP="00C866C0">
            <w:pPr>
              <w:autoSpaceDE w:val="0"/>
              <w:autoSpaceDN w:val="0"/>
              <w:adjustRightInd w:val="0"/>
              <w:rPr>
                <w:rFonts w:eastAsiaTheme="minorEastAsia"/>
                <w:sz w:val="20"/>
                <w:u w:val="single"/>
              </w:rPr>
            </w:pPr>
            <w:r w:rsidRPr="00581B99">
              <w:rPr>
                <w:rFonts w:eastAsiaTheme="minorEastAsia"/>
                <w:sz w:val="20"/>
                <w:u w:val="single"/>
              </w:rPr>
              <w:t>Heart rhythm parameters</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mean heart rate</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mean heart rate at rest</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heart rate variability</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ventricular extra-systole</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AT &amp;/or AF burden</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xml:space="preserve">- bradycardia </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tachyarrhythmia</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pacing impedances</w:t>
            </w:r>
          </w:p>
          <w:p w:rsidR="0030509F" w:rsidRPr="00581B99" w:rsidRDefault="0030509F" w:rsidP="00C866C0">
            <w:pPr>
              <w:autoSpaceDE w:val="0"/>
              <w:autoSpaceDN w:val="0"/>
              <w:adjustRightInd w:val="0"/>
              <w:rPr>
                <w:rFonts w:eastAsiaTheme="minorEastAsia"/>
                <w:sz w:val="20"/>
              </w:rPr>
            </w:pPr>
          </w:p>
          <w:p w:rsidR="0030509F" w:rsidRPr="00581B99" w:rsidRDefault="0030509F" w:rsidP="00C866C0">
            <w:pPr>
              <w:autoSpaceDE w:val="0"/>
              <w:autoSpaceDN w:val="0"/>
              <w:adjustRightInd w:val="0"/>
              <w:rPr>
                <w:rFonts w:eastAsiaTheme="minorEastAsia"/>
                <w:sz w:val="20"/>
                <w:u w:val="single"/>
              </w:rPr>
            </w:pPr>
            <w:r w:rsidRPr="00581B99">
              <w:rPr>
                <w:rFonts w:eastAsiaTheme="minorEastAsia"/>
                <w:sz w:val="20"/>
                <w:u w:val="single"/>
              </w:rPr>
              <w:t>Heart failure parameters</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patient activity</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fluid settings</w:t>
            </w:r>
          </w:p>
          <w:p w:rsidR="0030509F" w:rsidRPr="00581B99" w:rsidRDefault="0030509F" w:rsidP="00C866C0">
            <w:pPr>
              <w:autoSpaceDE w:val="0"/>
              <w:autoSpaceDN w:val="0"/>
              <w:adjustRightInd w:val="0"/>
              <w:rPr>
                <w:rFonts w:eastAsiaTheme="minorEastAsia"/>
                <w:sz w:val="20"/>
              </w:rPr>
            </w:pPr>
          </w:p>
          <w:p w:rsidR="0030509F" w:rsidRPr="00581B99" w:rsidRDefault="0030509F" w:rsidP="00C866C0">
            <w:pPr>
              <w:autoSpaceDE w:val="0"/>
              <w:autoSpaceDN w:val="0"/>
              <w:adjustRightInd w:val="0"/>
              <w:rPr>
                <w:rFonts w:eastAsiaTheme="minorEastAsia"/>
                <w:sz w:val="20"/>
                <w:u w:val="single"/>
              </w:rPr>
            </w:pPr>
            <w:r w:rsidRPr="00581B99">
              <w:rPr>
                <w:rFonts w:eastAsiaTheme="minorEastAsia"/>
                <w:sz w:val="20"/>
                <w:u w:val="single"/>
              </w:rPr>
              <w:t>Technical parameters</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xml:space="preserve">- % biventricular pacing </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shocks per episode</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lead impedance</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low battery</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excessive charge time</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VF detection off</w:t>
            </w:r>
          </w:p>
        </w:tc>
        <w:tc>
          <w:tcPr>
            <w:tcW w:w="2552" w:type="dxa"/>
          </w:tcPr>
          <w:p w:rsidR="0030509F" w:rsidRPr="00581B99" w:rsidRDefault="0030509F" w:rsidP="00C866C0">
            <w:pPr>
              <w:autoSpaceDE w:val="0"/>
              <w:autoSpaceDN w:val="0"/>
              <w:adjustRightInd w:val="0"/>
              <w:rPr>
                <w:rFonts w:eastAsiaTheme="minorEastAsia"/>
                <w:sz w:val="20"/>
              </w:rPr>
            </w:pPr>
            <w:r w:rsidRPr="00581B99">
              <w:rPr>
                <w:rFonts w:eastAsiaTheme="minorEastAsia"/>
                <w:sz w:val="20"/>
              </w:rPr>
              <w:t>All information conveyed during daily RM plus:</w:t>
            </w:r>
          </w:p>
          <w:p w:rsidR="0030509F" w:rsidRPr="00581B99" w:rsidRDefault="0030509F" w:rsidP="00C866C0">
            <w:pPr>
              <w:autoSpaceDE w:val="0"/>
              <w:autoSpaceDN w:val="0"/>
              <w:adjustRightInd w:val="0"/>
              <w:rPr>
                <w:rFonts w:eastAsiaTheme="minorEastAsia"/>
                <w:sz w:val="20"/>
                <w:u w:val="single"/>
              </w:rPr>
            </w:pPr>
          </w:p>
          <w:p w:rsidR="0030509F" w:rsidRPr="00581B99" w:rsidRDefault="0030509F" w:rsidP="00C866C0">
            <w:pPr>
              <w:autoSpaceDE w:val="0"/>
              <w:autoSpaceDN w:val="0"/>
              <w:adjustRightInd w:val="0"/>
              <w:rPr>
                <w:rFonts w:eastAsiaTheme="minorEastAsia"/>
                <w:sz w:val="20"/>
                <w:u w:val="single"/>
              </w:rPr>
            </w:pPr>
            <w:r w:rsidRPr="00581B99">
              <w:rPr>
                <w:rFonts w:eastAsiaTheme="minorEastAsia"/>
                <w:sz w:val="20"/>
                <w:u w:val="single"/>
              </w:rPr>
              <w:t>Heart rhythm parameters</w:t>
            </w:r>
          </w:p>
          <w:p w:rsidR="0030509F" w:rsidRPr="00581B99" w:rsidRDefault="0030509F" w:rsidP="00C866C0">
            <w:pPr>
              <w:autoSpaceDE w:val="0"/>
              <w:autoSpaceDN w:val="0"/>
              <w:adjustRightInd w:val="0"/>
              <w:rPr>
                <w:rFonts w:eastAsiaTheme="minorEastAsia"/>
                <w:color w:val="231F20"/>
                <w:sz w:val="20"/>
              </w:rPr>
            </w:pPr>
            <w:r w:rsidRPr="00581B99">
              <w:rPr>
                <w:rFonts w:eastAsiaTheme="minorEastAsia"/>
                <w:color w:val="231F20"/>
                <w:sz w:val="20"/>
              </w:rPr>
              <w:t>- time &amp; duration of episode</w:t>
            </w:r>
          </w:p>
          <w:p w:rsidR="0030509F" w:rsidRPr="00581B99" w:rsidRDefault="0030509F" w:rsidP="00C866C0">
            <w:pPr>
              <w:autoSpaceDE w:val="0"/>
              <w:autoSpaceDN w:val="0"/>
              <w:adjustRightInd w:val="0"/>
              <w:rPr>
                <w:rFonts w:eastAsiaTheme="minorEastAsia"/>
                <w:color w:val="231F20"/>
                <w:sz w:val="20"/>
              </w:rPr>
            </w:pPr>
            <w:r w:rsidRPr="00581B99">
              <w:rPr>
                <w:rFonts w:eastAsiaTheme="minorEastAsia"/>
                <w:color w:val="231F20"/>
                <w:sz w:val="20"/>
              </w:rPr>
              <w:t xml:space="preserve">- initial detection zone </w:t>
            </w:r>
          </w:p>
          <w:p w:rsidR="0030509F" w:rsidRPr="00581B99" w:rsidRDefault="0030509F" w:rsidP="00C866C0">
            <w:pPr>
              <w:autoSpaceDE w:val="0"/>
              <w:autoSpaceDN w:val="0"/>
              <w:adjustRightInd w:val="0"/>
              <w:rPr>
                <w:rFonts w:eastAsiaTheme="minorEastAsia"/>
                <w:color w:val="231F20"/>
                <w:sz w:val="20"/>
              </w:rPr>
            </w:pPr>
            <w:r w:rsidRPr="00581B99">
              <w:rPr>
                <w:rFonts w:eastAsiaTheme="minorEastAsia"/>
                <w:color w:val="231F20"/>
                <w:sz w:val="20"/>
              </w:rPr>
              <w:t xml:space="preserve">- PP/RR values </w:t>
            </w:r>
          </w:p>
          <w:p w:rsidR="0030509F" w:rsidRPr="00581B99" w:rsidRDefault="0030509F" w:rsidP="00C866C0">
            <w:pPr>
              <w:autoSpaceDE w:val="0"/>
              <w:autoSpaceDN w:val="0"/>
              <w:adjustRightInd w:val="0"/>
              <w:rPr>
                <w:rFonts w:eastAsiaTheme="minorEastAsia"/>
                <w:color w:val="231F20"/>
                <w:sz w:val="20"/>
              </w:rPr>
            </w:pPr>
            <w:r w:rsidRPr="00581B99">
              <w:rPr>
                <w:rFonts w:eastAsiaTheme="minorEastAsia"/>
                <w:color w:val="231F20"/>
                <w:sz w:val="20"/>
              </w:rPr>
              <w:t xml:space="preserve">- details of delivered therapy </w:t>
            </w:r>
          </w:p>
          <w:p w:rsidR="0030509F" w:rsidRPr="00581B99" w:rsidRDefault="0030509F" w:rsidP="00C866C0">
            <w:pPr>
              <w:autoSpaceDE w:val="0"/>
              <w:autoSpaceDN w:val="0"/>
              <w:adjustRightInd w:val="0"/>
              <w:rPr>
                <w:rFonts w:eastAsiaTheme="minorEastAsia"/>
                <w:color w:val="231F20"/>
                <w:sz w:val="20"/>
              </w:rPr>
            </w:pPr>
          </w:p>
          <w:p w:rsidR="0030509F" w:rsidRPr="00581B99" w:rsidRDefault="0030509F" w:rsidP="00C866C0">
            <w:pPr>
              <w:autoSpaceDE w:val="0"/>
              <w:autoSpaceDN w:val="0"/>
              <w:adjustRightInd w:val="0"/>
              <w:rPr>
                <w:rFonts w:eastAsiaTheme="minorEastAsia"/>
                <w:sz w:val="20"/>
                <w:u w:val="single"/>
              </w:rPr>
            </w:pPr>
            <w:r w:rsidRPr="00581B99">
              <w:rPr>
                <w:rFonts w:eastAsiaTheme="minorEastAsia"/>
                <w:sz w:val="20"/>
                <w:u w:val="single"/>
              </w:rPr>
              <w:t xml:space="preserve">Technical parameters </w:t>
            </w:r>
          </w:p>
          <w:p w:rsidR="0030509F" w:rsidRPr="00581B99" w:rsidRDefault="0030509F" w:rsidP="00C866C0">
            <w:pPr>
              <w:autoSpaceDE w:val="0"/>
              <w:autoSpaceDN w:val="0"/>
              <w:adjustRightInd w:val="0"/>
              <w:rPr>
                <w:rFonts w:eastAsiaTheme="minorEastAsia"/>
                <w:sz w:val="20"/>
              </w:rPr>
            </w:pPr>
            <w:r w:rsidRPr="00581B99">
              <w:rPr>
                <w:rFonts w:eastAsiaTheme="minorEastAsia"/>
                <w:sz w:val="20"/>
              </w:rPr>
              <w:t>- RV lead</w:t>
            </w:r>
          </w:p>
          <w:p w:rsidR="0030509F" w:rsidRPr="00581B99" w:rsidRDefault="0030509F" w:rsidP="00C866C0">
            <w:pPr>
              <w:autoSpaceDE w:val="0"/>
              <w:autoSpaceDN w:val="0"/>
              <w:adjustRightInd w:val="0"/>
              <w:rPr>
                <w:rFonts w:eastAsiaTheme="minorEastAsia"/>
                <w:sz w:val="20"/>
                <w:u w:val="single"/>
              </w:rPr>
            </w:pPr>
          </w:p>
          <w:p w:rsidR="0030509F" w:rsidRPr="00581B99" w:rsidRDefault="0030509F" w:rsidP="00C866C0">
            <w:pPr>
              <w:autoSpaceDE w:val="0"/>
              <w:autoSpaceDN w:val="0"/>
              <w:adjustRightInd w:val="0"/>
              <w:rPr>
                <w:rFonts w:eastAsiaTheme="minorEastAsia"/>
                <w:sz w:val="20"/>
                <w:u w:val="single"/>
              </w:rPr>
            </w:pPr>
          </w:p>
        </w:tc>
      </w:tr>
    </w:tbl>
    <w:p w:rsidR="0030509F" w:rsidRDefault="0030509F" w:rsidP="0030509F">
      <w:pPr>
        <w:pStyle w:val="Default"/>
        <w:rPr>
          <w:rFonts w:ascii="Garamond" w:hAnsi="Garamond"/>
        </w:rPr>
      </w:pPr>
    </w:p>
    <w:p w:rsidR="0030509F" w:rsidRPr="00581B99" w:rsidRDefault="0030509F" w:rsidP="0030509F">
      <w:pPr>
        <w:pStyle w:val="Default"/>
      </w:pPr>
      <w:r w:rsidRPr="00581B99">
        <w:t xml:space="preserve">The all-cause mortality for the IN-TIME trial was 3.4% for the RM plus standard care group and 8.7% for </w:t>
      </w:r>
      <w:r>
        <w:t>standard care</w:t>
      </w:r>
      <w:r w:rsidRPr="00581B99">
        <w:t xml:space="preserve">.  The parameters for the RM plus standard care group included the annual in-office check, daily RM, event RM (responses to alerts) </w:t>
      </w:r>
      <w:r>
        <w:t xml:space="preserve">and </w:t>
      </w:r>
      <w:r w:rsidRPr="00581B99">
        <w:t xml:space="preserve">in-office unscheduled visits (responses to events).  The mortality benefit is attributed to the </w:t>
      </w:r>
      <w:r>
        <w:t>physician</w:t>
      </w:r>
      <w:r w:rsidRPr="00581B99">
        <w:t xml:space="preserve"> response to event monitoring.  Each patient in the RM plus standard care group had 0.32 extra in-office visits per year compared to the control.  It is suggested these are a response to events.  However, the daily monitoring may also have contributed.  </w:t>
      </w:r>
      <w:r>
        <w:t>In addition, these patients, because of their health status, are likely to visit their physician more regularly.</w:t>
      </w:r>
    </w:p>
    <w:p w:rsidR="0030509F" w:rsidRPr="00581B99" w:rsidRDefault="0030509F" w:rsidP="0030509F">
      <w:pPr>
        <w:pStyle w:val="Default"/>
        <w:ind w:firstLine="720"/>
      </w:pPr>
    </w:p>
    <w:p w:rsidR="004E78CA" w:rsidRDefault="0030509F" w:rsidP="004E78CA">
      <w:pPr>
        <w:pStyle w:val="Default"/>
      </w:pPr>
      <w:r>
        <w:t>The resubmission indicate</w:t>
      </w:r>
      <w:r w:rsidR="008808B7">
        <w:t>d</w:t>
      </w:r>
      <w:r>
        <w:t xml:space="preserve"> that </w:t>
      </w:r>
      <w:r w:rsidRPr="00581B99">
        <w:t>for this sub-group such intensified monitoring</w:t>
      </w:r>
      <w:r>
        <w:t xml:space="preserve"> (daily) is appropriate and </w:t>
      </w:r>
      <w:r w:rsidRPr="00581B99">
        <w:t xml:space="preserve">the mortality benefit may accrue for </w:t>
      </w:r>
      <w:r>
        <w:t>a similar</w:t>
      </w:r>
      <w:r w:rsidRPr="00581B99">
        <w:t xml:space="preserve"> sub-</w:t>
      </w:r>
      <w:r>
        <w:t>group</w:t>
      </w:r>
      <w:r w:rsidRPr="00581B99">
        <w:t xml:space="preserve"> </w:t>
      </w:r>
      <w:r>
        <w:t>in</w:t>
      </w:r>
      <w:r w:rsidRPr="00581B99">
        <w:t xml:space="preserve"> Application 1197.  </w:t>
      </w:r>
      <w:r>
        <w:t>However, the resubmission</w:t>
      </w:r>
      <w:r w:rsidR="008808B7">
        <w:t xml:space="preserve"> </w:t>
      </w:r>
      <w:r>
        <w:t>also note</w:t>
      </w:r>
      <w:r w:rsidR="008808B7">
        <w:t>d</w:t>
      </w:r>
      <w:r>
        <w:t xml:space="preserve"> that this approach to </w:t>
      </w:r>
      <w:r w:rsidRPr="00581B99">
        <w:t xml:space="preserve">monitoring </w:t>
      </w:r>
      <w:r>
        <w:t xml:space="preserve">in the IN-TIME trial </w:t>
      </w:r>
      <w:r w:rsidRPr="00581B99">
        <w:t xml:space="preserve">is different to </w:t>
      </w:r>
      <w:r>
        <w:t>the MBS items proposed under this application.</w:t>
      </w:r>
    </w:p>
    <w:p w:rsidR="004E78CA" w:rsidRDefault="004E78CA" w:rsidP="004E78CA">
      <w:pPr>
        <w:pStyle w:val="Default"/>
      </w:pPr>
    </w:p>
    <w:p w:rsidR="00BC1364" w:rsidRDefault="004E78CA" w:rsidP="004E78CA">
      <w:pPr>
        <w:pStyle w:val="Heading1"/>
        <w:numPr>
          <w:ilvl w:val="0"/>
          <w:numId w:val="23"/>
        </w:numPr>
        <w:ind w:hanging="720"/>
      </w:pPr>
      <w:r w:rsidRPr="008D5885">
        <w:t xml:space="preserve"> </w:t>
      </w:r>
      <w:r w:rsidR="00BC1364" w:rsidRPr="008D5885">
        <w:t>Economic evaluation</w:t>
      </w:r>
    </w:p>
    <w:p w:rsidR="00BC1364" w:rsidRDefault="00BC1364">
      <w:pPr>
        <w:rPr>
          <w:b/>
          <w:szCs w:val="24"/>
        </w:rPr>
      </w:pPr>
    </w:p>
    <w:p w:rsidR="0030509F" w:rsidRDefault="0030509F" w:rsidP="00C80A94">
      <w:pPr>
        <w:tabs>
          <w:tab w:val="left" w:pos="720"/>
        </w:tabs>
        <w:rPr>
          <w:szCs w:val="24"/>
        </w:rPr>
      </w:pPr>
      <w:r>
        <w:rPr>
          <w:szCs w:val="24"/>
        </w:rPr>
        <w:t>The resubmission provide</w:t>
      </w:r>
      <w:r w:rsidR="008808B7">
        <w:rPr>
          <w:szCs w:val="24"/>
        </w:rPr>
        <w:t>d</w:t>
      </w:r>
      <w:r>
        <w:rPr>
          <w:szCs w:val="24"/>
        </w:rPr>
        <w:t xml:space="preserve"> a simple </w:t>
      </w:r>
      <w:r w:rsidRPr="00F165F5">
        <w:rPr>
          <w:szCs w:val="24"/>
        </w:rPr>
        <w:t xml:space="preserve">cost-minimisation </w:t>
      </w:r>
      <w:r>
        <w:rPr>
          <w:szCs w:val="24"/>
        </w:rPr>
        <w:t xml:space="preserve">analysis which </w:t>
      </w:r>
      <w:r w:rsidR="008808B7">
        <w:rPr>
          <w:szCs w:val="24"/>
        </w:rPr>
        <w:t>was</w:t>
      </w:r>
      <w:r>
        <w:rPr>
          <w:szCs w:val="24"/>
        </w:rPr>
        <w:t xml:space="preserve"> updated to include the cost of the remote monitoring device ($3,000) and enhanced battery longevity with remote monitoring. The resubmission </w:t>
      </w:r>
      <w:r w:rsidR="00C859AA">
        <w:rPr>
          <w:szCs w:val="24"/>
        </w:rPr>
        <w:t xml:space="preserve">did </w:t>
      </w:r>
      <w:r>
        <w:rPr>
          <w:szCs w:val="24"/>
        </w:rPr>
        <w:t>not provide cost off-sets such as travel time.</w:t>
      </w:r>
    </w:p>
    <w:p w:rsidR="0030509F" w:rsidRDefault="0030509F" w:rsidP="0030509F">
      <w:pPr>
        <w:tabs>
          <w:tab w:val="left" w:pos="720"/>
        </w:tabs>
        <w:spacing w:before="120"/>
        <w:rPr>
          <w:szCs w:val="24"/>
        </w:rPr>
      </w:pPr>
      <w:r w:rsidRPr="00B80EAC">
        <w:rPr>
          <w:szCs w:val="24"/>
        </w:rPr>
        <w:t>The Applicant estimate</w:t>
      </w:r>
      <w:r w:rsidR="00C859AA">
        <w:rPr>
          <w:szCs w:val="24"/>
        </w:rPr>
        <w:t>d</w:t>
      </w:r>
      <w:r w:rsidRPr="00B80EAC">
        <w:rPr>
          <w:szCs w:val="24"/>
        </w:rPr>
        <w:t xml:space="preserve"> the total cost of </w:t>
      </w:r>
      <w:r>
        <w:rPr>
          <w:szCs w:val="24"/>
        </w:rPr>
        <w:t>remote monitoring</w:t>
      </w:r>
      <w:r w:rsidRPr="00B80EAC">
        <w:rPr>
          <w:szCs w:val="24"/>
        </w:rPr>
        <w:t xml:space="preserve"> for new patients with ICD/CRT</w:t>
      </w:r>
      <w:r>
        <w:rPr>
          <w:szCs w:val="24"/>
        </w:rPr>
        <w:noBreakHyphen/>
      </w:r>
      <w:r w:rsidRPr="00B80EAC">
        <w:rPr>
          <w:szCs w:val="24"/>
        </w:rPr>
        <w:t>D indications to be $8,611 per patient per annum.  This include</w:t>
      </w:r>
      <w:r w:rsidR="00C859AA">
        <w:rPr>
          <w:szCs w:val="24"/>
        </w:rPr>
        <w:t>d the</w:t>
      </w:r>
      <w:r w:rsidRPr="00B80EAC">
        <w:rPr>
          <w:szCs w:val="24"/>
        </w:rPr>
        <w:t xml:space="preserve"> cost of the device and transmitter and </w:t>
      </w:r>
      <w:r>
        <w:rPr>
          <w:szCs w:val="24"/>
        </w:rPr>
        <w:t>result</w:t>
      </w:r>
      <w:r w:rsidR="001A55E2">
        <w:rPr>
          <w:szCs w:val="24"/>
        </w:rPr>
        <w:t>ed</w:t>
      </w:r>
      <w:r>
        <w:rPr>
          <w:szCs w:val="24"/>
        </w:rPr>
        <w:t xml:space="preserve"> in </w:t>
      </w:r>
      <w:r w:rsidRPr="00B80EAC">
        <w:rPr>
          <w:szCs w:val="24"/>
        </w:rPr>
        <w:t>an incremental save of $3</w:t>
      </w:r>
      <w:r w:rsidR="008B70C8">
        <w:rPr>
          <w:szCs w:val="24"/>
        </w:rPr>
        <w:t>4</w:t>
      </w:r>
      <w:r w:rsidRPr="00B80EAC">
        <w:rPr>
          <w:szCs w:val="24"/>
        </w:rPr>
        <w:t xml:space="preserve">9 per patient per annum compared to standard care.  </w:t>
      </w:r>
    </w:p>
    <w:p w:rsidR="0030509F" w:rsidRDefault="0030509F" w:rsidP="0030509F">
      <w:pPr>
        <w:tabs>
          <w:tab w:val="left" w:pos="720"/>
        </w:tabs>
        <w:spacing w:before="120"/>
        <w:rPr>
          <w:szCs w:val="24"/>
        </w:rPr>
      </w:pPr>
      <w:r>
        <w:rPr>
          <w:szCs w:val="24"/>
        </w:rPr>
        <w:lastRenderedPageBreak/>
        <w:t>The resubmission indicate</w:t>
      </w:r>
      <w:r w:rsidR="00C859AA">
        <w:rPr>
          <w:szCs w:val="24"/>
        </w:rPr>
        <w:t>d</w:t>
      </w:r>
      <w:r>
        <w:rPr>
          <w:szCs w:val="24"/>
        </w:rPr>
        <w:t xml:space="preserve"> that the ongoing costs of remote monitoring is cost saving ($92.11) compared with traditional care, and that remote monitoring of ICD’s remains cost saving once g</w:t>
      </w:r>
      <w:r w:rsidRPr="00A45014">
        <w:rPr>
          <w:szCs w:val="24"/>
        </w:rPr>
        <w:t>enerator replacement cost (incorporating transmitter costs and difference in battery life)</w:t>
      </w:r>
      <w:r>
        <w:rPr>
          <w:szCs w:val="24"/>
        </w:rPr>
        <w:t xml:space="preserve"> is included.</w:t>
      </w:r>
    </w:p>
    <w:p w:rsidR="00BC1364" w:rsidRPr="0075468E" w:rsidRDefault="00BC1364" w:rsidP="00DD2858">
      <w:pPr>
        <w:rPr>
          <w:szCs w:val="24"/>
        </w:rPr>
      </w:pPr>
    </w:p>
    <w:p w:rsidR="00BC1364" w:rsidRDefault="00BC1364">
      <w:pPr>
        <w:pStyle w:val="Heading1"/>
        <w:numPr>
          <w:ilvl w:val="0"/>
          <w:numId w:val="23"/>
        </w:numPr>
        <w:ind w:hanging="720"/>
      </w:pPr>
      <w:r w:rsidRPr="008D5885">
        <w:t>Financial/budgetary impacts</w:t>
      </w:r>
    </w:p>
    <w:p w:rsidR="00BC1364" w:rsidRDefault="00BC1364">
      <w:pPr>
        <w:pStyle w:val="Default"/>
      </w:pPr>
    </w:p>
    <w:p w:rsidR="00B3678D" w:rsidRPr="00007D9A" w:rsidRDefault="0030509F" w:rsidP="00B3678D">
      <w:pPr>
        <w:tabs>
          <w:tab w:val="num" w:pos="426"/>
        </w:tabs>
      </w:pPr>
      <w:r>
        <w:rPr>
          <w:szCs w:val="24"/>
        </w:rPr>
        <w:t xml:space="preserve">The resubmission </w:t>
      </w:r>
      <w:r w:rsidR="001A55E2">
        <w:rPr>
          <w:szCs w:val="24"/>
        </w:rPr>
        <w:t xml:space="preserve">did </w:t>
      </w:r>
      <w:r>
        <w:rPr>
          <w:szCs w:val="24"/>
        </w:rPr>
        <w:t xml:space="preserve">not specifically propose any change to the financial or budget impacts. </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30509F" w:rsidRDefault="0030509F" w:rsidP="0030509F"/>
    <w:p w:rsidR="0030509F" w:rsidRDefault="0030509F" w:rsidP="0030509F">
      <w:r>
        <w:t xml:space="preserve">ESC noted that the additional information on the IN-TIME study indicated that mortality benefits could be reasonably attributed to intensified therapy rather than remote monitoring alone. </w:t>
      </w:r>
    </w:p>
    <w:p w:rsidR="0030509F" w:rsidRDefault="0030509F" w:rsidP="0030509F"/>
    <w:p w:rsidR="0030509F" w:rsidRPr="00E23DBF" w:rsidRDefault="0030509F" w:rsidP="0030509F">
      <w:r>
        <w:t xml:space="preserve">ESC noted that the requested information regarding the potential for cost offsets due to patient travel savings was not provided. </w:t>
      </w:r>
      <w:r w:rsidR="001A55E2">
        <w:t xml:space="preserve"> </w:t>
      </w:r>
      <w:r>
        <w:t>ESC considered that it may be unrealistic to expect travel savings due to remote monitoring to result in commensurate savings to state based patient assisted travel programs.</w:t>
      </w:r>
    </w:p>
    <w:p w:rsidR="0030509F" w:rsidRDefault="0030509F" w:rsidP="0030509F"/>
    <w:p w:rsidR="0030509F" w:rsidRDefault="0030509F" w:rsidP="0030509F">
      <w:r>
        <w:t xml:space="preserve">ESC noted that the proposed cost savings were marginal, and that inclusion of potentially increased consultations could harm the claim of cost savings, and that it would be very easy to move into a state of increased cost. </w:t>
      </w:r>
    </w:p>
    <w:p w:rsidR="0030509F" w:rsidRDefault="0030509F" w:rsidP="0030509F"/>
    <w:p w:rsidR="0030509F" w:rsidRDefault="0030509F" w:rsidP="0030509F">
      <w:r>
        <w:t xml:space="preserve">ESC noted data indicates </w:t>
      </w:r>
      <w:r w:rsidR="001A55E2">
        <w:t xml:space="preserve">only </w:t>
      </w:r>
      <w:r>
        <w:t xml:space="preserve">70% of </w:t>
      </w:r>
      <w:proofErr w:type="gramStart"/>
      <w:r>
        <w:t>patients</w:t>
      </w:r>
      <w:proofErr w:type="gramEnd"/>
      <w:r>
        <w:t xml:space="preserve"> follow-up with a cardiologist once per year.</w:t>
      </w:r>
    </w:p>
    <w:p w:rsidR="0030509F" w:rsidRDefault="0030509F" w:rsidP="0030509F"/>
    <w:p w:rsidR="001A55E2" w:rsidRDefault="0030509F" w:rsidP="0030509F">
      <w:r>
        <w:t>ESC considered that the proposed fees are not necessarily reflective of the considerably lower effort required to deliver the remote monitoring service compared with face-to-face care.</w:t>
      </w:r>
      <w:r w:rsidR="001A55E2">
        <w:t xml:space="preserve"> </w:t>
      </w:r>
    </w:p>
    <w:p w:rsidR="001A55E2" w:rsidRDefault="001A55E2" w:rsidP="0030509F"/>
    <w:p w:rsidR="0030509F" w:rsidRDefault="0030509F" w:rsidP="0030509F">
      <w:r>
        <w:t>ESC also considered that bundling the services may reduce the incentive to provide additional services where necessary.</w:t>
      </w:r>
    </w:p>
    <w:p w:rsidR="001A55E2" w:rsidRDefault="001A55E2"/>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4233D5" w:rsidRDefault="004233D5" w:rsidP="00DD2858">
      <w:pPr>
        <w:rPr>
          <w:szCs w:val="24"/>
        </w:rPr>
      </w:pPr>
      <w:proofErr w:type="gramStart"/>
      <w:r w:rsidRPr="004233D5">
        <w:rPr>
          <w:szCs w:val="24"/>
        </w:rP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DA438A" w:rsidRPr="0056018B" w:rsidRDefault="0083339F" w:rsidP="00DA438A">
      <w:pPr>
        <w:rPr>
          <w:szCs w:val="24"/>
        </w:rPr>
      </w:pPr>
      <w:r w:rsidRPr="0056018B">
        <w:rPr>
          <w:szCs w:val="24"/>
        </w:rPr>
        <w:t>BIOTRONIK Australia would like to thank MSAC for evaluating the remote monitoring of Cardiac Implantable E</w:t>
      </w:r>
      <w:bookmarkStart w:id="0" w:name="_GoBack"/>
      <w:bookmarkEnd w:id="0"/>
      <w:r w:rsidRPr="0056018B">
        <w:rPr>
          <w:szCs w:val="24"/>
        </w:rPr>
        <w:t xml:space="preserve">lectronic Devices and recommending public funding for those services. </w:t>
      </w:r>
      <w:r w:rsidRPr="0056018B">
        <w:rPr>
          <w:rFonts w:eastAsia="Calibri"/>
          <w:szCs w:val="24"/>
        </w:rPr>
        <w:t xml:space="preserve">We would also like to thank </w:t>
      </w:r>
      <w:r w:rsidRPr="0056018B">
        <w:rPr>
          <w:szCs w:val="24"/>
        </w:rPr>
        <w:t>the Cardiac Society of Australia and New Zealand (CSANZ)</w:t>
      </w:r>
      <w:r w:rsidRPr="0056018B">
        <w:rPr>
          <w:rFonts w:eastAsia="Calibri"/>
          <w:szCs w:val="24"/>
        </w:rPr>
        <w:t xml:space="preserve">, the industry and the various consumer groups who have provided valuable input and support for this application. We look forward to the publication of item codes that will provide suitable incentives for clinicians to deliver Australian patients the benefits of remote monitoring. </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0"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A5" w:rsidRDefault="00C764A5" w:rsidP="00065623">
      <w:r>
        <w:separator/>
      </w:r>
    </w:p>
  </w:endnote>
  <w:endnote w:type="continuationSeparator" w:id="0">
    <w:p w:rsidR="00C764A5" w:rsidRDefault="00C764A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9C" w:rsidRDefault="007C4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56018B">
          <w:rPr>
            <w:noProof/>
          </w:rPr>
          <w:t>6</w:t>
        </w:r>
        <w:r>
          <w:rPr>
            <w:noProof/>
          </w:rPr>
          <w:fldChar w:fldCharType="end"/>
        </w:r>
      </w:p>
    </w:sdtContent>
  </w:sdt>
  <w:p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9C" w:rsidRDefault="007C4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A5" w:rsidRDefault="00C764A5" w:rsidP="00065623">
      <w:r>
        <w:separator/>
      </w:r>
    </w:p>
  </w:footnote>
  <w:footnote w:type="continuationSeparator" w:id="0">
    <w:p w:rsidR="00C764A5" w:rsidRDefault="00C764A5"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9C" w:rsidRDefault="007C4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9C" w:rsidRDefault="007C4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9C" w:rsidRDefault="007C4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13"/>
    <w:multiLevelType w:val="hybridMultilevel"/>
    <w:tmpl w:val="E0500FFE"/>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A115D1"/>
    <w:multiLevelType w:val="hybridMultilevel"/>
    <w:tmpl w:val="38547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5494750"/>
    <w:multiLevelType w:val="hybridMultilevel"/>
    <w:tmpl w:val="34F2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15"/>
  </w:num>
  <w:num w:numId="5">
    <w:abstractNumId w:val="9"/>
  </w:num>
  <w:num w:numId="6">
    <w:abstractNumId w:val="14"/>
  </w:num>
  <w:num w:numId="7">
    <w:abstractNumId w:val="19"/>
  </w:num>
  <w:num w:numId="8">
    <w:abstractNumId w:val="10"/>
  </w:num>
  <w:num w:numId="9">
    <w:abstractNumId w:val="26"/>
  </w:num>
  <w:num w:numId="10">
    <w:abstractNumId w:val="1"/>
  </w:num>
  <w:num w:numId="11">
    <w:abstractNumId w:val="18"/>
  </w:num>
  <w:num w:numId="12">
    <w:abstractNumId w:val="20"/>
  </w:num>
  <w:num w:numId="13">
    <w:abstractNumId w:val="5"/>
  </w:num>
  <w:num w:numId="14">
    <w:abstractNumId w:val="24"/>
  </w:num>
  <w:num w:numId="15">
    <w:abstractNumId w:val="17"/>
  </w:num>
  <w:num w:numId="16">
    <w:abstractNumId w:val="21"/>
  </w:num>
  <w:num w:numId="17">
    <w:abstractNumId w:val="11"/>
  </w:num>
  <w:num w:numId="18">
    <w:abstractNumId w:val="12"/>
  </w:num>
  <w:num w:numId="19">
    <w:abstractNumId w:val="23"/>
  </w:num>
  <w:num w:numId="20">
    <w:abstractNumId w:val="22"/>
  </w:num>
  <w:num w:numId="21">
    <w:abstractNumId w:val="4"/>
  </w:num>
  <w:num w:numId="22">
    <w:abstractNumId w:val="8"/>
  </w:num>
  <w:num w:numId="23">
    <w:abstractNumId w:val="3"/>
  </w:num>
  <w:num w:numId="24">
    <w:abstractNumId w:val="7"/>
  </w:num>
  <w:num w:numId="25">
    <w:abstractNumId w:val="16"/>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5EC0"/>
    <w:rsid w:val="00007D9A"/>
    <w:rsid w:val="000104E5"/>
    <w:rsid w:val="00011A36"/>
    <w:rsid w:val="00047606"/>
    <w:rsid w:val="00053B66"/>
    <w:rsid w:val="00065623"/>
    <w:rsid w:val="000756B9"/>
    <w:rsid w:val="000902BB"/>
    <w:rsid w:val="00096B67"/>
    <w:rsid w:val="00096D64"/>
    <w:rsid w:val="00096DAF"/>
    <w:rsid w:val="000C2F47"/>
    <w:rsid w:val="000D6C00"/>
    <w:rsid w:val="000E2322"/>
    <w:rsid w:val="000E4E04"/>
    <w:rsid w:val="000F14B4"/>
    <w:rsid w:val="000F75DF"/>
    <w:rsid w:val="001328FA"/>
    <w:rsid w:val="00147AAF"/>
    <w:rsid w:val="001508C4"/>
    <w:rsid w:val="001552C0"/>
    <w:rsid w:val="001640B1"/>
    <w:rsid w:val="0018435E"/>
    <w:rsid w:val="001A55E2"/>
    <w:rsid w:val="002041A1"/>
    <w:rsid w:val="002054F0"/>
    <w:rsid w:val="00230D6B"/>
    <w:rsid w:val="00232068"/>
    <w:rsid w:val="002330F2"/>
    <w:rsid w:val="00243D9E"/>
    <w:rsid w:val="00247B45"/>
    <w:rsid w:val="00253B66"/>
    <w:rsid w:val="00261DF1"/>
    <w:rsid w:val="00271F18"/>
    <w:rsid w:val="00282779"/>
    <w:rsid w:val="0028334D"/>
    <w:rsid w:val="00292C2B"/>
    <w:rsid w:val="002B7FFA"/>
    <w:rsid w:val="002C2BCF"/>
    <w:rsid w:val="002C72F7"/>
    <w:rsid w:val="002F279D"/>
    <w:rsid w:val="002F43B8"/>
    <w:rsid w:val="0030509F"/>
    <w:rsid w:val="0034554D"/>
    <w:rsid w:val="00345E75"/>
    <w:rsid w:val="00352224"/>
    <w:rsid w:val="0035776D"/>
    <w:rsid w:val="003671E6"/>
    <w:rsid w:val="00384272"/>
    <w:rsid w:val="00386D67"/>
    <w:rsid w:val="003945B8"/>
    <w:rsid w:val="00397232"/>
    <w:rsid w:val="003C5B45"/>
    <w:rsid w:val="003D1A71"/>
    <w:rsid w:val="003D7F29"/>
    <w:rsid w:val="00405A6B"/>
    <w:rsid w:val="00407B1F"/>
    <w:rsid w:val="00414C57"/>
    <w:rsid w:val="0041758C"/>
    <w:rsid w:val="004201A7"/>
    <w:rsid w:val="004233D5"/>
    <w:rsid w:val="004539DE"/>
    <w:rsid w:val="00462406"/>
    <w:rsid w:val="004A2CF1"/>
    <w:rsid w:val="004C3035"/>
    <w:rsid w:val="004C307F"/>
    <w:rsid w:val="004E4BA8"/>
    <w:rsid w:val="004E78CA"/>
    <w:rsid w:val="004F55F6"/>
    <w:rsid w:val="004F7B7C"/>
    <w:rsid w:val="0052243D"/>
    <w:rsid w:val="00532435"/>
    <w:rsid w:val="00546062"/>
    <w:rsid w:val="005478CB"/>
    <w:rsid w:val="00550354"/>
    <w:rsid w:val="00552894"/>
    <w:rsid w:val="0056018B"/>
    <w:rsid w:val="00571236"/>
    <w:rsid w:val="005953A1"/>
    <w:rsid w:val="005C0799"/>
    <w:rsid w:val="005D0332"/>
    <w:rsid w:val="005D0D8C"/>
    <w:rsid w:val="005F49D4"/>
    <w:rsid w:val="00606BA0"/>
    <w:rsid w:val="006353F1"/>
    <w:rsid w:val="006A0D97"/>
    <w:rsid w:val="006A53A3"/>
    <w:rsid w:val="006C0A91"/>
    <w:rsid w:val="007054BB"/>
    <w:rsid w:val="00707064"/>
    <w:rsid w:val="00730683"/>
    <w:rsid w:val="0075261F"/>
    <w:rsid w:val="0075468E"/>
    <w:rsid w:val="007665D8"/>
    <w:rsid w:val="00766E36"/>
    <w:rsid w:val="007765F4"/>
    <w:rsid w:val="00776633"/>
    <w:rsid w:val="00784D53"/>
    <w:rsid w:val="00797797"/>
    <w:rsid w:val="007A63C9"/>
    <w:rsid w:val="007B32D1"/>
    <w:rsid w:val="007B7095"/>
    <w:rsid w:val="007C4C9C"/>
    <w:rsid w:val="007D24E1"/>
    <w:rsid w:val="007E0A80"/>
    <w:rsid w:val="007F42DA"/>
    <w:rsid w:val="007F4CE9"/>
    <w:rsid w:val="007F4E20"/>
    <w:rsid w:val="0080517F"/>
    <w:rsid w:val="00822C7E"/>
    <w:rsid w:val="00831141"/>
    <w:rsid w:val="0083339F"/>
    <w:rsid w:val="00847060"/>
    <w:rsid w:val="00856A33"/>
    <w:rsid w:val="008759A1"/>
    <w:rsid w:val="008808B7"/>
    <w:rsid w:val="00892620"/>
    <w:rsid w:val="008B70C8"/>
    <w:rsid w:val="008C7D37"/>
    <w:rsid w:val="008D5885"/>
    <w:rsid w:val="008F4B78"/>
    <w:rsid w:val="00905153"/>
    <w:rsid w:val="00923FA2"/>
    <w:rsid w:val="0096060D"/>
    <w:rsid w:val="00974A50"/>
    <w:rsid w:val="0097585A"/>
    <w:rsid w:val="009924B0"/>
    <w:rsid w:val="009942C9"/>
    <w:rsid w:val="009B35C4"/>
    <w:rsid w:val="009C630A"/>
    <w:rsid w:val="009E0D98"/>
    <w:rsid w:val="00A068A1"/>
    <w:rsid w:val="00A1207D"/>
    <w:rsid w:val="00A12FD8"/>
    <w:rsid w:val="00A218C9"/>
    <w:rsid w:val="00A346FC"/>
    <w:rsid w:val="00A50717"/>
    <w:rsid w:val="00A84F93"/>
    <w:rsid w:val="00AB1AC5"/>
    <w:rsid w:val="00AB3BFC"/>
    <w:rsid w:val="00AC4F2E"/>
    <w:rsid w:val="00AD0C37"/>
    <w:rsid w:val="00AD385F"/>
    <w:rsid w:val="00AE6E2A"/>
    <w:rsid w:val="00B31E9C"/>
    <w:rsid w:val="00B3678D"/>
    <w:rsid w:val="00B51C6D"/>
    <w:rsid w:val="00B86D64"/>
    <w:rsid w:val="00BA4AC5"/>
    <w:rsid w:val="00BC1364"/>
    <w:rsid w:val="00BC7DE9"/>
    <w:rsid w:val="00BF479B"/>
    <w:rsid w:val="00C02577"/>
    <w:rsid w:val="00C20BEE"/>
    <w:rsid w:val="00C32D14"/>
    <w:rsid w:val="00C67DD2"/>
    <w:rsid w:val="00C764A5"/>
    <w:rsid w:val="00C76F5C"/>
    <w:rsid w:val="00C80A94"/>
    <w:rsid w:val="00C859AA"/>
    <w:rsid w:val="00C96BAD"/>
    <w:rsid w:val="00CA6944"/>
    <w:rsid w:val="00CB0F8E"/>
    <w:rsid w:val="00CB7E7D"/>
    <w:rsid w:val="00CC2911"/>
    <w:rsid w:val="00CC6F45"/>
    <w:rsid w:val="00CD6CF0"/>
    <w:rsid w:val="00CF0C6D"/>
    <w:rsid w:val="00CF7307"/>
    <w:rsid w:val="00CF7C68"/>
    <w:rsid w:val="00D0062E"/>
    <w:rsid w:val="00D124FA"/>
    <w:rsid w:val="00D220BE"/>
    <w:rsid w:val="00D340DE"/>
    <w:rsid w:val="00D55723"/>
    <w:rsid w:val="00D62FAD"/>
    <w:rsid w:val="00D70450"/>
    <w:rsid w:val="00D83BFD"/>
    <w:rsid w:val="00D90A38"/>
    <w:rsid w:val="00DA0515"/>
    <w:rsid w:val="00DA171E"/>
    <w:rsid w:val="00DA438A"/>
    <w:rsid w:val="00DA56AA"/>
    <w:rsid w:val="00DB5833"/>
    <w:rsid w:val="00DD2858"/>
    <w:rsid w:val="00E03E33"/>
    <w:rsid w:val="00E34BDC"/>
    <w:rsid w:val="00E3642A"/>
    <w:rsid w:val="00E415C4"/>
    <w:rsid w:val="00E50016"/>
    <w:rsid w:val="00E50EAA"/>
    <w:rsid w:val="00E51855"/>
    <w:rsid w:val="00E656D6"/>
    <w:rsid w:val="00E977EE"/>
    <w:rsid w:val="00EA67A2"/>
    <w:rsid w:val="00EC4F98"/>
    <w:rsid w:val="00F12F02"/>
    <w:rsid w:val="00F35134"/>
    <w:rsid w:val="00F41812"/>
    <w:rsid w:val="00F73333"/>
    <w:rsid w:val="00F95D8F"/>
    <w:rsid w:val="00FB350A"/>
    <w:rsid w:val="00FB78E2"/>
    <w:rsid w:val="00FE6F2C"/>
    <w:rsid w:val="00FE731D"/>
    <w:rsid w:val="00FE7FEC"/>
    <w:rsid w:val="00FF0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30509F"/>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0509F"/>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30509F"/>
    <w:rPr>
      <w:rFonts w:ascii="Arial" w:eastAsia="Times New Roman" w:hAnsi="Arial" w:cs="Arial"/>
      <w:color w:val="3366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30509F"/>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0509F"/>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30509F"/>
    <w:rPr>
      <w:rFonts w:ascii="Arial" w:eastAsia="Times New Roman" w:hAnsi="Arial" w:cs="Arial"/>
      <w:color w:val="33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2209</Words>
  <Characters>12593</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Purpose of application and links to other applications</vt:lpstr>
      <vt:lpstr>MSAC’s advice to the Minister</vt:lpstr>
      <vt:lpstr>Summary of consideration and rationale for MSAC’s advice </vt:lpstr>
      <vt:lpstr>Background</vt:lpstr>
      <vt:lpstr>Prerequisites to implementation of any funding advice</vt:lpstr>
      <vt:lpstr>Proposal for public funding</vt:lpstr>
      <vt:lpstr>Summary of Public Consultation Feedback/Consumer Issues</vt:lpstr>
      <vt:lpstr>Proposed intervention’s place in clinical management</vt:lpstr>
      <vt:lpstr>Comparator </vt:lpstr>
      <vt:lpstr>Comparative safety</vt:lpstr>
      <vt:lpstr>Comparative effectiveness</vt:lpstr>
      <vt:lpstr>Economic evaluation</vt:lpstr>
      <vt:lpstr>Financial/budgetary impacts</vt:lpstr>
      <vt:lpstr>Key issues from ESC for MSAC</vt:lpstr>
      <vt:lpstr>Other significant factors</vt:lpstr>
      <vt:lpstr>Applicant’s comments on MSAC’s Public Summary Document</vt:lpstr>
      <vt:lpstr>Further information on MSAC</vt:lpstr>
    </vt:vector>
  </TitlesOfParts>
  <Company>Dept Health And Ageing</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3</cp:revision>
  <cp:lastPrinted>2014-01-23T05:11:00Z</cp:lastPrinted>
  <dcterms:created xsi:type="dcterms:W3CDTF">2015-03-06T03:57:00Z</dcterms:created>
  <dcterms:modified xsi:type="dcterms:W3CDTF">2015-03-06T03:58:00Z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