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8A" w:rsidRPr="001041C1" w:rsidRDefault="0006068A" w:rsidP="00344041">
      <w:pPr>
        <w:jc w:val="center"/>
        <w:rPr>
          <w:rFonts w:ascii="Arial" w:hAnsi="Arial" w:cs="Arial"/>
          <w:b/>
          <w:color w:val="000080"/>
          <w:sz w:val="28"/>
          <w:szCs w:val="28"/>
        </w:rPr>
      </w:pPr>
      <w:bookmarkStart w:id="0" w:name="_GoBack"/>
      <w:bookmarkEnd w:id="0"/>
      <w:r>
        <w:rPr>
          <w:rFonts w:ascii="Arial" w:hAnsi="Arial" w:cs="Arial"/>
          <w:b/>
          <w:noProof/>
          <w:color w:val="000080"/>
          <w:sz w:val="28"/>
          <w:szCs w:val="28"/>
        </w:rPr>
        <w:drawing>
          <wp:inline distT="0" distB="0" distL="0" distR="0" wp14:anchorId="560940D0" wp14:editId="3C08451B">
            <wp:extent cx="2627630" cy="1078865"/>
            <wp:effectExtent l="0" t="0" r="1270" b="6985"/>
            <wp:docPr id="1" name="Picture 1" title="sym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6B72F2" w:rsidRPr="006260E1" w:rsidRDefault="006B72F2" w:rsidP="006260E1"/>
    <w:p w:rsidR="006B72F2" w:rsidRPr="006B72F2" w:rsidRDefault="006B72F2" w:rsidP="006B72F2"/>
    <w:p w:rsidR="006B72F2" w:rsidRPr="003335BF" w:rsidRDefault="006B72F2" w:rsidP="006B72F2">
      <w:pPr>
        <w:jc w:val="center"/>
        <w:rPr>
          <w:rFonts w:ascii="Arial" w:hAnsi="Arial" w:cs="Arial"/>
          <w:b/>
          <w:color w:val="000080"/>
          <w:sz w:val="40"/>
          <w:szCs w:val="40"/>
        </w:rPr>
      </w:pPr>
      <w:r w:rsidRPr="003335BF">
        <w:rPr>
          <w:rFonts w:ascii="Arial" w:hAnsi="Arial" w:cs="Arial"/>
          <w:b/>
          <w:color w:val="000080"/>
          <w:sz w:val="40"/>
          <w:szCs w:val="40"/>
        </w:rPr>
        <w:t>Public Summary Document</w:t>
      </w:r>
    </w:p>
    <w:p w:rsidR="00763EB8" w:rsidRPr="006260E1" w:rsidRDefault="00763EB8" w:rsidP="006260E1"/>
    <w:p w:rsidR="004C0814" w:rsidRPr="006260E1" w:rsidRDefault="001041C1" w:rsidP="006260E1">
      <w:pPr>
        <w:jc w:val="center"/>
        <w:rPr>
          <w:rFonts w:ascii="Arial" w:hAnsi="Arial" w:cs="Arial"/>
          <w:b/>
          <w:i/>
          <w:color w:val="000080"/>
          <w:sz w:val="28"/>
          <w:szCs w:val="28"/>
        </w:rPr>
      </w:pPr>
      <w:r w:rsidRPr="006260E1">
        <w:rPr>
          <w:rFonts w:ascii="Arial" w:hAnsi="Arial" w:cs="Arial"/>
          <w:b/>
          <w:i/>
          <w:color w:val="000080"/>
          <w:sz w:val="28"/>
          <w:szCs w:val="28"/>
        </w:rPr>
        <w:t>Application 1206 – Single balloon enteroscopy for obscure gastrointestinal bleeding</w:t>
      </w:r>
    </w:p>
    <w:p w:rsidR="00E8253A" w:rsidRPr="00BB418D" w:rsidRDefault="00E8253A" w:rsidP="00344041">
      <w:pPr>
        <w:tabs>
          <w:tab w:val="left" w:pos="3600"/>
        </w:tabs>
        <w:ind w:left="3600" w:hanging="3600"/>
        <w:rPr>
          <w:rFonts w:ascii="Arial" w:hAnsi="Arial" w:cs="Arial"/>
          <w:szCs w:val="24"/>
        </w:rPr>
      </w:pPr>
    </w:p>
    <w:p w:rsidR="00E8253A" w:rsidRPr="00BB418D" w:rsidRDefault="00E8253A" w:rsidP="00344041">
      <w:pPr>
        <w:tabs>
          <w:tab w:val="left" w:pos="3600"/>
        </w:tabs>
        <w:ind w:left="3600" w:hanging="3600"/>
        <w:rPr>
          <w:rFonts w:ascii="Arial" w:hAnsi="Arial" w:cs="Arial"/>
          <w:szCs w:val="24"/>
        </w:rPr>
      </w:pPr>
    </w:p>
    <w:p w:rsidR="006156C1" w:rsidRPr="00BB418D" w:rsidRDefault="004C0814" w:rsidP="00344041">
      <w:pPr>
        <w:tabs>
          <w:tab w:val="left" w:pos="2265"/>
          <w:tab w:val="left" w:pos="3544"/>
          <w:tab w:val="left" w:pos="4320"/>
        </w:tabs>
        <w:rPr>
          <w:rFonts w:ascii="Arial" w:hAnsi="Arial" w:cs="Arial"/>
          <w:b/>
          <w:szCs w:val="24"/>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937076" w:rsidRPr="00BB418D">
        <w:rPr>
          <w:rFonts w:ascii="Arial" w:hAnsi="Arial" w:cs="Arial"/>
          <w:b/>
          <w:szCs w:val="24"/>
        </w:rPr>
        <w:tab/>
      </w:r>
      <w:r w:rsidR="00CE125A" w:rsidRPr="00CE125A">
        <w:rPr>
          <w:rFonts w:ascii="Arial" w:hAnsi="Arial" w:cs="Arial"/>
          <w:b/>
          <w:szCs w:val="24"/>
        </w:rPr>
        <w:t>Olympus Australia Pty Ltd</w:t>
      </w:r>
    </w:p>
    <w:p w:rsidR="006F0F76" w:rsidRPr="00BB418D" w:rsidRDefault="006F0F76" w:rsidP="00344041">
      <w:pPr>
        <w:tabs>
          <w:tab w:val="left" w:pos="2265"/>
          <w:tab w:val="left" w:pos="3420"/>
          <w:tab w:val="left" w:pos="4320"/>
        </w:tabs>
        <w:rPr>
          <w:rFonts w:ascii="Arial" w:hAnsi="Arial" w:cs="Arial"/>
          <w:b/>
        </w:rPr>
      </w:pPr>
    </w:p>
    <w:p w:rsidR="006B72F2" w:rsidRDefault="004C0814" w:rsidP="00F73699">
      <w:pPr>
        <w:tabs>
          <w:tab w:val="left" w:pos="3402"/>
          <w:tab w:val="left" w:pos="4320"/>
        </w:tabs>
        <w:ind w:left="3544" w:hanging="3544"/>
        <w:rPr>
          <w:rFonts w:ascii="Arial" w:hAnsi="Arial" w:cs="Arial"/>
          <w:b/>
          <w:szCs w:val="24"/>
        </w:rPr>
      </w:pPr>
      <w:r w:rsidRPr="00BB418D">
        <w:rPr>
          <w:rFonts w:ascii="Arial" w:hAnsi="Arial" w:cs="Arial"/>
          <w:b/>
          <w:szCs w:val="24"/>
        </w:rPr>
        <w:t xml:space="preserve">Date of </w:t>
      </w:r>
      <w:r w:rsidR="0006068A">
        <w:rPr>
          <w:rFonts w:ascii="Arial" w:hAnsi="Arial" w:cs="Arial"/>
          <w:b/>
          <w:szCs w:val="24"/>
        </w:rPr>
        <w:t>MSAC</w:t>
      </w:r>
      <w:r w:rsidRPr="00BB418D">
        <w:rPr>
          <w:rFonts w:ascii="Arial" w:hAnsi="Arial" w:cs="Arial"/>
          <w:b/>
          <w:szCs w:val="24"/>
        </w:rPr>
        <w:t xml:space="preserve"> consideration:</w:t>
      </w:r>
      <w:r w:rsidR="00201963" w:rsidRPr="00BB418D">
        <w:rPr>
          <w:rFonts w:ascii="Arial" w:hAnsi="Arial" w:cs="Arial"/>
          <w:b/>
          <w:szCs w:val="24"/>
        </w:rPr>
        <w:tab/>
      </w:r>
      <w:r w:rsidR="0006068A">
        <w:rPr>
          <w:rFonts w:ascii="Arial" w:hAnsi="Arial" w:cs="Arial"/>
          <w:b/>
          <w:szCs w:val="24"/>
        </w:rPr>
        <w:tab/>
      </w:r>
      <w:r w:rsidR="006B72F2">
        <w:rPr>
          <w:rFonts w:ascii="Arial" w:hAnsi="Arial" w:cs="Arial"/>
          <w:b/>
          <w:szCs w:val="24"/>
        </w:rPr>
        <w:t>28</w:t>
      </w:r>
      <w:r w:rsidR="00763EB8">
        <w:rPr>
          <w:rFonts w:ascii="Arial" w:hAnsi="Arial" w:cs="Arial"/>
          <w:b/>
          <w:szCs w:val="24"/>
        </w:rPr>
        <w:t xml:space="preserve"> November 2013</w:t>
      </w:r>
    </w:p>
    <w:p w:rsidR="00F73699" w:rsidRPr="006B72F2" w:rsidRDefault="00F73699" w:rsidP="00F73699">
      <w:pPr>
        <w:tabs>
          <w:tab w:val="left" w:pos="3402"/>
          <w:tab w:val="left" w:pos="4320"/>
        </w:tabs>
        <w:ind w:left="3544" w:hanging="3544"/>
      </w:pPr>
    </w:p>
    <w:p w:rsidR="002B4CE2" w:rsidRPr="002B4CE2" w:rsidRDefault="002B4CE2" w:rsidP="00344041">
      <w:pPr>
        <w:pStyle w:val="Heading1"/>
        <w:spacing w:before="0"/>
        <w:rPr>
          <w:rFonts w:cs="Arial"/>
          <w:szCs w:val="24"/>
        </w:rPr>
      </w:pPr>
      <w:r w:rsidRPr="002B4CE2">
        <w:rPr>
          <w:rFonts w:cs="Arial"/>
          <w:szCs w:val="24"/>
        </w:rPr>
        <w:t>1.</w:t>
      </w:r>
      <w:r w:rsidRPr="002B4CE2">
        <w:rPr>
          <w:rFonts w:cs="Arial"/>
          <w:szCs w:val="24"/>
        </w:rPr>
        <w:tab/>
        <w:t>Purpose of application</w:t>
      </w:r>
    </w:p>
    <w:p w:rsidR="00CE125A" w:rsidRDefault="00CE125A" w:rsidP="00344041">
      <w:pPr>
        <w:tabs>
          <w:tab w:val="left" w:pos="720"/>
          <w:tab w:val="left" w:pos="1140"/>
        </w:tabs>
        <w:rPr>
          <w:szCs w:val="24"/>
        </w:rPr>
      </w:pPr>
      <w:r w:rsidRPr="00CE125A">
        <w:rPr>
          <w:szCs w:val="24"/>
        </w:rPr>
        <w:t xml:space="preserve">An application requesting Medicare Benefits Schedule (MBS) listing of single balloon enteroscopy (SBE) for the diagnosis and/or management of obscure gastrointestinal (GI) bleeding was received by the </w:t>
      </w:r>
      <w:r w:rsidR="00E556AB">
        <w:rPr>
          <w:szCs w:val="24"/>
        </w:rPr>
        <w:t xml:space="preserve">Department of Health </w:t>
      </w:r>
      <w:r w:rsidRPr="00CE125A">
        <w:rPr>
          <w:szCs w:val="24"/>
        </w:rPr>
        <w:t>from Olympus Australia Pty Ltd in December 2011.</w:t>
      </w:r>
    </w:p>
    <w:p w:rsidR="00344041" w:rsidRPr="00CE125A" w:rsidRDefault="00344041" w:rsidP="00344041">
      <w:pPr>
        <w:tabs>
          <w:tab w:val="left" w:pos="720"/>
          <w:tab w:val="left" w:pos="1140"/>
        </w:tabs>
        <w:rPr>
          <w:szCs w:val="24"/>
        </w:rPr>
      </w:pPr>
    </w:p>
    <w:p w:rsidR="00CE125A" w:rsidRDefault="00CE125A" w:rsidP="00344041">
      <w:pPr>
        <w:tabs>
          <w:tab w:val="left" w:pos="720"/>
          <w:tab w:val="left" w:pos="1140"/>
        </w:tabs>
        <w:rPr>
          <w:rStyle w:val="googqs-tidbit"/>
        </w:rPr>
      </w:pPr>
      <w:r w:rsidRPr="00CE125A">
        <w:t>SBE can be performed by either the antegrade (oral) or retrograde (anal) route and needs the same preparation as a standard endoscopy</w:t>
      </w:r>
      <w:r w:rsidRPr="00CE125A">
        <w:rPr>
          <w:rStyle w:val="googqs-tidbit"/>
        </w:rPr>
        <w:t>.</w:t>
      </w:r>
    </w:p>
    <w:p w:rsidR="00344041" w:rsidRPr="00CE125A" w:rsidRDefault="00344041" w:rsidP="00344041">
      <w:pPr>
        <w:tabs>
          <w:tab w:val="left" w:pos="720"/>
          <w:tab w:val="left" w:pos="1140"/>
        </w:tabs>
        <w:rPr>
          <w:rStyle w:val="googqs-tidbit"/>
        </w:rPr>
      </w:pPr>
    </w:p>
    <w:p w:rsidR="00CE125A" w:rsidRDefault="00CE125A" w:rsidP="00344041">
      <w:pPr>
        <w:tabs>
          <w:tab w:val="left" w:pos="720"/>
          <w:tab w:val="left" w:pos="1140"/>
        </w:tabs>
        <w:ind w:right="-57"/>
      </w:pPr>
      <w:r w:rsidRPr="00CE125A">
        <w:rPr>
          <w:rStyle w:val="googqs-tidbit"/>
        </w:rPr>
        <w:t>For SBE, a 200-centimetre-long flexible endoscope is fitted with an over-tube that slides</w:t>
      </w:r>
      <w:r w:rsidRPr="00CE125A">
        <w:t xml:space="preserve"> over the endoscope. The tip of the over-tube has a balloon. When the balloon is </w:t>
      </w:r>
      <w:r w:rsidR="006B685A" w:rsidRPr="006B685A">
        <w:t>inflated against the bowel wall</w:t>
      </w:r>
      <w:r w:rsidR="006B685A" w:rsidRPr="006B685A" w:rsidDel="006B685A">
        <w:t xml:space="preserve"> </w:t>
      </w:r>
      <w:r w:rsidRPr="00CE125A">
        <w:t xml:space="preserve">it anchors the over-tube within the small bowel and allows the </w:t>
      </w:r>
      <w:r w:rsidR="006B685A" w:rsidRPr="006B685A">
        <w:t xml:space="preserve">enteroscope </w:t>
      </w:r>
      <w:r w:rsidRPr="00CE125A">
        <w:t xml:space="preserve">to </w:t>
      </w:r>
      <w:r w:rsidR="006B685A" w:rsidRPr="006B685A">
        <w:t>be inserted more deeply, while</w:t>
      </w:r>
      <w:r w:rsidRPr="00CE125A">
        <w:t xml:space="preserve"> </w:t>
      </w:r>
      <w:r w:rsidR="006B685A">
        <w:t>w</w:t>
      </w:r>
      <w:r w:rsidR="006B685A" w:rsidRPr="00CE125A">
        <w:t xml:space="preserve">ithdrawing </w:t>
      </w:r>
      <w:r w:rsidRPr="00CE125A">
        <w:t xml:space="preserve">the </w:t>
      </w:r>
      <w:r w:rsidR="006B685A">
        <w:t xml:space="preserve">anchored </w:t>
      </w:r>
      <w:r w:rsidRPr="00CE125A">
        <w:t>over-tube makes the bowel shorter and straighter, allowing the endoscope to</w:t>
      </w:r>
      <w:r w:rsidR="006B685A">
        <w:t xml:space="preserve"> progress through the lumen</w:t>
      </w:r>
      <w:r w:rsidRPr="00CE125A">
        <w:t xml:space="preserve">. With the balloon deflated, the over-tube can be inserted further and the endoscope advanced again. The enteroscope </w:t>
      </w:r>
      <w:r w:rsidR="006B685A">
        <w:t xml:space="preserve">is similar to </w:t>
      </w:r>
      <w:r w:rsidRPr="00CE125A">
        <w:t xml:space="preserve">a standard </w:t>
      </w:r>
      <w:r w:rsidR="006B685A">
        <w:t xml:space="preserve">fibreoptic </w:t>
      </w:r>
      <w:r w:rsidRPr="00CE125A">
        <w:t>endoscope, allowing the intestine to be fully viewed, inflated with air, rinsed with water, and biopsies or therapeutic procedures to be performed.</w:t>
      </w:r>
    </w:p>
    <w:p w:rsidR="00344041" w:rsidRPr="00CE125A" w:rsidRDefault="00344041" w:rsidP="00344041">
      <w:pPr>
        <w:tabs>
          <w:tab w:val="left" w:pos="720"/>
          <w:tab w:val="left" w:pos="1140"/>
        </w:tabs>
        <w:ind w:right="-57"/>
        <w:rPr>
          <w:szCs w:val="24"/>
        </w:rPr>
      </w:pPr>
    </w:p>
    <w:p w:rsidR="00CE125A" w:rsidRDefault="006B685A" w:rsidP="00344041">
      <w:pPr>
        <w:tabs>
          <w:tab w:val="left" w:pos="720"/>
          <w:tab w:val="left" w:pos="1140"/>
        </w:tabs>
        <w:rPr>
          <w:szCs w:val="24"/>
        </w:rPr>
      </w:pPr>
      <w:r>
        <w:rPr>
          <w:szCs w:val="24"/>
        </w:rPr>
        <w:t>Double balloon enteroscopy (</w:t>
      </w:r>
      <w:r w:rsidR="00CE125A" w:rsidRPr="00CE125A">
        <w:rPr>
          <w:szCs w:val="24"/>
        </w:rPr>
        <w:t>DBE</w:t>
      </w:r>
      <w:r>
        <w:rPr>
          <w:szCs w:val="24"/>
        </w:rPr>
        <w:t>)</w:t>
      </w:r>
      <w:r w:rsidR="00CE125A" w:rsidRPr="00CE125A">
        <w:rPr>
          <w:szCs w:val="24"/>
        </w:rPr>
        <w:t xml:space="preserve"> </w:t>
      </w:r>
      <w:r w:rsidRPr="006B685A">
        <w:rPr>
          <w:szCs w:val="24"/>
        </w:rPr>
        <w:t xml:space="preserve">is listed on the MBS for the evaluation of obscure gastrointestinal bleeding (items 30680, 30682, 30684, 30686).  It </w:t>
      </w:r>
      <w:r w:rsidR="00CE125A" w:rsidRPr="00CE125A">
        <w:rPr>
          <w:szCs w:val="24"/>
        </w:rPr>
        <w:t xml:space="preserve">involves the </w:t>
      </w:r>
      <w:r w:rsidR="001C5A44">
        <w:rPr>
          <w:szCs w:val="24"/>
        </w:rPr>
        <w:t xml:space="preserve">sequential use </w:t>
      </w:r>
      <w:r w:rsidR="00CE125A" w:rsidRPr="00CE125A">
        <w:rPr>
          <w:szCs w:val="24"/>
        </w:rPr>
        <w:t xml:space="preserve">of two balloons in a ‘push-pull’ fashion, whereby one latex balloon is situated at the end of the endoscope and another on the overtube. Both are inserted as far as possible into the bowel (via an antegrade </w:t>
      </w:r>
      <w:r>
        <w:rPr>
          <w:szCs w:val="24"/>
        </w:rPr>
        <w:t>[oral]</w:t>
      </w:r>
      <w:r w:rsidR="001C5A44">
        <w:rPr>
          <w:szCs w:val="24"/>
        </w:rPr>
        <w:t xml:space="preserve"> </w:t>
      </w:r>
      <w:r w:rsidR="00CE125A" w:rsidRPr="00CE125A">
        <w:rPr>
          <w:szCs w:val="24"/>
        </w:rPr>
        <w:t xml:space="preserve">approach or retrograde </w:t>
      </w:r>
      <w:r>
        <w:rPr>
          <w:szCs w:val="24"/>
        </w:rPr>
        <w:t>[</w:t>
      </w:r>
      <w:r w:rsidR="00CE125A" w:rsidRPr="00CE125A">
        <w:rPr>
          <w:szCs w:val="24"/>
        </w:rPr>
        <w:t>anal</w:t>
      </w:r>
      <w:r>
        <w:rPr>
          <w:szCs w:val="24"/>
        </w:rPr>
        <w:t>]</w:t>
      </w:r>
      <w:r w:rsidR="00CE125A" w:rsidRPr="00CE125A">
        <w:rPr>
          <w:szCs w:val="24"/>
        </w:rPr>
        <w:t xml:space="preserve"> approach), and the overtube balloon is then inflated to anchor it in place. Pulling gently, the small intestine is pleated behind the balloon and straightened in front of the balloon allowing for the endoscope to be pushed further into the lumen.</w:t>
      </w:r>
    </w:p>
    <w:p w:rsidR="00344041" w:rsidRPr="00CE125A" w:rsidRDefault="00344041" w:rsidP="00344041">
      <w:pPr>
        <w:tabs>
          <w:tab w:val="left" w:pos="720"/>
          <w:tab w:val="left" w:pos="1140"/>
        </w:tabs>
        <w:rPr>
          <w:szCs w:val="24"/>
        </w:rPr>
      </w:pPr>
    </w:p>
    <w:p w:rsidR="00CE125A" w:rsidRPr="00CE125A" w:rsidRDefault="00CE125A" w:rsidP="00344041">
      <w:pPr>
        <w:tabs>
          <w:tab w:val="left" w:pos="720"/>
          <w:tab w:val="left" w:pos="1140"/>
        </w:tabs>
        <w:rPr>
          <w:szCs w:val="24"/>
        </w:rPr>
      </w:pPr>
      <w:r w:rsidRPr="00CE125A">
        <w:rPr>
          <w:szCs w:val="24"/>
        </w:rPr>
        <w:t xml:space="preserve">SBE differs from DBE in that it has a ‘hooked tip’ on the endoscope in lieu of a </w:t>
      </w:r>
      <w:r w:rsidR="006B685A">
        <w:rPr>
          <w:szCs w:val="24"/>
        </w:rPr>
        <w:t xml:space="preserve">second </w:t>
      </w:r>
      <w:r w:rsidRPr="00CE125A">
        <w:rPr>
          <w:szCs w:val="24"/>
        </w:rPr>
        <w:t>balloon</w:t>
      </w:r>
      <w:r w:rsidR="006B685A">
        <w:rPr>
          <w:szCs w:val="24"/>
        </w:rPr>
        <w:t>,</w:t>
      </w:r>
      <w:r w:rsidR="006B685A" w:rsidRPr="006B685A">
        <w:t xml:space="preserve"> </w:t>
      </w:r>
      <w:r w:rsidR="006B685A" w:rsidRPr="006B685A">
        <w:rPr>
          <w:szCs w:val="24"/>
        </w:rPr>
        <w:t>and has been suggested by the applicant as a non-inferior alternative technique to DBE</w:t>
      </w:r>
      <w:r w:rsidR="006B685A">
        <w:rPr>
          <w:szCs w:val="24"/>
        </w:rPr>
        <w:t xml:space="preserve"> </w:t>
      </w:r>
      <w:r w:rsidRPr="00CE125A">
        <w:rPr>
          <w:szCs w:val="24"/>
        </w:rPr>
        <w:t xml:space="preserve">. Both techniques require considerable skill. SBE was developed in an attempt to reduce the </w:t>
      </w:r>
      <w:r w:rsidR="006B685A">
        <w:rPr>
          <w:szCs w:val="24"/>
        </w:rPr>
        <w:t xml:space="preserve">additional technical difficulty </w:t>
      </w:r>
      <w:r w:rsidRPr="00CE125A">
        <w:rPr>
          <w:szCs w:val="24"/>
        </w:rPr>
        <w:t xml:space="preserve">associated with </w:t>
      </w:r>
      <w:r w:rsidR="006B685A">
        <w:rPr>
          <w:szCs w:val="24"/>
        </w:rPr>
        <w:t>using</w:t>
      </w:r>
      <w:r w:rsidR="006B685A" w:rsidRPr="00CE125A">
        <w:rPr>
          <w:szCs w:val="24"/>
        </w:rPr>
        <w:t xml:space="preserve"> </w:t>
      </w:r>
      <w:r w:rsidRPr="00CE125A">
        <w:rPr>
          <w:szCs w:val="24"/>
        </w:rPr>
        <w:t xml:space="preserve">two balloons. </w:t>
      </w:r>
    </w:p>
    <w:p w:rsidR="00003137" w:rsidRDefault="00003137" w:rsidP="00344041">
      <w:pPr>
        <w:tabs>
          <w:tab w:val="left" w:pos="720"/>
          <w:tab w:val="left" w:pos="1140"/>
        </w:tabs>
      </w:pPr>
    </w:p>
    <w:p w:rsidR="00CE125A" w:rsidRDefault="00CE125A" w:rsidP="00344041">
      <w:pPr>
        <w:tabs>
          <w:tab w:val="left" w:pos="720"/>
          <w:tab w:val="left" w:pos="1140"/>
        </w:tabs>
      </w:pPr>
      <w:r w:rsidRPr="00CE125A">
        <w:lastRenderedPageBreak/>
        <w:t xml:space="preserve">Patients are only considered for balloon enteroscopy if they have obscure GI bleeding and an upper GI endoscopy and a colonoscopy have not established the cause of the bleeding. </w:t>
      </w:r>
    </w:p>
    <w:p w:rsidR="00344041" w:rsidRPr="00CE125A" w:rsidRDefault="00344041" w:rsidP="00344041">
      <w:pPr>
        <w:tabs>
          <w:tab w:val="left" w:pos="720"/>
          <w:tab w:val="left" w:pos="1140"/>
        </w:tabs>
      </w:pPr>
    </w:p>
    <w:p w:rsidR="00CE125A" w:rsidRDefault="00CE125A" w:rsidP="00344041">
      <w:pPr>
        <w:tabs>
          <w:tab w:val="left" w:pos="720"/>
          <w:tab w:val="left" w:pos="1140"/>
        </w:tabs>
      </w:pPr>
      <w:r w:rsidRPr="00CE125A">
        <w:t>Obscure GI bleeding is generally accepted to be GI bleeding that persists or recurs without an obvious aetiology after standard endoscopic examination (routine upper endoscopy and colonoscopy). Obscure GI bleeding may be categorised into two groups: obscure occult and obscure overt bleeding. Obscure occult GI bleeding is defined as persistently positive faecal occult blood testing with or without iron deficiency and without frank blood loss recognisable to the patient or the physician.</w:t>
      </w:r>
    </w:p>
    <w:p w:rsidR="00344041" w:rsidRPr="00CE125A" w:rsidRDefault="00344041" w:rsidP="00344041">
      <w:pPr>
        <w:tabs>
          <w:tab w:val="left" w:pos="720"/>
          <w:tab w:val="left" w:pos="1140"/>
        </w:tabs>
      </w:pPr>
    </w:p>
    <w:p w:rsidR="00CE125A" w:rsidRDefault="00CE125A" w:rsidP="00344041">
      <w:pPr>
        <w:tabs>
          <w:tab w:val="left" w:pos="720"/>
          <w:tab w:val="left" w:pos="1140"/>
        </w:tabs>
      </w:pPr>
      <w:r w:rsidRPr="00CE125A">
        <w:t>Other less common diseases of the small bowel can also be diagnosed and/or managed using balloon enteroscopy.</w:t>
      </w:r>
    </w:p>
    <w:p w:rsidR="00344041" w:rsidRPr="00CE125A" w:rsidRDefault="00344041" w:rsidP="00344041">
      <w:pPr>
        <w:tabs>
          <w:tab w:val="left" w:pos="720"/>
          <w:tab w:val="left" w:pos="1140"/>
        </w:tabs>
      </w:pPr>
    </w:p>
    <w:p w:rsidR="00CE125A" w:rsidRDefault="00CE125A" w:rsidP="00344041">
      <w:pPr>
        <w:tabs>
          <w:tab w:val="left" w:pos="720"/>
          <w:tab w:val="left" w:pos="1140"/>
        </w:tabs>
      </w:pPr>
      <w:r w:rsidRPr="00CE125A">
        <w:t>Both SBE and DBE are used for intervention as well as diagnosis.</w:t>
      </w:r>
    </w:p>
    <w:p w:rsidR="00D32311" w:rsidRPr="00BB418D" w:rsidRDefault="00D32311" w:rsidP="00344041">
      <w:pPr>
        <w:tabs>
          <w:tab w:val="left" w:pos="720"/>
          <w:tab w:val="left" w:pos="1140"/>
        </w:tabs>
        <w:rPr>
          <w:szCs w:val="24"/>
        </w:rPr>
      </w:pPr>
    </w:p>
    <w:p w:rsidR="00B149C6" w:rsidRPr="002B4CE2" w:rsidRDefault="002B4CE2" w:rsidP="00344041">
      <w:pPr>
        <w:pStyle w:val="Heading1"/>
        <w:spacing w:before="0"/>
      </w:pPr>
      <w:r>
        <w:t>2.</w:t>
      </w:r>
      <w:r>
        <w:tab/>
      </w:r>
      <w:r w:rsidR="00B149C6" w:rsidRPr="002B4CE2">
        <w:t>Background</w:t>
      </w:r>
    </w:p>
    <w:p w:rsidR="002E0E34" w:rsidRDefault="002E0E34" w:rsidP="00344041">
      <w:pPr>
        <w:tabs>
          <w:tab w:val="left" w:pos="720"/>
          <w:tab w:val="left" w:pos="1140"/>
        </w:tabs>
        <w:rPr>
          <w:szCs w:val="24"/>
        </w:rPr>
      </w:pPr>
      <w:r w:rsidRPr="002E0E34">
        <w:rPr>
          <w:szCs w:val="24"/>
        </w:rPr>
        <w:t>MSAC has not previously considered SBE.</w:t>
      </w:r>
    </w:p>
    <w:p w:rsidR="00344041" w:rsidRPr="002E0E34" w:rsidRDefault="00344041" w:rsidP="00344041">
      <w:pPr>
        <w:tabs>
          <w:tab w:val="left" w:pos="720"/>
          <w:tab w:val="left" w:pos="1140"/>
        </w:tabs>
        <w:rPr>
          <w:szCs w:val="24"/>
        </w:rPr>
      </w:pPr>
    </w:p>
    <w:p w:rsidR="002E0E34" w:rsidRDefault="002E0E34" w:rsidP="00344041">
      <w:pPr>
        <w:tabs>
          <w:tab w:val="left" w:pos="720"/>
          <w:tab w:val="left" w:pos="1140"/>
        </w:tabs>
        <w:rPr>
          <w:szCs w:val="24"/>
        </w:rPr>
      </w:pPr>
      <w:r w:rsidRPr="002E0E34">
        <w:rPr>
          <w:szCs w:val="24"/>
        </w:rPr>
        <w:t>MBS items 30680, 30682, 30684 and 30686 were introduced on the Schedule in July 2007 following an assessment by MSAC (Application 1102) of DBE for the diagnosis and treatment of patients with obscure GI bleeding.</w:t>
      </w:r>
    </w:p>
    <w:p w:rsidR="00344041" w:rsidRPr="002E0E34" w:rsidRDefault="00344041" w:rsidP="00344041">
      <w:pPr>
        <w:tabs>
          <w:tab w:val="left" w:pos="720"/>
          <w:tab w:val="left" w:pos="1140"/>
        </w:tabs>
        <w:rPr>
          <w:szCs w:val="24"/>
        </w:rPr>
      </w:pPr>
    </w:p>
    <w:p w:rsidR="00B149C6" w:rsidRPr="002B4CE2" w:rsidRDefault="002B4CE2" w:rsidP="00344041">
      <w:pPr>
        <w:pStyle w:val="Heading1"/>
        <w:spacing w:before="0"/>
      </w:pPr>
      <w:r>
        <w:t>3.</w:t>
      </w:r>
      <w:r>
        <w:tab/>
      </w:r>
      <w:r w:rsidR="00B149C6" w:rsidRPr="002B4CE2">
        <w:t>Prerequisites</w:t>
      </w:r>
      <w:r w:rsidR="00E857D4" w:rsidRPr="002B4CE2">
        <w:t xml:space="preserve"> to implementation of any funding advice</w:t>
      </w:r>
    </w:p>
    <w:p w:rsidR="00344041" w:rsidRDefault="002E0E34" w:rsidP="004576B5">
      <w:pPr>
        <w:tabs>
          <w:tab w:val="left" w:pos="720"/>
          <w:tab w:val="left" w:pos="1140"/>
        </w:tabs>
        <w:rPr>
          <w:szCs w:val="24"/>
        </w:rPr>
      </w:pPr>
      <w:r w:rsidRPr="002E0E34">
        <w:rPr>
          <w:szCs w:val="24"/>
        </w:rPr>
        <w:t xml:space="preserve">Devices for SBE are registered with the Therapeutic Goods Administration (TGA) on the Australian Register of Therapeutic Goods (ARTG). </w:t>
      </w:r>
      <w:r w:rsidR="004576B5">
        <w:rPr>
          <w:szCs w:val="24"/>
        </w:rPr>
        <w:t xml:space="preserve"> At the time of the application </w:t>
      </w:r>
      <w:r w:rsidR="00E95229">
        <w:rPr>
          <w:szCs w:val="24"/>
        </w:rPr>
        <w:t>four</w:t>
      </w:r>
      <w:r w:rsidR="004576B5">
        <w:rPr>
          <w:szCs w:val="24"/>
        </w:rPr>
        <w:t xml:space="preserve"> SBE products were known by </w:t>
      </w:r>
      <w:r w:rsidR="001D7E8F">
        <w:rPr>
          <w:szCs w:val="24"/>
        </w:rPr>
        <w:t xml:space="preserve">MSAC </w:t>
      </w:r>
      <w:r w:rsidR="004576B5">
        <w:rPr>
          <w:szCs w:val="24"/>
        </w:rPr>
        <w:t>to be listed on the ARTG.  Interested parties can review the TGA website for current SBE</w:t>
      </w:r>
      <w:r w:rsidR="001D7E8F">
        <w:rPr>
          <w:szCs w:val="24"/>
        </w:rPr>
        <w:t xml:space="preserve"> products </w:t>
      </w:r>
      <w:r w:rsidR="004576B5">
        <w:rPr>
          <w:szCs w:val="24"/>
        </w:rPr>
        <w:t>listed in the ARTG.</w:t>
      </w:r>
    </w:p>
    <w:p w:rsidR="004576B5" w:rsidRPr="006260E1" w:rsidRDefault="004576B5" w:rsidP="006260E1"/>
    <w:p w:rsidR="00A34BD3" w:rsidRPr="002B4CE2" w:rsidRDefault="002B4CE2" w:rsidP="00344041">
      <w:pPr>
        <w:pStyle w:val="Heading1"/>
        <w:spacing w:before="0"/>
      </w:pPr>
      <w:r>
        <w:t>4.</w:t>
      </w:r>
      <w:r>
        <w:tab/>
      </w:r>
      <w:r w:rsidR="00133D8B" w:rsidRPr="002B4CE2">
        <w:t>Proposal for public funding</w:t>
      </w:r>
    </w:p>
    <w:p w:rsidR="00003137" w:rsidRDefault="002E0E34" w:rsidP="00344041">
      <w:pPr>
        <w:tabs>
          <w:tab w:val="left" w:pos="720"/>
          <w:tab w:val="left" w:pos="1140"/>
        </w:tabs>
        <w:ind w:right="-57"/>
        <w:rPr>
          <w:szCs w:val="24"/>
        </w:rPr>
      </w:pPr>
      <w:r w:rsidRPr="002E0E34">
        <w:rPr>
          <w:szCs w:val="24"/>
        </w:rPr>
        <w:t xml:space="preserve">The </w:t>
      </w:r>
      <w:r w:rsidR="00003137">
        <w:rPr>
          <w:szCs w:val="24"/>
        </w:rPr>
        <w:t xml:space="preserve">application </w:t>
      </w:r>
      <w:r w:rsidRPr="002E0E34">
        <w:rPr>
          <w:szCs w:val="24"/>
        </w:rPr>
        <w:t xml:space="preserve">proposed that the MBS items numbers for DBE be amended to replace the term ‘double balloon enteroscopy’ with ‘balloon-assisted enteroscopy’ so that the same MBS items may be used for either DBE or SBE. </w:t>
      </w:r>
    </w:p>
    <w:p w:rsidR="00003137" w:rsidRDefault="00003137" w:rsidP="00344041">
      <w:pPr>
        <w:tabs>
          <w:tab w:val="left" w:pos="720"/>
          <w:tab w:val="left" w:pos="1140"/>
        </w:tabs>
        <w:ind w:right="-57"/>
        <w:rPr>
          <w:szCs w:val="24"/>
        </w:rPr>
      </w:pPr>
    </w:p>
    <w:p w:rsidR="002E0E34" w:rsidRDefault="002E0E34" w:rsidP="00344041">
      <w:pPr>
        <w:tabs>
          <w:tab w:val="left" w:pos="720"/>
          <w:tab w:val="left" w:pos="1140"/>
        </w:tabs>
        <w:ind w:right="-57"/>
        <w:rPr>
          <w:szCs w:val="24"/>
        </w:rPr>
      </w:pPr>
      <w:r w:rsidRPr="002E0E34">
        <w:rPr>
          <w:szCs w:val="24"/>
        </w:rPr>
        <w:t>Consultation feedback provided in November 2012 by the Gastroenterological Society of Australia and the Colorectal Surgical Society of Australia and New Zealand refers to the term “balloon enteroscopy”. Therefore, this term has been used in the proposed item descriptors.</w:t>
      </w:r>
    </w:p>
    <w:p w:rsidR="00E103DC" w:rsidRDefault="00E103DC" w:rsidP="00344041">
      <w:pPr>
        <w:tabs>
          <w:tab w:val="left" w:pos="720"/>
          <w:tab w:val="left" w:pos="1140"/>
        </w:tabs>
        <w:ind w:right="-57"/>
        <w:rPr>
          <w:szCs w:val="24"/>
        </w:rPr>
      </w:pPr>
    </w:p>
    <w:p w:rsidR="00003137" w:rsidRDefault="002E0E34" w:rsidP="00003137">
      <w:pPr>
        <w:tabs>
          <w:tab w:val="left" w:pos="720"/>
          <w:tab w:val="left" w:pos="1140"/>
        </w:tabs>
        <w:rPr>
          <w:rFonts w:ascii="Arial" w:hAnsi="Arial" w:cs="Arial"/>
        </w:rPr>
      </w:pPr>
      <w:r w:rsidRPr="002E0E34">
        <w:rPr>
          <w:szCs w:val="24"/>
        </w:rPr>
        <w:t>MBS items for capsule endoscopy (CE) would also need to be amended to cross-reference balloon enteroscopy (or the MBS item numbers) rather than DBE. The Protocol Advisory Sub-Committee (PASC) of MSAC and public consultation submissions recommended that items 30684 and 30686 be further amended to allow for procedures involving argon plasma coagulation.</w:t>
      </w:r>
    </w:p>
    <w:p w:rsidR="00003137" w:rsidRDefault="002E0E34" w:rsidP="00344041">
      <w:pPr>
        <w:pStyle w:val="Caption"/>
        <w:spacing w:after="0"/>
        <w:rPr>
          <w:rFonts w:ascii="Arial" w:hAnsi="Arial" w:cs="Arial"/>
        </w:rPr>
      </w:pPr>
      <w:r w:rsidRPr="00AB1C53">
        <w:rPr>
          <w:rFonts w:ascii="Arial" w:hAnsi="Arial" w:cs="Arial"/>
        </w:rPr>
        <w:lastRenderedPageBreak/>
        <w:t xml:space="preserve"> </w:t>
      </w:r>
    </w:p>
    <w:p w:rsidR="002E0E34" w:rsidRPr="00AB1C53" w:rsidRDefault="00144200" w:rsidP="00344041">
      <w:pPr>
        <w:pStyle w:val="Caption"/>
        <w:spacing w:after="0"/>
        <w:rPr>
          <w:rFonts w:ascii="Arial" w:hAnsi="Arial" w:cs="Arial"/>
          <w:b w:val="0"/>
        </w:rPr>
      </w:pPr>
      <w:r>
        <w:rPr>
          <w:rFonts w:ascii="Arial" w:hAnsi="Arial" w:cs="Arial"/>
          <w:bCs/>
        </w:rPr>
        <w:t xml:space="preserve">Applicant’s </w:t>
      </w:r>
      <w:r w:rsidR="002E0E34" w:rsidRPr="00AB1C53">
        <w:rPr>
          <w:rFonts w:ascii="Arial" w:hAnsi="Arial" w:cs="Arial"/>
          <w:bCs/>
        </w:rPr>
        <w:t>Proposed MBS item descriptor</w:t>
      </w:r>
      <w:r w:rsidR="002E0E34">
        <w:rPr>
          <w:rFonts w:ascii="Arial" w:hAnsi="Arial" w:cs="Arial"/>
          <w:bCs/>
        </w:rPr>
        <w:t>s</w:t>
      </w:r>
      <w:r w:rsidR="002E0E34" w:rsidRPr="00AB1C53">
        <w:rPr>
          <w:rFonts w:ascii="Arial" w:hAnsi="Arial" w:cs="Arial"/>
          <w:bCs/>
        </w:rPr>
        <w:t xml:space="preserve"> amendments for </w:t>
      </w:r>
      <w:r w:rsidR="002E0E34">
        <w:rPr>
          <w:rFonts w:ascii="Arial" w:hAnsi="Arial" w:cs="Arial"/>
          <w:bCs/>
        </w:rPr>
        <w:t>balloon enteroscopy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4"/>
      </w:tblGrid>
      <w:tr w:rsidR="002E0E34" w:rsidRPr="00003137" w:rsidTr="00C9226B">
        <w:tc>
          <w:tcPr>
            <w:tcW w:w="8414" w:type="dxa"/>
            <w:shd w:val="clear" w:color="auto" w:fill="FFFFCC"/>
          </w:tcPr>
          <w:p w:rsidR="002E0E34" w:rsidRPr="00003137" w:rsidRDefault="002E0E34" w:rsidP="00344041">
            <w:pPr>
              <w:keepNext/>
              <w:jc w:val="right"/>
              <w:rPr>
                <w:rFonts w:ascii="Arial" w:eastAsia="SimSun" w:hAnsi="Arial" w:cs="Arial"/>
                <w:b/>
                <w:sz w:val="20"/>
                <w:lang w:eastAsia="ja-JP"/>
              </w:rPr>
            </w:pPr>
            <w:r w:rsidRPr="00003137">
              <w:rPr>
                <w:rFonts w:ascii="Arial" w:eastAsia="SimSun" w:hAnsi="Arial" w:cs="Arial"/>
                <w:b/>
                <w:sz w:val="20"/>
                <w:lang w:eastAsia="ja-JP"/>
              </w:rPr>
              <w:t>Category 3 – Therapeutic procedures</w:t>
            </w:r>
          </w:p>
        </w:tc>
      </w:tr>
      <w:tr w:rsidR="002E0E34" w:rsidRPr="00003137" w:rsidTr="00C9226B">
        <w:tc>
          <w:tcPr>
            <w:tcW w:w="8414" w:type="dxa"/>
          </w:tcPr>
          <w:p w:rsidR="002E0E34" w:rsidRPr="00003137" w:rsidRDefault="002E0E34" w:rsidP="00344041">
            <w:pPr>
              <w:keepNext/>
              <w:rPr>
                <w:rFonts w:ascii="Arial" w:hAnsi="Arial" w:cs="Arial"/>
                <w:color w:val="000000"/>
                <w:sz w:val="20"/>
                <w:lang w:val="en-US" w:eastAsia="ja-JP"/>
              </w:rPr>
            </w:pPr>
            <w:r w:rsidRPr="00003137">
              <w:rPr>
                <w:rFonts w:ascii="Arial" w:eastAsia="SimSun" w:hAnsi="Arial" w:cs="Arial"/>
                <w:b/>
                <w:sz w:val="20"/>
                <w:lang w:val="en-US" w:eastAsia="ja-JP"/>
              </w:rPr>
              <w:t xml:space="preserve">30680 </w:t>
            </w:r>
            <w:r w:rsidRPr="00003137">
              <w:rPr>
                <w:rFonts w:ascii="Arial" w:hAnsi="Arial" w:cs="Arial"/>
                <w:b/>
                <w:color w:val="FF0000"/>
                <w:sz w:val="20"/>
                <w:lang w:val="en-US" w:eastAsia="ja-JP"/>
              </w:rPr>
              <w:t xml:space="preserve">BALLOON ENTEROSCOPY </w:t>
            </w:r>
            <w:r w:rsidRPr="00003137">
              <w:rPr>
                <w:rFonts w:ascii="Arial" w:hAnsi="Arial" w:cs="Arial"/>
                <w:strike/>
                <w:color w:val="FF0000"/>
                <w:sz w:val="20"/>
                <w:lang w:val="en-US" w:eastAsia="ja-JP"/>
              </w:rPr>
              <w:t>DOUBLE BALLOON ENTEROSCOPY</w:t>
            </w:r>
            <w:r w:rsidRPr="00003137">
              <w:rPr>
                <w:rFonts w:ascii="Arial" w:hAnsi="Arial" w:cs="Arial"/>
                <w:color w:val="000000"/>
                <w:sz w:val="20"/>
                <w:lang w:val="en-US" w:eastAsia="ja-JP"/>
              </w:rPr>
              <w:t>, examination of the small bowel (oral approach), with or without biopsy, WITHOUT intraprocedural therapy, for diagnosis of patients with obscure gastrointestinal bleeding, not in association with another item in this subgroup (with the exception of item 30682 or 30686)</w:t>
            </w:r>
          </w:p>
          <w:p w:rsidR="002E0E34" w:rsidRPr="00003137" w:rsidRDefault="002E0E34" w:rsidP="00344041">
            <w:pPr>
              <w:keepNext/>
              <w:rPr>
                <w:rFonts w:ascii="Arial" w:hAnsi="Arial" w:cs="Arial"/>
                <w:color w:val="000000"/>
                <w:sz w:val="20"/>
                <w:lang w:val="en-US" w:eastAsia="ja-JP"/>
              </w:rPr>
            </w:pPr>
            <w:r w:rsidRPr="00003137">
              <w:rPr>
                <w:rFonts w:ascii="Arial" w:hAnsi="Arial" w:cs="Arial"/>
                <w:color w:val="000000"/>
                <w:sz w:val="20"/>
                <w:lang w:val="en-US" w:eastAsia="ja-JP"/>
              </w:rPr>
              <w:t>The patient to whom the service is provided must:</w:t>
            </w:r>
          </w:p>
          <w:p w:rsidR="002E0E34" w:rsidRPr="00003137" w:rsidRDefault="002E0E34" w:rsidP="00344041">
            <w:pPr>
              <w:keepNext/>
              <w:numPr>
                <w:ilvl w:val="0"/>
                <w:numId w:val="7"/>
              </w:numPr>
              <w:rPr>
                <w:rFonts w:ascii="Arial" w:hAnsi="Arial" w:cs="Arial"/>
                <w:color w:val="000000"/>
                <w:sz w:val="20"/>
                <w:lang w:val="en-US" w:eastAsia="ja-JP"/>
              </w:rPr>
            </w:pPr>
            <w:r w:rsidRPr="00003137">
              <w:rPr>
                <w:rFonts w:ascii="Arial" w:hAnsi="Arial" w:cs="Arial"/>
                <w:color w:val="000000"/>
                <w:sz w:val="20"/>
                <w:lang w:val="en-US" w:eastAsia="ja-JP"/>
              </w:rPr>
              <w:t>have recurrent or persistent bleeding; and</w:t>
            </w:r>
          </w:p>
          <w:p w:rsidR="002E0E34" w:rsidRPr="00003137" w:rsidRDefault="002E0E34" w:rsidP="00344041">
            <w:pPr>
              <w:keepNext/>
              <w:numPr>
                <w:ilvl w:val="0"/>
                <w:numId w:val="7"/>
              </w:numPr>
              <w:contextualSpacing/>
              <w:rPr>
                <w:rFonts w:ascii="Arial" w:hAnsi="Arial" w:cs="Arial"/>
                <w:sz w:val="20"/>
                <w:lang w:val="en-US" w:eastAsia="ja-JP"/>
              </w:rPr>
            </w:pPr>
            <w:r w:rsidRPr="00003137">
              <w:rPr>
                <w:rFonts w:ascii="Arial" w:hAnsi="Arial" w:cs="Arial"/>
                <w:sz w:val="20"/>
                <w:lang w:val="en-US" w:eastAsia="ja-JP"/>
              </w:rPr>
              <w:t>be anaemic or have active bleeding; and</w:t>
            </w:r>
          </w:p>
          <w:p w:rsidR="002E0E34" w:rsidRPr="00003137" w:rsidRDefault="002E0E34" w:rsidP="00344041">
            <w:pPr>
              <w:keepNext/>
              <w:numPr>
                <w:ilvl w:val="0"/>
                <w:numId w:val="7"/>
              </w:numPr>
              <w:rPr>
                <w:rFonts w:ascii="Arial" w:hAnsi="Arial" w:cs="Arial"/>
                <w:color w:val="000000"/>
                <w:sz w:val="20"/>
                <w:lang w:val="en-US" w:eastAsia="ja-JP"/>
              </w:rPr>
            </w:pPr>
            <w:r w:rsidRPr="00003137">
              <w:rPr>
                <w:rFonts w:ascii="Arial" w:hAnsi="Arial" w:cs="Arial"/>
                <w:color w:val="000000"/>
                <w:sz w:val="20"/>
                <w:lang w:val="en-US" w:eastAsia="ja-JP"/>
              </w:rPr>
              <w:t>have had an upper gastrointestinal endoscopy and a colonoscopy performed which did not identify the cause of the bleeding.</w:t>
            </w:r>
          </w:p>
        </w:tc>
      </w:tr>
      <w:tr w:rsidR="002E0E34" w:rsidRPr="00003137" w:rsidTr="00C9226B">
        <w:tc>
          <w:tcPr>
            <w:tcW w:w="8414" w:type="dxa"/>
          </w:tcPr>
          <w:p w:rsidR="002E0E34" w:rsidRPr="00003137" w:rsidRDefault="002E0E34" w:rsidP="00344041">
            <w:pPr>
              <w:keepNext/>
              <w:rPr>
                <w:rFonts w:ascii="Arial" w:eastAsia="SimSun" w:hAnsi="Arial" w:cs="Arial"/>
                <w:sz w:val="20"/>
                <w:lang w:eastAsia="zh-CN"/>
              </w:rPr>
            </w:pPr>
            <w:r w:rsidRPr="00003137">
              <w:rPr>
                <w:rFonts w:ascii="Arial" w:hAnsi="Arial" w:cs="Arial"/>
                <w:b/>
                <w:color w:val="000000"/>
                <w:sz w:val="20"/>
              </w:rPr>
              <w:t xml:space="preserve">30682 </w:t>
            </w:r>
            <w:r w:rsidRPr="00003137">
              <w:rPr>
                <w:rFonts w:ascii="Arial" w:hAnsi="Arial" w:cs="Arial"/>
                <w:b/>
                <w:color w:val="FF0000"/>
                <w:sz w:val="20"/>
                <w:lang w:val="en-US" w:eastAsia="ja-JP"/>
              </w:rPr>
              <w:t xml:space="preserve">BALLOON ENTEROSCOPY </w:t>
            </w:r>
            <w:r w:rsidRPr="00003137">
              <w:rPr>
                <w:rFonts w:ascii="Arial" w:hAnsi="Arial" w:cs="Arial"/>
                <w:strike/>
                <w:color w:val="FF0000"/>
                <w:sz w:val="20"/>
                <w:lang w:val="en-US" w:eastAsia="ja-JP"/>
              </w:rPr>
              <w:t>DOUBLE BALLOON ENTEROSCOPY</w:t>
            </w:r>
            <w:r w:rsidRPr="00003137">
              <w:rPr>
                <w:rFonts w:ascii="Arial" w:hAnsi="Arial" w:cs="Arial"/>
                <w:color w:val="000000"/>
                <w:sz w:val="20"/>
              </w:rPr>
              <w:t>, examination of the small bowel (anal approach), with or without biopsy, WITHOUT intraprocedural therapy, for diagnosis of patients with obscure gastrointestinal bleeding, not in association with another item in this subgroup (with the exception of item 30680 or 30684)</w:t>
            </w:r>
          </w:p>
          <w:p w:rsidR="002E0E34" w:rsidRPr="00003137" w:rsidRDefault="002E0E34" w:rsidP="00344041">
            <w:pPr>
              <w:keepNext/>
              <w:rPr>
                <w:rFonts w:ascii="Arial" w:hAnsi="Arial" w:cs="Arial"/>
                <w:color w:val="000000"/>
                <w:sz w:val="20"/>
              </w:rPr>
            </w:pPr>
            <w:r w:rsidRPr="00003137">
              <w:rPr>
                <w:rFonts w:ascii="Arial" w:hAnsi="Arial" w:cs="Arial"/>
                <w:color w:val="000000"/>
                <w:sz w:val="20"/>
              </w:rPr>
              <w:t>The patient to whom the service is provided must:</w:t>
            </w:r>
          </w:p>
          <w:p w:rsidR="002E0E34" w:rsidRPr="00003137" w:rsidRDefault="002E0E34" w:rsidP="00344041">
            <w:pPr>
              <w:keepNext/>
              <w:numPr>
                <w:ilvl w:val="0"/>
                <w:numId w:val="8"/>
              </w:numPr>
              <w:rPr>
                <w:rFonts w:ascii="Arial" w:hAnsi="Arial" w:cs="Arial"/>
                <w:color w:val="000000"/>
                <w:sz w:val="20"/>
              </w:rPr>
            </w:pPr>
            <w:r w:rsidRPr="00003137">
              <w:rPr>
                <w:rFonts w:ascii="Arial" w:hAnsi="Arial" w:cs="Arial"/>
                <w:color w:val="000000"/>
                <w:sz w:val="20"/>
              </w:rPr>
              <w:t>have recurrent or persistent bleeding; and</w:t>
            </w:r>
          </w:p>
          <w:p w:rsidR="002E0E34" w:rsidRPr="00003137" w:rsidRDefault="002E0E34" w:rsidP="00344041">
            <w:pPr>
              <w:keepNext/>
              <w:numPr>
                <w:ilvl w:val="0"/>
                <w:numId w:val="8"/>
              </w:numPr>
              <w:contextualSpacing/>
              <w:rPr>
                <w:rFonts w:ascii="Arial" w:hAnsi="Arial" w:cs="Arial"/>
                <w:sz w:val="20"/>
                <w:lang w:val="en-US" w:eastAsia="ja-JP"/>
              </w:rPr>
            </w:pPr>
            <w:r w:rsidRPr="00003137">
              <w:rPr>
                <w:rFonts w:ascii="Arial" w:hAnsi="Arial" w:cs="Arial"/>
                <w:sz w:val="20"/>
                <w:lang w:val="en-US" w:eastAsia="ja-JP"/>
              </w:rPr>
              <w:t>be anaemic or have active bleeding; and</w:t>
            </w:r>
          </w:p>
          <w:p w:rsidR="002E0E34" w:rsidRPr="00003137" w:rsidRDefault="002E0E34" w:rsidP="00344041">
            <w:pPr>
              <w:keepNext/>
              <w:numPr>
                <w:ilvl w:val="0"/>
                <w:numId w:val="8"/>
              </w:numPr>
              <w:rPr>
                <w:rFonts w:ascii="Arial" w:hAnsi="Arial" w:cs="Arial"/>
                <w:color w:val="000000"/>
                <w:sz w:val="20"/>
              </w:rPr>
            </w:pPr>
            <w:r w:rsidRPr="00003137">
              <w:rPr>
                <w:rFonts w:ascii="Arial" w:hAnsi="Arial" w:cs="Arial"/>
                <w:color w:val="000000"/>
                <w:sz w:val="20"/>
              </w:rPr>
              <w:t>have had an upper gastrointestinal endoscopy and a colonoscopy performed which did not identify the cause of the bleeding.</w:t>
            </w:r>
          </w:p>
        </w:tc>
      </w:tr>
      <w:tr w:rsidR="002E0E34" w:rsidRPr="00003137" w:rsidTr="00C9226B">
        <w:tc>
          <w:tcPr>
            <w:tcW w:w="8414" w:type="dxa"/>
          </w:tcPr>
          <w:p w:rsidR="002E0E34" w:rsidRPr="00003137" w:rsidRDefault="002E0E34" w:rsidP="00344041">
            <w:pPr>
              <w:keepNext/>
              <w:rPr>
                <w:rFonts w:ascii="Arial" w:eastAsia="SimSun" w:hAnsi="Arial" w:cs="Arial"/>
                <w:sz w:val="20"/>
                <w:lang w:eastAsia="zh-CN"/>
              </w:rPr>
            </w:pPr>
            <w:r w:rsidRPr="00003137">
              <w:rPr>
                <w:rFonts w:ascii="Arial" w:hAnsi="Arial" w:cs="Arial"/>
                <w:b/>
                <w:color w:val="000000"/>
                <w:sz w:val="20"/>
              </w:rPr>
              <w:t xml:space="preserve">30684 </w:t>
            </w:r>
            <w:r w:rsidRPr="00003137">
              <w:rPr>
                <w:rFonts w:ascii="Arial" w:hAnsi="Arial" w:cs="Arial"/>
                <w:b/>
                <w:color w:val="FF0000"/>
                <w:sz w:val="20"/>
                <w:lang w:val="en-US" w:eastAsia="ja-JP"/>
              </w:rPr>
              <w:t xml:space="preserve">BALLOON ENTEROSCOPY </w:t>
            </w:r>
            <w:r w:rsidRPr="00003137">
              <w:rPr>
                <w:rFonts w:ascii="Arial" w:hAnsi="Arial" w:cs="Arial"/>
                <w:strike/>
                <w:color w:val="FF0000"/>
                <w:sz w:val="20"/>
                <w:lang w:val="en-US" w:eastAsia="ja-JP"/>
              </w:rPr>
              <w:t>DOUBLE BALLOON ENTEROSCOPY</w:t>
            </w:r>
            <w:r w:rsidRPr="00003137">
              <w:rPr>
                <w:rFonts w:ascii="Arial" w:hAnsi="Arial" w:cs="Arial"/>
                <w:color w:val="000000"/>
                <w:sz w:val="20"/>
              </w:rPr>
              <w:t xml:space="preserve">, examination of the small bowel (oral approach), with or without biopsy, WITH 1 or more of the following procedures (snare polypectomy, removal of foreign body, diathermy, heater probe, laser coagulation or </w:t>
            </w:r>
            <w:r w:rsidRPr="00003137">
              <w:rPr>
                <w:rFonts w:ascii="Arial" w:hAnsi="Arial" w:cs="Arial"/>
                <w:b/>
                <w:color w:val="FF0000"/>
                <w:sz w:val="20"/>
              </w:rPr>
              <w:t>argon plasma coagulation</w:t>
            </w:r>
            <w:r w:rsidRPr="00003137">
              <w:rPr>
                <w:rFonts w:ascii="Arial" w:hAnsi="Arial" w:cs="Arial"/>
                <w:color w:val="000000"/>
                <w:sz w:val="20"/>
              </w:rPr>
              <w:t>), for diagnosis and management of patients with obscure gastrointestinal bleeding, not in association with another item in this subgroup (with the exception of item 30682 or 30686)</w:t>
            </w:r>
          </w:p>
          <w:p w:rsidR="002E0E34" w:rsidRPr="00003137" w:rsidRDefault="002E0E34" w:rsidP="00344041">
            <w:pPr>
              <w:keepNext/>
              <w:rPr>
                <w:rFonts w:ascii="Arial" w:hAnsi="Arial" w:cs="Arial"/>
                <w:color w:val="000000"/>
                <w:sz w:val="20"/>
              </w:rPr>
            </w:pPr>
            <w:r w:rsidRPr="00003137">
              <w:rPr>
                <w:rFonts w:ascii="Arial" w:hAnsi="Arial" w:cs="Arial"/>
                <w:color w:val="000000"/>
                <w:sz w:val="20"/>
              </w:rPr>
              <w:t>The patient to whom the service is provided must:</w:t>
            </w:r>
          </w:p>
          <w:p w:rsidR="002E0E34" w:rsidRPr="00003137" w:rsidRDefault="002E0E34" w:rsidP="00344041">
            <w:pPr>
              <w:keepNext/>
              <w:numPr>
                <w:ilvl w:val="0"/>
                <w:numId w:val="9"/>
              </w:numPr>
              <w:rPr>
                <w:rFonts w:ascii="Arial" w:hAnsi="Arial" w:cs="Arial"/>
                <w:color w:val="000000"/>
                <w:sz w:val="20"/>
              </w:rPr>
            </w:pPr>
            <w:r w:rsidRPr="00003137">
              <w:rPr>
                <w:rFonts w:ascii="Arial" w:hAnsi="Arial" w:cs="Arial"/>
                <w:color w:val="000000"/>
                <w:sz w:val="20"/>
              </w:rPr>
              <w:t>have recurrent or persistent bleeding; and</w:t>
            </w:r>
          </w:p>
          <w:p w:rsidR="002E0E34" w:rsidRPr="00003137" w:rsidRDefault="002E0E34" w:rsidP="00344041">
            <w:pPr>
              <w:keepNext/>
              <w:numPr>
                <w:ilvl w:val="0"/>
                <w:numId w:val="9"/>
              </w:numPr>
              <w:contextualSpacing/>
              <w:rPr>
                <w:rFonts w:ascii="Arial" w:hAnsi="Arial" w:cs="Arial"/>
                <w:sz w:val="20"/>
                <w:lang w:val="en-US" w:eastAsia="ja-JP"/>
              </w:rPr>
            </w:pPr>
            <w:r w:rsidRPr="00003137">
              <w:rPr>
                <w:rFonts w:ascii="Arial" w:hAnsi="Arial" w:cs="Arial"/>
                <w:sz w:val="20"/>
                <w:lang w:val="en-US" w:eastAsia="ja-JP"/>
              </w:rPr>
              <w:t>be anaemic or have active bleeding; and</w:t>
            </w:r>
          </w:p>
          <w:p w:rsidR="002E0E34" w:rsidRPr="00003137" w:rsidRDefault="002E0E34" w:rsidP="00344041">
            <w:pPr>
              <w:keepNext/>
              <w:numPr>
                <w:ilvl w:val="0"/>
                <w:numId w:val="9"/>
              </w:numPr>
              <w:rPr>
                <w:rFonts w:ascii="Arial" w:hAnsi="Arial" w:cs="Arial"/>
                <w:color w:val="000000"/>
                <w:sz w:val="20"/>
              </w:rPr>
            </w:pPr>
            <w:r w:rsidRPr="00003137">
              <w:rPr>
                <w:rFonts w:ascii="Arial" w:hAnsi="Arial" w:cs="Arial"/>
                <w:color w:val="000000"/>
                <w:sz w:val="20"/>
              </w:rPr>
              <w:t>have had an upper gastrointestinal endoscopy and a colonoscopy performed which did not identify the cause of the bleeding.</w:t>
            </w:r>
          </w:p>
        </w:tc>
      </w:tr>
      <w:tr w:rsidR="002E0E34" w:rsidRPr="00003137" w:rsidTr="00C9226B">
        <w:tc>
          <w:tcPr>
            <w:tcW w:w="8414" w:type="dxa"/>
          </w:tcPr>
          <w:p w:rsidR="002E0E34" w:rsidRPr="00003137" w:rsidRDefault="002E0E34" w:rsidP="00344041">
            <w:pPr>
              <w:keepNext/>
              <w:rPr>
                <w:rFonts w:ascii="Arial" w:eastAsia="SimSun" w:hAnsi="Arial" w:cs="Arial"/>
                <w:sz w:val="20"/>
                <w:lang w:eastAsia="zh-CN"/>
              </w:rPr>
            </w:pPr>
            <w:r w:rsidRPr="00003137">
              <w:rPr>
                <w:rFonts w:ascii="Arial" w:hAnsi="Arial" w:cs="Arial"/>
                <w:b/>
                <w:color w:val="000000"/>
                <w:sz w:val="20"/>
              </w:rPr>
              <w:t xml:space="preserve">30686 </w:t>
            </w:r>
            <w:r w:rsidRPr="00003137">
              <w:rPr>
                <w:rFonts w:ascii="Arial" w:hAnsi="Arial" w:cs="Arial"/>
                <w:b/>
                <w:color w:val="FF0000"/>
                <w:sz w:val="20"/>
                <w:lang w:val="en-US" w:eastAsia="ja-JP"/>
              </w:rPr>
              <w:t xml:space="preserve">BALLOON ENTEROSCOPY </w:t>
            </w:r>
            <w:r w:rsidRPr="00003137">
              <w:rPr>
                <w:rFonts w:ascii="Arial" w:hAnsi="Arial" w:cs="Arial"/>
                <w:strike/>
                <w:color w:val="FF0000"/>
                <w:sz w:val="20"/>
                <w:lang w:val="en-US" w:eastAsia="ja-JP"/>
              </w:rPr>
              <w:t>DOUBLE BALLOON ENTEROSCOPY</w:t>
            </w:r>
            <w:r w:rsidRPr="00003137">
              <w:rPr>
                <w:rFonts w:ascii="Arial" w:hAnsi="Arial" w:cs="Arial"/>
                <w:sz w:val="20"/>
              </w:rPr>
              <w:t>,</w:t>
            </w:r>
            <w:r w:rsidRPr="00003137">
              <w:rPr>
                <w:rFonts w:ascii="Arial" w:hAnsi="Arial" w:cs="Arial"/>
                <w:color w:val="FF0000"/>
                <w:sz w:val="20"/>
              </w:rPr>
              <w:t xml:space="preserve"> </w:t>
            </w:r>
            <w:r w:rsidRPr="00003137">
              <w:rPr>
                <w:rFonts w:ascii="Arial" w:hAnsi="Arial" w:cs="Arial"/>
                <w:color w:val="000000"/>
                <w:sz w:val="20"/>
              </w:rPr>
              <w:t xml:space="preserve">examination of the small bowel (anal approach), with or without biopsy, WITH 1 or more of the following procedures (snare polypectomy, removal of foreign body, diathermy, heater probe, laser coagulation or </w:t>
            </w:r>
            <w:r w:rsidRPr="00003137">
              <w:rPr>
                <w:rFonts w:ascii="Arial" w:hAnsi="Arial" w:cs="Arial"/>
                <w:b/>
                <w:color w:val="FF0000"/>
                <w:sz w:val="20"/>
              </w:rPr>
              <w:t>argon plasma coagulation</w:t>
            </w:r>
            <w:r w:rsidRPr="00003137">
              <w:rPr>
                <w:rFonts w:ascii="Arial" w:hAnsi="Arial" w:cs="Arial"/>
                <w:color w:val="000000"/>
                <w:sz w:val="20"/>
              </w:rPr>
              <w:t>), for diagnosis and management of patients with obscure gastrointestinal bleeding, not in association with another item in this subgroup (with the exception of item 30680 or 30684)</w:t>
            </w:r>
          </w:p>
          <w:p w:rsidR="002E0E34" w:rsidRPr="00003137" w:rsidRDefault="002E0E34" w:rsidP="00344041">
            <w:pPr>
              <w:keepNext/>
              <w:rPr>
                <w:rFonts w:ascii="Arial" w:hAnsi="Arial" w:cs="Arial"/>
                <w:color w:val="000000"/>
                <w:sz w:val="20"/>
              </w:rPr>
            </w:pPr>
            <w:r w:rsidRPr="00003137">
              <w:rPr>
                <w:rFonts w:ascii="Arial" w:hAnsi="Arial" w:cs="Arial"/>
                <w:color w:val="000000"/>
                <w:sz w:val="20"/>
              </w:rPr>
              <w:t>The patient to whom the service is provided must:</w:t>
            </w:r>
          </w:p>
          <w:p w:rsidR="002E0E34" w:rsidRPr="00003137" w:rsidRDefault="002E0E34" w:rsidP="00344041">
            <w:pPr>
              <w:keepNext/>
              <w:numPr>
                <w:ilvl w:val="0"/>
                <w:numId w:val="10"/>
              </w:numPr>
              <w:ind w:left="714" w:hanging="357"/>
              <w:contextualSpacing/>
              <w:rPr>
                <w:rFonts w:ascii="Arial" w:hAnsi="Arial" w:cs="Arial"/>
                <w:color w:val="000000"/>
                <w:sz w:val="20"/>
              </w:rPr>
            </w:pPr>
            <w:r w:rsidRPr="00003137">
              <w:rPr>
                <w:rFonts w:ascii="Arial" w:hAnsi="Arial" w:cs="Arial"/>
                <w:color w:val="000000"/>
                <w:sz w:val="20"/>
              </w:rPr>
              <w:t>have recurrent or persistent bleeding; and</w:t>
            </w:r>
          </w:p>
          <w:p w:rsidR="002E0E34" w:rsidRPr="00003137" w:rsidRDefault="002E0E34" w:rsidP="00344041">
            <w:pPr>
              <w:keepNext/>
              <w:numPr>
                <w:ilvl w:val="0"/>
                <w:numId w:val="10"/>
              </w:numPr>
              <w:ind w:left="714" w:hanging="357"/>
              <w:contextualSpacing/>
              <w:rPr>
                <w:rFonts w:ascii="Arial" w:hAnsi="Arial" w:cs="Arial"/>
                <w:sz w:val="20"/>
                <w:lang w:val="en-US" w:eastAsia="ja-JP"/>
              </w:rPr>
            </w:pPr>
            <w:r w:rsidRPr="00003137">
              <w:rPr>
                <w:rFonts w:ascii="Arial" w:hAnsi="Arial" w:cs="Arial"/>
                <w:sz w:val="20"/>
                <w:lang w:val="en-US" w:eastAsia="ja-JP"/>
              </w:rPr>
              <w:t>be anaemic or have active bleeding; and</w:t>
            </w:r>
          </w:p>
          <w:p w:rsidR="002E0E34" w:rsidRPr="00003137" w:rsidRDefault="002E0E34" w:rsidP="00344041">
            <w:pPr>
              <w:keepNext/>
              <w:numPr>
                <w:ilvl w:val="0"/>
                <w:numId w:val="10"/>
              </w:numPr>
              <w:ind w:left="714" w:hanging="357"/>
              <w:contextualSpacing/>
              <w:rPr>
                <w:rFonts w:ascii="Arial" w:hAnsi="Arial" w:cs="Arial"/>
                <w:color w:val="000000"/>
                <w:sz w:val="20"/>
              </w:rPr>
            </w:pPr>
            <w:r w:rsidRPr="00003137">
              <w:rPr>
                <w:rFonts w:ascii="Arial" w:hAnsi="Arial" w:cs="Arial"/>
                <w:color w:val="000000"/>
                <w:sz w:val="20"/>
              </w:rPr>
              <w:t>have had an upper gastrointestinal endoscopy and a colonoscopy performed which did not identify the cause of the bleeding.</w:t>
            </w:r>
          </w:p>
        </w:tc>
      </w:tr>
    </w:tbl>
    <w:p w:rsidR="002E0E34" w:rsidRDefault="002E0E34" w:rsidP="00344041">
      <w:pPr>
        <w:tabs>
          <w:tab w:val="left" w:pos="720"/>
          <w:tab w:val="left" w:pos="1140"/>
        </w:tabs>
        <w:rPr>
          <w:szCs w:val="24"/>
        </w:rPr>
      </w:pPr>
    </w:p>
    <w:p w:rsidR="002E0E34" w:rsidRPr="002E0E34" w:rsidRDefault="002E0E34" w:rsidP="00344041">
      <w:pPr>
        <w:tabs>
          <w:tab w:val="left" w:pos="720"/>
          <w:tab w:val="left" w:pos="1140"/>
        </w:tabs>
        <w:rPr>
          <w:szCs w:val="24"/>
        </w:rPr>
      </w:pPr>
      <w:r w:rsidRPr="002E0E34">
        <w:rPr>
          <w:szCs w:val="24"/>
        </w:rPr>
        <w:t>Eligibility for SBE would be limited to patients with obscure GI bleeding. The patient would also be required to present with the following symptoms:</w:t>
      </w:r>
    </w:p>
    <w:p w:rsidR="002E0E34" w:rsidRPr="002E0E34" w:rsidRDefault="002E0E34" w:rsidP="00344041">
      <w:pPr>
        <w:pStyle w:val="ListParagraph"/>
        <w:numPr>
          <w:ilvl w:val="0"/>
          <w:numId w:val="6"/>
        </w:numPr>
        <w:tabs>
          <w:tab w:val="left" w:pos="720"/>
          <w:tab w:val="left" w:pos="1140"/>
        </w:tabs>
        <w:rPr>
          <w:szCs w:val="24"/>
        </w:rPr>
      </w:pPr>
      <w:r w:rsidRPr="002E0E34">
        <w:rPr>
          <w:szCs w:val="24"/>
        </w:rPr>
        <w:t>recurrent or persistent bleeding; and</w:t>
      </w:r>
    </w:p>
    <w:p w:rsidR="002E0E34" w:rsidRPr="002E0E34" w:rsidRDefault="002E0E34" w:rsidP="00344041">
      <w:pPr>
        <w:pStyle w:val="ListParagraph"/>
        <w:numPr>
          <w:ilvl w:val="0"/>
          <w:numId w:val="6"/>
        </w:numPr>
        <w:tabs>
          <w:tab w:val="left" w:pos="720"/>
          <w:tab w:val="left" w:pos="1140"/>
        </w:tabs>
        <w:rPr>
          <w:szCs w:val="24"/>
        </w:rPr>
      </w:pPr>
      <w:r w:rsidRPr="002E0E34">
        <w:rPr>
          <w:szCs w:val="24"/>
        </w:rPr>
        <w:t>be anaemic or have active bleeding; and</w:t>
      </w:r>
    </w:p>
    <w:p w:rsidR="002E0E34" w:rsidRDefault="002E0E34" w:rsidP="00344041">
      <w:pPr>
        <w:pStyle w:val="ListParagraph"/>
        <w:numPr>
          <w:ilvl w:val="0"/>
          <w:numId w:val="6"/>
        </w:numPr>
        <w:tabs>
          <w:tab w:val="left" w:pos="720"/>
          <w:tab w:val="left" w:pos="1140"/>
        </w:tabs>
        <w:ind w:left="709" w:hanging="349"/>
        <w:rPr>
          <w:szCs w:val="24"/>
        </w:rPr>
      </w:pPr>
      <w:r w:rsidRPr="002E0E34">
        <w:rPr>
          <w:szCs w:val="24"/>
        </w:rPr>
        <w:t>have an upper GI endoscopy and colonoscopy performed which did not identify the cause of the bleeding.</w:t>
      </w:r>
    </w:p>
    <w:p w:rsidR="002E0E34" w:rsidRPr="002E0E34" w:rsidRDefault="002E0E34" w:rsidP="00344041">
      <w:pPr>
        <w:pStyle w:val="ListParagraph"/>
        <w:tabs>
          <w:tab w:val="left" w:pos="720"/>
          <w:tab w:val="left" w:pos="1140"/>
        </w:tabs>
        <w:ind w:left="709"/>
        <w:rPr>
          <w:szCs w:val="24"/>
        </w:rPr>
      </w:pPr>
    </w:p>
    <w:p w:rsidR="00736C14" w:rsidRDefault="002E0E34" w:rsidP="00333B92">
      <w:pPr>
        <w:tabs>
          <w:tab w:val="left" w:pos="720"/>
          <w:tab w:val="left" w:pos="1140"/>
        </w:tabs>
        <w:rPr>
          <w:szCs w:val="24"/>
        </w:rPr>
      </w:pPr>
      <w:r w:rsidRPr="002E0E34">
        <w:rPr>
          <w:szCs w:val="24"/>
        </w:rPr>
        <w:t>This patient population is the same for those patients suitable for DBE.</w:t>
      </w:r>
      <w:r w:rsidR="00333B92">
        <w:rPr>
          <w:szCs w:val="24"/>
        </w:rPr>
        <w:t xml:space="preserve"> </w:t>
      </w:r>
    </w:p>
    <w:p w:rsidR="00736C14" w:rsidRDefault="00736C14" w:rsidP="00333B92">
      <w:pPr>
        <w:tabs>
          <w:tab w:val="left" w:pos="720"/>
          <w:tab w:val="left" w:pos="1140"/>
        </w:tabs>
        <w:rPr>
          <w:szCs w:val="24"/>
        </w:rPr>
      </w:pPr>
    </w:p>
    <w:p w:rsidR="002E0E34" w:rsidRPr="002E0E34" w:rsidRDefault="00471E39" w:rsidP="00344041">
      <w:pPr>
        <w:tabs>
          <w:tab w:val="left" w:pos="720"/>
          <w:tab w:val="left" w:pos="1140"/>
        </w:tabs>
        <w:ind w:right="-57"/>
        <w:rPr>
          <w:szCs w:val="24"/>
        </w:rPr>
      </w:pPr>
      <w:r>
        <w:rPr>
          <w:szCs w:val="24"/>
        </w:rPr>
        <w:t>It wa</w:t>
      </w:r>
      <w:r w:rsidR="00E103DC">
        <w:rPr>
          <w:szCs w:val="24"/>
        </w:rPr>
        <w:t xml:space="preserve">s expected that </w:t>
      </w:r>
      <w:r w:rsidR="002E0E34" w:rsidRPr="002E0E34">
        <w:rPr>
          <w:szCs w:val="24"/>
        </w:rPr>
        <w:t>the majority of patients would receive balloon enteroscopy a maximum of twice (once per approach). However, some patients may require more than two balloon enteroscopy procedures by either route, to re-treat lesions, or if the patient continues to bleed.</w:t>
      </w:r>
    </w:p>
    <w:p w:rsidR="002E0E34" w:rsidRDefault="002E0E34" w:rsidP="00344041">
      <w:pPr>
        <w:tabs>
          <w:tab w:val="left" w:pos="720"/>
          <w:tab w:val="left" w:pos="1140"/>
        </w:tabs>
        <w:rPr>
          <w:szCs w:val="24"/>
        </w:rPr>
      </w:pPr>
    </w:p>
    <w:p w:rsidR="002E0E34" w:rsidRPr="002E0E34" w:rsidRDefault="002E0E34" w:rsidP="00344041">
      <w:pPr>
        <w:tabs>
          <w:tab w:val="left" w:pos="720"/>
          <w:tab w:val="left" w:pos="1140"/>
        </w:tabs>
        <w:rPr>
          <w:szCs w:val="24"/>
        </w:rPr>
      </w:pPr>
      <w:r w:rsidRPr="002E0E34">
        <w:rPr>
          <w:szCs w:val="24"/>
        </w:rPr>
        <w:t xml:space="preserve">The </w:t>
      </w:r>
      <w:r w:rsidR="00471E39">
        <w:rPr>
          <w:szCs w:val="24"/>
        </w:rPr>
        <w:t>application</w:t>
      </w:r>
      <w:r w:rsidRPr="002E0E34">
        <w:rPr>
          <w:szCs w:val="24"/>
        </w:rPr>
        <w:t xml:space="preserve"> indicated that as with DBE, SBE would be performed </w:t>
      </w:r>
      <w:r w:rsidR="00BF3F65">
        <w:rPr>
          <w:szCs w:val="24"/>
        </w:rPr>
        <w:t xml:space="preserve">in public and private day-stay endoscopy units </w:t>
      </w:r>
      <w:r w:rsidRPr="002E0E34">
        <w:rPr>
          <w:szCs w:val="24"/>
        </w:rPr>
        <w:t xml:space="preserve">by specialist gastroenterologists and specialist surgeons with </w:t>
      </w:r>
      <w:r w:rsidRPr="002E0E34">
        <w:rPr>
          <w:szCs w:val="24"/>
        </w:rPr>
        <w:lastRenderedPageBreak/>
        <w:t xml:space="preserve">appropriate approved training in endoscopic procedures. </w:t>
      </w:r>
      <w:r w:rsidR="00FF5890" w:rsidRPr="002E0E34">
        <w:rPr>
          <w:szCs w:val="24"/>
        </w:rPr>
        <w:t>Credentialing</w:t>
      </w:r>
      <w:r w:rsidRPr="002E0E34">
        <w:rPr>
          <w:szCs w:val="24"/>
        </w:rPr>
        <w:t>, training and accreditation processes would be the same as for DBE, with retrograde balloon enteroscopy considered more difficult than antegrade.</w:t>
      </w:r>
    </w:p>
    <w:p w:rsidR="0079412A" w:rsidRPr="00BB418D" w:rsidRDefault="0079412A" w:rsidP="00344041">
      <w:pPr>
        <w:tabs>
          <w:tab w:val="left" w:pos="720"/>
          <w:tab w:val="left" w:pos="1140"/>
        </w:tabs>
        <w:rPr>
          <w:szCs w:val="24"/>
        </w:rPr>
      </w:pPr>
    </w:p>
    <w:p w:rsidR="00426F5C" w:rsidRPr="002B4CE2" w:rsidRDefault="002B4CE2" w:rsidP="00344041">
      <w:pPr>
        <w:pStyle w:val="Heading1"/>
        <w:spacing w:before="0"/>
      </w:pPr>
      <w:r>
        <w:t>5.</w:t>
      </w:r>
      <w:r>
        <w:tab/>
      </w:r>
      <w:r w:rsidR="00D03BC1" w:rsidRPr="002B4CE2">
        <w:t>Consumer Impact Statement</w:t>
      </w:r>
    </w:p>
    <w:p w:rsidR="002E0E34" w:rsidRDefault="002E0E34" w:rsidP="00344041">
      <w:pPr>
        <w:tabs>
          <w:tab w:val="left" w:pos="720"/>
        </w:tabs>
        <w:ind w:right="-227"/>
      </w:pPr>
      <w:r w:rsidRPr="002E0E34">
        <w:rPr>
          <w:szCs w:val="24"/>
        </w:rPr>
        <w:t xml:space="preserve">The </w:t>
      </w:r>
      <w:r w:rsidR="00471E39">
        <w:rPr>
          <w:szCs w:val="24"/>
        </w:rPr>
        <w:t>application</w:t>
      </w:r>
      <w:r w:rsidRPr="002E0E34">
        <w:rPr>
          <w:szCs w:val="24"/>
        </w:rPr>
        <w:t xml:space="preserve"> indicated that given the small population </w:t>
      </w:r>
      <w:r w:rsidR="00BF3F65">
        <w:rPr>
          <w:szCs w:val="24"/>
        </w:rPr>
        <w:t>which</w:t>
      </w:r>
      <w:r w:rsidR="00BF3F65" w:rsidRPr="002E0E34">
        <w:rPr>
          <w:szCs w:val="24"/>
        </w:rPr>
        <w:t xml:space="preserve"> </w:t>
      </w:r>
      <w:r w:rsidRPr="002E0E34">
        <w:rPr>
          <w:szCs w:val="24"/>
        </w:rPr>
        <w:t xml:space="preserve">would be eligible for SBE, only a small number of facilities would be likely to purchase the capital equipment required. As with DBE, it is likely therefore only </w:t>
      </w:r>
      <w:r w:rsidR="00BF3F65">
        <w:rPr>
          <w:szCs w:val="24"/>
        </w:rPr>
        <w:t xml:space="preserve">to </w:t>
      </w:r>
      <w:r w:rsidRPr="002E0E34">
        <w:rPr>
          <w:szCs w:val="24"/>
        </w:rPr>
        <w:t>be available in some capital cities. SBE would be used as a substitute for DBE based on operator preference.</w:t>
      </w:r>
      <w:r w:rsidRPr="002E0E34">
        <w:t xml:space="preserve"> </w:t>
      </w:r>
    </w:p>
    <w:p w:rsidR="002E0E34" w:rsidRPr="002E0E34" w:rsidRDefault="002E0E34" w:rsidP="00344041">
      <w:pPr>
        <w:tabs>
          <w:tab w:val="left" w:pos="720"/>
        </w:tabs>
        <w:ind w:right="-227"/>
        <w:rPr>
          <w:szCs w:val="24"/>
        </w:rPr>
      </w:pPr>
    </w:p>
    <w:p w:rsidR="002E0E34" w:rsidRPr="002E0E34" w:rsidRDefault="002E0E34" w:rsidP="00344041">
      <w:pPr>
        <w:tabs>
          <w:tab w:val="left" w:pos="720"/>
        </w:tabs>
        <w:rPr>
          <w:szCs w:val="24"/>
        </w:rPr>
      </w:pPr>
      <w:r w:rsidRPr="002E0E34">
        <w:rPr>
          <w:szCs w:val="24"/>
        </w:rPr>
        <w:t>Feedback from a specialist to the consultation Decision Analytic Protocol (DAP) identified that the waiting time for DBE is significant as its availability is limited. SBE would be more widely available, so that patients should have better access and be treated more promptly.</w:t>
      </w:r>
    </w:p>
    <w:p w:rsidR="0079412A" w:rsidRPr="00BB418D" w:rsidRDefault="0079412A" w:rsidP="00344041">
      <w:pPr>
        <w:tabs>
          <w:tab w:val="left" w:pos="720"/>
          <w:tab w:val="left" w:pos="1140"/>
        </w:tabs>
        <w:rPr>
          <w:szCs w:val="24"/>
        </w:rPr>
      </w:pPr>
    </w:p>
    <w:p w:rsidR="003510D0" w:rsidRPr="00344041" w:rsidRDefault="002B4CE2" w:rsidP="00344041">
      <w:pPr>
        <w:pStyle w:val="Heading1"/>
        <w:spacing w:before="0"/>
      </w:pPr>
      <w:r>
        <w:t>6.</w:t>
      </w:r>
      <w:r>
        <w:tab/>
      </w:r>
      <w:r w:rsidR="004E6F63" w:rsidRPr="002B4CE2">
        <w:t>Proposed i</w:t>
      </w:r>
      <w:r w:rsidR="00422B7E" w:rsidRPr="002B4CE2">
        <w:t>ntervention’s place in clinical management</w:t>
      </w:r>
    </w:p>
    <w:p w:rsidR="003510D0" w:rsidRPr="003510D0" w:rsidRDefault="003510D0" w:rsidP="00344041">
      <w:pPr>
        <w:tabs>
          <w:tab w:val="left" w:pos="720"/>
        </w:tabs>
        <w:rPr>
          <w:szCs w:val="24"/>
        </w:rPr>
      </w:pPr>
      <w:r w:rsidRPr="003510D0">
        <w:rPr>
          <w:szCs w:val="24"/>
        </w:rPr>
        <w:t>The use of SBE would not impact the rate of any other investigations or interventions, other than DBE.</w:t>
      </w:r>
    </w:p>
    <w:p w:rsidR="003510D0" w:rsidRDefault="003510D0" w:rsidP="00344041">
      <w:pPr>
        <w:tabs>
          <w:tab w:val="left" w:pos="720"/>
        </w:tabs>
        <w:rPr>
          <w:szCs w:val="24"/>
        </w:rPr>
      </w:pPr>
    </w:p>
    <w:p w:rsidR="003510D0" w:rsidRPr="003510D0" w:rsidRDefault="003510D0" w:rsidP="00344041">
      <w:pPr>
        <w:tabs>
          <w:tab w:val="left" w:pos="720"/>
        </w:tabs>
        <w:rPr>
          <w:szCs w:val="24"/>
        </w:rPr>
      </w:pPr>
      <w:r w:rsidRPr="003510D0">
        <w:rPr>
          <w:szCs w:val="24"/>
        </w:rPr>
        <w:t xml:space="preserve">The majority of patients </w:t>
      </w:r>
      <w:r w:rsidR="00C654B0">
        <w:rPr>
          <w:szCs w:val="24"/>
        </w:rPr>
        <w:t>would</w:t>
      </w:r>
      <w:r w:rsidRPr="003510D0">
        <w:rPr>
          <w:szCs w:val="24"/>
        </w:rPr>
        <w:t xml:space="preserve"> have a</w:t>
      </w:r>
      <w:r w:rsidR="00BF3F65">
        <w:rPr>
          <w:szCs w:val="24"/>
        </w:rPr>
        <w:t xml:space="preserve"> </w:t>
      </w:r>
      <w:r w:rsidRPr="003510D0">
        <w:rPr>
          <w:szCs w:val="24"/>
        </w:rPr>
        <w:t xml:space="preserve">CE prior to either SBE or DBE, to indicate whether there is a lesion in the small bowel, and whether it is likely to be suitable for </w:t>
      </w:r>
      <w:r w:rsidR="00BF3F65">
        <w:rPr>
          <w:szCs w:val="24"/>
        </w:rPr>
        <w:t>enteroscopic intervention</w:t>
      </w:r>
      <w:r w:rsidRPr="003510D0">
        <w:rPr>
          <w:szCs w:val="24"/>
        </w:rPr>
        <w:t xml:space="preserve"> or requires </w:t>
      </w:r>
      <w:r w:rsidR="00BF3F65">
        <w:rPr>
          <w:szCs w:val="24"/>
        </w:rPr>
        <w:t>surgery</w:t>
      </w:r>
      <w:r w:rsidRPr="003510D0">
        <w:rPr>
          <w:szCs w:val="24"/>
        </w:rPr>
        <w:t xml:space="preserve"> with or without intra-operative enteroscopy (if further investigation or diagnosis is not required prior to surgery for treatment).</w:t>
      </w:r>
    </w:p>
    <w:p w:rsidR="003510D0" w:rsidRDefault="003510D0" w:rsidP="00344041">
      <w:pPr>
        <w:autoSpaceDE w:val="0"/>
        <w:autoSpaceDN w:val="0"/>
        <w:adjustRightInd w:val="0"/>
        <w:rPr>
          <w:szCs w:val="24"/>
        </w:rPr>
      </w:pPr>
    </w:p>
    <w:p w:rsidR="003510D0" w:rsidRDefault="00C654B0" w:rsidP="00344041">
      <w:pPr>
        <w:autoSpaceDE w:val="0"/>
        <w:autoSpaceDN w:val="0"/>
        <w:adjustRightInd w:val="0"/>
        <w:rPr>
          <w:szCs w:val="24"/>
        </w:rPr>
      </w:pPr>
      <w:r>
        <w:rPr>
          <w:szCs w:val="24"/>
        </w:rPr>
        <w:t>SBE wa</w:t>
      </w:r>
      <w:r w:rsidR="003510D0" w:rsidRPr="003510D0">
        <w:rPr>
          <w:szCs w:val="24"/>
        </w:rPr>
        <w:t xml:space="preserve">s proposed as an alternative service for the currently subsidised intervention, DBE. There </w:t>
      </w:r>
      <w:r>
        <w:rPr>
          <w:szCs w:val="24"/>
        </w:rPr>
        <w:t>would</w:t>
      </w:r>
      <w:r w:rsidR="003510D0" w:rsidRPr="003510D0">
        <w:rPr>
          <w:szCs w:val="24"/>
        </w:rPr>
        <w:t xml:space="preserve"> be rare cases when one form of balloon enteroscopy may be more appropriate than another, such as when a patient has a latex allergy (the DBE system has latex balloons whereas the SBE system has a silicon balloon), or when a patient in a liver transplant unit with altered anatomy is undergoing an endoscopic retrograde cholangiopancreatography (ERCP). In that situation, DBE may be more appropriate due the availability of both a standard enteroscope as well as a short enteroscope which is compatible with most ERCP accessories.</w:t>
      </w:r>
    </w:p>
    <w:p w:rsidR="003510D0" w:rsidRPr="003510D0" w:rsidRDefault="003510D0" w:rsidP="00344041">
      <w:pPr>
        <w:autoSpaceDE w:val="0"/>
        <w:autoSpaceDN w:val="0"/>
        <w:adjustRightInd w:val="0"/>
        <w:rPr>
          <w:szCs w:val="24"/>
        </w:rPr>
      </w:pPr>
    </w:p>
    <w:p w:rsidR="003510D0" w:rsidRPr="003510D0" w:rsidRDefault="003510D0" w:rsidP="00344041">
      <w:pPr>
        <w:autoSpaceDE w:val="0"/>
        <w:autoSpaceDN w:val="0"/>
        <w:adjustRightInd w:val="0"/>
        <w:rPr>
          <w:szCs w:val="24"/>
        </w:rPr>
      </w:pPr>
      <w:r w:rsidRPr="003510D0">
        <w:rPr>
          <w:szCs w:val="24"/>
        </w:rPr>
        <w:t xml:space="preserve">However, as a general rule, no changes would be expected using SBE in place of DBE in regards to the position of therapy, management options, or spectrum of patients treated. </w:t>
      </w:r>
    </w:p>
    <w:p w:rsidR="003510D0" w:rsidRDefault="003510D0" w:rsidP="00344041">
      <w:pPr>
        <w:autoSpaceDE w:val="0"/>
        <w:autoSpaceDN w:val="0"/>
        <w:adjustRightInd w:val="0"/>
        <w:rPr>
          <w:szCs w:val="24"/>
        </w:rPr>
      </w:pPr>
    </w:p>
    <w:p w:rsidR="003510D0" w:rsidRPr="003510D0" w:rsidRDefault="003510D0" w:rsidP="00344041">
      <w:pPr>
        <w:autoSpaceDE w:val="0"/>
        <w:autoSpaceDN w:val="0"/>
        <w:adjustRightInd w:val="0"/>
        <w:rPr>
          <w:szCs w:val="24"/>
        </w:rPr>
      </w:pPr>
      <w:r w:rsidRPr="003510D0">
        <w:rPr>
          <w:szCs w:val="24"/>
        </w:rPr>
        <w:t xml:space="preserve">The algorithm used </w:t>
      </w:r>
      <w:r w:rsidR="00C654B0">
        <w:rPr>
          <w:szCs w:val="24"/>
        </w:rPr>
        <w:t>wa</w:t>
      </w:r>
      <w:r w:rsidRPr="003510D0">
        <w:rPr>
          <w:szCs w:val="24"/>
        </w:rPr>
        <w:t xml:space="preserve">s based on the management algorithm used in MSAC Assessment 1102 of DBE. The algorithm </w:t>
      </w:r>
      <w:r w:rsidR="00C654B0">
        <w:rPr>
          <w:szCs w:val="24"/>
        </w:rPr>
        <w:t>was</w:t>
      </w:r>
      <w:r w:rsidRPr="003510D0">
        <w:rPr>
          <w:szCs w:val="24"/>
        </w:rPr>
        <w:t xml:space="preserve"> amended to remove the small population of patients with small bowel pathology, without obscure GI bleeding, as DBE was listed on the MBS to be used only for those with obscure GI bleeding. It is possible that balloon enteroscopy may be useful in patients with small bowel disease who present without bleeding e.g. pain, obstruction, weight loss, diarr</w:t>
      </w:r>
      <w:r w:rsidR="00AF1FA0">
        <w:rPr>
          <w:szCs w:val="24"/>
        </w:rPr>
        <w:t xml:space="preserve">hoea. However, the application </w:t>
      </w:r>
      <w:r w:rsidR="00BF3F65">
        <w:rPr>
          <w:szCs w:val="24"/>
        </w:rPr>
        <w:t>did not seek</w:t>
      </w:r>
      <w:r w:rsidRPr="003510D0">
        <w:rPr>
          <w:szCs w:val="24"/>
        </w:rPr>
        <w:t xml:space="preserve"> funding to be expanded to cover any indications not already listed for DBE.</w:t>
      </w:r>
    </w:p>
    <w:p w:rsidR="003510D0" w:rsidRDefault="003510D0" w:rsidP="00344041">
      <w:pPr>
        <w:autoSpaceDE w:val="0"/>
        <w:autoSpaceDN w:val="0"/>
        <w:adjustRightInd w:val="0"/>
        <w:rPr>
          <w:szCs w:val="24"/>
        </w:rPr>
      </w:pPr>
    </w:p>
    <w:p w:rsidR="003510D0" w:rsidRDefault="003510D0" w:rsidP="00344041">
      <w:pPr>
        <w:autoSpaceDE w:val="0"/>
        <w:autoSpaceDN w:val="0"/>
        <w:adjustRightInd w:val="0"/>
        <w:rPr>
          <w:szCs w:val="24"/>
        </w:rPr>
      </w:pPr>
      <w:r w:rsidRPr="003510D0">
        <w:rPr>
          <w:szCs w:val="24"/>
        </w:rPr>
        <w:t xml:space="preserve">The algorithm </w:t>
      </w:r>
      <w:r w:rsidR="00C654B0">
        <w:rPr>
          <w:szCs w:val="24"/>
        </w:rPr>
        <w:t>w</w:t>
      </w:r>
      <w:r w:rsidRPr="003510D0">
        <w:rPr>
          <w:szCs w:val="24"/>
        </w:rPr>
        <w:t xml:space="preserve">as also amended to </w:t>
      </w:r>
      <w:r w:rsidR="00BF3F65">
        <w:rPr>
          <w:szCs w:val="24"/>
        </w:rPr>
        <w:t>specify</w:t>
      </w:r>
      <w:r w:rsidR="00BF3F65" w:rsidRPr="003510D0">
        <w:rPr>
          <w:szCs w:val="24"/>
        </w:rPr>
        <w:t xml:space="preserve"> </w:t>
      </w:r>
      <w:r w:rsidRPr="003510D0">
        <w:rPr>
          <w:szCs w:val="24"/>
        </w:rPr>
        <w:t>that patients are required to have an upper GI endoscopy and a colonoscopy, prior to being classified as having obscure GI bleeding.</w:t>
      </w:r>
    </w:p>
    <w:p w:rsidR="00736C14" w:rsidRDefault="00736C14" w:rsidP="00344041">
      <w:pPr>
        <w:autoSpaceDE w:val="0"/>
        <w:autoSpaceDN w:val="0"/>
        <w:adjustRightInd w:val="0"/>
        <w:rPr>
          <w:szCs w:val="24"/>
        </w:rPr>
      </w:pPr>
    </w:p>
    <w:p w:rsidR="003510D0" w:rsidRPr="00344041" w:rsidRDefault="002B4CE2" w:rsidP="00344041">
      <w:pPr>
        <w:pStyle w:val="Heading1"/>
        <w:spacing w:before="0"/>
      </w:pPr>
      <w:r>
        <w:t>7.</w:t>
      </w:r>
      <w:r>
        <w:tab/>
      </w:r>
      <w:r w:rsidR="00865C26" w:rsidRPr="002B4CE2">
        <w:t>Other options for MSAC consideration</w:t>
      </w:r>
    </w:p>
    <w:p w:rsidR="0079412A" w:rsidRDefault="003510D0" w:rsidP="00344041">
      <w:pPr>
        <w:tabs>
          <w:tab w:val="left" w:pos="720"/>
          <w:tab w:val="left" w:pos="1140"/>
        </w:tabs>
        <w:rPr>
          <w:szCs w:val="24"/>
        </w:rPr>
      </w:pPr>
      <w:r w:rsidRPr="003510D0">
        <w:rPr>
          <w:szCs w:val="24"/>
        </w:rPr>
        <w:t>Nil.</w:t>
      </w:r>
    </w:p>
    <w:p w:rsidR="00344041" w:rsidRPr="00BB418D" w:rsidRDefault="00344041" w:rsidP="00344041">
      <w:pPr>
        <w:tabs>
          <w:tab w:val="left" w:pos="720"/>
          <w:tab w:val="left" w:pos="1140"/>
        </w:tabs>
        <w:rPr>
          <w:szCs w:val="24"/>
        </w:rPr>
      </w:pPr>
    </w:p>
    <w:p w:rsidR="00937076" w:rsidRPr="002B4CE2" w:rsidRDefault="002B4CE2" w:rsidP="00344041">
      <w:pPr>
        <w:pStyle w:val="Heading1"/>
        <w:spacing w:before="0"/>
      </w:pPr>
      <w:r>
        <w:t>8.</w:t>
      </w:r>
      <w:r>
        <w:tab/>
      </w:r>
      <w:r w:rsidR="00937076" w:rsidRPr="002B4CE2">
        <w:t>Comparator</w:t>
      </w:r>
      <w:r w:rsidR="00094129" w:rsidRPr="002B4CE2">
        <w:t xml:space="preserve"> to the </w:t>
      </w:r>
      <w:r w:rsidR="00B7306D" w:rsidRPr="002B4CE2">
        <w:t>proposed i</w:t>
      </w:r>
      <w:r w:rsidR="00094129" w:rsidRPr="002B4CE2">
        <w:t>ntervention</w:t>
      </w:r>
    </w:p>
    <w:p w:rsidR="003510D0" w:rsidRDefault="003510D0" w:rsidP="00344041">
      <w:pPr>
        <w:tabs>
          <w:tab w:val="left" w:pos="720"/>
          <w:tab w:val="left" w:pos="1140"/>
        </w:tabs>
        <w:rPr>
          <w:szCs w:val="24"/>
        </w:rPr>
      </w:pPr>
      <w:r w:rsidRPr="003510D0">
        <w:rPr>
          <w:szCs w:val="24"/>
        </w:rPr>
        <w:t xml:space="preserve">The </w:t>
      </w:r>
      <w:r w:rsidR="00C654B0">
        <w:rPr>
          <w:szCs w:val="24"/>
        </w:rPr>
        <w:t>application</w:t>
      </w:r>
      <w:r w:rsidRPr="003510D0">
        <w:rPr>
          <w:szCs w:val="24"/>
        </w:rPr>
        <w:t xml:space="preserve"> proposed that SBE is an alternative procedure for DBE. Therefore, the direct comparator for SBE is the currently used DBE and all procedures associated with its usage.</w:t>
      </w:r>
    </w:p>
    <w:p w:rsidR="003510D0" w:rsidRPr="003510D0" w:rsidRDefault="003510D0" w:rsidP="00344041">
      <w:pPr>
        <w:tabs>
          <w:tab w:val="left" w:pos="720"/>
          <w:tab w:val="left" w:pos="1140"/>
        </w:tabs>
        <w:rPr>
          <w:szCs w:val="24"/>
        </w:rPr>
      </w:pPr>
    </w:p>
    <w:p w:rsidR="00E66AD5" w:rsidRDefault="00E66AD5" w:rsidP="00E66AD5">
      <w:pPr>
        <w:rPr>
          <w:bCs/>
          <w:szCs w:val="24"/>
        </w:rPr>
      </w:pPr>
      <w:r>
        <w:rPr>
          <w:bCs/>
          <w:szCs w:val="24"/>
        </w:rPr>
        <w:t>MSAC agreed that DBE is the appropriate comparator.</w:t>
      </w:r>
    </w:p>
    <w:p w:rsidR="003510D0" w:rsidRPr="003510D0" w:rsidRDefault="003510D0" w:rsidP="00344041">
      <w:pPr>
        <w:tabs>
          <w:tab w:val="left" w:pos="720"/>
          <w:tab w:val="left" w:pos="1140"/>
        </w:tabs>
        <w:rPr>
          <w:szCs w:val="24"/>
        </w:rPr>
      </w:pPr>
    </w:p>
    <w:p w:rsidR="003510D0" w:rsidRDefault="003510D0" w:rsidP="00344041">
      <w:pPr>
        <w:tabs>
          <w:tab w:val="left" w:pos="720"/>
          <w:tab w:val="left" w:pos="1140"/>
        </w:tabs>
        <w:rPr>
          <w:szCs w:val="24"/>
        </w:rPr>
      </w:pPr>
      <w:r w:rsidRPr="003510D0">
        <w:rPr>
          <w:szCs w:val="24"/>
        </w:rPr>
        <w:t>MBS items 30680, 30682, 30684 and 30686 for DBE were introduced on the Schedule from 1 July 2007.</w:t>
      </w:r>
    </w:p>
    <w:p w:rsidR="00A32A55" w:rsidRDefault="00A32A55" w:rsidP="00344041">
      <w:pPr>
        <w:tabs>
          <w:tab w:val="left" w:pos="720"/>
          <w:tab w:val="left" w:pos="1140"/>
        </w:tabs>
        <w:rPr>
          <w:szCs w:val="24"/>
        </w:rPr>
      </w:pPr>
    </w:p>
    <w:p w:rsidR="00937076" w:rsidRPr="002B4CE2" w:rsidRDefault="002B4CE2" w:rsidP="00344041">
      <w:pPr>
        <w:pStyle w:val="Heading1"/>
        <w:spacing w:before="0"/>
      </w:pPr>
      <w:r>
        <w:t>9.</w:t>
      </w:r>
      <w:r>
        <w:tab/>
      </w:r>
      <w:r w:rsidR="00E67C5A" w:rsidRPr="002B4CE2">
        <w:t xml:space="preserve">Comparative </w:t>
      </w:r>
      <w:r w:rsidR="00C93A35" w:rsidRPr="002B4CE2">
        <w:t>s</w:t>
      </w:r>
      <w:r w:rsidR="00937076" w:rsidRPr="002B4CE2">
        <w:t>afety</w:t>
      </w:r>
    </w:p>
    <w:p w:rsidR="00222CE6" w:rsidRDefault="00222CE6" w:rsidP="00344041">
      <w:pPr>
        <w:tabs>
          <w:tab w:val="left" w:pos="720"/>
        </w:tabs>
        <w:rPr>
          <w:szCs w:val="24"/>
        </w:rPr>
      </w:pPr>
      <w:r w:rsidRPr="00222CE6">
        <w:rPr>
          <w:szCs w:val="24"/>
        </w:rPr>
        <w:t>Five comparative studies were identified for inclusion in the evaluation of the safety and effectiveness of SBE (four prospective, randomised controlled trials (RCTs)</w:t>
      </w:r>
      <w:r w:rsidR="00D30B3A">
        <w:rPr>
          <w:szCs w:val="24"/>
        </w:rPr>
        <w:t xml:space="preserve"> - </w:t>
      </w:r>
      <w:r w:rsidR="00D30B3A" w:rsidRPr="00222CE6">
        <w:rPr>
          <w:szCs w:val="24"/>
        </w:rPr>
        <w:t xml:space="preserve">May </w:t>
      </w:r>
      <w:r w:rsidR="00D30B3A" w:rsidRPr="00D30B3A">
        <w:rPr>
          <w:i/>
          <w:szCs w:val="24"/>
        </w:rPr>
        <w:t>et al</w:t>
      </w:r>
      <w:r w:rsidR="00D30B3A" w:rsidRPr="00222CE6">
        <w:rPr>
          <w:szCs w:val="24"/>
        </w:rPr>
        <w:t xml:space="preserve"> 2010</w:t>
      </w:r>
      <w:r w:rsidR="00D30B3A">
        <w:rPr>
          <w:szCs w:val="24"/>
        </w:rPr>
        <w:t xml:space="preserve">, </w:t>
      </w:r>
      <w:r w:rsidR="00D30B3A" w:rsidRPr="00222CE6">
        <w:rPr>
          <w:szCs w:val="24"/>
        </w:rPr>
        <w:t xml:space="preserve">Takano </w:t>
      </w:r>
      <w:r w:rsidR="00D30B3A" w:rsidRPr="00D30B3A">
        <w:rPr>
          <w:i/>
          <w:szCs w:val="24"/>
        </w:rPr>
        <w:t>et al</w:t>
      </w:r>
      <w:r w:rsidR="00D30B3A" w:rsidRPr="00222CE6">
        <w:rPr>
          <w:szCs w:val="24"/>
        </w:rPr>
        <w:t xml:space="preserve"> 2011</w:t>
      </w:r>
      <w:r w:rsidR="00D30B3A">
        <w:rPr>
          <w:szCs w:val="24"/>
        </w:rPr>
        <w:t xml:space="preserve">, </w:t>
      </w:r>
      <w:r w:rsidR="00D30B3A" w:rsidRPr="00222CE6">
        <w:rPr>
          <w:szCs w:val="24"/>
        </w:rPr>
        <w:t xml:space="preserve">Domagk </w:t>
      </w:r>
      <w:r w:rsidR="00D30B3A" w:rsidRPr="00D30B3A">
        <w:rPr>
          <w:i/>
          <w:szCs w:val="24"/>
        </w:rPr>
        <w:t>et al</w:t>
      </w:r>
      <w:r w:rsidR="00D30B3A" w:rsidRPr="00222CE6">
        <w:rPr>
          <w:szCs w:val="24"/>
        </w:rPr>
        <w:t xml:space="preserve"> 2011</w:t>
      </w:r>
      <w:r w:rsidR="00D30B3A">
        <w:rPr>
          <w:szCs w:val="24"/>
        </w:rPr>
        <w:t xml:space="preserve"> and </w:t>
      </w:r>
      <w:r w:rsidR="00D30B3A" w:rsidRPr="00222CE6">
        <w:rPr>
          <w:szCs w:val="24"/>
        </w:rPr>
        <w:t xml:space="preserve">Efthymiou </w:t>
      </w:r>
      <w:r w:rsidR="00D30B3A" w:rsidRPr="00D30B3A">
        <w:rPr>
          <w:i/>
          <w:szCs w:val="24"/>
        </w:rPr>
        <w:t>et al</w:t>
      </w:r>
      <w:r w:rsidR="00D30B3A" w:rsidRPr="00222CE6">
        <w:rPr>
          <w:szCs w:val="24"/>
        </w:rPr>
        <w:t xml:space="preserve"> 2012</w:t>
      </w:r>
      <w:r w:rsidR="00D30B3A">
        <w:rPr>
          <w:szCs w:val="24"/>
        </w:rPr>
        <w:t xml:space="preserve">; </w:t>
      </w:r>
      <w:r w:rsidRPr="00222CE6">
        <w:rPr>
          <w:szCs w:val="24"/>
        </w:rPr>
        <w:t>and one retrospective, non-randomised study</w:t>
      </w:r>
      <w:r w:rsidR="00D30B3A">
        <w:rPr>
          <w:szCs w:val="24"/>
        </w:rPr>
        <w:t xml:space="preserve"> - </w:t>
      </w:r>
      <w:r w:rsidR="00D30B3A" w:rsidRPr="00222CE6">
        <w:rPr>
          <w:szCs w:val="24"/>
        </w:rPr>
        <w:t xml:space="preserve">Lenz </w:t>
      </w:r>
      <w:r w:rsidR="00D30B3A" w:rsidRPr="00D30B3A">
        <w:rPr>
          <w:i/>
          <w:szCs w:val="24"/>
        </w:rPr>
        <w:t>et al</w:t>
      </w:r>
      <w:r w:rsidR="00D30B3A" w:rsidRPr="00222CE6">
        <w:rPr>
          <w:szCs w:val="24"/>
        </w:rPr>
        <w:t xml:space="preserve"> 2013</w:t>
      </w:r>
      <w:r w:rsidRPr="00222CE6">
        <w:rPr>
          <w:szCs w:val="24"/>
        </w:rPr>
        <w:t>).</w:t>
      </w:r>
    </w:p>
    <w:p w:rsidR="00222CE6" w:rsidRDefault="00222CE6" w:rsidP="00344041">
      <w:pPr>
        <w:tabs>
          <w:tab w:val="left" w:pos="720"/>
          <w:tab w:val="left" w:pos="1140"/>
        </w:tabs>
        <w:rPr>
          <w:szCs w:val="24"/>
        </w:rPr>
      </w:pPr>
    </w:p>
    <w:p w:rsidR="00222CE6" w:rsidRDefault="00222CE6" w:rsidP="00344041">
      <w:pPr>
        <w:tabs>
          <w:tab w:val="left" w:pos="720"/>
          <w:tab w:val="left" w:pos="1140"/>
        </w:tabs>
        <w:rPr>
          <w:szCs w:val="24"/>
        </w:rPr>
      </w:pPr>
      <w:r w:rsidRPr="00222CE6">
        <w:rPr>
          <w:szCs w:val="24"/>
        </w:rPr>
        <w:t>In all five studies, the incidence of significant adverse events was low and comparable between SBE and DBE. There were no deaths related to enteroscopy reported in any of the five studies.</w:t>
      </w:r>
    </w:p>
    <w:p w:rsidR="00D1734A" w:rsidRDefault="00D1734A" w:rsidP="00344041">
      <w:pPr>
        <w:tabs>
          <w:tab w:val="left" w:pos="720"/>
          <w:tab w:val="left" w:pos="1140"/>
        </w:tabs>
        <w:rPr>
          <w:szCs w:val="24"/>
        </w:rPr>
      </w:pPr>
    </w:p>
    <w:p w:rsidR="00222CE6" w:rsidRPr="00222CE6" w:rsidRDefault="00222CE6" w:rsidP="00344041">
      <w:pPr>
        <w:tabs>
          <w:tab w:val="left" w:pos="720"/>
          <w:tab w:val="left" w:pos="1140"/>
        </w:tabs>
        <w:rPr>
          <w:szCs w:val="24"/>
        </w:rPr>
      </w:pPr>
      <w:r w:rsidRPr="00222CE6">
        <w:rPr>
          <w:szCs w:val="24"/>
        </w:rPr>
        <w:t>There were no reported cases of perforation, post-polyp</w:t>
      </w:r>
      <w:r w:rsidR="00BF3F65">
        <w:rPr>
          <w:szCs w:val="24"/>
        </w:rPr>
        <w:t>ectomy</w:t>
      </w:r>
      <w:r w:rsidRPr="00222CE6">
        <w:rPr>
          <w:szCs w:val="24"/>
        </w:rPr>
        <w:t xml:space="preserve"> sepsis, ileus, abscess, intestinal haematoma, bleeding, intussusception, infection or peritonitis</w:t>
      </w:r>
      <w:r w:rsidR="00BF3F65">
        <w:rPr>
          <w:szCs w:val="24"/>
        </w:rPr>
        <w:t xml:space="preserve"> caused by the procedure</w:t>
      </w:r>
      <w:r w:rsidRPr="00222CE6">
        <w:rPr>
          <w:szCs w:val="24"/>
        </w:rPr>
        <w:t>. There were no reports of pancreatitis</w:t>
      </w:r>
      <w:r w:rsidR="00135303">
        <w:rPr>
          <w:szCs w:val="24"/>
        </w:rPr>
        <w:t>,</w:t>
      </w:r>
      <w:r w:rsidRPr="00222CE6">
        <w:rPr>
          <w:szCs w:val="24"/>
        </w:rPr>
        <w:t xml:space="preserve"> although there was </w:t>
      </w:r>
      <w:r w:rsidR="00135303">
        <w:rPr>
          <w:szCs w:val="24"/>
        </w:rPr>
        <w:t>one</w:t>
      </w:r>
      <w:r w:rsidRPr="00222CE6">
        <w:rPr>
          <w:szCs w:val="24"/>
        </w:rPr>
        <w:t xml:space="preserve"> case of raised amylase with SBE.</w:t>
      </w:r>
    </w:p>
    <w:p w:rsidR="00222CE6" w:rsidRDefault="00222CE6" w:rsidP="00344041">
      <w:pPr>
        <w:tabs>
          <w:tab w:val="left" w:pos="720"/>
        </w:tabs>
        <w:rPr>
          <w:szCs w:val="24"/>
        </w:rPr>
      </w:pPr>
    </w:p>
    <w:p w:rsidR="002C6F9E" w:rsidRDefault="002C6F9E" w:rsidP="002C6F9E">
      <w:pPr>
        <w:rPr>
          <w:bCs/>
          <w:szCs w:val="24"/>
        </w:rPr>
      </w:pPr>
      <w:r>
        <w:rPr>
          <w:bCs/>
          <w:szCs w:val="24"/>
        </w:rPr>
        <w:t xml:space="preserve">MSAC noted that the patients included in the five comparative studies presented were undergoing enteroscopy for a number of reasons, not </w:t>
      </w:r>
      <w:r w:rsidR="00BF3F65">
        <w:rPr>
          <w:bCs/>
          <w:szCs w:val="24"/>
        </w:rPr>
        <w:t xml:space="preserve">only </w:t>
      </w:r>
      <w:r>
        <w:rPr>
          <w:bCs/>
          <w:szCs w:val="24"/>
        </w:rPr>
        <w:t xml:space="preserve">for obscure gastrointestinal tract bleeding. </w:t>
      </w:r>
      <w:r>
        <w:rPr>
          <w:sz w:val="23"/>
          <w:szCs w:val="23"/>
        </w:rPr>
        <w:t>In all five studies, the incidence of significant adverse events was low and comparable between SBE and DBE.</w:t>
      </w:r>
    </w:p>
    <w:p w:rsidR="00344041" w:rsidRPr="006260E1" w:rsidRDefault="00344041" w:rsidP="006260E1"/>
    <w:p w:rsidR="002C6F9E" w:rsidRDefault="002C6F9E" w:rsidP="002C6F9E">
      <w:pPr>
        <w:rPr>
          <w:szCs w:val="24"/>
        </w:rPr>
      </w:pPr>
      <w:r w:rsidRPr="00FB7932">
        <w:rPr>
          <w:szCs w:val="24"/>
        </w:rPr>
        <w:t>Overall, MSAC considered that SBE is likely to be non-inferior to DBE in terms of comparative safety</w:t>
      </w:r>
      <w:r>
        <w:rPr>
          <w:szCs w:val="24"/>
        </w:rPr>
        <w:t>.</w:t>
      </w:r>
    </w:p>
    <w:p w:rsidR="002C6F9E" w:rsidRPr="002C6F9E" w:rsidRDefault="002C6F9E" w:rsidP="002C6F9E"/>
    <w:p w:rsidR="00222CE6" w:rsidRPr="00344041" w:rsidRDefault="002B4CE2" w:rsidP="00344041">
      <w:pPr>
        <w:pStyle w:val="Heading1"/>
        <w:spacing w:before="0"/>
      </w:pPr>
      <w:r>
        <w:t>10.</w:t>
      </w:r>
      <w:r>
        <w:tab/>
      </w:r>
      <w:r w:rsidR="00E67C5A" w:rsidRPr="002B4CE2">
        <w:t xml:space="preserve">Comparative </w:t>
      </w:r>
      <w:r w:rsidR="00937076" w:rsidRPr="002B4CE2">
        <w:t>effectiveness</w:t>
      </w:r>
    </w:p>
    <w:p w:rsidR="00222CE6" w:rsidRPr="00222CE6" w:rsidRDefault="00D03463" w:rsidP="00344041">
      <w:pPr>
        <w:tabs>
          <w:tab w:val="left" w:pos="720"/>
        </w:tabs>
        <w:rPr>
          <w:szCs w:val="24"/>
        </w:rPr>
      </w:pPr>
      <w:r>
        <w:rPr>
          <w:szCs w:val="24"/>
        </w:rPr>
        <w:t>MSAC noted that i</w:t>
      </w:r>
      <w:r w:rsidR="00222CE6" w:rsidRPr="00222CE6">
        <w:rPr>
          <w:szCs w:val="24"/>
        </w:rPr>
        <w:t xml:space="preserve">n the four RCTs there was no significant difference in diagnostic yield between DBE and SBE. In the non-randomised study by Lenz </w:t>
      </w:r>
      <w:r w:rsidR="00AC713C" w:rsidRPr="00AC713C">
        <w:rPr>
          <w:i/>
          <w:szCs w:val="24"/>
        </w:rPr>
        <w:t>et al</w:t>
      </w:r>
      <w:r w:rsidR="00AC713C">
        <w:rPr>
          <w:szCs w:val="24"/>
        </w:rPr>
        <w:t xml:space="preserve"> </w:t>
      </w:r>
      <w:r w:rsidR="00222CE6" w:rsidRPr="00222CE6">
        <w:rPr>
          <w:szCs w:val="24"/>
        </w:rPr>
        <w:t>(2013) a significant difference in diagnostic yield in favour of SBE was found. However</w:t>
      </w:r>
      <w:r w:rsidR="00C17E12">
        <w:rPr>
          <w:szCs w:val="24"/>
        </w:rPr>
        <w:t>,</w:t>
      </w:r>
      <w:r w:rsidR="00222CE6" w:rsidRPr="00222CE6">
        <w:rPr>
          <w:szCs w:val="24"/>
        </w:rPr>
        <w:t xml:space="preserve"> in this study DBE was performed over the period 2004 to 2011, whereas SBE was performed from 2008 to 2011. </w:t>
      </w:r>
      <w:r>
        <w:rPr>
          <w:szCs w:val="24"/>
        </w:rPr>
        <w:t>MSAC agreed</w:t>
      </w:r>
      <w:r w:rsidR="00222CE6" w:rsidRPr="00222CE6">
        <w:rPr>
          <w:szCs w:val="24"/>
        </w:rPr>
        <w:t xml:space="preserve"> that a change over time in the reasons for referral for enteroscopy </w:t>
      </w:r>
      <w:r>
        <w:rPr>
          <w:szCs w:val="24"/>
        </w:rPr>
        <w:t>or preference for the latter technique could account for</w:t>
      </w:r>
      <w:r w:rsidR="00222CE6" w:rsidRPr="00222CE6">
        <w:rPr>
          <w:szCs w:val="24"/>
        </w:rPr>
        <w:t xml:space="preserve"> the higher yield with SBE.</w:t>
      </w:r>
    </w:p>
    <w:p w:rsidR="00222CE6" w:rsidRDefault="00222CE6" w:rsidP="00344041">
      <w:pPr>
        <w:tabs>
          <w:tab w:val="left" w:pos="720"/>
        </w:tabs>
        <w:rPr>
          <w:szCs w:val="24"/>
        </w:rPr>
      </w:pPr>
    </w:p>
    <w:p w:rsidR="00222CE6" w:rsidRDefault="00AC713C" w:rsidP="00344041">
      <w:pPr>
        <w:tabs>
          <w:tab w:val="left" w:pos="720"/>
        </w:tabs>
        <w:rPr>
          <w:szCs w:val="24"/>
        </w:rPr>
      </w:pPr>
      <w:r>
        <w:rPr>
          <w:szCs w:val="24"/>
        </w:rPr>
        <w:t xml:space="preserve">The non-randomised study by </w:t>
      </w:r>
      <w:r w:rsidR="00222CE6" w:rsidRPr="00222CE6">
        <w:rPr>
          <w:szCs w:val="24"/>
        </w:rPr>
        <w:t xml:space="preserve">Lenz </w:t>
      </w:r>
      <w:r w:rsidR="00222CE6" w:rsidRPr="00AC713C">
        <w:rPr>
          <w:i/>
          <w:szCs w:val="24"/>
        </w:rPr>
        <w:t>et al</w:t>
      </w:r>
      <w:r w:rsidR="00222CE6" w:rsidRPr="00222CE6">
        <w:rPr>
          <w:szCs w:val="24"/>
        </w:rPr>
        <w:t xml:space="preserve"> </w:t>
      </w:r>
      <w:r>
        <w:rPr>
          <w:szCs w:val="24"/>
        </w:rPr>
        <w:t>(</w:t>
      </w:r>
      <w:r w:rsidR="00222CE6" w:rsidRPr="00222CE6">
        <w:rPr>
          <w:szCs w:val="24"/>
        </w:rPr>
        <w:t>2013) suggested increased effectiveness for one system or the other on various outcomes. However, such findings were generally not consistent with the findings of the RCTs and therefore may have been due to imbalances between the enteroscopy groups.</w:t>
      </w:r>
    </w:p>
    <w:p w:rsidR="00222CE6" w:rsidRPr="00222CE6" w:rsidRDefault="00222CE6" w:rsidP="00344041">
      <w:pPr>
        <w:tabs>
          <w:tab w:val="left" w:pos="720"/>
        </w:tabs>
        <w:rPr>
          <w:szCs w:val="24"/>
        </w:rPr>
      </w:pPr>
    </w:p>
    <w:p w:rsidR="00222CE6" w:rsidRPr="00222CE6" w:rsidRDefault="00222CE6" w:rsidP="00344041">
      <w:pPr>
        <w:tabs>
          <w:tab w:val="left" w:pos="720"/>
        </w:tabs>
        <w:ind w:right="-170"/>
        <w:rPr>
          <w:szCs w:val="24"/>
        </w:rPr>
      </w:pPr>
      <w:r w:rsidRPr="00222CE6">
        <w:rPr>
          <w:szCs w:val="24"/>
        </w:rPr>
        <w:t xml:space="preserve">Four studies measured the percentage of patients in whom a therapeutic intervention (e.g. argon plasma coagulation, endoscopic haemostasis, polypectomy, dilatation) can be undertaken during enteroscopy. The </w:t>
      </w:r>
      <w:r w:rsidR="005F6D12">
        <w:rPr>
          <w:szCs w:val="24"/>
        </w:rPr>
        <w:t>results</w:t>
      </w:r>
      <w:r w:rsidRPr="00222CE6">
        <w:rPr>
          <w:szCs w:val="24"/>
        </w:rPr>
        <w:t xml:space="preserve"> d</w:t>
      </w:r>
      <w:r w:rsidR="005F6D12">
        <w:rPr>
          <w:szCs w:val="24"/>
        </w:rPr>
        <w:t>id</w:t>
      </w:r>
      <w:r w:rsidRPr="00222CE6">
        <w:rPr>
          <w:szCs w:val="24"/>
        </w:rPr>
        <w:t xml:space="preserve"> not suggest that SBE is associated with inferior ability to perform therapeutic interventions compared with DBE.</w:t>
      </w:r>
    </w:p>
    <w:p w:rsidR="00222CE6" w:rsidRDefault="00222CE6" w:rsidP="00344041">
      <w:pPr>
        <w:tabs>
          <w:tab w:val="left" w:pos="720"/>
        </w:tabs>
        <w:rPr>
          <w:color w:val="3366FF"/>
        </w:rPr>
      </w:pPr>
    </w:p>
    <w:p w:rsidR="00222CE6" w:rsidRDefault="00222CE6" w:rsidP="00344041">
      <w:pPr>
        <w:tabs>
          <w:tab w:val="left" w:pos="720"/>
        </w:tabs>
        <w:rPr>
          <w:szCs w:val="24"/>
        </w:rPr>
      </w:pPr>
      <w:r w:rsidRPr="00222CE6">
        <w:rPr>
          <w:szCs w:val="24"/>
        </w:rPr>
        <w:t xml:space="preserve">The </w:t>
      </w:r>
      <w:r w:rsidR="005F6D12">
        <w:rPr>
          <w:szCs w:val="24"/>
        </w:rPr>
        <w:t xml:space="preserve">results of the </w:t>
      </w:r>
      <w:r w:rsidRPr="00222CE6">
        <w:rPr>
          <w:szCs w:val="24"/>
        </w:rPr>
        <w:t>four RCTs suggest that SBE has comparable effectiveness to DBE. The only effectiveness outcome that suggested an advantage for DBE was the complete enterosco</w:t>
      </w:r>
      <w:r w:rsidR="005F6D12">
        <w:rPr>
          <w:szCs w:val="24"/>
        </w:rPr>
        <w:t>py rate. However, even if this wa</w:t>
      </w:r>
      <w:r w:rsidRPr="00222CE6">
        <w:rPr>
          <w:szCs w:val="24"/>
        </w:rPr>
        <w:t>s a real difference, the higher rate of complete visualisation of the small bowel did not translate into an improvement in diagnostic yield or other clinical outcomes.</w:t>
      </w:r>
    </w:p>
    <w:p w:rsidR="004702FD" w:rsidRDefault="004702FD" w:rsidP="00344041">
      <w:pPr>
        <w:tabs>
          <w:tab w:val="left" w:pos="720"/>
        </w:tabs>
        <w:rPr>
          <w:szCs w:val="24"/>
        </w:rPr>
      </w:pPr>
    </w:p>
    <w:p w:rsidR="007D4ECA" w:rsidRPr="00FB7932" w:rsidRDefault="007D4ECA" w:rsidP="007D4ECA">
      <w:pPr>
        <w:rPr>
          <w:szCs w:val="24"/>
        </w:rPr>
      </w:pPr>
      <w:r w:rsidRPr="00FB7932">
        <w:rPr>
          <w:szCs w:val="24"/>
        </w:rPr>
        <w:t>Overall, MSAC considered that SBE is likely to be non-inferior to DBE in terms of comparative effectiveness.</w:t>
      </w:r>
    </w:p>
    <w:p w:rsidR="0030582B" w:rsidRPr="00BB418D" w:rsidRDefault="0030582B" w:rsidP="00344041">
      <w:pPr>
        <w:tabs>
          <w:tab w:val="left" w:pos="720"/>
        </w:tabs>
        <w:rPr>
          <w:szCs w:val="24"/>
        </w:rPr>
      </w:pPr>
    </w:p>
    <w:p w:rsidR="004C0DCE" w:rsidRDefault="002B4CE2" w:rsidP="00344041">
      <w:pPr>
        <w:pStyle w:val="Heading1"/>
        <w:spacing w:before="0"/>
      </w:pPr>
      <w:r>
        <w:t>11.</w:t>
      </w:r>
      <w:r>
        <w:tab/>
      </w:r>
      <w:r w:rsidR="004C0DCE" w:rsidRPr="002B4CE2">
        <w:t>Economic evaluation</w:t>
      </w:r>
    </w:p>
    <w:p w:rsidR="00222CE6" w:rsidRPr="003E2352" w:rsidRDefault="001012FB" w:rsidP="00344041">
      <w:pPr>
        <w:rPr>
          <w:szCs w:val="24"/>
        </w:rPr>
      </w:pPr>
      <w:r>
        <w:rPr>
          <w:szCs w:val="24"/>
        </w:rPr>
        <w:t>A cost-minimisation analysis wa</w:t>
      </w:r>
      <w:r w:rsidR="00222CE6" w:rsidRPr="003E2352">
        <w:rPr>
          <w:szCs w:val="24"/>
        </w:rPr>
        <w:t>s presented taking into account that SBE will be undertaken relative to DBE.</w:t>
      </w:r>
    </w:p>
    <w:p w:rsidR="00344041" w:rsidRDefault="00344041" w:rsidP="00344041">
      <w:pPr>
        <w:tabs>
          <w:tab w:val="left" w:pos="720"/>
        </w:tabs>
        <w:rPr>
          <w:szCs w:val="24"/>
        </w:rPr>
      </w:pPr>
    </w:p>
    <w:p w:rsidR="003E2352" w:rsidRPr="003E2352" w:rsidRDefault="00222CE6" w:rsidP="00344041">
      <w:pPr>
        <w:tabs>
          <w:tab w:val="left" w:pos="720"/>
        </w:tabs>
        <w:rPr>
          <w:szCs w:val="24"/>
        </w:rPr>
      </w:pPr>
      <w:r w:rsidRPr="003E2352">
        <w:rPr>
          <w:szCs w:val="24"/>
        </w:rPr>
        <w:t xml:space="preserve">Minimal differences </w:t>
      </w:r>
      <w:r w:rsidR="00576670">
        <w:rPr>
          <w:szCs w:val="24"/>
        </w:rPr>
        <w:t>were</w:t>
      </w:r>
      <w:r w:rsidRPr="003E2352">
        <w:rPr>
          <w:szCs w:val="24"/>
        </w:rPr>
        <w:t xml:space="preserve"> identified in the cost of health resources for SBE compared to DBE. The economic evaluation identified that all enteroscopic procedures can be done with the processing units used for standard endoscopy. </w:t>
      </w:r>
    </w:p>
    <w:p w:rsidR="00344041" w:rsidRDefault="00344041" w:rsidP="00344041">
      <w:pPr>
        <w:tabs>
          <w:tab w:val="left" w:pos="720"/>
        </w:tabs>
        <w:rPr>
          <w:szCs w:val="24"/>
        </w:rPr>
      </w:pPr>
    </w:p>
    <w:p w:rsidR="00222CE6" w:rsidRPr="003E2352" w:rsidRDefault="00222CE6" w:rsidP="00344041">
      <w:pPr>
        <w:tabs>
          <w:tab w:val="left" w:pos="720"/>
        </w:tabs>
        <w:rPr>
          <w:szCs w:val="24"/>
        </w:rPr>
      </w:pPr>
      <w:r w:rsidRPr="003E2352">
        <w:rPr>
          <w:szCs w:val="24"/>
        </w:rPr>
        <w:t>However, special accessories must be purchased for enteroscopes. DBE and SBE require a specific endoscope/overtube combination, and may require additional personnel during the procedure and fluoroscopy suites with associated costs. The estimated theatre and hospital costs are presented below.</w:t>
      </w:r>
    </w:p>
    <w:p w:rsidR="00344041" w:rsidRDefault="00344041" w:rsidP="00344041">
      <w:pPr>
        <w:pStyle w:val="Caption"/>
        <w:spacing w:after="0"/>
        <w:rPr>
          <w:rFonts w:ascii="Arial" w:hAnsi="Arial" w:cs="Arial"/>
        </w:rPr>
      </w:pPr>
    </w:p>
    <w:p w:rsidR="00222CE6" w:rsidRPr="00E45257" w:rsidRDefault="00222CE6" w:rsidP="00344041">
      <w:pPr>
        <w:pStyle w:val="Caption"/>
        <w:spacing w:after="0"/>
        <w:rPr>
          <w:rFonts w:ascii="Arial" w:hAnsi="Arial" w:cs="Arial"/>
          <w:b w:val="0"/>
        </w:rPr>
      </w:pPr>
      <w:r w:rsidRPr="00E45257">
        <w:rPr>
          <w:rFonts w:ascii="Arial" w:hAnsi="Arial" w:cs="Arial"/>
        </w:rPr>
        <w:t>Direct health care resources</w:t>
      </w:r>
      <w:r w:rsidR="00032EFF">
        <w:rPr>
          <w:rFonts w:ascii="Arial" w:hAnsi="Arial" w:cs="Arial"/>
        </w:rPr>
        <w:t xml:space="preserve"> </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576"/>
      </w:tblGrid>
      <w:tr w:rsidR="00222CE6" w:rsidRPr="00E45257" w:rsidTr="00C9226B">
        <w:trPr>
          <w:trHeight w:val="340"/>
        </w:trPr>
        <w:tc>
          <w:tcPr>
            <w:tcW w:w="4928" w:type="dxa"/>
            <w:shd w:val="clear" w:color="auto" w:fill="FFFFCC"/>
            <w:vAlign w:val="center"/>
          </w:tcPr>
          <w:p w:rsidR="00222CE6" w:rsidRPr="00E45257" w:rsidRDefault="00222CE6" w:rsidP="00344041">
            <w:pPr>
              <w:keepNext/>
              <w:rPr>
                <w:rFonts w:ascii="Arial" w:hAnsi="Arial" w:cs="Arial"/>
                <w:sz w:val="20"/>
              </w:rPr>
            </w:pPr>
          </w:p>
        </w:tc>
        <w:tc>
          <w:tcPr>
            <w:tcW w:w="3576" w:type="dxa"/>
            <w:shd w:val="clear" w:color="auto" w:fill="FFFFCC"/>
            <w:vAlign w:val="center"/>
          </w:tcPr>
          <w:p w:rsidR="00222CE6" w:rsidRPr="00E45257" w:rsidRDefault="00222CE6" w:rsidP="00344041">
            <w:pPr>
              <w:keepNext/>
              <w:rPr>
                <w:rFonts w:ascii="Arial" w:hAnsi="Arial" w:cs="Arial"/>
                <w:b/>
                <w:sz w:val="20"/>
              </w:rPr>
            </w:pPr>
            <w:r w:rsidRPr="00E45257">
              <w:rPr>
                <w:rFonts w:ascii="Arial" w:hAnsi="Arial" w:cs="Arial"/>
                <w:b/>
                <w:sz w:val="20"/>
              </w:rPr>
              <w:t>Estimated cost</w:t>
            </w:r>
            <w:r w:rsidR="00032EFF">
              <w:rPr>
                <w:rFonts w:ascii="Arial" w:hAnsi="Arial" w:cs="Arial"/>
                <w:b/>
                <w:sz w:val="20"/>
              </w:rPr>
              <w:t xml:space="preserve"> - from Contracted Assessment</w:t>
            </w:r>
            <w:r w:rsidR="00BD3903">
              <w:rPr>
                <w:rFonts w:ascii="Arial" w:hAnsi="Arial" w:cs="Arial"/>
                <w:b/>
                <w:sz w:val="20"/>
              </w:rPr>
              <w:t xml:space="preserve"> (CA)</w:t>
            </w:r>
          </w:p>
        </w:tc>
      </w:tr>
      <w:tr w:rsidR="00222CE6" w:rsidRPr="00E45257" w:rsidTr="00C9226B">
        <w:trPr>
          <w:trHeight w:val="340"/>
        </w:trPr>
        <w:tc>
          <w:tcPr>
            <w:tcW w:w="4928" w:type="dxa"/>
            <w:shd w:val="clear" w:color="auto" w:fill="FFFFCC"/>
            <w:vAlign w:val="center"/>
          </w:tcPr>
          <w:p w:rsidR="00222CE6" w:rsidRPr="00E45257" w:rsidRDefault="00222CE6" w:rsidP="00344041">
            <w:pPr>
              <w:keepNext/>
              <w:ind w:left="284"/>
              <w:rPr>
                <w:rFonts w:ascii="Arial" w:hAnsi="Arial" w:cs="Arial"/>
                <w:sz w:val="20"/>
              </w:rPr>
            </w:pPr>
            <w:r w:rsidRPr="00E45257">
              <w:rPr>
                <w:rFonts w:ascii="Arial" w:hAnsi="Arial" w:cs="Arial"/>
                <w:sz w:val="20"/>
              </w:rPr>
              <w:t>SBE endoscope (equipment cost)</w:t>
            </w:r>
          </w:p>
        </w:tc>
        <w:tc>
          <w:tcPr>
            <w:tcW w:w="3576" w:type="dxa"/>
            <w:vAlign w:val="center"/>
          </w:tcPr>
          <w:p w:rsidR="00222CE6" w:rsidRPr="00E45257" w:rsidRDefault="00222CE6" w:rsidP="00344041">
            <w:pPr>
              <w:keepNext/>
              <w:rPr>
                <w:rFonts w:ascii="Arial" w:hAnsi="Arial" w:cs="Arial"/>
                <w:sz w:val="20"/>
              </w:rPr>
            </w:pPr>
            <w:r w:rsidRPr="00E45257">
              <w:rPr>
                <w:rFonts w:ascii="Arial" w:hAnsi="Arial" w:cs="Arial"/>
                <w:sz w:val="20"/>
              </w:rPr>
              <w:t>$37,500</w:t>
            </w:r>
          </w:p>
        </w:tc>
      </w:tr>
      <w:tr w:rsidR="00222CE6" w:rsidRPr="00E45257" w:rsidTr="00C9226B">
        <w:trPr>
          <w:trHeight w:val="340"/>
        </w:trPr>
        <w:tc>
          <w:tcPr>
            <w:tcW w:w="4928" w:type="dxa"/>
            <w:shd w:val="clear" w:color="auto" w:fill="FFFFCC"/>
            <w:vAlign w:val="center"/>
          </w:tcPr>
          <w:p w:rsidR="00222CE6" w:rsidRPr="00E45257" w:rsidRDefault="00222CE6" w:rsidP="00344041">
            <w:pPr>
              <w:keepNext/>
              <w:ind w:left="284"/>
              <w:rPr>
                <w:rFonts w:ascii="Arial" w:hAnsi="Arial" w:cs="Arial"/>
                <w:sz w:val="20"/>
              </w:rPr>
            </w:pPr>
            <w:r w:rsidRPr="00E45257">
              <w:rPr>
                <w:rFonts w:ascii="Arial" w:hAnsi="Arial" w:cs="Arial"/>
                <w:sz w:val="20"/>
              </w:rPr>
              <w:t>SBE overtube (disposable i.e. single use)</w:t>
            </w:r>
          </w:p>
        </w:tc>
        <w:tc>
          <w:tcPr>
            <w:tcW w:w="3576" w:type="dxa"/>
            <w:vAlign w:val="center"/>
          </w:tcPr>
          <w:p w:rsidR="00222CE6" w:rsidRPr="00E45257" w:rsidRDefault="00222CE6" w:rsidP="00344041">
            <w:pPr>
              <w:keepNext/>
              <w:rPr>
                <w:rFonts w:ascii="Arial" w:hAnsi="Arial" w:cs="Arial"/>
                <w:sz w:val="20"/>
              </w:rPr>
            </w:pPr>
            <w:r w:rsidRPr="00E45257">
              <w:rPr>
                <w:rFonts w:ascii="Arial" w:hAnsi="Arial" w:cs="Arial"/>
                <w:sz w:val="20"/>
              </w:rPr>
              <w:t>$225</w:t>
            </w:r>
          </w:p>
        </w:tc>
      </w:tr>
      <w:tr w:rsidR="00222CE6" w:rsidRPr="00E45257" w:rsidTr="00C9226B">
        <w:trPr>
          <w:trHeight w:val="340"/>
        </w:trPr>
        <w:tc>
          <w:tcPr>
            <w:tcW w:w="4928" w:type="dxa"/>
            <w:shd w:val="clear" w:color="auto" w:fill="FFFFCC"/>
            <w:vAlign w:val="center"/>
          </w:tcPr>
          <w:p w:rsidR="00222CE6" w:rsidRPr="00E45257" w:rsidRDefault="00222CE6" w:rsidP="00344041">
            <w:pPr>
              <w:keepNext/>
              <w:ind w:left="284"/>
              <w:rPr>
                <w:rFonts w:ascii="Arial" w:hAnsi="Arial" w:cs="Arial"/>
                <w:sz w:val="20"/>
              </w:rPr>
            </w:pPr>
            <w:r w:rsidRPr="00E45257">
              <w:rPr>
                <w:rFonts w:ascii="Arial" w:hAnsi="Arial" w:cs="Arial"/>
                <w:sz w:val="20"/>
              </w:rPr>
              <w:t>Endoscopy unit</w:t>
            </w:r>
          </w:p>
        </w:tc>
        <w:tc>
          <w:tcPr>
            <w:tcW w:w="3576" w:type="dxa"/>
            <w:vAlign w:val="center"/>
          </w:tcPr>
          <w:p w:rsidR="00222CE6" w:rsidRPr="00E45257" w:rsidRDefault="00222CE6" w:rsidP="00344041">
            <w:pPr>
              <w:keepNext/>
              <w:rPr>
                <w:rFonts w:ascii="Arial" w:hAnsi="Arial" w:cs="Arial"/>
                <w:sz w:val="20"/>
              </w:rPr>
            </w:pPr>
            <w:r w:rsidRPr="00E45257">
              <w:rPr>
                <w:rFonts w:ascii="Arial" w:hAnsi="Arial" w:cs="Arial"/>
                <w:sz w:val="20"/>
              </w:rPr>
              <w:t>$265</w:t>
            </w:r>
          </w:p>
        </w:tc>
      </w:tr>
      <w:tr w:rsidR="00222CE6" w:rsidRPr="00E45257" w:rsidTr="00C9226B">
        <w:trPr>
          <w:trHeight w:val="340"/>
        </w:trPr>
        <w:tc>
          <w:tcPr>
            <w:tcW w:w="4928" w:type="dxa"/>
            <w:shd w:val="clear" w:color="auto" w:fill="FFFFCC"/>
            <w:vAlign w:val="center"/>
          </w:tcPr>
          <w:p w:rsidR="00222CE6" w:rsidRPr="00E45257" w:rsidRDefault="00222CE6" w:rsidP="00344041">
            <w:pPr>
              <w:keepNext/>
              <w:ind w:left="284"/>
              <w:rPr>
                <w:rFonts w:ascii="Arial" w:hAnsi="Arial" w:cs="Arial"/>
                <w:sz w:val="20"/>
              </w:rPr>
            </w:pPr>
            <w:r w:rsidRPr="00E45257">
              <w:rPr>
                <w:rFonts w:ascii="Arial" w:hAnsi="Arial" w:cs="Arial"/>
                <w:sz w:val="20"/>
              </w:rPr>
              <w:t>Ward</w:t>
            </w:r>
          </w:p>
        </w:tc>
        <w:tc>
          <w:tcPr>
            <w:tcW w:w="3576" w:type="dxa"/>
            <w:vAlign w:val="center"/>
          </w:tcPr>
          <w:p w:rsidR="00222CE6" w:rsidRPr="00E45257" w:rsidRDefault="00222CE6" w:rsidP="00344041">
            <w:pPr>
              <w:keepNext/>
              <w:rPr>
                <w:rFonts w:ascii="Arial" w:hAnsi="Arial" w:cs="Arial"/>
                <w:sz w:val="20"/>
              </w:rPr>
            </w:pPr>
            <w:r w:rsidRPr="00E45257">
              <w:rPr>
                <w:rFonts w:ascii="Arial" w:hAnsi="Arial" w:cs="Arial"/>
                <w:sz w:val="20"/>
              </w:rPr>
              <w:t>$774 (per day)</w:t>
            </w:r>
          </w:p>
        </w:tc>
      </w:tr>
    </w:tbl>
    <w:p w:rsidR="00222CE6" w:rsidRPr="00E45257" w:rsidRDefault="00222CE6" w:rsidP="00344041">
      <w:pPr>
        <w:tabs>
          <w:tab w:val="left" w:pos="720"/>
        </w:tabs>
        <w:rPr>
          <w:rFonts w:ascii="Arial" w:hAnsi="Arial" w:cs="Arial"/>
          <w:sz w:val="20"/>
        </w:rPr>
      </w:pPr>
      <w:r w:rsidRPr="00E45257">
        <w:rPr>
          <w:rFonts w:ascii="Arial" w:hAnsi="Arial" w:cs="Arial"/>
          <w:sz w:val="20"/>
        </w:rPr>
        <w:t>SBE endoscope and overtube cost from ASGE (2007)</w:t>
      </w:r>
    </w:p>
    <w:p w:rsidR="00222CE6" w:rsidRPr="00E45257" w:rsidRDefault="00222CE6" w:rsidP="00344041">
      <w:pPr>
        <w:tabs>
          <w:tab w:val="left" w:pos="720"/>
        </w:tabs>
        <w:rPr>
          <w:rFonts w:ascii="Arial" w:hAnsi="Arial" w:cs="Arial"/>
          <w:sz w:val="20"/>
        </w:rPr>
      </w:pPr>
      <w:r w:rsidRPr="00E45257">
        <w:rPr>
          <w:rFonts w:ascii="Arial" w:hAnsi="Arial" w:cs="Arial"/>
          <w:sz w:val="20"/>
        </w:rPr>
        <w:t>Endoscopy unit cost from AR-DRG V5.1 Private Sector G44C – Other colonoscopy, sameday service</w:t>
      </w:r>
    </w:p>
    <w:p w:rsidR="00222CE6" w:rsidRPr="00E45257" w:rsidRDefault="00222CE6" w:rsidP="00344041">
      <w:pPr>
        <w:tabs>
          <w:tab w:val="left" w:pos="720"/>
        </w:tabs>
        <w:rPr>
          <w:rFonts w:ascii="Arial" w:hAnsi="Arial" w:cs="Arial"/>
          <w:sz w:val="20"/>
        </w:rPr>
      </w:pPr>
      <w:r w:rsidRPr="00E45257">
        <w:rPr>
          <w:rFonts w:ascii="Arial" w:hAnsi="Arial" w:cs="Arial"/>
          <w:sz w:val="20"/>
        </w:rPr>
        <w:t>Ward costs sourced from the Victorian Government guide to fees for admitted patients 2012/13</w:t>
      </w:r>
    </w:p>
    <w:p w:rsidR="003E2352" w:rsidRDefault="003E2352" w:rsidP="00344041">
      <w:pPr>
        <w:tabs>
          <w:tab w:val="left" w:pos="720"/>
        </w:tabs>
        <w:rPr>
          <w:rFonts w:ascii="Arial" w:hAnsi="Arial" w:cs="Arial"/>
          <w:color w:val="3366FF"/>
          <w:szCs w:val="24"/>
        </w:rPr>
      </w:pPr>
    </w:p>
    <w:p w:rsidR="00576670" w:rsidRPr="003E2352" w:rsidRDefault="00576670" w:rsidP="00576670">
      <w:pPr>
        <w:tabs>
          <w:tab w:val="left" w:pos="720"/>
        </w:tabs>
        <w:rPr>
          <w:szCs w:val="24"/>
        </w:rPr>
      </w:pPr>
      <w:r>
        <w:rPr>
          <w:szCs w:val="24"/>
        </w:rPr>
        <w:t xml:space="preserve">The equipment cost for SBE was </w:t>
      </w:r>
      <w:r w:rsidRPr="003E2352">
        <w:rPr>
          <w:szCs w:val="24"/>
        </w:rPr>
        <w:t xml:space="preserve">noted in the economic evaluation. Taking into account the specialised nature of both SBE and DBE, and that the facilities for both procedures are currently available in the healthcare system, further capital and maintenance costs </w:t>
      </w:r>
      <w:r>
        <w:rPr>
          <w:szCs w:val="24"/>
        </w:rPr>
        <w:t>were</w:t>
      </w:r>
      <w:r w:rsidRPr="003E2352">
        <w:rPr>
          <w:szCs w:val="24"/>
        </w:rPr>
        <w:t xml:space="preserve"> not evaluated.</w:t>
      </w:r>
    </w:p>
    <w:p w:rsidR="00576670" w:rsidRDefault="00576670" w:rsidP="00344041">
      <w:pPr>
        <w:tabs>
          <w:tab w:val="left" w:pos="720"/>
        </w:tabs>
        <w:rPr>
          <w:szCs w:val="24"/>
        </w:rPr>
      </w:pPr>
    </w:p>
    <w:p w:rsidR="00222CE6" w:rsidRPr="003E2352" w:rsidRDefault="00222CE6" w:rsidP="00344041">
      <w:pPr>
        <w:tabs>
          <w:tab w:val="left" w:pos="720"/>
        </w:tabs>
        <w:rPr>
          <w:szCs w:val="24"/>
        </w:rPr>
      </w:pPr>
      <w:r w:rsidRPr="003E2352">
        <w:rPr>
          <w:szCs w:val="24"/>
        </w:rPr>
        <w:t xml:space="preserve">The economic evaluation listed the health resources and MBS items that may be associated with the procedure of SBE for obscure GI bleeding. The evaluation </w:t>
      </w:r>
      <w:r w:rsidR="004D2F5A">
        <w:rPr>
          <w:szCs w:val="24"/>
        </w:rPr>
        <w:t>did not restrict</w:t>
      </w:r>
      <w:r w:rsidRPr="003E2352">
        <w:rPr>
          <w:szCs w:val="24"/>
        </w:rPr>
        <w:t xml:space="preserve"> the procedure of SBE by age group which is consistent for the currently funded intervention of DBE.</w:t>
      </w:r>
    </w:p>
    <w:p w:rsidR="003E2352" w:rsidRDefault="003E2352" w:rsidP="00344041">
      <w:pPr>
        <w:tabs>
          <w:tab w:val="left" w:pos="720"/>
        </w:tabs>
        <w:rPr>
          <w:szCs w:val="24"/>
        </w:rPr>
      </w:pPr>
    </w:p>
    <w:p w:rsidR="00222CE6" w:rsidRPr="003E2352" w:rsidRDefault="00222CE6" w:rsidP="00344041">
      <w:pPr>
        <w:tabs>
          <w:tab w:val="left" w:pos="720"/>
        </w:tabs>
        <w:rPr>
          <w:szCs w:val="24"/>
        </w:rPr>
      </w:pPr>
      <w:r w:rsidRPr="003E2352">
        <w:rPr>
          <w:szCs w:val="24"/>
        </w:rPr>
        <w:t>SBE would predominantly be performed in public and private day-stay endoscopy units which is consistent with the procedure of DBE. MBS statistics indicate that for 2012-13, 62% of services associated with DBE were provided in hospital. It is anticipated that the healthcare setting will remain constant with the introduction of SBE to the MBS.</w:t>
      </w:r>
    </w:p>
    <w:p w:rsidR="003E2352" w:rsidRDefault="003E2352" w:rsidP="00344041">
      <w:pPr>
        <w:tabs>
          <w:tab w:val="left" w:pos="720"/>
        </w:tabs>
        <w:rPr>
          <w:szCs w:val="24"/>
        </w:rPr>
      </w:pPr>
    </w:p>
    <w:p w:rsidR="00222CE6" w:rsidRPr="003E2352" w:rsidRDefault="00932FE0" w:rsidP="00344041">
      <w:pPr>
        <w:tabs>
          <w:tab w:val="left" w:pos="720"/>
        </w:tabs>
        <w:rPr>
          <w:szCs w:val="24"/>
        </w:rPr>
      </w:pPr>
      <w:r>
        <w:rPr>
          <w:szCs w:val="24"/>
        </w:rPr>
        <w:t>Literature suggested</w:t>
      </w:r>
      <w:r w:rsidR="00222CE6" w:rsidRPr="003E2352">
        <w:rPr>
          <w:szCs w:val="24"/>
        </w:rPr>
        <w:t xml:space="preserve"> that SBE may have a shorter procedure time compared to DBE. The list of MBS items associated with SBE is consistent with the items reported in MSAC Assessment 1102 (2006) for DBE. The slight differences in anaesthesia time for oral versus anal approach of the procedure </w:t>
      </w:r>
      <w:r w:rsidR="006F28C4">
        <w:rPr>
          <w:szCs w:val="24"/>
        </w:rPr>
        <w:t>were</w:t>
      </w:r>
      <w:r w:rsidR="00222CE6" w:rsidRPr="003E2352">
        <w:rPr>
          <w:szCs w:val="24"/>
        </w:rPr>
        <w:t xml:space="preserve"> reflected in the financial analysis.</w:t>
      </w:r>
    </w:p>
    <w:p w:rsidR="003E2352" w:rsidRDefault="003E2352" w:rsidP="00344041">
      <w:pPr>
        <w:tabs>
          <w:tab w:val="left" w:pos="720"/>
        </w:tabs>
        <w:rPr>
          <w:szCs w:val="24"/>
        </w:rPr>
      </w:pPr>
    </w:p>
    <w:p w:rsidR="00222CE6" w:rsidRDefault="00222CE6" w:rsidP="00344041">
      <w:pPr>
        <w:tabs>
          <w:tab w:val="left" w:pos="720"/>
        </w:tabs>
        <w:rPr>
          <w:szCs w:val="24"/>
        </w:rPr>
      </w:pPr>
      <w:r w:rsidRPr="003E2352">
        <w:rPr>
          <w:szCs w:val="24"/>
        </w:rPr>
        <w:t xml:space="preserve">The </w:t>
      </w:r>
      <w:r w:rsidR="00932FE0">
        <w:rPr>
          <w:szCs w:val="24"/>
        </w:rPr>
        <w:t>application</w:t>
      </w:r>
      <w:r w:rsidRPr="003E2352">
        <w:rPr>
          <w:szCs w:val="24"/>
        </w:rPr>
        <w:t xml:space="preserve"> proposed the same Schedule fee for SBE as DBE.</w:t>
      </w:r>
    </w:p>
    <w:p w:rsidR="00344041" w:rsidRPr="003E2352" w:rsidRDefault="00344041" w:rsidP="00344041">
      <w:pPr>
        <w:tabs>
          <w:tab w:val="left" w:pos="720"/>
        </w:tabs>
        <w:rPr>
          <w:szCs w:val="24"/>
        </w:rPr>
      </w:pPr>
    </w:p>
    <w:p w:rsidR="00222CE6" w:rsidRPr="006F28C4" w:rsidRDefault="00222CE6" w:rsidP="00344041">
      <w:pPr>
        <w:pStyle w:val="Caption"/>
        <w:keepLines/>
        <w:spacing w:after="0"/>
        <w:rPr>
          <w:rFonts w:ascii="Arial" w:hAnsi="Arial" w:cs="Arial"/>
        </w:rPr>
      </w:pPr>
      <w:r w:rsidRPr="006F28C4">
        <w:rPr>
          <w:rFonts w:ascii="Arial" w:hAnsi="Arial" w:cs="Arial"/>
        </w:rPr>
        <w:lastRenderedPageBreak/>
        <w:t>MBS items for DBE</w:t>
      </w:r>
    </w:p>
    <w:tbl>
      <w:tblPr>
        <w:tblStyle w:val="TableGrid"/>
        <w:tblW w:w="9179" w:type="dxa"/>
        <w:tblLook w:val="04A0" w:firstRow="1" w:lastRow="0" w:firstColumn="1" w:lastColumn="0" w:noHBand="0" w:noVBand="1"/>
        <w:tblCaption w:val="Table 4 MBS items for DBE"/>
      </w:tblPr>
      <w:tblGrid>
        <w:gridCol w:w="5778"/>
        <w:gridCol w:w="1417"/>
        <w:gridCol w:w="1984"/>
      </w:tblGrid>
      <w:tr w:rsidR="00222CE6" w:rsidRPr="006F28C4" w:rsidTr="00F73699">
        <w:trPr>
          <w:trHeight w:val="510"/>
          <w:tblHeader/>
        </w:trPr>
        <w:tc>
          <w:tcPr>
            <w:tcW w:w="5778" w:type="dxa"/>
            <w:shd w:val="clear" w:color="auto" w:fill="FFFFCC"/>
            <w:vAlign w:val="center"/>
          </w:tcPr>
          <w:p w:rsidR="00222CE6" w:rsidRPr="006F28C4" w:rsidRDefault="00222CE6" w:rsidP="00344041">
            <w:pPr>
              <w:keepNext/>
              <w:keepLines/>
              <w:jc w:val="center"/>
              <w:rPr>
                <w:rFonts w:ascii="Arial" w:hAnsi="Arial" w:cs="Arial"/>
                <w:b/>
                <w:sz w:val="20"/>
                <w:lang w:val="en-GB" w:eastAsia="ja-JP"/>
              </w:rPr>
            </w:pPr>
            <w:r w:rsidRPr="006F28C4">
              <w:rPr>
                <w:rFonts w:ascii="Arial" w:hAnsi="Arial" w:cs="Arial"/>
                <w:b/>
                <w:sz w:val="20"/>
                <w:lang w:val="en-GB" w:eastAsia="ja-JP"/>
              </w:rPr>
              <w:t>MBS item</w:t>
            </w:r>
          </w:p>
        </w:tc>
        <w:tc>
          <w:tcPr>
            <w:tcW w:w="1417" w:type="dxa"/>
            <w:shd w:val="clear" w:color="auto" w:fill="FFFFCC"/>
            <w:vAlign w:val="center"/>
          </w:tcPr>
          <w:p w:rsidR="00222CE6" w:rsidRPr="006F28C4" w:rsidRDefault="00222CE6" w:rsidP="00344041">
            <w:pPr>
              <w:keepNext/>
              <w:keepLines/>
              <w:tabs>
                <w:tab w:val="left" w:pos="720"/>
              </w:tabs>
              <w:jc w:val="center"/>
              <w:rPr>
                <w:rFonts w:ascii="Arial" w:hAnsi="Arial" w:cs="Arial"/>
                <w:b/>
                <w:sz w:val="20"/>
              </w:rPr>
            </w:pPr>
            <w:r w:rsidRPr="006F28C4">
              <w:rPr>
                <w:rFonts w:ascii="Arial" w:hAnsi="Arial" w:cs="Arial"/>
                <w:b/>
                <w:sz w:val="20"/>
              </w:rPr>
              <w:t>Schedule fee</w:t>
            </w:r>
          </w:p>
        </w:tc>
        <w:tc>
          <w:tcPr>
            <w:tcW w:w="1984" w:type="dxa"/>
            <w:shd w:val="clear" w:color="auto" w:fill="FFFFCC"/>
            <w:vAlign w:val="center"/>
          </w:tcPr>
          <w:p w:rsidR="00222CE6" w:rsidRPr="006F28C4" w:rsidRDefault="00222CE6" w:rsidP="00344041">
            <w:pPr>
              <w:keepNext/>
              <w:keepLines/>
              <w:tabs>
                <w:tab w:val="left" w:pos="720"/>
              </w:tabs>
              <w:jc w:val="center"/>
              <w:rPr>
                <w:rFonts w:ascii="Arial" w:hAnsi="Arial" w:cs="Arial"/>
                <w:b/>
                <w:sz w:val="20"/>
              </w:rPr>
            </w:pPr>
            <w:r w:rsidRPr="006F28C4">
              <w:rPr>
                <w:rFonts w:ascii="Arial" w:hAnsi="Arial" w:cs="Arial"/>
                <w:b/>
                <w:sz w:val="20"/>
              </w:rPr>
              <w:t>Benefit</w:t>
            </w:r>
          </w:p>
        </w:tc>
      </w:tr>
      <w:tr w:rsidR="00222CE6" w:rsidRPr="006F28C4" w:rsidTr="00F73699">
        <w:trPr>
          <w:trHeight w:val="510"/>
          <w:tblHeader/>
        </w:trPr>
        <w:tc>
          <w:tcPr>
            <w:tcW w:w="5778" w:type="dxa"/>
            <w:vAlign w:val="center"/>
          </w:tcPr>
          <w:p w:rsidR="00222CE6" w:rsidRPr="006F28C4" w:rsidRDefault="00222CE6" w:rsidP="00344041">
            <w:pPr>
              <w:keepNext/>
              <w:keepLines/>
              <w:rPr>
                <w:rFonts w:ascii="Arial" w:hAnsi="Arial" w:cs="Arial"/>
                <w:sz w:val="20"/>
                <w:lang w:val="en-GB" w:eastAsia="ja-JP"/>
              </w:rPr>
            </w:pPr>
            <w:r w:rsidRPr="006F28C4">
              <w:rPr>
                <w:rFonts w:ascii="Arial" w:hAnsi="Arial" w:cs="Arial"/>
                <w:b/>
                <w:sz w:val="20"/>
                <w:lang w:val="en-GB" w:eastAsia="ja-JP"/>
              </w:rPr>
              <w:t xml:space="preserve">30680 </w:t>
            </w:r>
            <w:r w:rsidRPr="006F28C4">
              <w:rPr>
                <w:rFonts w:ascii="Arial" w:hAnsi="Arial" w:cs="Arial"/>
                <w:sz w:val="20"/>
                <w:lang w:val="en-GB" w:eastAsia="ja-JP"/>
              </w:rPr>
              <w:t>DBE – oral approach without intraprocedural therapy</w:t>
            </w:r>
          </w:p>
        </w:tc>
        <w:tc>
          <w:tcPr>
            <w:tcW w:w="1417" w:type="dxa"/>
            <w:vMerge w:val="restart"/>
            <w:vAlign w:val="center"/>
          </w:tcPr>
          <w:p w:rsidR="00222CE6" w:rsidRPr="006F28C4" w:rsidRDefault="00222CE6" w:rsidP="00344041">
            <w:pPr>
              <w:keepNext/>
              <w:keepLines/>
              <w:tabs>
                <w:tab w:val="left" w:pos="720"/>
              </w:tabs>
              <w:rPr>
                <w:rFonts w:ascii="Arial" w:hAnsi="Arial" w:cs="Arial"/>
                <w:sz w:val="20"/>
              </w:rPr>
            </w:pPr>
            <w:r w:rsidRPr="006F28C4">
              <w:rPr>
                <w:rFonts w:ascii="Arial" w:hAnsi="Arial" w:cs="Arial"/>
                <w:sz w:val="20"/>
              </w:rPr>
              <w:t>$1,170.00</w:t>
            </w:r>
          </w:p>
        </w:tc>
        <w:tc>
          <w:tcPr>
            <w:tcW w:w="1984" w:type="dxa"/>
            <w:vMerge w:val="restart"/>
            <w:vAlign w:val="center"/>
          </w:tcPr>
          <w:p w:rsidR="00222CE6" w:rsidRPr="006F28C4" w:rsidRDefault="00222CE6" w:rsidP="00344041">
            <w:pPr>
              <w:keepNext/>
              <w:keepLines/>
              <w:tabs>
                <w:tab w:val="left" w:pos="720"/>
              </w:tabs>
              <w:rPr>
                <w:rFonts w:ascii="Arial" w:hAnsi="Arial" w:cs="Arial"/>
                <w:sz w:val="20"/>
              </w:rPr>
            </w:pPr>
            <w:r w:rsidRPr="006F28C4">
              <w:rPr>
                <w:rFonts w:ascii="Arial" w:hAnsi="Arial" w:cs="Arial"/>
                <w:sz w:val="20"/>
              </w:rPr>
              <w:t>75% = $877.50</w:t>
            </w:r>
          </w:p>
          <w:p w:rsidR="00222CE6" w:rsidRPr="006F28C4" w:rsidRDefault="00222CE6" w:rsidP="00344041">
            <w:pPr>
              <w:keepNext/>
              <w:keepLines/>
              <w:tabs>
                <w:tab w:val="left" w:pos="720"/>
              </w:tabs>
              <w:rPr>
                <w:rFonts w:ascii="Arial" w:hAnsi="Arial" w:cs="Arial"/>
                <w:sz w:val="20"/>
              </w:rPr>
            </w:pPr>
            <w:r w:rsidRPr="006F28C4">
              <w:rPr>
                <w:rFonts w:ascii="Arial" w:hAnsi="Arial" w:cs="Arial"/>
                <w:sz w:val="20"/>
              </w:rPr>
              <w:t>85% = $1,095.50</w:t>
            </w:r>
          </w:p>
        </w:tc>
      </w:tr>
      <w:tr w:rsidR="00222CE6" w:rsidRPr="006F28C4" w:rsidTr="00F73699">
        <w:trPr>
          <w:trHeight w:val="510"/>
          <w:tblHeader/>
        </w:trPr>
        <w:tc>
          <w:tcPr>
            <w:tcW w:w="5778" w:type="dxa"/>
            <w:vAlign w:val="center"/>
          </w:tcPr>
          <w:p w:rsidR="00222CE6" w:rsidRPr="006F28C4" w:rsidRDefault="00222CE6" w:rsidP="00344041">
            <w:pPr>
              <w:keepNext/>
              <w:keepLines/>
              <w:rPr>
                <w:rFonts w:ascii="Arial" w:hAnsi="Arial" w:cs="Arial"/>
                <w:sz w:val="20"/>
                <w:lang w:val="en-GB" w:eastAsia="ja-JP"/>
              </w:rPr>
            </w:pPr>
            <w:r w:rsidRPr="006F28C4">
              <w:rPr>
                <w:rFonts w:ascii="Arial" w:hAnsi="Arial" w:cs="Arial"/>
                <w:b/>
                <w:sz w:val="20"/>
                <w:lang w:val="en-GB" w:eastAsia="ja-JP"/>
              </w:rPr>
              <w:t xml:space="preserve">30682 </w:t>
            </w:r>
            <w:r w:rsidRPr="006F28C4">
              <w:rPr>
                <w:rFonts w:ascii="Arial" w:hAnsi="Arial" w:cs="Arial"/>
                <w:sz w:val="20"/>
                <w:lang w:val="en-GB" w:eastAsia="ja-JP"/>
              </w:rPr>
              <w:t>DBE – anal approach without intraprocedural therapy</w:t>
            </w:r>
          </w:p>
        </w:tc>
        <w:tc>
          <w:tcPr>
            <w:tcW w:w="1417" w:type="dxa"/>
            <w:vMerge/>
            <w:vAlign w:val="center"/>
          </w:tcPr>
          <w:p w:rsidR="00222CE6" w:rsidRPr="006F28C4" w:rsidRDefault="00222CE6" w:rsidP="00344041">
            <w:pPr>
              <w:keepNext/>
              <w:keepLines/>
              <w:tabs>
                <w:tab w:val="left" w:pos="720"/>
              </w:tabs>
              <w:rPr>
                <w:rFonts w:ascii="Arial" w:hAnsi="Arial" w:cs="Arial"/>
                <w:sz w:val="20"/>
              </w:rPr>
            </w:pPr>
          </w:p>
        </w:tc>
        <w:tc>
          <w:tcPr>
            <w:tcW w:w="1984" w:type="dxa"/>
            <w:vMerge/>
            <w:vAlign w:val="center"/>
          </w:tcPr>
          <w:p w:rsidR="00222CE6" w:rsidRPr="006F28C4" w:rsidRDefault="00222CE6" w:rsidP="00344041">
            <w:pPr>
              <w:keepNext/>
              <w:keepLines/>
              <w:tabs>
                <w:tab w:val="left" w:pos="720"/>
              </w:tabs>
              <w:rPr>
                <w:rFonts w:ascii="Arial" w:hAnsi="Arial" w:cs="Arial"/>
                <w:sz w:val="20"/>
              </w:rPr>
            </w:pPr>
          </w:p>
        </w:tc>
      </w:tr>
      <w:tr w:rsidR="00222CE6" w:rsidRPr="006F28C4" w:rsidTr="00F73699">
        <w:trPr>
          <w:trHeight w:val="510"/>
          <w:tblHeader/>
        </w:trPr>
        <w:tc>
          <w:tcPr>
            <w:tcW w:w="5778" w:type="dxa"/>
            <w:vAlign w:val="center"/>
          </w:tcPr>
          <w:p w:rsidR="00222CE6" w:rsidRPr="006F28C4" w:rsidRDefault="00222CE6" w:rsidP="00344041">
            <w:pPr>
              <w:keepNext/>
              <w:keepLines/>
              <w:rPr>
                <w:rFonts w:ascii="Arial" w:hAnsi="Arial" w:cs="Arial"/>
                <w:sz w:val="20"/>
                <w:lang w:val="en-GB" w:eastAsia="ja-JP"/>
              </w:rPr>
            </w:pPr>
            <w:r w:rsidRPr="006F28C4">
              <w:rPr>
                <w:rFonts w:ascii="Arial" w:hAnsi="Arial" w:cs="Arial"/>
                <w:b/>
                <w:sz w:val="20"/>
                <w:lang w:val="en-GB" w:eastAsia="ja-JP"/>
              </w:rPr>
              <w:t xml:space="preserve">30684 </w:t>
            </w:r>
            <w:r w:rsidRPr="006F28C4">
              <w:rPr>
                <w:rFonts w:ascii="Arial" w:hAnsi="Arial" w:cs="Arial"/>
                <w:sz w:val="20"/>
                <w:lang w:val="en-GB" w:eastAsia="ja-JP"/>
              </w:rPr>
              <w:t>DBE – oral approach with 1 or more intraprocedural therapy</w:t>
            </w:r>
          </w:p>
        </w:tc>
        <w:tc>
          <w:tcPr>
            <w:tcW w:w="1417" w:type="dxa"/>
            <w:vMerge w:val="restart"/>
            <w:vAlign w:val="center"/>
          </w:tcPr>
          <w:p w:rsidR="00222CE6" w:rsidRPr="006F28C4" w:rsidRDefault="00222CE6" w:rsidP="00344041">
            <w:pPr>
              <w:keepNext/>
              <w:keepLines/>
              <w:tabs>
                <w:tab w:val="left" w:pos="720"/>
              </w:tabs>
              <w:rPr>
                <w:rFonts w:ascii="Arial" w:hAnsi="Arial" w:cs="Arial"/>
                <w:sz w:val="20"/>
              </w:rPr>
            </w:pPr>
            <w:r w:rsidRPr="006F28C4">
              <w:rPr>
                <w:rFonts w:ascii="Arial" w:hAnsi="Arial" w:cs="Arial"/>
                <w:sz w:val="20"/>
              </w:rPr>
              <w:t>$1,439.85</w:t>
            </w:r>
          </w:p>
        </w:tc>
        <w:tc>
          <w:tcPr>
            <w:tcW w:w="1984" w:type="dxa"/>
            <w:vMerge w:val="restart"/>
            <w:vAlign w:val="center"/>
          </w:tcPr>
          <w:p w:rsidR="00222CE6" w:rsidRPr="006F28C4" w:rsidRDefault="00222CE6" w:rsidP="00344041">
            <w:pPr>
              <w:keepNext/>
              <w:keepLines/>
              <w:tabs>
                <w:tab w:val="left" w:pos="720"/>
              </w:tabs>
              <w:rPr>
                <w:rFonts w:ascii="Arial" w:hAnsi="Arial" w:cs="Arial"/>
                <w:sz w:val="20"/>
              </w:rPr>
            </w:pPr>
            <w:r w:rsidRPr="006F28C4">
              <w:rPr>
                <w:rFonts w:ascii="Arial" w:hAnsi="Arial" w:cs="Arial"/>
                <w:sz w:val="20"/>
              </w:rPr>
              <w:t>75% = $1,079.90</w:t>
            </w:r>
          </w:p>
          <w:p w:rsidR="00222CE6" w:rsidRPr="006F28C4" w:rsidRDefault="00222CE6" w:rsidP="00344041">
            <w:pPr>
              <w:keepNext/>
              <w:keepLines/>
              <w:tabs>
                <w:tab w:val="left" w:pos="720"/>
              </w:tabs>
              <w:rPr>
                <w:rFonts w:ascii="Arial" w:hAnsi="Arial" w:cs="Arial"/>
                <w:sz w:val="20"/>
              </w:rPr>
            </w:pPr>
            <w:r w:rsidRPr="006F28C4">
              <w:rPr>
                <w:rFonts w:ascii="Arial" w:hAnsi="Arial" w:cs="Arial"/>
                <w:sz w:val="20"/>
              </w:rPr>
              <w:t>85% = $1,365.35</w:t>
            </w:r>
          </w:p>
        </w:tc>
      </w:tr>
      <w:tr w:rsidR="00222CE6" w:rsidRPr="006F28C4" w:rsidTr="00F73699">
        <w:trPr>
          <w:trHeight w:val="510"/>
          <w:tblHeader/>
        </w:trPr>
        <w:tc>
          <w:tcPr>
            <w:tcW w:w="5778" w:type="dxa"/>
            <w:vAlign w:val="center"/>
          </w:tcPr>
          <w:p w:rsidR="00222CE6" w:rsidRPr="006F28C4" w:rsidRDefault="00222CE6" w:rsidP="00344041">
            <w:pPr>
              <w:keepNext/>
              <w:keepLines/>
              <w:rPr>
                <w:rFonts w:ascii="Arial" w:hAnsi="Arial" w:cs="Arial"/>
                <w:sz w:val="20"/>
                <w:lang w:val="en-GB" w:eastAsia="ja-JP"/>
              </w:rPr>
            </w:pPr>
            <w:r w:rsidRPr="006F28C4">
              <w:rPr>
                <w:rFonts w:ascii="Arial" w:hAnsi="Arial" w:cs="Arial"/>
                <w:b/>
                <w:sz w:val="20"/>
                <w:lang w:val="en-GB" w:eastAsia="ja-JP"/>
              </w:rPr>
              <w:t xml:space="preserve">30686 </w:t>
            </w:r>
            <w:r w:rsidRPr="006F28C4">
              <w:rPr>
                <w:rFonts w:ascii="Arial" w:hAnsi="Arial" w:cs="Arial"/>
                <w:sz w:val="20"/>
                <w:lang w:val="en-GB" w:eastAsia="ja-JP"/>
              </w:rPr>
              <w:t>DBE – anal approach with 1 or more intraprocedural therapy</w:t>
            </w:r>
          </w:p>
        </w:tc>
        <w:tc>
          <w:tcPr>
            <w:tcW w:w="1417" w:type="dxa"/>
            <w:vMerge/>
            <w:vAlign w:val="center"/>
          </w:tcPr>
          <w:p w:rsidR="00222CE6" w:rsidRPr="006F28C4" w:rsidRDefault="00222CE6" w:rsidP="00344041">
            <w:pPr>
              <w:keepNext/>
              <w:keepLines/>
              <w:tabs>
                <w:tab w:val="left" w:pos="720"/>
              </w:tabs>
              <w:rPr>
                <w:rFonts w:ascii="Arial" w:hAnsi="Arial" w:cs="Arial"/>
                <w:sz w:val="20"/>
              </w:rPr>
            </w:pPr>
          </w:p>
        </w:tc>
        <w:tc>
          <w:tcPr>
            <w:tcW w:w="1984" w:type="dxa"/>
            <w:vMerge/>
            <w:vAlign w:val="center"/>
          </w:tcPr>
          <w:p w:rsidR="00222CE6" w:rsidRPr="006F28C4" w:rsidRDefault="00222CE6" w:rsidP="00344041">
            <w:pPr>
              <w:keepNext/>
              <w:keepLines/>
              <w:tabs>
                <w:tab w:val="left" w:pos="720"/>
              </w:tabs>
              <w:rPr>
                <w:rFonts w:ascii="Arial" w:hAnsi="Arial" w:cs="Arial"/>
                <w:sz w:val="20"/>
              </w:rPr>
            </w:pPr>
          </w:p>
        </w:tc>
      </w:tr>
    </w:tbl>
    <w:p w:rsidR="00344041" w:rsidRPr="00D27086" w:rsidRDefault="00222CE6" w:rsidP="00D27086">
      <w:pPr>
        <w:rPr>
          <w:rFonts w:ascii="Arial" w:hAnsi="Arial" w:cs="Arial"/>
          <w:i/>
          <w:sz w:val="20"/>
        </w:rPr>
      </w:pPr>
      <w:r w:rsidRPr="006F28C4">
        <w:rPr>
          <w:rFonts w:ascii="Arial" w:hAnsi="Arial" w:cs="Arial"/>
          <w:i/>
          <w:sz w:val="20"/>
        </w:rPr>
        <w:t>MBS Schedule fees and benefits as at 1 July 2013</w:t>
      </w:r>
    </w:p>
    <w:p w:rsidR="00024EB8" w:rsidRPr="00024EB8" w:rsidRDefault="00024EB8" w:rsidP="00024EB8"/>
    <w:p w:rsidR="00222CE6" w:rsidRDefault="003E2352" w:rsidP="00344041">
      <w:pPr>
        <w:pStyle w:val="Heading1"/>
        <w:spacing w:before="0"/>
        <w:rPr>
          <w:rFonts w:cs="Arial"/>
          <w:szCs w:val="24"/>
        </w:rPr>
      </w:pPr>
      <w:r>
        <w:rPr>
          <w:rFonts w:cs="Arial"/>
          <w:szCs w:val="24"/>
        </w:rPr>
        <w:t>12.</w:t>
      </w:r>
      <w:r>
        <w:rPr>
          <w:rFonts w:cs="Arial"/>
          <w:szCs w:val="24"/>
        </w:rPr>
        <w:tab/>
      </w:r>
      <w:r w:rsidR="00222CE6" w:rsidRPr="00D62862">
        <w:rPr>
          <w:rFonts w:cs="Arial"/>
          <w:szCs w:val="24"/>
        </w:rPr>
        <w:t>Financial/budgetary impacts</w:t>
      </w:r>
    </w:p>
    <w:p w:rsidR="00222CE6" w:rsidRDefault="00D27086" w:rsidP="00344041">
      <w:pPr>
        <w:tabs>
          <w:tab w:val="left" w:pos="720"/>
        </w:tabs>
        <w:rPr>
          <w:szCs w:val="24"/>
        </w:rPr>
      </w:pPr>
      <w:r>
        <w:rPr>
          <w:szCs w:val="24"/>
        </w:rPr>
        <w:t>MBS data indicated</w:t>
      </w:r>
      <w:r w:rsidR="00222CE6" w:rsidRPr="003E2352">
        <w:rPr>
          <w:szCs w:val="24"/>
        </w:rPr>
        <w:t xml:space="preserve"> that the overall growth rate of the MBS items for DBE has been plateauing following introduction on the Schedule in July 2007. The services for 30684 and 30686 have shown a decrease from 2011-12 to 2012-13. To be consistent with the current slowdown of services for DBE, a 1.2% growth factor </w:t>
      </w:r>
      <w:r w:rsidR="001908BA">
        <w:rPr>
          <w:szCs w:val="24"/>
        </w:rPr>
        <w:t>was</w:t>
      </w:r>
      <w:r w:rsidR="00222CE6" w:rsidRPr="003E2352">
        <w:rPr>
          <w:szCs w:val="24"/>
        </w:rPr>
        <w:t xml:space="preserve"> estimated for the financial analysis based on the two year growth from 2010-11 to 2012-13.</w:t>
      </w:r>
    </w:p>
    <w:p w:rsidR="00344041" w:rsidRPr="003E2352" w:rsidRDefault="00344041" w:rsidP="00344041">
      <w:pPr>
        <w:tabs>
          <w:tab w:val="left" w:pos="720"/>
        </w:tabs>
        <w:rPr>
          <w:szCs w:val="24"/>
        </w:rPr>
      </w:pPr>
    </w:p>
    <w:p w:rsidR="002844B1" w:rsidRDefault="00222CE6" w:rsidP="002844B1">
      <w:pPr>
        <w:tabs>
          <w:tab w:val="left" w:pos="720"/>
        </w:tabs>
        <w:rPr>
          <w:szCs w:val="24"/>
        </w:rPr>
      </w:pPr>
      <w:r w:rsidRPr="003E2352">
        <w:rPr>
          <w:szCs w:val="24"/>
        </w:rPr>
        <w:t>Overall, the annual growth of MBS</w:t>
      </w:r>
      <w:r w:rsidR="001908BA">
        <w:rPr>
          <w:szCs w:val="24"/>
        </w:rPr>
        <w:t xml:space="preserve"> items for balloon enteroscopy wa</w:t>
      </w:r>
      <w:r w:rsidR="007E0D3C">
        <w:rPr>
          <w:szCs w:val="24"/>
        </w:rPr>
        <w:t>s estimated at approximately seven</w:t>
      </w:r>
      <w:r w:rsidRPr="003E2352">
        <w:rPr>
          <w:szCs w:val="24"/>
        </w:rPr>
        <w:t xml:space="preserve"> services per financial year. The following table outlines the estimated service numbers for balloon enteroscopy procedures (DBE and SBE) for 2013-14 to 2017-18.</w:t>
      </w:r>
    </w:p>
    <w:p w:rsidR="002844B1" w:rsidRDefault="002844B1" w:rsidP="002844B1">
      <w:pPr>
        <w:tabs>
          <w:tab w:val="left" w:pos="720"/>
        </w:tabs>
        <w:rPr>
          <w:rFonts w:ascii="Arial" w:hAnsi="Arial" w:cs="Arial"/>
        </w:rPr>
      </w:pPr>
      <w:r>
        <w:rPr>
          <w:rFonts w:ascii="Arial" w:hAnsi="Arial" w:cs="Arial"/>
        </w:rPr>
        <w:t xml:space="preserve"> </w:t>
      </w:r>
    </w:p>
    <w:p w:rsidR="00222CE6" w:rsidRPr="001908BA" w:rsidRDefault="00222CE6" w:rsidP="00344041">
      <w:pPr>
        <w:pStyle w:val="Caption"/>
        <w:spacing w:after="0"/>
        <w:rPr>
          <w:rFonts w:ascii="Arial" w:hAnsi="Arial" w:cs="Arial"/>
        </w:rPr>
      </w:pPr>
      <w:r w:rsidRPr="001908BA">
        <w:rPr>
          <w:rFonts w:ascii="Arial" w:hAnsi="Arial" w:cs="Arial"/>
        </w:rPr>
        <w:t>Estimated services for balloon enteroscopy – 2013-14 to 2017-18</w:t>
      </w:r>
      <w:r w:rsidR="00BD3903">
        <w:rPr>
          <w:rFonts w:ascii="Arial" w:hAnsi="Arial" w:cs="Arial"/>
        </w:rPr>
        <w:t xml:space="preserve"> – from CA</w:t>
      </w:r>
    </w:p>
    <w:tbl>
      <w:tblPr>
        <w:tblStyle w:val="TableGrid"/>
        <w:tblW w:w="9606" w:type="dxa"/>
        <w:tblLayout w:type="fixed"/>
        <w:tblLook w:val="04A0" w:firstRow="1" w:lastRow="0" w:firstColumn="1" w:lastColumn="0" w:noHBand="0" w:noVBand="1"/>
        <w:tblCaption w:val="Table 5 Estimated services for balloon enteroscopy – 2013-14 to 2017-18"/>
      </w:tblPr>
      <w:tblGrid>
        <w:gridCol w:w="3794"/>
        <w:gridCol w:w="1162"/>
        <w:gridCol w:w="1162"/>
        <w:gridCol w:w="1163"/>
        <w:gridCol w:w="1162"/>
        <w:gridCol w:w="1163"/>
      </w:tblGrid>
      <w:tr w:rsidR="00222CE6" w:rsidRPr="001908BA" w:rsidTr="00F73699">
        <w:trPr>
          <w:trHeight w:val="397"/>
          <w:tblHeader/>
        </w:trPr>
        <w:tc>
          <w:tcPr>
            <w:tcW w:w="3794" w:type="dxa"/>
            <w:shd w:val="clear" w:color="auto" w:fill="FFFFCC"/>
            <w:vAlign w:val="center"/>
          </w:tcPr>
          <w:p w:rsidR="00222CE6" w:rsidRPr="001908BA" w:rsidRDefault="00222CE6" w:rsidP="00344041">
            <w:pPr>
              <w:rPr>
                <w:rFonts w:ascii="Arial" w:hAnsi="Arial" w:cs="Arial"/>
                <w:b/>
                <w:sz w:val="20"/>
                <w:lang w:val="en-GB" w:eastAsia="ja-JP"/>
              </w:rPr>
            </w:pPr>
            <w:r w:rsidRPr="001908BA">
              <w:rPr>
                <w:rFonts w:ascii="Arial" w:hAnsi="Arial" w:cs="Arial"/>
                <w:b/>
                <w:sz w:val="20"/>
                <w:lang w:val="en-GB" w:eastAsia="ja-JP"/>
              </w:rPr>
              <w:t>MBS item</w:t>
            </w:r>
          </w:p>
        </w:tc>
        <w:tc>
          <w:tcPr>
            <w:tcW w:w="1162" w:type="dxa"/>
            <w:shd w:val="clear" w:color="auto" w:fill="FFFFCC"/>
            <w:vAlign w:val="center"/>
          </w:tcPr>
          <w:p w:rsidR="00222CE6" w:rsidRPr="001908BA" w:rsidRDefault="00222CE6" w:rsidP="00344041">
            <w:pPr>
              <w:jc w:val="center"/>
              <w:rPr>
                <w:rFonts w:ascii="Arial" w:hAnsi="Arial" w:cs="Arial"/>
                <w:b/>
                <w:color w:val="000000"/>
                <w:sz w:val="20"/>
              </w:rPr>
            </w:pPr>
            <w:r w:rsidRPr="001908BA">
              <w:rPr>
                <w:rFonts w:ascii="Arial" w:hAnsi="Arial" w:cs="Arial"/>
                <w:b/>
                <w:color w:val="000000"/>
                <w:sz w:val="20"/>
              </w:rPr>
              <w:t>2013-14</w:t>
            </w:r>
          </w:p>
        </w:tc>
        <w:tc>
          <w:tcPr>
            <w:tcW w:w="1162" w:type="dxa"/>
            <w:shd w:val="clear" w:color="auto" w:fill="FFFFCC"/>
            <w:vAlign w:val="center"/>
          </w:tcPr>
          <w:p w:rsidR="00222CE6" w:rsidRPr="001908BA" w:rsidRDefault="00222CE6" w:rsidP="00344041">
            <w:pPr>
              <w:jc w:val="center"/>
              <w:rPr>
                <w:rFonts w:ascii="Arial" w:hAnsi="Arial" w:cs="Arial"/>
                <w:b/>
                <w:color w:val="000000"/>
                <w:sz w:val="20"/>
              </w:rPr>
            </w:pPr>
            <w:r w:rsidRPr="001908BA">
              <w:rPr>
                <w:rFonts w:ascii="Arial" w:hAnsi="Arial" w:cs="Arial"/>
                <w:b/>
                <w:color w:val="000000"/>
                <w:sz w:val="20"/>
              </w:rPr>
              <w:t>2014-15</w:t>
            </w:r>
          </w:p>
        </w:tc>
        <w:tc>
          <w:tcPr>
            <w:tcW w:w="1163" w:type="dxa"/>
            <w:shd w:val="clear" w:color="auto" w:fill="FFFFCC"/>
            <w:vAlign w:val="center"/>
          </w:tcPr>
          <w:p w:rsidR="00222CE6" w:rsidRPr="001908BA" w:rsidRDefault="00222CE6" w:rsidP="00344041">
            <w:pPr>
              <w:jc w:val="center"/>
              <w:rPr>
                <w:rFonts w:ascii="Arial" w:hAnsi="Arial" w:cs="Arial"/>
                <w:b/>
                <w:color w:val="000000"/>
                <w:sz w:val="20"/>
              </w:rPr>
            </w:pPr>
            <w:r w:rsidRPr="001908BA">
              <w:rPr>
                <w:rFonts w:ascii="Arial" w:hAnsi="Arial" w:cs="Arial"/>
                <w:b/>
                <w:color w:val="000000"/>
                <w:sz w:val="20"/>
              </w:rPr>
              <w:t>2015-16</w:t>
            </w:r>
          </w:p>
        </w:tc>
        <w:tc>
          <w:tcPr>
            <w:tcW w:w="1162" w:type="dxa"/>
            <w:shd w:val="clear" w:color="auto" w:fill="FFFFCC"/>
            <w:vAlign w:val="center"/>
          </w:tcPr>
          <w:p w:rsidR="00222CE6" w:rsidRPr="001908BA" w:rsidRDefault="00222CE6" w:rsidP="00344041">
            <w:pPr>
              <w:jc w:val="center"/>
              <w:rPr>
                <w:rFonts w:ascii="Arial" w:hAnsi="Arial" w:cs="Arial"/>
                <w:b/>
                <w:color w:val="000000"/>
                <w:sz w:val="20"/>
              </w:rPr>
            </w:pPr>
            <w:r w:rsidRPr="001908BA">
              <w:rPr>
                <w:rFonts w:ascii="Arial" w:hAnsi="Arial" w:cs="Arial"/>
                <w:b/>
                <w:color w:val="000000"/>
                <w:sz w:val="20"/>
              </w:rPr>
              <w:t>2016-17</w:t>
            </w:r>
          </w:p>
        </w:tc>
        <w:tc>
          <w:tcPr>
            <w:tcW w:w="1163" w:type="dxa"/>
            <w:shd w:val="clear" w:color="auto" w:fill="FFFFCC"/>
            <w:vAlign w:val="center"/>
          </w:tcPr>
          <w:p w:rsidR="00222CE6" w:rsidRPr="001908BA" w:rsidRDefault="00222CE6" w:rsidP="00344041">
            <w:pPr>
              <w:jc w:val="center"/>
              <w:rPr>
                <w:rFonts w:ascii="Arial" w:hAnsi="Arial" w:cs="Arial"/>
                <w:b/>
                <w:color w:val="000000"/>
                <w:sz w:val="20"/>
              </w:rPr>
            </w:pPr>
            <w:r w:rsidRPr="001908BA">
              <w:rPr>
                <w:rFonts w:ascii="Arial" w:hAnsi="Arial" w:cs="Arial"/>
                <w:b/>
                <w:color w:val="000000"/>
                <w:sz w:val="20"/>
              </w:rPr>
              <w:t>2017-18</w:t>
            </w:r>
          </w:p>
        </w:tc>
      </w:tr>
      <w:tr w:rsidR="00222CE6" w:rsidRPr="001908BA" w:rsidTr="00F73699">
        <w:trPr>
          <w:trHeight w:val="567"/>
          <w:tblHeader/>
        </w:trPr>
        <w:tc>
          <w:tcPr>
            <w:tcW w:w="3794" w:type="dxa"/>
            <w:shd w:val="clear" w:color="auto" w:fill="FFFFCC"/>
            <w:vAlign w:val="center"/>
          </w:tcPr>
          <w:p w:rsidR="00222CE6" w:rsidRPr="001908BA" w:rsidRDefault="00222CE6" w:rsidP="00344041">
            <w:pPr>
              <w:rPr>
                <w:rFonts w:ascii="Arial" w:hAnsi="Arial" w:cs="Arial"/>
                <w:b/>
                <w:sz w:val="20"/>
                <w:lang w:val="en-GB" w:eastAsia="ja-JP"/>
              </w:rPr>
            </w:pPr>
            <w:r w:rsidRPr="001908BA">
              <w:rPr>
                <w:rFonts w:ascii="Arial" w:hAnsi="Arial" w:cs="Arial"/>
                <w:b/>
                <w:sz w:val="20"/>
                <w:lang w:val="en-GB" w:eastAsia="ja-JP"/>
              </w:rPr>
              <w:t xml:space="preserve">30680 </w:t>
            </w:r>
            <w:r w:rsidRPr="001908BA">
              <w:rPr>
                <w:rFonts w:ascii="Arial" w:hAnsi="Arial" w:cs="Arial"/>
                <w:sz w:val="20"/>
                <w:lang w:val="en-GB" w:eastAsia="ja-JP"/>
              </w:rPr>
              <w:t>oral approach</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196</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199</w:t>
            </w:r>
          </w:p>
        </w:tc>
        <w:tc>
          <w:tcPr>
            <w:tcW w:w="1163"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201</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203</w:t>
            </w:r>
          </w:p>
        </w:tc>
        <w:tc>
          <w:tcPr>
            <w:tcW w:w="1163"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206</w:t>
            </w:r>
          </w:p>
        </w:tc>
      </w:tr>
      <w:tr w:rsidR="00222CE6" w:rsidRPr="001908BA" w:rsidTr="00F73699">
        <w:trPr>
          <w:trHeight w:val="567"/>
          <w:tblHeader/>
        </w:trPr>
        <w:tc>
          <w:tcPr>
            <w:tcW w:w="3794" w:type="dxa"/>
            <w:shd w:val="clear" w:color="auto" w:fill="FFFFCC"/>
            <w:vAlign w:val="center"/>
          </w:tcPr>
          <w:p w:rsidR="00222CE6" w:rsidRPr="001908BA" w:rsidRDefault="00222CE6" w:rsidP="00344041">
            <w:pPr>
              <w:rPr>
                <w:rFonts w:ascii="Arial" w:hAnsi="Arial" w:cs="Arial"/>
                <w:b/>
                <w:sz w:val="20"/>
                <w:lang w:val="en-GB" w:eastAsia="ja-JP"/>
              </w:rPr>
            </w:pPr>
            <w:r w:rsidRPr="001908BA">
              <w:rPr>
                <w:rFonts w:ascii="Arial" w:hAnsi="Arial" w:cs="Arial"/>
                <w:b/>
                <w:sz w:val="20"/>
                <w:lang w:val="en-GB" w:eastAsia="ja-JP"/>
              </w:rPr>
              <w:t xml:space="preserve">30682 </w:t>
            </w:r>
            <w:r w:rsidRPr="001908BA">
              <w:rPr>
                <w:rFonts w:ascii="Arial" w:hAnsi="Arial" w:cs="Arial"/>
                <w:sz w:val="20"/>
                <w:lang w:val="en-GB" w:eastAsia="ja-JP"/>
              </w:rPr>
              <w:t>anal approach</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189</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192</w:t>
            </w:r>
          </w:p>
        </w:tc>
        <w:tc>
          <w:tcPr>
            <w:tcW w:w="1163"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194</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196</w:t>
            </w:r>
          </w:p>
        </w:tc>
        <w:tc>
          <w:tcPr>
            <w:tcW w:w="1163"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198</w:t>
            </w:r>
          </w:p>
        </w:tc>
      </w:tr>
      <w:tr w:rsidR="00222CE6" w:rsidRPr="001908BA" w:rsidTr="00F73699">
        <w:trPr>
          <w:trHeight w:val="567"/>
          <w:tblHeader/>
        </w:trPr>
        <w:tc>
          <w:tcPr>
            <w:tcW w:w="3794" w:type="dxa"/>
            <w:shd w:val="clear" w:color="auto" w:fill="FFFFCC"/>
            <w:vAlign w:val="center"/>
          </w:tcPr>
          <w:p w:rsidR="00222CE6" w:rsidRPr="001908BA" w:rsidRDefault="00222CE6" w:rsidP="00344041">
            <w:pPr>
              <w:rPr>
                <w:rFonts w:ascii="Arial" w:hAnsi="Arial" w:cs="Arial"/>
                <w:b/>
                <w:sz w:val="20"/>
                <w:lang w:val="en-GB" w:eastAsia="ja-JP"/>
              </w:rPr>
            </w:pPr>
            <w:r w:rsidRPr="001908BA">
              <w:rPr>
                <w:rFonts w:ascii="Arial" w:hAnsi="Arial" w:cs="Arial"/>
                <w:b/>
                <w:sz w:val="20"/>
                <w:lang w:val="en-GB" w:eastAsia="ja-JP"/>
              </w:rPr>
              <w:t xml:space="preserve">30684 </w:t>
            </w:r>
            <w:r w:rsidRPr="001908BA">
              <w:rPr>
                <w:rFonts w:ascii="Arial" w:hAnsi="Arial" w:cs="Arial"/>
                <w:sz w:val="20"/>
                <w:lang w:val="en-GB" w:eastAsia="ja-JP"/>
              </w:rPr>
              <w:t>oral approach with 1 or more procedures</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128</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129</w:t>
            </w:r>
          </w:p>
        </w:tc>
        <w:tc>
          <w:tcPr>
            <w:tcW w:w="1163"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131</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132</w:t>
            </w:r>
          </w:p>
        </w:tc>
        <w:tc>
          <w:tcPr>
            <w:tcW w:w="1163"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134</w:t>
            </w:r>
          </w:p>
        </w:tc>
      </w:tr>
      <w:tr w:rsidR="00222CE6" w:rsidRPr="001908BA" w:rsidTr="00F73699">
        <w:trPr>
          <w:trHeight w:val="567"/>
          <w:tblHeader/>
        </w:trPr>
        <w:tc>
          <w:tcPr>
            <w:tcW w:w="3794" w:type="dxa"/>
            <w:shd w:val="clear" w:color="auto" w:fill="FFFFCC"/>
            <w:vAlign w:val="center"/>
          </w:tcPr>
          <w:p w:rsidR="00222CE6" w:rsidRPr="001908BA" w:rsidRDefault="00222CE6" w:rsidP="00344041">
            <w:pPr>
              <w:rPr>
                <w:rFonts w:ascii="Arial" w:hAnsi="Arial" w:cs="Arial"/>
                <w:b/>
                <w:sz w:val="20"/>
                <w:lang w:val="en-GB" w:eastAsia="ja-JP"/>
              </w:rPr>
            </w:pPr>
            <w:r w:rsidRPr="001908BA">
              <w:rPr>
                <w:rFonts w:ascii="Arial" w:hAnsi="Arial" w:cs="Arial"/>
                <w:b/>
                <w:sz w:val="20"/>
                <w:lang w:val="en-GB" w:eastAsia="ja-JP"/>
              </w:rPr>
              <w:t xml:space="preserve">30686 </w:t>
            </w:r>
            <w:r w:rsidRPr="001908BA">
              <w:rPr>
                <w:rFonts w:ascii="Arial" w:hAnsi="Arial" w:cs="Arial"/>
                <w:sz w:val="20"/>
                <w:lang w:val="en-GB" w:eastAsia="ja-JP"/>
              </w:rPr>
              <w:t>anal approach with 1 or more procedures</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63</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63</w:t>
            </w:r>
          </w:p>
        </w:tc>
        <w:tc>
          <w:tcPr>
            <w:tcW w:w="1163"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64</w:t>
            </w:r>
          </w:p>
        </w:tc>
        <w:tc>
          <w:tcPr>
            <w:tcW w:w="1162"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65</w:t>
            </w:r>
          </w:p>
        </w:tc>
        <w:tc>
          <w:tcPr>
            <w:tcW w:w="1163" w:type="dxa"/>
            <w:vAlign w:val="center"/>
          </w:tcPr>
          <w:p w:rsidR="00222CE6" w:rsidRPr="001908BA" w:rsidRDefault="00222CE6" w:rsidP="00344041">
            <w:pPr>
              <w:jc w:val="center"/>
              <w:rPr>
                <w:rFonts w:ascii="Arial" w:hAnsi="Arial" w:cs="Arial"/>
                <w:sz w:val="20"/>
                <w:lang w:val="en-GB" w:eastAsia="ja-JP"/>
              </w:rPr>
            </w:pPr>
            <w:r w:rsidRPr="001908BA">
              <w:rPr>
                <w:rFonts w:ascii="Arial" w:hAnsi="Arial" w:cs="Arial"/>
                <w:sz w:val="20"/>
                <w:lang w:val="en-GB" w:eastAsia="ja-JP"/>
              </w:rPr>
              <w:t>66</w:t>
            </w:r>
          </w:p>
        </w:tc>
      </w:tr>
      <w:tr w:rsidR="00222CE6" w:rsidRPr="001908BA" w:rsidTr="00F73699">
        <w:trPr>
          <w:trHeight w:val="454"/>
          <w:tblHeader/>
        </w:trPr>
        <w:tc>
          <w:tcPr>
            <w:tcW w:w="3794" w:type="dxa"/>
            <w:shd w:val="clear" w:color="auto" w:fill="FFFFCC"/>
            <w:vAlign w:val="center"/>
          </w:tcPr>
          <w:p w:rsidR="00222CE6" w:rsidRPr="001908BA" w:rsidDel="00276DFC" w:rsidRDefault="00222CE6" w:rsidP="00344041">
            <w:pPr>
              <w:rPr>
                <w:rFonts w:ascii="Arial" w:hAnsi="Arial" w:cs="Arial"/>
                <w:b/>
                <w:sz w:val="20"/>
                <w:lang w:val="en-GB" w:eastAsia="ja-JP"/>
              </w:rPr>
            </w:pPr>
            <w:r w:rsidRPr="001908BA">
              <w:rPr>
                <w:rFonts w:ascii="Arial" w:hAnsi="Arial" w:cs="Arial"/>
                <w:b/>
                <w:sz w:val="20"/>
                <w:lang w:val="en-GB" w:eastAsia="ja-JP"/>
              </w:rPr>
              <w:t>Total</w:t>
            </w:r>
          </w:p>
        </w:tc>
        <w:tc>
          <w:tcPr>
            <w:tcW w:w="1162" w:type="dxa"/>
            <w:vAlign w:val="center"/>
          </w:tcPr>
          <w:p w:rsidR="00222CE6" w:rsidRPr="001908BA" w:rsidRDefault="00222CE6" w:rsidP="00344041">
            <w:pPr>
              <w:jc w:val="center"/>
              <w:rPr>
                <w:rFonts w:ascii="Arial" w:hAnsi="Arial" w:cs="Arial"/>
                <w:b/>
                <w:sz w:val="20"/>
                <w:lang w:val="en-GB" w:eastAsia="ja-JP"/>
              </w:rPr>
            </w:pPr>
            <w:r w:rsidRPr="001908BA">
              <w:rPr>
                <w:rFonts w:ascii="Arial" w:hAnsi="Arial" w:cs="Arial"/>
                <w:b/>
                <w:sz w:val="20"/>
                <w:lang w:val="en-GB" w:eastAsia="ja-JP"/>
              </w:rPr>
              <w:t>576</w:t>
            </w:r>
          </w:p>
        </w:tc>
        <w:tc>
          <w:tcPr>
            <w:tcW w:w="1162" w:type="dxa"/>
            <w:vAlign w:val="center"/>
          </w:tcPr>
          <w:p w:rsidR="00222CE6" w:rsidRPr="001908BA" w:rsidRDefault="00222CE6" w:rsidP="00344041">
            <w:pPr>
              <w:jc w:val="center"/>
              <w:rPr>
                <w:rFonts w:ascii="Arial" w:hAnsi="Arial" w:cs="Arial"/>
                <w:b/>
                <w:sz w:val="20"/>
                <w:lang w:val="en-GB" w:eastAsia="ja-JP"/>
              </w:rPr>
            </w:pPr>
            <w:r w:rsidRPr="001908BA">
              <w:rPr>
                <w:rFonts w:ascii="Arial" w:hAnsi="Arial" w:cs="Arial"/>
                <w:b/>
                <w:sz w:val="20"/>
                <w:lang w:val="en-GB" w:eastAsia="ja-JP"/>
              </w:rPr>
              <w:t>583</w:t>
            </w:r>
          </w:p>
        </w:tc>
        <w:tc>
          <w:tcPr>
            <w:tcW w:w="1163" w:type="dxa"/>
            <w:vAlign w:val="center"/>
          </w:tcPr>
          <w:p w:rsidR="00222CE6" w:rsidRPr="001908BA" w:rsidRDefault="00222CE6" w:rsidP="00344041">
            <w:pPr>
              <w:jc w:val="center"/>
              <w:rPr>
                <w:rFonts w:ascii="Arial" w:hAnsi="Arial" w:cs="Arial"/>
                <w:b/>
                <w:sz w:val="20"/>
                <w:lang w:val="en-GB" w:eastAsia="ja-JP"/>
              </w:rPr>
            </w:pPr>
            <w:r w:rsidRPr="001908BA">
              <w:rPr>
                <w:rFonts w:ascii="Arial" w:hAnsi="Arial" w:cs="Arial"/>
                <w:b/>
                <w:sz w:val="20"/>
                <w:lang w:val="en-GB" w:eastAsia="ja-JP"/>
              </w:rPr>
              <w:t>590</w:t>
            </w:r>
          </w:p>
        </w:tc>
        <w:tc>
          <w:tcPr>
            <w:tcW w:w="1162" w:type="dxa"/>
            <w:vAlign w:val="center"/>
          </w:tcPr>
          <w:p w:rsidR="00222CE6" w:rsidRPr="001908BA" w:rsidRDefault="00222CE6" w:rsidP="00344041">
            <w:pPr>
              <w:jc w:val="center"/>
              <w:rPr>
                <w:rFonts w:ascii="Arial" w:hAnsi="Arial" w:cs="Arial"/>
                <w:b/>
                <w:sz w:val="20"/>
                <w:lang w:val="en-GB" w:eastAsia="ja-JP"/>
              </w:rPr>
            </w:pPr>
            <w:r w:rsidRPr="001908BA">
              <w:rPr>
                <w:rFonts w:ascii="Arial" w:hAnsi="Arial" w:cs="Arial"/>
                <w:b/>
                <w:sz w:val="20"/>
                <w:lang w:val="en-GB" w:eastAsia="ja-JP"/>
              </w:rPr>
              <w:t>597</w:t>
            </w:r>
          </w:p>
        </w:tc>
        <w:tc>
          <w:tcPr>
            <w:tcW w:w="1163" w:type="dxa"/>
            <w:vAlign w:val="center"/>
          </w:tcPr>
          <w:p w:rsidR="00222CE6" w:rsidRPr="001908BA" w:rsidRDefault="00222CE6" w:rsidP="00344041">
            <w:pPr>
              <w:jc w:val="center"/>
              <w:rPr>
                <w:rFonts w:ascii="Arial" w:hAnsi="Arial" w:cs="Arial"/>
                <w:b/>
                <w:sz w:val="20"/>
                <w:lang w:val="en-GB" w:eastAsia="ja-JP"/>
              </w:rPr>
            </w:pPr>
            <w:r w:rsidRPr="001908BA">
              <w:rPr>
                <w:rFonts w:ascii="Arial" w:hAnsi="Arial" w:cs="Arial"/>
                <w:b/>
                <w:sz w:val="20"/>
                <w:lang w:val="en-GB" w:eastAsia="ja-JP"/>
              </w:rPr>
              <w:t>604</w:t>
            </w:r>
          </w:p>
        </w:tc>
      </w:tr>
    </w:tbl>
    <w:p w:rsidR="00344041" w:rsidRDefault="00344041" w:rsidP="00344041">
      <w:pPr>
        <w:tabs>
          <w:tab w:val="left" w:pos="720"/>
        </w:tabs>
        <w:rPr>
          <w:szCs w:val="24"/>
        </w:rPr>
      </w:pPr>
    </w:p>
    <w:p w:rsidR="00222CE6" w:rsidRPr="003E2352" w:rsidRDefault="00222CE6" w:rsidP="00344041">
      <w:pPr>
        <w:tabs>
          <w:tab w:val="left" w:pos="720"/>
        </w:tabs>
        <w:rPr>
          <w:szCs w:val="24"/>
        </w:rPr>
      </w:pPr>
      <w:r w:rsidRPr="003E2352">
        <w:rPr>
          <w:szCs w:val="24"/>
        </w:rPr>
        <w:t xml:space="preserve">Patients may </w:t>
      </w:r>
      <w:r w:rsidR="00EB0D0B">
        <w:rPr>
          <w:szCs w:val="24"/>
        </w:rPr>
        <w:t>require</w:t>
      </w:r>
      <w:r w:rsidRPr="003E2352">
        <w:rPr>
          <w:szCs w:val="24"/>
        </w:rPr>
        <w:t xml:space="preserve"> one or more enteroscopy procedures (it is expected that the majority of patients would receive balloon enteroscopy a maximum of twice – once per approach).</w:t>
      </w:r>
    </w:p>
    <w:p w:rsidR="00222CE6" w:rsidRDefault="00222CE6" w:rsidP="00344041">
      <w:pPr>
        <w:tabs>
          <w:tab w:val="left" w:pos="720"/>
        </w:tabs>
        <w:rPr>
          <w:szCs w:val="24"/>
        </w:rPr>
      </w:pPr>
      <w:r w:rsidRPr="003E2352">
        <w:rPr>
          <w:szCs w:val="24"/>
        </w:rPr>
        <w:t>The financial analysis was based on the estimated growth of the MBS items for DBE. In 2012-13, there were $584,759 benefits paid for items 30680 to 30686.</w:t>
      </w:r>
    </w:p>
    <w:p w:rsidR="00344041" w:rsidRPr="003E2352" w:rsidRDefault="00344041" w:rsidP="00344041">
      <w:pPr>
        <w:tabs>
          <w:tab w:val="left" w:pos="720"/>
        </w:tabs>
        <w:rPr>
          <w:szCs w:val="24"/>
        </w:rPr>
      </w:pPr>
    </w:p>
    <w:p w:rsidR="00222CE6" w:rsidRPr="003E2352" w:rsidRDefault="00EB0D0B" w:rsidP="00344041">
      <w:pPr>
        <w:tabs>
          <w:tab w:val="left" w:pos="720"/>
        </w:tabs>
        <w:rPr>
          <w:szCs w:val="24"/>
        </w:rPr>
      </w:pPr>
      <w:r>
        <w:rPr>
          <w:szCs w:val="24"/>
        </w:rPr>
        <w:t>The total MBS cost incorporated</w:t>
      </w:r>
      <w:r w:rsidR="00222CE6" w:rsidRPr="003E2352">
        <w:rPr>
          <w:szCs w:val="24"/>
        </w:rPr>
        <w:t xml:space="preserve"> a split of Medicare benefits for in-hospital and not-in-hospital services of the MBS items for:</w:t>
      </w:r>
    </w:p>
    <w:p w:rsidR="00222CE6" w:rsidRPr="003E2352" w:rsidRDefault="00222CE6" w:rsidP="00344041">
      <w:pPr>
        <w:pStyle w:val="ListParagraph"/>
        <w:numPr>
          <w:ilvl w:val="0"/>
          <w:numId w:val="11"/>
        </w:numPr>
        <w:tabs>
          <w:tab w:val="left" w:pos="720"/>
          <w:tab w:val="left" w:pos="1140"/>
        </w:tabs>
        <w:rPr>
          <w:szCs w:val="24"/>
        </w:rPr>
      </w:pPr>
      <w:r w:rsidRPr="003E2352">
        <w:rPr>
          <w:szCs w:val="24"/>
        </w:rPr>
        <w:t>Initial consultation;</w:t>
      </w:r>
    </w:p>
    <w:p w:rsidR="00222CE6" w:rsidRPr="003E2352" w:rsidRDefault="00222CE6" w:rsidP="00344041">
      <w:pPr>
        <w:pStyle w:val="ListParagraph"/>
        <w:numPr>
          <w:ilvl w:val="0"/>
          <w:numId w:val="11"/>
        </w:numPr>
        <w:tabs>
          <w:tab w:val="left" w:pos="720"/>
          <w:tab w:val="left" w:pos="1140"/>
        </w:tabs>
        <w:rPr>
          <w:szCs w:val="24"/>
        </w:rPr>
      </w:pPr>
      <w:r w:rsidRPr="003E2352">
        <w:rPr>
          <w:szCs w:val="24"/>
        </w:rPr>
        <w:t>Anaesthesia;</w:t>
      </w:r>
    </w:p>
    <w:p w:rsidR="00222CE6" w:rsidRPr="003E2352" w:rsidRDefault="00222CE6" w:rsidP="00344041">
      <w:pPr>
        <w:pStyle w:val="ListParagraph"/>
        <w:numPr>
          <w:ilvl w:val="0"/>
          <w:numId w:val="11"/>
        </w:numPr>
        <w:tabs>
          <w:tab w:val="left" w:pos="720"/>
          <w:tab w:val="left" w:pos="1140"/>
        </w:tabs>
        <w:rPr>
          <w:szCs w:val="24"/>
        </w:rPr>
      </w:pPr>
      <w:r w:rsidRPr="003E2352">
        <w:rPr>
          <w:szCs w:val="24"/>
        </w:rPr>
        <w:t>Fluoroscopy for a specified proportion of the procedures; and</w:t>
      </w:r>
    </w:p>
    <w:p w:rsidR="00222CE6" w:rsidRPr="003E2352" w:rsidRDefault="00222CE6" w:rsidP="00344041">
      <w:pPr>
        <w:pStyle w:val="ListParagraph"/>
        <w:numPr>
          <w:ilvl w:val="0"/>
          <w:numId w:val="11"/>
        </w:numPr>
        <w:tabs>
          <w:tab w:val="left" w:pos="720"/>
          <w:tab w:val="left" w:pos="1140"/>
        </w:tabs>
        <w:rPr>
          <w:szCs w:val="24"/>
        </w:rPr>
      </w:pPr>
      <w:r w:rsidRPr="003E2352">
        <w:rPr>
          <w:szCs w:val="24"/>
        </w:rPr>
        <w:t>The procedure based on DBE.</w:t>
      </w:r>
    </w:p>
    <w:p w:rsidR="00344041" w:rsidRDefault="00344041" w:rsidP="00344041">
      <w:pPr>
        <w:rPr>
          <w:szCs w:val="24"/>
        </w:rPr>
      </w:pPr>
    </w:p>
    <w:p w:rsidR="003E2352" w:rsidRDefault="00EB0D0B" w:rsidP="00344041">
      <w:pPr>
        <w:rPr>
          <w:szCs w:val="24"/>
        </w:rPr>
      </w:pPr>
      <w:r>
        <w:rPr>
          <w:szCs w:val="24"/>
        </w:rPr>
        <w:t>In 2013-14, the total MBS cost wa</w:t>
      </w:r>
      <w:r w:rsidR="00222CE6" w:rsidRPr="003E2352">
        <w:rPr>
          <w:szCs w:val="24"/>
        </w:rPr>
        <w:t>s estimated at $740,048, with an annual increase of approximately $20,000 per financial year as presented in the following table</w:t>
      </w:r>
      <w:bookmarkStart w:id="1" w:name="_Ref366756170"/>
      <w:bookmarkStart w:id="2" w:name="_Toc367441405"/>
      <w:r w:rsidR="00222CE6" w:rsidRPr="003E2352">
        <w:rPr>
          <w:szCs w:val="24"/>
        </w:rPr>
        <w:t>.</w:t>
      </w:r>
      <w:bookmarkEnd w:id="1"/>
      <w:bookmarkEnd w:id="2"/>
    </w:p>
    <w:p w:rsidR="003E2352" w:rsidRPr="003E2352" w:rsidRDefault="003E2352" w:rsidP="00344041">
      <w:pPr>
        <w:rPr>
          <w:szCs w:val="24"/>
        </w:rPr>
      </w:pPr>
    </w:p>
    <w:p w:rsidR="00222CE6" w:rsidRPr="00EB0D0B" w:rsidRDefault="00222CE6" w:rsidP="00344041">
      <w:pPr>
        <w:pStyle w:val="Caption"/>
        <w:spacing w:after="0"/>
        <w:rPr>
          <w:rFonts w:ascii="Arial" w:hAnsi="Arial" w:cs="Arial"/>
        </w:rPr>
      </w:pPr>
      <w:r w:rsidRPr="00EB0D0B">
        <w:rPr>
          <w:rFonts w:ascii="Arial" w:hAnsi="Arial" w:cs="Arial"/>
        </w:rPr>
        <w:lastRenderedPageBreak/>
        <w:t>Estimated total MBS cost – 2013-14 to 2017-18</w:t>
      </w:r>
      <w:r w:rsidR="00BD3903">
        <w:rPr>
          <w:rFonts w:ascii="Arial" w:hAnsi="Arial" w:cs="Arial"/>
        </w:rPr>
        <w:t xml:space="preserve"> – from CA</w:t>
      </w:r>
    </w:p>
    <w:tbl>
      <w:tblPr>
        <w:tblStyle w:val="TableGrid"/>
        <w:tblW w:w="8276" w:type="dxa"/>
        <w:tblLook w:val="04A0" w:firstRow="1" w:lastRow="0" w:firstColumn="1" w:lastColumn="0" w:noHBand="0" w:noVBand="1"/>
        <w:tblCaption w:val="Table 6 Estimated total MBS cost – 2013-14 to 2017-18"/>
      </w:tblPr>
      <w:tblGrid>
        <w:gridCol w:w="2891"/>
        <w:gridCol w:w="1077"/>
        <w:gridCol w:w="1077"/>
        <w:gridCol w:w="1077"/>
        <w:gridCol w:w="1077"/>
        <w:gridCol w:w="1077"/>
      </w:tblGrid>
      <w:tr w:rsidR="00222CE6" w:rsidRPr="00EB0D0B" w:rsidTr="00F73699">
        <w:trPr>
          <w:trHeight w:val="340"/>
          <w:tblHeader/>
        </w:trPr>
        <w:tc>
          <w:tcPr>
            <w:tcW w:w="2891" w:type="dxa"/>
            <w:shd w:val="clear" w:color="auto" w:fill="FFFFCC"/>
            <w:vAlign w:val="center"/>
          </w:tcPr>
          <w:p w:rsidR="00222CE6" w:rsidRPr="00EB0D0B" w:rsidRDefault="00222CE6" w:rsidP="00344041">
            <w:pPr>
              <w:jc w:val="center"/>
              <w:rPr>
                <w:rFonts w:ascii="Arial" w:hAnsi="Arial" w:cs="Arial"/>
                <w:b/>
                <w:color w:val="000000"/>
                <w:sz w:val="20"/>
              </w:rPr>
            </w:pPr>
          </w:p>
        </w:tc>
        <w:tc>
          <w:tcPr>
            <w:tcW w:w="1077" w:type="dxa"/>
            <w:shd w:val="clear" w:color="auto" w:fill="FFFFCC"/>
            <w:vAlign w:val="center"/>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2013-14</w:t>
            </w:r>
          </w:p>
        </w:tc>
        <w:tc>
          <w:tcPr>
            <w:tcW w:w="1077" w:type="dxa"/>
            <w:shd w:val="clear" w:color="auto" w:fill="FFFFCC"/>
            <w:vAlign w:val="center"/>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2014-15</w:t>
            </w:r>
          </w:p>
        </w:tc>
        <w:tc>
          <w:tcPr>
            <w:tcW w:w="1077" w:type="dxa"/>
            <w:shd w:val="clear" w:color="auto" w:fill="FFFFCC"/>
            <w:vAlign w:val="center"/>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2015-16</w:t>
            </w:r>
          </w:p>
        </w:tc>
        <w:tc>
          <w:tcPr>
            <w:tcW w:w="1077" w:type="dxa"/>
            <w:shd w:val="clear" w:color="auto" w:fill="FFFFCC"/>
            <w:vAlign w:val="center"/>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2016-17</w:t>
            </w:r>
          </w:p>
        </w:tc>
        <w:tc>
          <w:tcPr>
            <w:tcW w:w="1077" w:type="dxa"/>
            <w:shd w:val="clear" w:color="auto" w:fill="FFFFCC"/>
            <w:vAlign w:val="center"/>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2017-18</w:t>
            </w:r>
          </w:p>
        </w:tc>
      </w:tr>
      <w:tr w:rsidR="00222CE6" w:rsidRPr="00EB0D0B" w:rsidTr="00F73699">
        <w:trPr>
          <w:trHeight w:val="907"/>
          <w:tblHeader/>
        </w:trPr>
        <w:tc>
          <w:tcPr>
            <w:tcW w:w="2891" w:type="dxa"/>
            <w:shd w:val="clear" w:color="auto" w:fill="FFFFCC"/>
            <w:vAlign w:val="center"/>
          </w:tcPr>
          <w:p w:rsidR="00222CE6" w:rsidRPr="00EB0D0B" w:rsidRDefault="00222CE6" w:rsidP="00344041">
            <w:pPr>
              <w:rPr>
                <w:rFonts w:ascii="Arial" w:hAnsi="Arial" w:cs="Arial"/>
                <w:color w:val="000000"/>
                <w:sz w:val="20"/>
              </w:rPr>
            </w:pPr>
            <w:r w:rsidRPr="00EB0D0B">
              <w:rPr>
                <w:rFonts w:ascii="Arial" w:hAnsi="Arial" w:cs="Arial"/>
                <w:b/>
                <w:bCs/>
                <w:color w:val="000000"/>
                <w:sz w:val="20"/>
              </w:rPr>
              <w:t>30680</w:t>
            </w:r>
            <w:r w:rsidRPr="00EB0D0B">
              <w:rPr>
                <w:rFonts w:ascii="Arial" w:hAnsi="Arial" w:cs="Arial"/>
                <w:color w:val="000000"/>
                <w:sz w:val="20"/>
              </w:rPr>
              <w:t xml:space="preserve"> Oral approach without intraprocedural therapy</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$239,855</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$247,345</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$255,069</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$263,034</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$271,248</w:t>
            </w:r>
          </w:p>
        </w:tc>
      </w:tr>
      <w:tr w:rsidR="00222CE6" w:rsidRPr="00EB0D0B" w:rsidTr="00F73699">
        <w:trPr>
          <w:trHeight w:val="850"/>
          <w:tblHeader/>
        </w:trPr>
        <w:tc>
          <w:tcPr>
            <w:tcW w:w="2891" w:type="dxa"/>
            <w:shd w:val="clear" w:color="auto" w:fill="FFFFCC"/>
            <w:vAlign w:val="center"/>
          </w:tcPr>
          <w:p w:rsidR="00222CE6" w:rsidRPr="00EB0D0B" w:rsidRDefault="00222CE6" w:rsidP="00344041">
            <w:pPr>
              <w:rPr>
                <w:rFonts w:ascii="Arial" w:hAnsi="Arial" w:cs="Arial"/>
                <w:color w:val="000000"/>
                <w:sz w:val="20"/>
              </w:rPr>
            </w:pPr>
            <w:r w:rsidRPr="00EB0D0B">
              <w:rPr>
                <w:rFonts w:ascii="Arial" w:hAnsi="Arial" w:cs="Arial"/>
                <w:b/>
                <w:bCs/>
                <w:color w:val="000000"/>
                <w:sz w:val="20"/>
              </w:rPr>
              <w:t>30682</w:t>
            </w:r>
            <w:r w:rsidRPr="00EB0D0B">
              <w:rPr>
                <w:rFonts w:ascii="Arial" w:hAnsi="Arial" w:cs="Arial"/>
                <w:color w:val="000000"/>
                <w:sz w:val="20"/>
              </w:rPr>
              <w:t xml:space="preserve"> Anal approach without intraprocedural therapy</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$226,076</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$233,136</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$240,416</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$247,924</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$255,666</w:t>
            </w:r>
          </w:p>
        </w:tc>
      </w:tr>
      <w:tr w:rsidR="00222CE6" w:rsidRPr="00EB0D0B" w:rsidTr="00F73699">
        <w:trPr>
          <w:trHeight w:val="850"/>
          <w:tblHeader/>
        </w:trPr>
        <w:tc>
          <w:tcPr>
            <w:tcW w:w="2891" w:type="dxa"/>
            <w:shd w:val="clear" w:color="auto" w:fill="FFFFCC"/>
            <w:vAlign w:val="center"/>
          </w:tcPr>
          <w:p w:rsidR="00222CE6" w:rsidRPr="00EB0D0B" w:rsidRDefault="00222CE6" w:rsidP="00344041">
            <w:pPr>
              <w:rPr>
                <w:rFonts w:ascii="Arial" w:hAnsi="Arial" w:cs="Arial"/>
                <w:color w:val="000000"/>
                <w:sz w:val="20"/>
              </w:rPr>
            </w:pPr>
            <w:r w:rsidRPr="00EB0D0B">
              <w:rPr>
                <w:rFonts w:ascii="Arial" w:hAnsi="Arial" w:cs="Arial"/>
                <w:b/>
                <w:bCs/>
                <w:color w:val="000000"/>
                <w:sz w:val="20"/>
              </w:rPr>
              <w:t>30684</w:t>
            </w:r>
            <w:r w:rsidRPr="00EB0D0B">
              <w:rPr>
                <w:rFonts w:ascii="Arial" w:hAnsi="Arial" w:cs="Arial"/>
                <w:color w:val="000000"/>
                <w:sz w:val="20"/>
              </w:rPr>
              <w:t xml:space="preserve"> Oral approach with intraprocedural therapy</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$184,855</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$190,628</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$196,581</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$202,720</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$209,050</w:t>
            </w:r>
          </w:p>
        </w:tc>
      </w:tr>
      <w:tr w:rsidR="00222CE6" w:rsidRPr="00EB0D0B" w:rsidTr="00F73699">
        <w:trPr>
          <w:trHeight w:val="850"/>
          <w:tblHeader/>
        </w:trPr>
        <w:tc>
          <w:tcPr>
            <w:tcW w:w="2891" w:type="dxa"/>
            <w:shd w:val="clear" w:color="auto" w:fill="FFFFCC"/>
            <w:vAlign w:val="center"/>
          </w:tcPr>
          <w:p w:rsidR="00222CE6" w:rsidRPr="00EB0D0B" w:rsidRDefault="00222CE6" w:rsidP="00344041">
            <w:pPr>
              <w:rPr>
                <w:rFonts w:ascii="Arial" w:hAnsi="Arial" w:cs="Arial"/>
                <w:color w:val="000000"/>
                <w:sz w:val="20"/>
              </w:rPr>
            </w:pPr>
            <w:r w:rsidRPr="00EB0D0B">
              <w:rPr>
                <w:rFonts w:ascii="Arial" w:hAnsi="Arial" w:cs="Arial"/>
                <w:b/>
                <w:bCs/>
                <w:color w:val="000000"/>
                <w:sz w:val="20"/>
              </w:rPr>
              <w:t>30686</w:t>
            </w:r>
            <w:r w:rsidRPr="00EB0D0B">
              <w:rPr>
                <w:rFonts w:ascii="Arial" w:hAnsi="Arial" w:cs="Arial"/>
                <w:color w:val="000000"/>
                <w:sz w:val="20"/>
              </w:rPr>
              <w:t xml:space="preserve"> Anal approach with intraprocedural therapy</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$89,262</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$92,049</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$94,924</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$97,888</w:t>
            </w:r>
          </w:p>
        </w:tc>
        <w:tc>
          <w:tcPr>
            <w:tcW w:w="1077" w:type="dxa"/>
            <w:vAlign w:val="center"/>
          </w:tcPr>
          <w:p w:rsidR="00222CE6" w:rsidRPr="00EB0D0B" w:rsidRDefault="00222CE6" w:rsidP="00344041">
            <w:pPr>
              <w:jc w:val="center"/>
              <w:rPr>
                <w:rFonts w:ascii="Arial" w:hAnsi="Arial" w:cs="Arial"/>
                <w:color w:val="000000"/>
                <w:sz w:val="20"/>
              </w:rPr>
            </w:pPr>
            <w:r w:rsidRPr="00EB0D0B">
              <w:rPr>
                <w:rFonts w:ascii="Arial" w:hAnsi="Arial" w:cs="Arial"/>
                <w:color w:val="000000"/>
                <w:sz w:val="20"/>
              </w:rPr>
              <w:t>$100,945</w:t>
            </w:r>
          </w:p>
        </w:tc>
      </w:tr>
      <w:tr w:rsidR="00222CE6" w:rsidRPr="00EB0D0B" w:rsidTr="00F73699">
        <w:trPr>
          <w:trHeight w:val="454"/>
          <w:tblHeader/>
        </w:trPr>
        <w:tc>
          <w:tcPr>
            <w:tcW w:w="2891" w:type="dxa"/>
            <w:shd w:val="clear" w:color="auto" w:fill="FFFFCC"/>
            <w:noWrap/>
            <w:vAlign w:val="center"/>
            <w:hideMark/>
          </w:tcPr>
          <w:p w:rsidR="00222CE6" w:rsidRPr="00EB0D0B" w:rsidRDefault="00222CE6" w:rsidP="00344041">
            <w:pPr>
              <w:rPr>
                <w:rFonts w:ascii="Arial" w:hAnsi="Arial" w:cs="Arial"/>
                <w:b/>
                <w:bCs/>
                <w:color w:val="000000"/>
                <w:sz w:val="20"/>
              </w:rPr>
            </w:pPr>
            <w:r w:rsidRPr="00EB0D0B">
              <w:rPr>
                <w:rFonts w:ascii="Arial" w:hAnsi="Arial" w:cs="Arial"/>
                <w:b/>
                <w:bCs/>
                <w:color w:val="000000"/>
                <w:sz w:val="20"/>
              </w:rPr>
              <w:t>Total MBS cost</w:t>
            </w:r>
          </w:p>
        </w:tc>
        <w:tc>
          <w:tcPr>
            <w:tcW w:w="1077" w:type="dxa"/>
            <w:noWrap/>
            <w:vAlign w:val="center"/>
            <w:hideMark/>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$740,048</w:t>
            </w:r>
          </w:p>
        </w:tc>
        <w:tc>
          <w:tcPr>
            <w:tcW w:w="1077" w:type="dxa"/>
            <w:noWrap/>
            <w:vAlign w:val="center"/>
            <w:hideMark/>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$763,158</w:t>
            </w:r>
          </w:p>
        </w:tc>
        <w:tc>
          <w:tcPr>
            <w:tcW w:w="1077" w:type="dxa"/>
            <w:noWrap/>
            <w:vAlign w:val="center"/>
            <w:hideMark/>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$786,990</w:t>
            </w:r>
          </w:p>
        </w:tc>
        <w:tc>
          <w:tcPr>
            <w:tcW w:w="1077" w:type="dxa"/>
            <w:noWrap/>
            <w:vAlign w:val="center"/>
            <w:hideMark/>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$811,566</w:t>
            </w:r>
          </w:p>
        </w:tc>
        <w:tc>
          <w:tcPr>
            <w:tcW w:w="1077" w:type="dxa"/>
            <w:noWrap/>
            <w:vAlign w:val="center"/>
            <w:hideMark/>
          </w:tcPr>
          <w:p w:rsidR="00222CE6" w:rsidRPr="00EB0D0B" w:rsidRDefault="00222CE6" w:rsidP="00344041">
            <w:pPr>
              <w:jc w:val="center"/>
              <w:rPr>
                <w:rFonts w:ascii="Arial" w:hAnsi="Arial" w:cs="Arial"/>
                <w:b/>
                <w:color w:val="000000"/>
                <w:sz w:val="20"/>
              </w:rPr>
            </w:pPr>
            <w:r w:rsidRPr="00EB0D0B">
              <w:rPr>
                <w:rFonts w:ascii="Arial" w:hAnsi="Arial" w:cs="Arial"/>
                <w:b/>
                <w:color w:val="000000"/>
                <w:sz w:val="20"/>
              </w:rPr>
              <w:t>$836,910</w:t>
            </w:r>
          </w:p>
        </w:tc>
      </w:tr>
    </w:tbl>
    <w:p w:rsidR="00222CE6" w:rsidRPr="00EB0D0B" w:rsidRDefault="00222CE6" w:rsidP="00344041">
      <w:pPr>
        <w:rPr>
          <w:rFonts w:ascii="Arial" w:hAnsi="Arial" w:cs="Arial"/>
          <w:i/>
          <w:sz w:val="20"/>
        </w:rPr>
      </w:pPr>
      <w:r w:rsidRPr="00EB0D0B">
        <w:rPr>
          <w:rFonts w:ascii="Arial" w:hAnsi="Arial" w:cs="Arial"/>
          <w:i/>
          <w:sz w:val="20"/>
        </w:rPr>
        <w:t>MBS Schedule fees and benefits as at 1 July 2013</w:t>
      </w:r>
    </w:p>
    <w:p w:rsidR="003E2352" w:rsidRDefault="003E2352" w:rsidP="00344041">
      <w:pPr>
        <w:tabs>
          <w:tab w:val="left" w:pos="720"/>
          <w:tab w:val="left" w:pos="1140"/>
        </w:tabs>
        <w:rPr>
          <w:rStyle w:val="Heading1Char"/>
          <w:rFonts w:cs="Arial"/>
          <w:szCs w:val="24"/>
        </w:rPr>
      </w:pPr>
    </w:p>
    <w:p w:rsidR="00C40144" w:rsidRDefault="00C40144" w:rsidP="00344041">
      <w:pPr>
        <w:tabs>
          <w:tab w:val="left" w:pos="720"/>
          <w:tab w:val="left" w:pos="1140"/>
        </w:tabs>
        <w:rPr>
          <w:bCs/>
          <w:szCs w:val="24"/>
        </w:rPr>
      </w:pPr>
      <w:r>
        <w:rPr>
          <w:bCs/>
          <w:szCs w:val="24"/>
        </w:rPr>
        <w:t>MSAC was satisfied that the addition of the SBE technique to the MBS was unlikely to expand the population and accepted that the financial and budgetary implications of including SBE on the MBS will be minimal.</w:t>
      </w:r>
    </w:p>
    <w:p w:rsidR="007637F3" w:rsidRDefault="007637F3" w:rsidP="007637F3">
      <w:pPr>
        <w:tabs>
          <w:tab w:val="left" w:pos="720"/>
          <w:tab w:val="left" w:pos="1140"/>
        </w:tabs>
        <w:spacing w:before="240"/>
        <w:rPr>
          <w:rStyle w:val="Heading1Char"/>
        </w:rPr>
      </w:pPr>
      <w:r>
        <w:rPr>
          <w:rStyle w:val="Heading1Char"/>
        </w:rPr>
        <w:t>13.</w:t>
      </w:r>
      <w:r>
        <w:rPr>
          <w:rStyle w:val="Heading1Char"/>
        </w:rPr>
        <w:tab/>
        <w:t xml:space="preserve">Key issues for </w:t>
      </w:r>
      <w:r w:rsidRPr="002B4CE2">
        <w:rPr>
          <w:rStyle w:val="Heading1Char"/>
        </w:rPr>
        <w:t xml:space="preserve">MSAC </w:t>
      </w:r>
      <w:r>
        <w:rPr>
          <w:rStyle w:val="Heading1Char"/>
        </w:rPr>
        <w:t>from ESC</w:t>
      </w:r>
    </w:p>
    <w:p w:rsidR="00443976" w:rsidRDefault="00443976" w:rsidP="00443976">
      <w:r>
        <w:t>ESC considered it was unclear where BE sits on the clinical management algorithm i.e. does BE replace capsule endoscopy (CE) and m</w:t>
      </w:r>
      <w:r w:rsidR="008351FF">
        <w:t>agnetic resonance imaging (MRI).</w:t>
      </w:r>
    </w:p>
    <w:p w:rsidR="00443976" w:rsidRDefault="00443976" w:rsidP="00443976"/>
    <w:p w:rsidR="007637F3" w:rsidRDefault="00443976" w:rsidP="00443976">
      <w:r>
        <w:t>ESC suggested some restriction of the imaging modalities. ESC considered that it was inefficient to allow capsule endoscopy, CT imaging and MRI imaging all on the same person. However, ESC agreed it was reasonable to allow one of these services along with balloon endoscopy since the latter allows biopsy or intervention.</w:t>
      </w:r>
    </w:p>
    <w:p w:rsidR="00443976" w:rsidRDefault="00443976" w:rsidP="006260E1"/>
    <w:p w:rsidR="00443976" w:rsidRDefault="000B3DF6" w:rsidP="006260E1">
      <w:r w:rsidRPr="000B3DF6">
        <w:t>ESC suggested that expertise and credentialing were essential to keep the number of adverse events (AEs) low.</w:t>
      </w:r>
    </w:p>
    <w:p w:rsidR="000B3DF6" w:rsidRPr="006260E1" w:rsidRDefault="000B3DF6" w:rsidP="006260E1"/>
    <w:p w:rsidR="00222CE6" w:rsidRPr="00805855" w:rsidRDefault="00222CE6" w:rsidP="00344041">
      <w:pPr>
        <w:pStyle w:val="Heading1"/>
        <w:spacing w:before="0"/>
        <w:ind w:left="709" w:hanging="709"/>
        <w:rPr>
          <w:rFonts w:cs="Arial"/>
          <w:szCs w:val="24"/>
        </w:rPr>
      </w:pPr>
      <w:r>
        <w:rPr>
          <w:rFonts w:cs="Arial"/>
          <w:szCs w:val="24"/>
        </w:rPr>
        <w:t>1</w:t>
      </w:r>
      <w:r w:rsidR="007637F3">
        <w:rPr>
          <w:rFonts w:cs="Arial"/>
          <w:szCs w:val="24"/>
        </w:rPr>
        <w:t>4</w:t>
      </w:r>
      <w:r>
        <w:rPr>
          <w:rFonts w:cs="Arial"/>
          <w:szCs w:val="24"/>
        </w:rPr>
        <w:t>.</w:t>
      </w:r>
      <w:r>
        <w:rPr>
          <w:rFonts w:cs="Arial"/>
          <w:szCs w:val="24"/>
        </w:rPr>
        <w:tab/>
      </w:r>
      <w:r w:rsidRPr="00805855">
        <w:rPr>
          <w:rFonts w:cs="Arial"/>
          <w:szCs w:val="24"/>
        </w:rPr>
        <w:t>Other significant factors</w:t>
      </w:r>
    </w:p>
    <w:p w:rsidR="00222CE6" w:rsidRPr="00E672AB" w:rsidRDefault="00E672AB" w:rsidP="00344041">
      <w:pPr>
        <w:tabs>
          <w:tab w:val="left" w:pos="720"/>
          <w:tab w:val="left" w:pos="1140"/>
        </w:tabs>
        <w:rPr>
          <w:szCs w:val="24"/>
        </w:rPr>
      </w:pPr>
      <w:r w:rsidRPr="00E672AB">
        <w:rPr>
          <w:szCs w:val="24"/>
        </w:rPr>
        <w:t>Nil.</w:t>
      </w:r>
    </w:p>
    <w:p w:rsidR="00222CE6" w:rsidRPr="00BB418D" w:rsidRDefault="00222CE6" w:rsidP="00344041">
      <w:pPr>
        <w:tabs>
          <w:tab w:val="left" w:pos="720"/>
        </w:tabs>
        <w:rPr>
          <w:szCs w:val="24"/>
        </w:rPr>
      </w:pPr>
    </w:p>
    <w:p w:rsidR="00937076" w:rsidRPr="006A19C5" w:rsidRDefault="006A19C5" w:rsidP="00344041">
      <w:pPr>
        <w:pStyle w:val="Heading1"/>
        <w:spacing w:before="0"/>
      </w:pPr>
      <w:r>
        <w:t>1</w:t>
      </w:r>
      <w:r w:rsidR="007637F3">
        <w:t>5</w:t>
      </w:r>
      <w:r>
        <w:t>.</w:t>
      </w:r>
      <w:r>
        <w:tab/>
      </w:r>
      <w:r w:rsidR="00937076" w:rsidRPr="006A19C5">
        <w:t>Summary of consideration and rationale for MSAC’s advice</w:t>
      </w:r>
      <w:r w:rsidR="0095175A" w:rsidRPr="006A19C5">
        <w:t xml:space="preserve"> </w:t>
      </w:r>
    </w:p>
    <w:p w:rsidR="00DC3D25" w:rsidRDefault="00DC3D25" w:rsidP="00DC3D25">
      <w:pPr>
        <w:rPr>
          <w:bCs/>
          <w:szCs w:val="24"/>
        </w:rPr>
      </w:pPr>
      <w:r>
        <w:rPr>
          <w:bCs/>
          <w:szCs w:val="24"/>
        </w:rPr>
        <w:t xml:space="preserve">MSAC considered the application for an amendment of the current MBS items for </w:t>
      </w:r>
      <w:r w:rsidR="00840FE8">
        <w:rPr>
          <w:bCs/>
          <w:szCs w:val="24"/>
        </w:rPr>
        <w:t>DBE</w:t>
      </w:r>
      <w:r>
        <w:rPr>
          <w:bCs/>
          <w:szCs w:val="24"/>
        </w:rPr>
        <w:t xml:space="preserve"> to incl</w:t>
      </w:r>
      <w:r w:rsidR="00840FE8">
        <w:rPr>
          <w:bCs/>
          <w:szCs w:val="24"/>
        </w:rPr>
        <w:t xml:space="preserve">ude single balloon enteroscopy </w:t>
      </w:r>
      <w:r>
        <w:rPr>
          <w:bCs/>
          <w:szCs w:val="24"/>
        </w:rPr>
        <w:t>SBE. MSAC agreed that DBE is the appropriate comparator.</w:t>
      </w:r>
    </w:p>
    <w:p w:rsidR="00DC3D25" w:rsidRDefault="00DC3D25" w:rsidP="00DC3D25">
      <w:pPr>
        <w:rPr>
          <w:bCs/>
          <w:szCs w:val="24"/>
        </w:rPr>
      </w:pPr>
    </w:p>
    <w:p w:rsidR="00DC3D25" w:rsidRDefault="00DC3D25" w:rsidP="00DC3D25">
      <w:pPr>
        <w:rPr>
          <w:bCs/>
          <w:szCs w:val="24"/>
        </w:rPr>
      </w:pPr>
      <w:r>
        <w:rPr>
          <w:bCs/>
          <w:szCs w:val="24"/>
        </w:rPr>
        <w:t xml:space="preserve">MSAC noted that the patients included in the five comparative studies presented were undergoing enteroscopy for a number of reasons, not </w:t>
      </w:r>
      <w:r w:rsidR="00BF3F65">
        <w:rPr>
          <w:bCs/>
          <w:szCs w:val="24"/>
        </w:rPr>
        <w:t xml:space="preserve">only </w:t>
      </w:r>
      <w:r>
        <w:rPr>
          <w:bCs/>
          <w:szCs w:val="24"/>
        </w:rPr>
        <w:t xml:space="preserve">for obscure gastrointestinal tract bleeding. </w:t>
      </w:r>
      <w:r>
        <w:rPr>
          <w:sz w:val="23"/>
          <w:szCs w:val="23"/>
        </w:rPr>
        <w:t>In all five studies, the incidence of significant adverse events was low and comparable between SBE and DBE.</w:t>
      </w:r>
    </w:p>
    <w:p w:rsidR="00DC3D25" w:rsidRDefault="00DC3D25" w:rsidP="00DC3D25">
      <w:pPr>
        <w:rPr>
          <w:bCs/>
          <w:szCs w:val="24"/>
        </w:rPr>
      </w:pPr>
    </w:p>
    <w:p w:rsidR="00DC3D25" w:rsidRPr="00DB392D" w:rsidRDefault="00DC3D25" w:rsidP="00DC3D25">
      <w:pPr>
        <w:rPr>
          <w:bCs/>
          <w:szCs w:val="24"/>
        </w:rPr>
      </w:pPr>
      <w:r>
        <w:rPr>
          <w:bCs/>
          <w:szCs w:val="24"/>
        </w:rPr>
        <w:t xml:space="preserve">In the four randomised controlled trials comparing the effectiveness of SBE with DBE, there was no significant difference in diagnostic yield, even with a reported higher complete enteroscopy rate for DBE. </w:t>
      </w:r>
      <w:r w:rsidRPr="00FB7932">
        <w:rPr>
          <w:szCs w:val="24"/>
        </w:rPr>
        <w:t xml:space="preserve">In the non-randomised, retrospective study by Lenz et al (2013) a significant difference in diagnostic yield in favour of SBE was found. However, in this study DBE was performed over the period 2004 to 2011, whereas SBE was performed from 2008 to </w:t>
      </w:r>
      <w:r w:rsidRPr="00FB7932">
        <w:rPr>
          <w:szCs w:val="24"/>
        </w:rPr>
        <w:lastRenderedPageBreak/>
        <w:t>2011, and the proportion of patients referred for GI bleeding was significantly lower for SBE than for DBE. MSAC agreed that a change over time in the reasons for referral for enteroscopy or preference for the latter technique could account for the higher yield with SBE.</w:t>
      </w:r>
    </w:p>
    <w:p w:rsidR="00DC3D25" w:rsidRPr="00DB392D" w:rsidRDefault="00DC3D25" w:rsidP="00DC3D25">
      <w:pPr>
        <w:rPr>
          <w:bCs/>
          <w:szCs w:val="24"/>
        </w:rPr>
      </w:pPr>
    </w:p>
    <w:p w:rsidR="00DC3D25" w:rsidRPr="00FB7932" w:rsidRDefault="00DC3D25" w:rsidP="00DC3D25">
      <w:pPr>
        <w:rPr>
          <w:szCs w:val="24"/>
        </w:rPr>
      </w:pPr>
      <w:r w:rsidRPr="00FB7932">
        <w:rPr>
          <w:szCs w:val="24"/>
        </w:rPr>
        <w:t>Overall, MSAC considered that SBE is likely to be non-inferior to DBE in terms of comparative safety and effectiveness.</w:t>
      </w:r>
    </w:p>
    <w:p w:rsidR="00DC3D25" w:rsidRDefault="00DC3D25" w:rsidP="00DC3D25">
      <w:pPr>
        <w:rPr>
          <w:bCs/>
          <w:szCs w:val="24"/>
        </w:rPr>
      </w:pPr>
    </w:p>
    <w:p w:rsidR="00DC3D25" w:rsidRDefault="00DC3D25" w:rsidP="00DC3D25">
      <w:pPr>
        <w:rPr>
          <w:bCs/>
          <w:szCs w:val="24"/>
        </w:rPr>
      </w:pPr>
      <w:r>
        <w:rPr>
          <w:bCs/>
          <w:szCs w:val="24"/>
        </w:rPr>
        <w:t xml:space="preserve">MSAC </w:t>
      </w:r>
      <w:r w:rsidR="00917CEA">
        <w:rPr>
          <w:bCs/>
          <w:szCs w:val="24"/>
        </w:rPr>
        <w:t>noted</w:t>
      </w:r>
      <w:r>
        <w:rPr>
          <w:bCs/>
          <w:szCs w:val="24"/>
        </w:rPr>
        <w:t xml:space="preserve"> that the MBS data for items </w:t>
      </w:r>
      <w:r>
        <w:t xml:space="preserve">30680, 30682, 30684 and 30686 </w:t>
      </w:r>
      <w:r w:rsidR="00917CEA">
        <w:rPr>
          <w:bCs/>
          <w:szCs w:val="24"/>
        </w:rPr>
        <w:t>indicated</w:t>
      </w:r>
      <w:r>
        <w:rPr>
          <w:bCs/>
          <w:szCs w:val="24"/>
        </w:rPr>
        <w:t xml:space="preserve"> that the growth rate of DBE </w:t>
      </w:r>
      <w:r w:rsidR="00840FE8">
        <w:rPr>
          <w:bCs/>
          <w:szCs w:val="24"/>
        </w:rPr>
        <w:t>appeared to be</w:t>
      </w:r>
      <w:r>
        <w:rPr>
          <w:bCs/>
          <w:szCs w:val="24"/>
        </w:rPr>
        <w:t xml:space="preserve"> plateauing since its introduction on the Schedule in July 2007. MSAC was satisfied that</w:t>
      </w:r>
      <w:r w:rsidR="00840FE8">
        <w:rPr>
          <w:bCs/>
          <w:szCs w:val="24"/>
        </w:rPr>
        <w:t xml:space="preserve"> noting current </w:t>
      </w:r>
      <w:r w:rsidR="00917CEA">
        <w:rPr>
          <w:bCs/>
          <w:szCs w:val="24"/>
        </w:rPr>
        <w:t>utility of DBE,</w:t>
      </w:r>
      <w:r>
        <w:rPr>
          <w:bCs/>
          <w:szCs w:val="24"/>
        </w:rPr>
        <w:t xml:space="preserve"> the addition of the SBE technique to the MBS was unlikely to expand the population. </w:t>
      </w:r>
    </w:p>
    <w:p w:rsidR="00DC3D25" w:rsidRDefault="00DC3D25" w:rsidP="00DC3D25">
      <w:pPr>
        <w:rPr>
          <w:bCs/>
          <w:szCs w:val="24"/>
        </w:rPr>
      </w:pPr>
    </w:p>
    <w:p w:rsidR="00DC3D25" w:rsidRDefault="00DC3D25" w:rsidP="00DC3D25">
      <w:pPr>
        <w:rPr>
          <w:bCs/>
          <w:szCs w:val="24"/>
        </w:rPr>
      </w:pPr>
      <w:r>
        <w:rPr>
          <w:bCs/>
          <w:szCs w:val="24"/>
        </w:rPr>
        <w:t xml:space="preserve">MSAC noted that SBE may be perceived by practitioners as being easier to perform than DBE which might increase </w:t>
      </w:r>
      <w:r w:rsidR="00A67705">
        <w:rPr>
          <w:bCs/>
          <w:szCs w:val="24"/>
        </w:rPr>
        <w:t>utilisation</w:t>
      </w:r>
      <w:r>
        <w:rPr>
          <w:bCs/>
          <w:szCs w:val="24"/>
        </w:rPr>
        <w:t>. However, MSAC accepted that this risk was no more than for other endoscopic procedures and that the single balloon technique would be performed by</w:t>
      </w:r>
      <w:r w:rsidRPr="003C2E5B">
        <w:rPr>
          <w:bCs/>
          <w:szCs w:val="24"/>
        </w:rPr>
        <w:t xml:space="preserve"> </w:t>
      </w:r>
      <w:r>
        <w:rPr>
          <w:bCs/>
          <w:szCs w:val="24"/>
        </w:rPr>
        <w:t>a limited number of skilled practitioners. Based on MBS data from 2012/13, there were 30 provid</w:t>
      </w:r>
      <w:r w:rsidR="003A7B49">
        <w:rPr>
          <w:bCs/>
          <w:szCs w:val="24"/>
        </w:rPr>
        <w:t>ers performing DBE procedures, six</w:t>
      </w:r>
      <w:r>
        <w:rPr>
          <w:bCs/>
          <w:szCs w:val="24"/>
        </w:rPr>
        <w:t xml:space="preserve"> provide</w:t>
      </w:r>
      <w:r w:rsidR="003A7B49">
        <w:rPr>
          <w:bCs/>
          <w:szCs w:val="24"/>
        </w:rPr>
        <w:t>rs claimed for one service and three</w:t>
      </w:r>
      <w:r>
        <w:rPr>
          <w:bCs/>
          <w:szCs w:val="24"/>
        </w:rPr>
        <w:t xml:space="preserve"> providers claimed for 40 or more services. To reinforce the importance of </w:t>
      </w:r>
      <w:r>
        <w:rPr>
          <w:sz w:val="23"/>
          <w:szCs w:val="23"/>
        </w:rPr>
        <w:t xml:space="preserve">credentialing, training and accreditation processes associated with this technique, </w:t>
      </w:r>
      <w:r>
        <w:rPr>
          <w:bCs/>
          <w:szCs w:val="24"/>
        </w:rPr>
        <w:t>MSAC requested that a letter be sent to the Gastroenterological Society of Australia (GESA) to highlight the number of practitioners performing only one procedure per year.</w:t>
      </w:r>
    </w:p>
    <w:p w:rsidR="00DC3D25" w:rsidRDefault="00DC3D25" w:rsidP="00DC3D25">
      <w:pPr>
        <w:rPr>
          <w:bCs/>
          <w:szCs w:val="24"/>
        </w:rPr>
      </w:pPr>
    </w:p>
    <w:p w:rsidR="00DC3D25" w:rsidRDefault="00DC3D25" w:rsidP="00DC3D25">
      <w:pPr>
        <w:rPr>
          <w:bCs/>
          <w:szCs w:val="24"/>
        </w:rPr>
      </w:pPr>
      <w:r>
        <w:rPr>
          <w:bCs/>
          <w:szCs w:val="24"/>
        </w:rPr>
        <w:t xml:space="preserve">MSAC accepted that the financial and budgetary implications of including SBE on the MBS </w:t>
      </w:r>
      <w:r w:rsidR="003A7B49">
        <w:rPr>
          <w:bCs/>
          <w:szCs w:val="24"/>
        </w:rPr>
        <w:t>were expected to</w:t>
      </w:r>
      <w:r>
        <w:rPr>
          <w:bCs/>
          <w:szCs w:val="24"/>
        </w:rPr>
        <w:t xml:space="preserve"> be minimal. The number of balloon enteroscopy procedures performed in Australia is projected to increase to 604 in 2017/18. Based on these figures, the estimated increase of MBS expenditure for balloon enteroscopy over 4 years will be less than $100,000.</w:t>
      </w:r>
    </w:p>
    <w:p w:rsidR="00DC3D25" w:rsidRDefault="00DC3D25" w:rsidP="00DC3D25">
      <w:pPr>
        <w:rPr>
          <w:bCs/>
          <w:szCs w:val="24"/>
        </w:rPr>
      </w:pPr>
    </w:p>
    <w:p w:rsidR="00DC3D25" w:rsidRDefault="00DC3D25" w:rsidP="00DC3D25">
      <w:pPr>
        <w:rPr>
          <w:bCs/>
          <w:szCs w:val="24"/>
        </w:rPr>
      </w:pPr>
      <w:r>
        <w:rPr>
          <w:bCs/>
          <w:szCs w:val="24"/>
        </w:rPr>
        <w:t>MSAC noted that argon plasma coagulation (APC) is an additional therapeutic option which is used routinely with balloon enteroscopy and agreed that the list of allowed procedures under the relevant MBS items should be updated to include APC.</w:t>
      </w:r>
    </w:p>
    <w:p w:rsidR="00DC3D25" w:rsidRDefault="00DC3D25" w:rsidP="00DC3D25">
      <w:pPr>
        <w:rPr>
          <w:bCs/>
          <w:szCs w:val="24"/>
        </w:rPr>
      </w:pPr>
    </w:p>
    <w:p w:rsidR="00DC3D25" w:rsidRPr="00D86C3B" w:rsidRDefault="00DC3D25" w:rsidP="00DC3D25">
      <w:pPr>
        <w:rPr>
          <w:b/>
        </w:rPr>
      </w:pPr>
      <w:r w:rsidRPr="00D86C3B">
        <w:rPr>
          <w:b/>
        </w:rPr>
        <w:t>Lay summary</w:t>
      </w:r>
    </w:p>
    <w:p w:rsidR="00DC3D25" w:rsidRDefault="00DC3D25" w:rsidP="00DC3D25">
      <w:r>
        <w:t>Patients with obscure gastrointestinal (GI) bleeding – that is, bleeding where the cause is not determined from initial medical procedures examining the GI tract – may be further investigated with balloon enteroscopy. A balloon enteroscope allows for a detailed investigation of the small bowel. Currently, MBS items are available for procedures using a double balloon technique. The application requested that a single balloon technique be included on the MBS.</w:t>
      </w:r>
    </w:p>
    <w:p w:rsidR="00DC3D25" w:rsidRDefault="00DC3D25" w:rsidP="00DC3D25"/>
    <w:p w:rsidR="00DC3D25" w:rsidRPr="007637F3" w:rsidRDefault="00DC3D25" w:rsidP="00DC3D25">
      <w:r>
        <w:t xml:space="preserve">The available evidence suggested that the single balloon technique is as effective and safe as the double balloon technique. MSAC noted that both double and single balloon techniques require a high level of skill to perform. MSAC supported public funding of </w:t>
      </w:r>
      <w:r w:rsidR="004E0EDE">
        <w:t>SBE</w:t>
      </w:r>
      <w:r>
        <w:t>.</w:t>
      </w:r>
    </w:p>
    <w:p w:rsidR="00DC3D25" w:rsidRPr="00BB418D" w:rsidRDefault="00DC3D25" w:rsidP="00344041">
      <w:pPr>
        <w:tabs>
          <w:tab w:val="left" w:pos="720"/>
        </w:tabs>
        <w:rPr>
          <w:szCs w:val="24"/>
        </w:rPr>
      </w:pPr>
    </w:p>
    <w:p w:rsidR="00937076" w:rsidRPr="006A19C5" w:rsidRDefault="006A19C5" w:rsidP="00344041">
      <w:pPr>
        <w:pStyle w:val="Heading1"/>
        <w:spacing w:before="0"/>
      </w:pPr>
      <w:r>
        <w:t>1</w:t>
      </w:r>
      <w:r w:rsidR="007637F3">
        <w:t>6</w:t>
      </w:r>
      <w:r>
        <w:t>.</w:t>
      </w:r>
      <w:r>
        <w:tab/>
      </w:r>
      <w:r w:rsidR="00937076" w:rsidRPr="006A19C5">
        <w:t>MSAC’s advice to the Minister</w:t>
      </w:r>
    </w:p>
    <w:p w:rsidR="00C5064C" w:rsidRDefault="00C5064C" w:rsidP="00C5064C">
      <w:r w:rsidRPr="00B50EEF">
        <w:t>After considering the strength of the available evidence in relation to the safety, clinical effectiveness and cost</w:t>
      </w:r>
      <w:r>
        <w:t>-</w:t>
      </w:r>
      <w:r w:rsidRPr="00B50EEF">
        <w:t xml:space="preserve">effectiveness of single balloon enteroscopy for obscure gastrointestinal bleeding, </w:t>
      </w:r>
      <w:r>
        <w:t>MSAC supports public funding by:</w:t>
      </w:r>
    </w:p>
    <w:p w:rsidR="00C5064C" w:rsidRDefault="00C5064C" w:rsidP="00C5064C">
      <w:pPr>
        <w:pStyle w:val="ListParagraph"/>
        <w:numPr>
          <w:ilvl w:val="0"/>
          <w:numId w:val="17"/>
        </w:numPr>
      </w:pPr>
      <w:r>
        <w:t>amending current MBS items 30680, 30682, 30684 and 30686 to include the term ‘balloon enteroscopy’ to encompass both single and double balloon enteroscopy;</w:t>
      </w:r>
    </w:p>
    <w:p w:rsidR="00C5064C" w:rsidRDefault="00C5064C" w:rsidP="00C5064C">
      <w:pPr>
        <w:pStyle w:val="ListParagraph"/>
        <w:numPr>
          <w:ilvl w:val="0"/>
          <w:numId w:val="17"/>
        </w:numPr>
      </w:pPr>
      <w:r>
        <w:t>amending current MBS items 30684 and 30686 to include argon plasma coagulation in the therapeutic interventions listed; and</w:t>
      </w:r>
    </w:p>
    <w:p w:rsidR="00C5064C" w:rsidRDefault="00C5064C" w:rsidP="00C5064C">
      <w:pPr>
        <w:pStyle w:val="ListParagraph"/>
        <w:numPr>
          <w:ilvl w:val="0"/>
          <w:numId w:val="17"/>
        </w:numPr>
      </w:pPr>
      <w:r>
        <w:lastRenderedPageBreak/>
        <w:t>amending current MBS items 11820 and 11823 (for capsule endoscopy) to include the term ‘balloon enteroscopy’ for consistency.</w:t>
      </w:r>
    </w:p>
    <w:p w:rsidR="00C5064C" w:rsidRDefault="00C5064C" w:rsidP="00C5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5064C" w:rsidTr="00345B2B">
        <w:tc>
          <w:tcPr>
            <w:tcW w:w="9242" w:type="dxa"/>
          </w:tcPr>
          <w:p w:rsidR="00C5064C" w:rsidRDefault="00C5064C" w:rsidP="00345B2B">
            <w:r>
              <w:t>Category 3 – Therapeutic procedures</w:t>
            </w:r>
          </w:p>
        </w:tc>
      </w:tr>
      <w:tr w:rsidR="00C5064C" w:rsidTr="00345B2B">
        <w:tc>
          <w:tcPr>
            <w:tcW w:w="9242" w:type="dxa"/>
          </w:tcPr>
          <w:p w:rsidR="00C5064C" w:rsidRPr="00201E5A" w:rsidRDefault="00C5064C" w:rsidP="00345B2B">
            <w:pPr>
              <w:rPr>
                <w:strike/>
              </w:rPr>
            </w:pPr>
            <w:r>
              <w:t xml:space="preserve">30680 BALLOON ENTEROSCOPY </w:t>
            </w:r>
            <w:r w:rsidRPr="00201E5A">
              <w:rPr>
                <w:strike/>
              </w:rPr>
              <w:t>DOUBLE BALLOON ENTEROSCOPY</w:t>
            </w:r>
          </w:p>
          <w:p w:rsidR="00C5064C" w:rsidRDefault="00C5064C" w:rsidP="00345B2B">
            <w:r>
              <w:t>Examination of the small bowel (oral approach), with or without biopsy, WITHOUT intraprocedural therapy, for diagnosis of patients with obscure gastrointestinal bleeding, not in association with another item in this subgroup (with the exception of item 30682 or 30686)</w:t>
            </w:r>
          </w:p>
          <w:p w:rsidR="00C5064C" w:rsidRDefault="00C5064C" w:rsidP="00345B2B">
            <w:r>
              <w:t>The patient to whom the service is provided must:</w:t>
            </w:r>
          </w:p>
          <w:p w:rsidR="00C5064C" w:rsidRDefault="00C5064C" w:rsidP="00C5064C">
            <w:pPr>
              <w:pStyle w:val="ListParagraph"/>
              <w:numPr>
                <w:ilvl w:val="0"/>
                <w:numId w:val="13"/>
              </w:numPr>
              <w:spacing w:after="200" w:line="276" w:lineRule="auto"/>
            </w:pPr>
            <w:r>
              <w:t>have recurrent or persistent bleeding; and</w:t>
            </w:r>
          </w:p>
          <w:p w:rsidR="00C5064C" w:rsidRDefault="00C5064C" w:rsidP="00C5064C">
            <w:pPr>
              <w:pStyle w:val="ListParagraph"/>
              <w:numPr>
                <w:ilvl w:val="0"/>
                <w:numId w:val="13"/>
              </w:numPr>
              <w:spacing w:after="200" w:line="276" w:lineRule="auto"/>
            </w:pPr>
            <w:r>
              <w:t>be anaemic or have active bleeding; and</w:t>
            </w:r>
          </w:p>
          <w:p w:rsidR="00C5064C" w:rsidRPr="00C659DF" w:rsidRDefault="00C5064C" w:rsidP="00C5064C">
            <w:pPr>
              <w:pStyle w:val="ListParagraph"/>
              <w:numPr>
                <w:ilvl w:val="0"/>
                <w:numId w:val="13"/>
              </w:numPr>
              <w:spacing w:after="200" w:line="276" w:lineRule="auto"/>
            </w:pPr>
            <w:r>
              <w:t>have had an upper gastrointestinal endoscopy and a colonoscopy performed which did not identify the cause of the bleeding.</w:t>
            </w:r>
          </w:p>
        </w:tc>
      </w:tr>
      <w:tr w:rsidR="00C5064C" w:rsidTr="00345B2B">
        <w:tc>
          <w:tcPr>
            <w:tcW w:w="9242" w:type="dxa"/>
          </w:tcPr>
          <w:p w:rsidR="00C5064C" w:rsidRPr="00201E5A" w:rsidRDefault="00C5064C" w:rsidP="00345B2B">
            <w:pPr>
              <w:rPr>
                <w:strike/>
              </w:rPr>
            </w:pPr>
            <w:r>
              <w:t xml:space="preserve">30682 BALLOON ENTEROSCOPY </w:t>
            </w:r>
            <w:r w:rsidRPr="00201E5A">
              <w:rPr>
                <w:strike/>
              </w:rPr>
              <w:t>DOUBLE BALLOON ENTEROSCOPY</w:t>
            </w:r>
          </w:p>
          <w:p w:rsidR="00C5064C" w:rsidRDefault="00C5064C" w:rsidP="00345B2B">
            <w:r>
              <w:t>Examination of the small bowel (anal approach), with or without biopsy, WITHOUT intraprocedural therapy, for diagnosis of patients with obscure gastrointestinal bleeding, not in association with another item in this subgroup (with the exception of item 30680 or 30684)</w:t>
            </w:r>
          </w:p>
          <w:p w:rsidR="00C5064C" w:rsidRDefault="00C5064C" w:rsidP="00345B2B">
            <w:r>
              <w:t>The patient to whom the service is provided must:</w:t>
            </w:r>
          </w:p>
          <w:p w:rsidR="00C5064C" w:rsidRDefault="00C5064C" w:rsidP="00C5064C">
            <w:pPr>
              <w:pStyle w:val="ListParagraph"/>
              <w:numPr>
                <w:ilvl w:val="0"/>
                <w:numId w:val="14"/>
              </w:numPr>
              <w:spacing w:after="200" w:line="276" w:lineRule="auto"/>
            </w:pPr>
            <w:r>
              <w:t>have recurrent or persistent bleeding; and</w:t>
            </w:r>
          </w:p>
          <w:p w:rsidR="00C5064C" w:rsidRDefault="00C5064C" w:rsidP="00C5064C">
            <w:pPr>
              <w:pStyle w:val="ListParagraph"/>
              <w:numPr>
                <w:ilvl w:val="0"/>
                <w:numId w:val="14"/>
              </w:numPr>
              <w:spacing w:after="200" w:line="276" w:lineRule="auto"/>
            </w:pPr>
            <w:r>
              <w:t>be anaemic or have active bleeding; and</w:t>
            </w:r>
          </w:p>
          <w:p w:rsidR="00C5064C" w:rsidRDefault="00C5064C" w:rsidP="00C5064C">
            <w:pPr>
              <w:pStyle w:val="ListParagraph"/>
              <w:numPr>
                <w:ilvl w:val="0"/>
                <w:numId w:val="14"/>
              </w:numPr>
              <w:spacing w:after="200" w:line="276" w:lineRule="auto"/>
            </w:pPr>
            <w:r>
              <w:t>have had an upper gastrointestinal endoscopy and a colonoscopy performed which did not identify the cause of the bleeding.</w:t>
            </w:r>
          </w:p>
        </w:tc>
      </w:tr>
      <w:tr w:rsidR="00C5064C" w:rsidTr="00345B2B">
        <w:tc>
          <w:tcPr>
            <w:tcW w:w="9242" w:type="dxa"/>
          </w:tcPr>
          <w:p w:rsidR="00C5064C" w:rsidRPr="00201E5A" w:rsidRDefault="00C5064C" w:rsidP="00345B2B">
            <w:pPr>
              <w:rPr>
                <w:strike/>
              </w:rPr>
            </w:pPr>
            <w:r>
              <w:t xml:space="preserve">30684 BALLOON ENTEROSCOPY </w:t>
            </w:r>
            <w:r w:rsidRPr="00201E5A">
              <w:rPr>
                <w:strike/>
              </w:rPr>
              <w:t>DOUBLE BALLOON ENTEROSCOPY</w:t>
            </w:r>
          </w:p>
          <w:p w:rsidR="00C5064C" w:rsidRDefault="00C5064C" w:rsidP="00345B2B">
            <w:r>
              <w:t xml:space="preserve">Examination of the small bowel (oral approach), with or without biopsy, WITH 1 or more of the following procedures (snare polypectomy, removal of foreign body, diathermy, heater probe, laser coagulation or </w:t>
            </w:r>
            <w:r w:rsidRPr="00201E5A">
              <w:rPr>
                <w:b/>
              </w:rPr>
              <w:t>argon plasma coagulation</w:t>
            </w:r>
            <w:r>
              <w:t>) for diagnosis and management of patients with obscure gastrointestinal bleeding, not in association with another item in this subgroup (with the exception of item 30682 or 30686)</w:t>
            </w:r>
          </w:p>
          <w:p w:rsidR="00C5064C" w:rsidRDefault="00C5064C" w:rsidP="00345B2B">
            <w:r>
              <w:t>The patient to whom the service is provided must:</w:t>
            </w:r>
          </w:p>
          <w:p w:rsidR="00C5064C" w:rsidRDefault="00C5064C" w:rsidP="00C5064C">
            <w:pPr>
              <w:pStyle w:val="ListParagraph"/>
              <w:numPr>
                <w:ilvl w:val="0"/>
                <w:numId w:val="15"/>
              </w:numPr>
              <w:spacing w:after="200" w:line="276" w:lineRule="auto"/>
            </w:pPr>
            <w:r>
              <w:t>have recurrent or persistent bleeding; and</w:t>
            </w:r>
          </w:p>
          <w:p w:rsidR="00C5064C" w:rsidRDefault="00C5064C" w:rsidP="00C5064C">
            <w:pPr>
              <w:pStyle w:val="ListParagraph"/>
              <w:numPr>
                <w:ilvl w:val="0"/>
                <w:numId w:val="15"/>
              </w:numPr>
              <w:spacing w:after="200" w:line="276" w:lineRule="auto"/>
            </w:pPr>
            <w:r>
              <w:t>be anaemic or have active bleeding; and</w:t>
            </w:r>
          </w:p>
          <w:p w:rsidR="00C5064C" w:rsidRDefault="00C5064C" w:rsidP="00C5064C">
            <w:pPr>
              <w:pStyle w:val="ListParagraph"/>
              <w:numPr>
                <w:ilvl w:val="0"/>
                <w:numId w:val="15"/>
              </w:numPr>
              <w:spacing w:after="200" w:line="276" w:lineRule="auto"/>
            </w:pPr>
            <w:r>
              <w:t>have had an upper gastrointestinal endoscopy and a colonoscopy performed which did not identify the cause of the bleeding.</w:t>
            </w:r>
          </w:p>
        </w:tc>
      </w:tr>
      <w:tr w:rsidR="00C5064C" w:rsidTr="00443976">
        <w:trPr>
          <w:trHeight w:val="3197"/>
        </w:trPr>
        <w:tc>
          <w:tcPr>
            <w:tcW w:w="9242" w:type="dxa"/>
          </w:tcPr>
          <w:p w:rsidR="00C5064C" w:rsidRPr="00201E5A" w:rsidRDefault="00C5064C" w:rsidP="00345B2B">
            <w:pPr>
              <w:rPr>
                <w:strike/>
              </w:rPr>
            </w:pPr>
            <w:r>
              <w:t xml:space="preserve">30686 BALLOON ENTEROSCOPY </w:t>
            </w:r>
            <w:r w:rsidRPr="00201E5A">
              <w:rPr>
                <w:strike/>
              </w:rPr>
              <w:t>DOUBLE BALLOON ENTEROSCOPY</w:t>
            </w:r>
          </w:p>
          <w:p w:rsidR="00C5064C" w:rsidRDefault="00C5064C" w:rsidP="00345B2B">
            <w:r>
              <w:t xml:space="preserve">Examination of the small bowel (anal approach), with or without biopsy, WITH 1 or more of the following procedures (snare polypectomy, removal of foreign body, diathermy, heater probe, laser coagulation or </w:t>
            </w:r>
            <w:r w:rsidRPr="00201E5A">
              <w:rPr>
                <w:b/>
              </w:rPr>
              <w:t>argon plasma coagulation</w:t>
            </w:r>
            <w:r>
              <w:t>) for diagnosis and management of patients with obscure gastrointestinal bleeding, not in association with another item in this subgroup (with the exception of item 30680 or 30684)</w:t>
            </w:r>
          </w:p>
          <w:p w:rsidR="00C5064C" w:rsidRDefault="00C5064C" w:rsidP="00345B2B">
            <w:r>
              <w:t>The patient to whom the service is provided must:</w:t>
            </w:r>
          </w:p>
          <w:p w:rsidR="00C5064C" w:rsidRDefault="00C5064C" w:rsidP="00C5064C">
            <w:pPr>
              <w:pStyle w:val="ListParagraph"/>
              <w:numPr>
                <w:ilvl w:val="0"/>
                <w:numId w:val="16"/>
              </w:numPr>
              <w:spacing w:after="200" w:line="276" w:lineRule="auto"/>
            </w:pPr>
            <w:r>
              <w:t>have recurrent or persistent bleeding; and</w:t>
            </w:r>
          </w:p>
          <w:p w:rsidR="00C5064C" w:rsidRDefault="00C5064C" w:rsidP="00C5064C">
            <w:pPr>
              <w:pStyle w:val="ListParagraph"/>
              <w:numPr>
                <w:ilvl w:val="0"/>
                <w:numId w:val="16"/>
              </w:numPr>
              <w:spacing w:after="200" w:line="276" w:lineRule="auto"/>
            </w:pPr>
            <w:r>
              <w:t>be anaemic or have active bleeding; and</w:t>
            </w:r>
          </w:p>
          <w:p w:rsidR="00C5064C" w:rsidRDefault="00C5064C" w:rsidP="00C5064C">
            <w:pPr>
              <w:pStyle w:val="ListParagraph"/>
              <w:numPr>
                <w:ilvl w:val="0"/>
                <w:numId w:val="16"/>
              </w:numPr>
              <w:spacing w:after="200" w:line="276" w:lineRule="auto"/>
            </w:pPr>
            <w:r>
              <w:t>have had an upper gastrointestinal endoscopy and a colonoscopy performed which did not identify the cause of the bleeding.</w:t>
            </w:r>
          </w:p>
        </w:tc>
      </w:tr>
    </w:tbl>
    <w:p w:rsidR="00C5064C" w:rsidRPr="00BB418D" w:rsidRDefault="00C5064C" w:rsidP="00344041">
      <w:pPr>
        <w:tabs>
          <w:tab w:val="left" w:pos="720"/>
        </w:tabs>
        <w:rPr>
          <w:szCs w:val="24"/>
        </w:rPr>
      </w:pPr>
    </w:p>
    <w:p w:rsidR="00BB418D" w:rsidRPr="006A19C5" w:rsidRDefault="007637F3" w:rsidP="00344041">
      <w:pPr>
        <w:pStyle w:val="Heading1"/>
        <w:spacing w:before="0"/>
      </w:pPr>
      <w:r>
        <w:t>17</w:t>
      </w:r>
      <w:r w:rsidR="006A19C5">
        <w:t>.</w:t>
      </w:r>
      <w:r w:rsidR="006A19C5">
        <w:tab/>
      </w:r>
      <w:r w:rsidR="00BB418D" w:rsidRPr="006A19C5">
        <w:t>Applicant’s comments on MSAC’s Public Summary Document</w:t>
      </w:r>
    </w:p>
    <w:p w:rsidR="002815B6" w:rsidRPr="00FF5890" w:rsidRDefault="00FF5890" w:rsidP="002815B6">
      <w:pPr>
        <w:rPr>
          <w:szCs w:val="24"/>
        </w:rPr>
      </w:pPr>
      <w:r w:rsidRPr="00FF5890">
        <w:rPr>
          <w:szCs w:val="24"/>
        </w:rPr>
        <w:t>No comment.</w:t>
      </w:r>
    </w:p>
    <w:p w:rsidR="007637F3" w:rsidRPr="006260E1" w:rsidRDefault="007637F3" w:rsidP="006260E1"/>
    <w:p w:rsidR="004C0814" w:rsidRPr="006A19C5" w:rsidRDefault="006A19C5" w:rsidP="00344041">
      <w:pPr>
        <w:pStyle w:val="Heading1"/>
        <w:spacing w:before="0"/>
      </w:pPr>
      <w:r>
        <w:t>1</w:t>
      </w:r>
      <w:r w:rsidR="007637F3">
        <w:t>8</w:t>
      </w:r>
      <w:r>
        <w:t>.</w:t>
      </w:r>
      <w:r>
        <w:tab/>
      </w:r>
      <w:r w:rsidR="004C0814" w:rsidRPr="006A19C5">
        <w:t xml:space="preserve">Context for </w:t>
      </w:r>
      <w:r w:rsidR="00B40A4B" w:rsidRPr="006A19C5">
        <w:t>d</w:t>
      </w:r>
      <w:r w:rsidR="004C0814" w:rsidRPr="006A19C5">
        <w:t>ecision</w:t>
      </w:r>
      <w:r w:rsidR="0095175A" w:rsidRPr="006A19C5">
        <w:t xml:space="preserve"> </w:t>
      </w:r>
    </w:p>
    <w:p w:rsidR="00FA3CC0" w:rsidRPr="00BB418D" w:rsidRDefault="00FA3CC0" w:rsidP="00344041">
      <w:pPr>
        <w:tabs>
          <w:tab w:val="left" w:pos="720"/>
        </w:tabs>
        <w:rPr>
          <w:szCs w:val="24"/>
        </w:rPr>
      </w:pPr>
      <w:r w:rsidRPr="00BB418D">
        <w:rPr>
          <w:szCs w:val="24"/>
        </w:rPr>
        <w:t>This advice was made under the MSAC Terms of Reference.</w:t>
      </w:r>
    </w:p>
    <w:p w:rsidR="007637F3" w:rsidRDefault="007637F3" w:rsidP="00344041">
      <w:pPr>
        <w:rPr>
          <w:szCs w:val="24"/>
          <w:lang w:val="en-US" w:eastAsia="en-US"/>
        </w:rPr>
      </w:pPr>
    </w:p>
    <w:p w:rsidR="00FA3CC0" w:rsidRPr="00BB418D" w:rsidRDefault="00FA3CC0" w:rsidP="00344041">
      <w:pPr>
        <w:rPr>
          <w:szCs w:val="24"/>
          <w:lang w:val="en-US" w:eastAsia="en-US"/>
        </w:rPr>
      </w:pPr>
      <w:r w:rsidRPr="00BB418D">
        <w:rPr>
          <w:szCs w:val="24"/>
          <w:lang w:val="en-US" w:eastAsia="en-US"/>
        </w:rPr>
        <w:t xml:space="preserve">MSAC is to: </w:t>
      </w:r>
    </w:p>
    <w:p w:rsidR="007637F3" w:rsidRDefault="007637F3" w:rsidP="00344041">
      <w:pPr>
        <w:rPr>
          <w:szCs w:val="24"/>
          <w:lang w:val="en-US" w:eastAsia="en-US"/>
        </w:rPr>
      </w:pPr>
    </w:p>
    <w:p w:rsidR="00FA3CC0" w:rsidRPr="00BB418D" w:rsidRDefault="00FA3CC0" w:rsidP="00344041">
      <w:pPr>
        <w:rPr>
          <w:szCs w:val="24"/>
          <w:lang w:val="en-US" w:eastAsia="en-US"/>
        </w:rPr>
      </w:pPr>
      <w:r w:rsidRPr="00BB418D">
        <w:rPr>
          <w:szCs w:val="24"/>
          <w:lang w:val="en-US" w:eastAsia="en-US"/>
        </w:rPr>
        <w:t>Advise the Minister for Health on medical services that involve new or emerging technologies and procedures</w:t>
      </w:r>
      <w:r w:rsidR="00A10960" w:rsidRPr="00BB418D">
        <w:rPr>
          <w:szCs w:val="24"/>
        </w:rPr>
        <w:t xml:space="preserve"> and, where relevant, amendment to existing MBS items</w:t>
      </w:r>
      <w:r w:rsidRPr="00BB418D">
        <w:rPr>
          <w:szCs w:val="24"/>
          <w:lang w:val="en-US" w:eastAsia="en-US"/>
        </w:rPr>
        <w:t xml:space="preserve">, in relation to: </w:t>
      </w:r>
    </w:p>
    <w:p w:rsidR="00FA3CC0" w:rsidRPr="00BB418D" w:rsidRDefault="00FA3CC0" w:rsidP="00344041">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rsidR="00FA3CC0" w:rsidRPr="00BB418D" w:rsidRDefault="00FA3CC0" w:rsidP="00344041">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rsidR="00FA3CC0" w:rsidRPr="00BB418D" w:rsidRDefault="00FA3CC0" w:rsidP="00344041">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rsidR="00FA3CC0" w:rsidRPr="00BB418D" w:rsidRDefault="00FA3CC0" w:rsidP="00344041">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rsidR="00FA3CC0" w:rsidRPr="00BB418D" w:rsidRDefault="00FA3CC0" w:rsidP="00344041">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other matters related to the public funding of health services referred by the Minister.</w:t>
      </w:r>
    </w:p>
    <w:p w:rsidR="007637F3" w:rsidRDefault="007637F3" w:rsidP="00344041">
      <w:pPr>
        <w:rPr>
          <w:szCs w:val="24"/>
          <w:lang w:val="en-US" w:eastAsia="en-US"/>
        </w:rPr>
      </w:pPr>
    </w:p>
    <w:p w:rsidR="00FA3CC0" w:rsidRPr="00BB418D" w:rsidRDefault="00FA3CC0" w:rsidP="00344041">
      <w:pPr>
        <w:rPr>
          <w:szCs w:val="24"/>
          <w:lang w:val="en-US" w:eastAsia="en-US"/>
        </w:rPr>
      </w:pPr>
      <w:r w:rsidRPr="00BB418D">
        <w:rPr>
          <w:szCs w:val="24"/>
          <w:lang w:val="en-US" w:eastAsia="en-US"/>
        </w:rPr>
        <w:t>Advise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referred under AHMAC arrangements. </w:t>
      </w:r>
    </w:p>
    <w:p w:rsidR="007637F3" w:rsidRDefault="007637F3" w:rsidP="00344041">
      <w:pPr>
        <w:rPr>
          <w:szCs w:val="24"/>
          <w:lang w:val="en-US" w:eastAsia="en-US"/>
        </w:rPr>
      </w:pPr>
    </w:p>
    <w:p w:rsidR="00FA3CC0" w:rsidRPr="00BB418D" w:rsidRDefault="00FA3CC0" w:rsidP="00344041">
      <w:pPr>
        <w:rPr>
          <w:szCs w:val="24"/>
          <w:lang w:val="en-US" w:eastAsia="en-US"/>
        </w:rPr>
      </w:pPr>
      <w:r w:rsidRPr="00BB418D">
        <w:rPr>
          <w:szCs w:val="24"/>
          <w:lang w:val="en-US" w:eastAsia="en-US"/>
        </w:rPr>
        <w:t xml:space="preserve">MSAC may also establish sub-committees to assist MSAC to effectively undertake its role. MSAC may delegate some of its functions to </w:t>
      </w:r>
      <w:r w:rsidR="003944CD" w:rsidRPr="00BB418D">
        <w:rPr>
          <w:szCs w:val="24"/>
          <w:lang w:val="en-US" w:eastAsia="en-US"/>
        </w:rPr>
        <w:t>its Executive</w:t>
      </w:r>
      <w:r w:rsidRPr="00BB418D">
        <w:rPr>
          <w:szCs w:val="24"/>
          <w:lang w:val="en-US" w:eastAsia="en-US"/>
        </w:rPr>
        <w:t xml:space="preserve"> sub-committee.</w:t>
      </w:r>
    </w:p>
    <w:p w:rsidR="00B37E9B" w:rsidRPr="006260E1" w:rsidRDefault="00B37E9B" w:rsidP="006260E1"/>
    <w:p w:rsidR="00AF0F0E" w:rsidRPr="006A19C5" w:rsidRDefault="006A19C5" w:rsidP="00344041">
      <w:pPr>
        <w:pStyle w:val="Heading1"/>
        <w:spacing w:before="0"/>
      </w:pPr>
      <w:r>
        <w:t>1</w:t>
      </w:r>
      <w:r w:rsidR="007637F3">
        <w:t>9</w:t>
      </w:r>
      <w:r>
        <w:t>.</w:t>
      </w:r>
      <w:r>
        <w:tab/>
      </w:r>
      <w:r w:rsidR="004C0814" w:rsidRPr="006A19C5">
        <w:t xml:space="preserve">Linkages to </w:t>
      </w:r>
      <w:r w:rsidR="00B40A4B" w:rsidRPr="006A19C5">
        <w:t>o</w:t>
      </w:r>
      <w:r w:rsidR="004C0814" w:rsidRPr="006A19C5">
        <w:t xml:space="preserve">ther </w:t>
      </w:r>
      <w:r w:rsidR="00B40A4B" w:rsidRPr="006A19C5">
        <w:t>d</w:t>
      </w:r>
      <w:r w:rsidR="004C0814" w:rsidRPr="006A19C5">
        <w:t>ocuments</w:t>
      </w:r>
      <w:r w:rsidR="00B40A4B" w:rsidRPr="006A19C5">
        <w:t xml:space="preserve"> </w:t>
      </w:r>
    </w:p>
    <w:p w:rsidR="006F0F76" w:rsidRPr="00BB418D" w:rsidRDefault="004C0814" w:rsidP="00344041">
      <w:pPr>
        <w:tabs>
          <w:tab w:val="left" w:pos="720"/>
        </w:tabs>
        <w:ind w:left="706" w:hanging="706"/>
        <w:rPr>
          <w:szCs w:val="24"/>
        </w:rPr>
      </w:pPr>
      <w:r w:rsidRPr="00BB418D">
        <w:rPr>
          <w:szCs w:val="24"/>
        </w:rPr>
        <w:t xml:space="preserve">MSAC’s processes are detailed on the MSAC Website at: </w:t>
      </w:r>
      <w:hyperlink r:id="rId10" w:tooltip="Medical services advisory committee website" w:history="1">
        <w:r w:rsidRPr="00BB418D">
          <w:rPr>
            <w:rStyle w:val="Hyperlink"/>
            <w:szCs w:val="24"/>
          </w:rPr>
          <w:t>www.msac.gov.au</w:t>
        </w:r>
      </w:hyperlink>
      <w:r w:rsidRPr="00BB418D">
        <w:rPr>
          <w:szCs w:val="24"/>
        </w:rPr>
        <w:t xml:space="preserve">. </w:t>
      </w:r>
    </w:p>
    <w:p w:rsidR="00647464" w:rsidRPr="00CF7D6A" w:rsidRDefault="00647464" w:rsidP="00344041">
      <w:pPr>
        <w:tabs>
          <w:tab w:val="left" w:pos="720"/>
        </w:tabs>
        <w:ind w:left="1440"/>
        <w:rPr>
          <w:szCs w:val="24"/>
        </w:rPr>
      </w:pPr>
    </w:p>
    <w:sectPr w:rsidR="00647464" w:rsidRPr="00CF7D6A" w:rsidSect="00A20A17">
      <w:footerReference w:type="even" r:id="rId11"/>
      <w:footerReference w:type="default" r:id="rId12"/>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E2" w:rsidRDefault="005C7CE2">
      <w:r>
        <w:separator/>
      </w:r>
    </w:p>
  </w:endnote>
  <w:endnote w:type="continuationSeparator" w:id="0">
    <w:p w:rsidR="005C7CE2" w:rsidRDefault="005C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C8" w:rsidRDefault="001206C8"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6C8" w:rsidRDefault="001206C8"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C8" w:rsidRPr="00712AB3" w:rsidRDefault="001206C8"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AB17BE">
      <w:rPr>
        <w:rFonts w:ascii="Arial Narrow" w:hAnsi="Arial Narrow"/>
        <w:noProof/>
      </w:rPr>
      <w:t>2</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AB17BE">
      <w:rPr>
        <w:rFonts w:ascii="Arial Narrow" w:hAnsi="Arial Narrow"/>
        <w:noProof/>
      </w:rPr>
      <w:t>11</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E2" w:rsidRDefault="005C7CE2">
      <w:r>
        <w:separator/>
      </w:r>
    </w:p>
  </w:footnote>
  <w:footnote w:type="continuationSeparator" w:id="0">
    <w:p w:rsidR="005C7CE2" w:rsidRDefault="005C7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CE9"/>
    <w:multiLevelType w:val="hybridMultilevel"/>
    <w:tmpl w:val="C78CDFE4"/>
    <w:lvl w:ilvl="0" w:tplc="6C16F6E8">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08320F00"/>
    <w:multiLevelType w:val="hybridMultilevel"/>
    <w:tmpl w:val="4EE0777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nsid w:val="1E4B5C27"/>
    <w:multiLevelType w:val="hybridMultilevel"/>
    <w:tmpl w:val="17428500"/>
    <w:lvl w:ilvl="0" w:tplc="BD7CAF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DDF101F"/>
    <w:multiLevelType w:val="hybridMultilevel"/>
    <w:tmpl w:val="745C5988"/>
    <w:lvl w:ilvl="0" w:tplc="BD7CAF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8B24B6E"/>
    <w:multiLevelType w:val="hybridMultilevel"/>
    <w:tmpl w:val="1A5A6940"/>
    <w:lvl w:ilvl="0" w:tplc="BD7CAF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BF86731"/>
    <w:multiLevelType w:val="hybridMultilevel"/>
    <w:tmpl w:val="CE121BA4"/>
    <w:lvl w:ilvl="0" w:tplc="9814C1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71040E"/>
    <w:multiLevelType w:val="hybridMultilevel"/>
    <w:tmpl w:val="54C6B7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7DD39AE"/>
    <w:multiLevelType w:val="hybridMultilevel"/>
    <w:tmpl w:val="279CE19C"/>
    <w:lvl w:ilvl="0" w:tplc="BD7CAF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DF6CFF"/>
    <w:multiLevelType w:val="hybridMultilevel"/>
    <w:tmpl w:val="5FA0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1D4521E"/>
    <w:multiLevelType w:val="hybridMultilevel"/>
    <w:tmpl w:val="C78CDFE4"/>
    <w:lvl w:ilvl="0" w:tplc="6C16F6E8">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D226E15"/>
    <w:multiLevelType w:val="hybridMultilevel"/>
    <w:tmpl w:val="C78CDFE4"/>
    <w:lvl w:ilvl="0" w:tplc="6C16F6E8">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B204EB6"/>
    <w:multiLevelType w:val="hybridMultilevel"/>
    <w:tmpl w:val="C78CDFE4"/>
    <w:lvl w:ilvl="0" w:tplc="6C16F6E8">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5"/>
  </w:num>
  <w:num w:numId="4">
    <w:abstractNumId w:val="9"/>
  </w:num>
  <w:num w:numId="5">
    <w:abstractNumId w:val="13"/>
  </w:num>
  <w:num w:numId="6">
    <w:abstractNumId w:val="5"/>
  </w:num>
  <w:num w:numId="7">
    <w:abstractNumId w:val="4"/>
  </w:num>
  <w:num w:numId="8">
    <w:abstractNumId w:val="8"/>
  </w:num>
  <w:num w:numId="9">
    <w:abstractNumId w:val="3"/>
  </w:num>
  <w:num w:numId="10">
    <w:abstractNumId w:val="2"/>
  </w:num>
  <w:num w:numId="11">
    <w:abstractNumId w:val="10"/>
  </w:num>
  <w:num w:numId="12">
    <w:abstractNumId w:val="7"/>
  </w:num>
  <w:num w:numId="13">
    <w:abstractNumId w:val="14"/>
  </w:num>
  <w:num w:numId="14">
    <w:abstractNumId w:val="16"/>
  </w:num>
  <w:num w:numId="15">
    <w:abstractNumId w:val="12"/>
  </w:num>
  <w:num w:numId="16">
    <w:abstractNumId w:val="0"/>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3137"/>
    <w:rsid w:val="00005158"/>
    <w:rsid w:val="00017F63"/>
    <w:rsid w:val="00024EB8"/>
    <w:rsid w:val="000261E5"/>
    <w:rsid w:val="00032EFF"/>
    <w:rsid w:val="00034C3A"/>
    <w:rsid w:val="00035317"/>
    <w:rsid w:val="00052630"/>
    <w:rsid w:val="0005296B"/>
    <w:rsid w:val="00052A77"/>
    <w:rsid w:val="0006068A"/>
    <w:rsid w:val="00060966"/>
    <w:rsid w:val="0007209D"/>
    <w:rsid w:val="00094129"/>
    <w:rsid w:val="0009546B"/>
    <w:rsid w:val="000A11E3"/>
    <w:rsid w:val="000B3DF6"/>
    <w:rsid w:val="000C7402"/>
    <w:rsid w:val="000D0603"/>
    <w:rsid w:val="000E6C30"/>
    <w:rsid w:val="000F2579"/>
    <w:rsid w:val="000F6455"/>
    <w:rsid w:val="001012FB"/>
    <w:rsid w:val="001041C1"/>
    <w:rsid w:val="00105349"/>
    <w:rsid w:val="001055A9"/>
    <w:rsid w:val="0011558F"/>
    <w:rsid w:val="001206C8"/>
    <w:rsid w:val="001213EF"/>
    <w:rsid w:val="0012732A"/>
    <w:rsid w:val="00130DCC"/>
    <w:rsid w:val="00133D8B"/>
    <w:rsid w:val="00133E99"/>
    <w:rsid w:val="00135303"/>
    <w:rsid w:val="00143F8F"/>
    <w:rsid w:val="00144200"/>
    <w:rsid w:val="0015006C"/>
    <w:rsid w:val="0015020D"/>
    <w:rsid w:val="001609DA"/>
    <w:rsid w:val="00161177"/>
    <w:rsid w:val="001616F0"/>
    <w:rsid w:val="0016184B"/>
    <w:rsid w:val="001630F5"/>
    <w:rsid w:val="0016524E"/>
    <w:rsid w:val="001654ED"/>
    <w:rsid w:val="0017654F"/>
    <w:rsid w:val="00181612"/>
    <w:rsid w:val="0018639D"/>
    <w:rsid w:val="0018656C"/>
    <w:rsid w:val="00190459"/>
    <w:rsid w:val="001908BA"/>
    <w:rsid w:val="001918E6"/>
    <w:rsid w:val="001925B2"/>
    <w:rsid w:val="001A1FDB"/>
    <w:rsid w:val="001A2B1D"/>
    <w:rsid w:val="001B0E51"/>
    <w:rsid w:val="001B4017"/>
    <w:rsid w:val="001C2532"/>
    <w:rsid w:val="001C5A44"/>
    <w:rsid w:val="001C5E73"/>
    <w:rsid w:val="001D7E8F"/>
    <w:rsid w:val="001E2C40"/>
    <w:rsid w:val="001E67A4"/>
    <w:rsid w:val="001F10D2"/>
    <w:rsid w:val="001F6220"/>
    <w:rsid w:val="001F79FC"/>
    <w:rsid w:val="00201963"/>
    <w:rsid w:val="00213C76"/>
    <w:rsid w:val="00215DE0"/>
    <w:rsid w:val="00220070"/>
    <w:rsid w:val="00221B19"/>
    <w:rsid w:val="00222CE6"/>
    <w:rsid w:val="002303BF"/>
    <w:rsid w:val="002318CC"/>
    <w:rsid w:val="00243333"/>
    <w:rsid w:val="002457DC"/>
    <w:rsid w:val="00260379"/>
    <w:rsid w:val="00266C75"/>
    <w:rsid w:val="00270369"/>
    <w:rsid w:val="002815B6"/>
    <w:rsid w:val="00282BE5"/>
    <w:rsid w:val="002832E3"/>
    <w:rsid w:val="002844B1"/>
    <w:rsid w:val="00285AE8"/>
    <w:rsid w:val="0028729B"/>
    <w:rsid w:val="002B4CE2"/>
    <w:rsid w:val="002B5D6C"/>
    <w:rsid w:val="002C4953"/>
    <w:rsid w:val="002C5AC5"/>
    <w:rsid w:val="002C6F9E"/>
    <w:rsid w:val="002D5FD2"/>
    <w:rsid w:val="002E0E34"/>
    <w:rsid w:val="002E2BCE"/>
    <w:rsid w:val="002F289C"/>
    <w:rsid w:val="002F3450"/>
    <w:rsid w:val="0030582B"/>
    <w:rsid w:val="003062CB"/>
    <w:rsid w:val="00317D0E"/>
    <w:rsid w:val="0032021B"/>
    <w:rsid w:val="00322DDB"/>
    <w:rsid w:val="00323C78"/>
    <w:rsid w:val="00325FB2"/>
    <w:rsid w:val="0033148F"/>
    <w:rsid w:val="0033175F"/>
    <w:rsid w:val="003335BF"/>
    <w:rsid w:val="00333B92"/>
    <w:rsid w:val="003341E0"/>
    <w:rsid w:val="0033624E"/>
    <w:rsid w:val="00344041"/>
    <w:rsid w:val="00344045"/>
    <w:rsid w:val="003510D0"/>
    <w:rsid w:val="003568CA"/>
    <w:rsid w:val="003603D0"/>
    <w:rsid w:val="00360424"/>
    <w:rsid w:val="00361D4E"/>
    <w:rsid w:val="00366AAD"/>
    <w:rsid w:val="00375668"/>
    <w:rsid w:val="0039128A"/>
    <w:rsid w:val="00391C38"/>
    <w:rsid w:val="00392AD4"/>
    <w:rsid w:val="003944CD"/>
    <w:rsid w:val="00396FC8"/>
    <w:rsid w:val="003A5CBC"/>
    <w:rsid w:val="003A7B49"/>
    <w:rsid w:val="003B1F82"/>
    <w:rsid w:val="003B208B"/>
    <w:rsid w:val="003B3BE4"/>
    <w:rsid w:val="003B4B04"/>
    <w:rsid w:val="003B4FF5"/>
    <w:rsid w:val="003C2BE1"/>
    <w:rsid w:val="003C3A6F"/>
    <w:rsid w:val="003C4EEC"/>
    <w:rsid w:val="003D0F7D"/>
    <w:rsid w:val="003D16AC"/>
    <w:rsid w:val="003D2D5B"/>
    <w:rsid w:val="003E2352"/>
    <w:rsid w:val="003E2B1F"/>
    <w:rsid w:val="003E595A"/>
    <w:rsid w:val="003E74BC"/>
    <w:rsid w:val="003F5C88"/>
    <w:rsid w:val="003F6576"/>
    <w:rsid w:val="00402A9A"/>
    <w:rsid w:val="00405950"/>
    <w:rsid w:val="00413CB6"/>
    <w:rsid w:val="004168E6"/>
    <w:rsid w:val="00422B7E"/>
    <w:rsid w:val="00426F5C"/>
    <w:rsid w:val="00430E83"/>
    <w:rsid w:val="00432E88"/>
    <w:rsid w:val="00440B40"/>
    <w:rsid w:val="004410E3"/>
    <w:rsid w:val="00443976"/>
    <w:rsid w:val="00453015"/>
    <w:rsid w:val="00455070"/>
    <w:rsid w:val="004576B5"/>
    <w:rsid w:val="004625C3"/>
    <w:rsid w:val="004702FD"/>
    <w:rsid w:val="00471E39"/>
    <w:rsid w:val="00475B77"/>
    <w:rsid w:val="00476451"/>
    <w:rsid w:val="00485642"/>
    <w:rsid w:val="004A1221"/>
    <w:rsid w:val="004A158D"/>
    <w:rsid w:val="004A772F"/>
    <w:rsid w:val="004B4C24"/>
    <w:rsid w:val="004B7FC2"/>
    <w:rsid w:val="004C0814"/>
    <w:rsid w:val="004C0DCE"/>
    <w:rsid w:val="004C4926"/>
    <w:rsid w:val="004C6285"/>
    <w:rsid w:val="004C6603"/>
    <w:rsid w:val="004D2F5A"/>
    <w:rsid w:val="004E0EDE"/>
    <w:rsid w:val="004E2CF8"/>
    <w:rsid w:val="004E31A3"/>
    <w:rsid w:val="004E6F63"/>
    <w:rsid w:val="004E77F0"/>
    <w:rsid w:val="004F286E"/>
    <w:rsid w:val="00502428"/>
    <w:rsid w:val="00504C9D"/>
    <w:rsid w:val="00504FB9"/>
    <w:rsid w:val="0051150B"/>
    <w:rsid w:val="00512794"/>
    <w:rsid w:val="005134DF"/>
    <w:rsid w:val="00513B60"/>
    <w:rsid w:val="00527479"/>
    <w:rsid w:val="00530F6A"/>
    <w:rsid w:val="005345D5"/>
    <w:rsid w:val="00540975"/>
    <w:rsid w:val="00542887"/>
    <w:rsid w:val="005440ED"/>
    <w:rsid w:val="0055118D"/>
    <w:rsid w:val="00555F4B"/>
    <w:rsid w:val="00556B74"/>
    <w:rsid w:val="00565BFB"/>
    <w:rsid w:val="00576670"/>
    <w:rsid w:val="005801DB"/>
    <w:rsid w:val="00580346"/>
    <w:rsid w:val="005865A8"/>
    <w:rsid w:val="0058665D"/>
    <w:rsid w:val="00597298"/>
    <w:rsid w:val="005A1883"/>
    <w:rsid w:val="005C7CE2"/>
    <w:rsid w:val="005D52A1"/>
    <w:rsid w:val="005E2CB0"/>
    <w:rsid w:val="005F1591"/>
    <w:rsid w:val="005F3F55"/>
    <w:rsid w:val="005F6D12"/>
    <w:rsid w:val="00601648"/>
    <w:rsid w:val="00602287"/>
    <w:rsid w:val="00610609"/>
    <w:rsid w:val="006132E9"/>
    <w:rsid w:val="006156C1"/>
    <w:rsid w:val="00615A58"/>
    <w:rsid w:val="0062054F"/>
    <w:rsid w:val="00620F54"/>
    <w:rsid w:val="0062170D"/>
    <w:rsid w:val="006260E1"/>
    <w:rsid w:val="006347C7"/>
    <w:rsid w:val="00647464"/>
    <w:rsid w:val="0065444D"/>
    <w:rsid w:val="00676EE6"/>
    <w:rsid w:val="00685063"/>
    <w:rsid w:val="00692619"/>
    <w:rsid w:val="006956E3"/>
    <w:rsid w:val="006966E6"/>
    <w:rsid w:val="00696C68"/>
    <w:rsid w:val="006A19C5"/>
    <w:rsid w:val="006A6F67"/>
    <w:rsid w:val="006B5409"/>
    <w:rsid w:val="006B62D1"/>
    <w:rsid w:val="006B685A"/>
    <w:rsid w:val="006B72F2"/>
    <w:rsid w:val="006C0612"/>
    <w:rsid w:val="006C2EEA"/>
    <w:rsid w:val="006D0A45"/>
    <w:rsid w:val="006D596A"/>
    <w:rsid w:val="006E3DAB"/>
    <w:rsid w:val="006F0F76"/>
    <w:rsid w:val="006F28C4"/>
    <w:rsid w:val="00700761"/>
    <w:rsid w:val="00710028"/>
    <w:rsid w:val="00712AB3"/>
    <w:rsid w:val="00724BFA"/>
    <w:rsid w:val="00730735"/>
    <w:rsid w:val="00733A84"/>
    <w:rsid w:val="00735264"/>
    <w:rsid w:val="00736C14"/>
    <w:rsid w:val="00747134"/>
    <w:rsid w:val="007503F6"/>
    <w:rsid w:val="007532F9"/>
    <w:rsid w:val="007536BC"/>
    <w:rsid w:val="007567F5"/>
    <w:rsid w:val="007637F3"/>
    <w:rsid w:val="00763EB8"/>
    <w:rsid w:val="00774218"/>
    <w:rsid w:val="007765CB"/>
    <w:rsid w:val="007775EE"/>
    <w:rsid w:val="00784C9C"/>
    <w:rsid w:val="00784E7A"/>
    <w:rsid w:val="0078650C"/>
    <w:rsid w:val="00786F37"/>
    <w:rsid w:val="00791153"/>
    <w:rsid w:val="0079412A"/>
    <w:rsid w:val="007A14CC"/>
    <w:rsid w:val="007A4CDC"/>
    <w:rsid w:val="007B47D4"/>
    <w:rsid w:val="007C7694"/>
    <w:rsid w:val="007C7B43"/>
    <w:rsid w:val="007D21A1"/>
    <w:rsid w:val="007D4080"/>
    <w:rsid w:val="007D4ECA"/>
    <w:rsid w:val="007E041E"/>
    <w:rsid w:val="007E046E"/>
    <w:rsid w:val="007E0D3C"/>
    <w:rsid w:val="007F1D42"/>
    <w:rsid w:val="007F47D7"/>
    <w:rsid w:val="007F6884"/>
    <w:rsid w:val="008013CB"/>
    <w:rsid w:val="00810926"/>
    <w:rsid w:val="00817CE6"/>
    <w:rsid w:val="00823261"/>
    <w:rsid w:val="00825F8A"/>
    <w:rsid w:val="00832BD3"/>
    <w:rsid w:val="008351FF"/>
    <w:rsid w:val="00837157"/>
    <w:rsid w:val="008402A2"/>
    <w:rsid w:val="00840FE8"/>
    <w:rsid w:val="00851687"/>
    <w:rsid w:val="00852D13"/>
    <w:rsid w:val="00854627"/>
    <w:rsid w:val="00865C26"/>
    <w:rsid w:val="008773C9"/>
    <w:rsid w:val="00877FE3"/>
    <w:rsid w:val="0088330C"/>
    <w:rsid w:val="008925DA"/>
    <w:rsid w:val="00897FDC"/>
    <w:rsid w:val="008A22AD"/>
    <w:rsid w:val="008A62BC"/>
    <w:rsid w:val="008C5A13"/>
    <w:rsid w:val="008C66BE"/>
    <w:rsid w:val="008D101D"/>
    <w:rsid w:val="008D4282"/>
    <w:rsid w:val="008F29B6"/>
    <w:rsid w:val="008F7F03"/>
    <w:rsid w:val="009037C0"/>
    <w:rsid w:val="00904FAC"/>
    <w:rsid w:val="009060E4"/>
    <w:rsid w:val="009109B9"/>
    <w:rsid w:val="009140DF"/>
    <w:rsid w:val="00917CEA"/>
    <w:rsid w:val="00932FE0"/>
    <w:rsid w:val="00937076"/>
    <w:rsid w:val="0095175A"/>
    <w:rsid w:val="00955306"/>
    <w:rsid w:val="00960C94"/>
    <w:rsid w:val="009637F2"/>
    <w:rsid w:val="0096547C"/>
    <w:rsid w:val="00981F60"/>
    <w:rsid w:val="00984189"/>
    <w:rsid w:val="0099105C"/>
    <w:rsid w:val="00992CFF"/>
    <w:rsid w:val="00994BBC"/>
    <w:rsid w:val="009B1648"/>
    <w:rsid w:val="009B683B"/>
    <w:rsid w:val="009C32BA"/>
    <w:rsid w:val="009C5963"/>
    <w:rsid w:val="009D09F3"/>
    <w:rsid w:val="009D33C4"/>
    <w:rsid w:val="009E0DF2"/>
    <w:rsid w:val="009F47B9"/>
    <w:rsid w:val="009F5952"/>
    <w:rsid w:val="00A00237"/>
    <w:rsid w:val="00A0768F"/>
    <w:rsid w:val="00A10960"/>
    <w:rsid w:val="00A112D1"/>
    <w:rsid w:val="00A17680"/>
    <w:rsid w:val="00A20A17"/>
    <w:rsid w:val="00A23360"/>
    <w:rsid w:val="00A32A55"/>
    <w:rsid w:val="00A34BD3"/>
    <w:rsid w:val="00A45528"/>
    <w:rsid w:val="00A46F4B"/>
    <w:rsid w:val="00A569E2"/>
    <w:rsid w:val="00A67705"/>
    <w:rsid w:val="00A72451"/>
    <w:rsid w:val="00A77860"/>
    <w:rsid w:val="00A8632A"/>
    <w:rsid w:val="00A86E44"/>
    <w:rsid w:val="00A90A04"/>
    <w:rsid w:val="00AA30A8"/>
    <w:rsid w:val="00AA71D6"/>
    <w:rsid w:val="00AB17BE"/>
    <w:rsid w:val="00AB7826"/>
    <w:rsid w:val="00AC01FF"/>
    <w:rsid w:val="00AC67C7"/>
    <w:rsid w:val="00AC713C"/>
    <w:rsid w:val="00AD00A8"/>
    <w:rsid w:val="00AD4063"/>
    <w:rsid w:val="00AE503E"/>
    <w:rsid w:val="00AF0F0E"/>
    <w:rsid w:val="00AF1FA0"/>
    <w:rsid w:val="00AF3808"/>
    <w:rsid w:val="00AF5337"/>
    <w:rsid w:val="00B006E6"/>
    <w:rsid w:val="00B03A61"/>
    <w:rsid w:val="00B03E8A"/>
    <w:rsid w:val="00B1057B"/>
    <w:rsid w:val="00B149C6"/>
    <w:rsid w:val="00B1606F"/>
    <w:rsid w:val="00B16BE7"/>
    <w:rsid w:val="00B22DA5"/>
    <w:rsid w:val="00B30021"/>
    <w:rsid w:val="00B33308"/>
    <w:rsid w:val="00B37E9B"/>
    <w:rsid w:val="00B40726"/>
    <w:rsid w:val="00B40A4B"/>
    <w:rsid w:val="00B46E04"/>
    <w:rsid w:val="00B7306D"/>
    <w:rsid w:val="00B87A9B"/>
    <w:rsid w:val="00B94B8B"/>
    <w:rsid w:val="00BA0568"/>
    <w:rsid w:val="00BB418D"/>
    <w:rsid w:val="00BB4BAD"/>
    <w:rsid w:val="00BB5E41"/>
    <w:rsid w:val="00BB62F3"/>
    <w:rsid w:val="00BC0801"/>
    <w:rsid w:val="00BD3903"/>
    <w:rsid w:val="00BD5FC6"/>
    <w:rsid w:val="00BE0593"/>
    <w:rsid w:val="00BE09FF"/>
    <w:rsid w:val="00BE4593"/>
    <w:rsid w:val="00BE6352"/>
    <w:rsid w:val="00BF3F65"/>
    <w:rsid w:val="00BF6398"/>
    <w:rsid w:val="00C05BF6"/>
    <w:rsid w:val="00C11F69"/>
    <w:rsid w:val="00C17E12"/>
    <w:rsid w:val="00C40144"/>
    <w:rsid w:val="00C41346"/>
    <w:rsid w:val="00C5064C"/>
    <w:rsid w:val="00C51F91"/>
    <w:rsid w:val="00C57041"/>
    <w:rsid w:val="00C6015C"/>
    <w:rsid w:val="00C61EF9"/>
    <w:rsid w:val="00C627A8"/>
    <w:rsid w:val="00C654B0"/>
    <w:rsid w:val="00C67C1E"/>
    <w:rsid w:val="00C7572B"/>
    <w:rsid w:val="00C779B5"/>
    <w:rsid w:val="00C80472"/>
    <w:rsid w:val="00C80CC7"/>
    <w:rsid w:val="00C82BE2"/>
    <w:rsid w:val="00C83FA9"/>
    <w:rsid w:val="00C92DE2"/>
    <w:rsid w:val="00C93A35"/>
    <w:rsid w:val="00CA2445"/>
    <w:rsid w:val="00CA66DC"/>
    <w:rsid w:val="00CA7588"/>
    <w:rsid w:val="00CB65B1"/>
    <w:rsid w:val="00CD203C"/>
    <w:rsid w:val="00CE0914"/>
    <w:rsid w:val="00CE125A"/>
    <w:rsid w:val="00CE1D7F"/>
    <w:rsid w:val="00CE4E0D"/>
    <w:rsid w:val="00D003A5"/>
    <w:rsid w:val="00D00C2F"/>
    <w:rsid w:val="00D014F6"/>
    <w:rsid w:val="00D03463"/>
    <w:rsid w:val="00D03BC1"/>
    <w:rsid w:val="00D0483F"/>
    <w:rsid w:val="00D16916"/>
    <w:rsid w:val="00D1734A"/>
    <w:rsid w:val="00D27086"/>
    <w:rsid w:val="00D30B3A"/>
    <w:rsid w:val="00D32311"/>
    <w:rsid w:val="00D36031"/>
    <w:rsid w:val="00D37E55"/>
    <w:rsid w:val="00D4627E"/>
    <w:rsid w:val="00D537D5"/>
    <w:rsid w:val="00D55FFF"/>
    <w:rsid w:val="00D56FC5"/>
    <w:rsid w:val="00D574D1"/>
    <w:rsid w:val="00D6007D"/>
    <w:rsid w:val="00D61DF6"/>
    <w:rsid w:val="00D66F58"/>
    <w:rsid w:val="00D84C76"/>
    <w:rsid w:val="00D87E90"/>
    <w:rsid w:val="00D9229A"/>
    <w:rsid w:val="00D92AD4"/>
    <w:rsid w:val="00D974A7"/>
    <w:rsid w:val="00DA50A4"/>
    <w:rsid w:val="00DB140F"/>
    <w:rsid w:val="00DB42E0"/>
    <w:rsid w:val="00DB6645"/>
    <w:rsid w:val="00DC3D25"/>
    <w:rsid w:val="00DD3ADA"/>
    <w:rsid w:val="00DE11C4"/>
    <w:rsid w:val="00DE5644"/>
    <w:rsid w:val="00DF4B27"/>
    <w:rsid w:val="00DF7964"/>
    <w:rsid w:val="00E00AF8"/>
    <w:rsid w:val="00E04FDD"/>
    <w:rsid w:val="00E103DC"/>
    <w:rsid w:val="00E2038B"/>
    <w:rsid w:val="00E22626"/>
    <w:rsid w:val="00E45257"/>
    <w:rsid w:val="00E5044D"/>
    <w:rsid w:val="00E53837"/>
    <w:rsid w:val="00E556AB"/>
    <w:rsid w:val="00E62708"/>
    <w:rsid w:val="00E64BDB"/>
    <w:rsid w:val="00E66AD5"/>
    <w:rsid w:val="00E672AB"/>
    <w:rsid w:val="00E67C5A"/>
    <w:rsid w:val="00E7419C"/>
    <w:rsid w:val="00E76193"/>
    <w:rsid w:val="00E8253A"/>
    <w:rsid w:val="00E857D4"/>
    <w:rsid w:val="00E86E50"/>
    <w:rsid w:val="00E86EA2"/>
    <w:rsid w:val="00E95229"/>
    <w:rsid w:val="00EB08CC"/>
    <w:rsid w:val="00EB0D0B"/>
    <w:rsid w:val="00EC6858"/>
    <w:rsid w:val="00ED3635"/>
    <w:rsid w:val="00EE6575"/>
    <w:rsid w:val="00EF4E85"/>
    <w:rsid w:val="00EF5159"/>
    <w:rsid w:val="00EF5CC5"/>
    <w:rsid w:val="00F04424"/>
    <w:rsid w:val="00F0752C"/>
    <w:rsid w:val="00F24EEF"/>
    <w:rsid w:val="00F24F3A"/>
    <w:rsid w:val="00F32433"/>
    <w:rsid w:val="00F5279A"/>
    <w:rsid w:val="00F562B7"/>
    <w:rsid w:val="00F56EB8"/>
    <w:rsid w:val="00F6145E"/>
    <w:rsid w:val="00F64553"/>
    <w:rsid w:val="00F649EC"/>
    <w:rsid w:val="00F73699"/>
    <w:rsid w:val="00F77178"/>
    <w:rsid w:val="00F87D8E"/>
    <w:rsid w:val="00F9346C"/>
    <w:rsid w:val="00F9546C"/>
    <w:rsid w:val="00FA3CC0"/>
    <w:rsid w:val="00FB7E6D"/>
    <w:rsid w:val="00FC5543"/>
    <w:rsid w:val="00FD36AD"/>
    <w:rsid w:val="00FE4F81"/>
    <w:rsid w:val="00FF05DA"/>
    <w:rsid w:val="00FF5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3568CA"/>
    <w:pPr>
      <w:ind w:left="720"/>
      <w:contextualSpacing/>
    </w:pPr>
  </w:style>
  <w:style w:type="character" w:customStyle="1" w:styleId="googqs-tidbit">
    <w:name w:val="goog_qs-tidbit"/>
    <w:basedOn w:val="DefaultParagraphFont"/>
    <w:rsid w:val="00CE125A"/>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2E0E34"/>
    <w:pPr>
      <w:keepNext/>
      <w:spacing w:after="40"/>
      <w:ind w:left="709" w:hanging="709"/>
    </w:pPr>
    <w:rPr>
      <w:rFonts w:ascii="Arial Narrow" w:hAnsi="Arial Narrow" w:cs="Tahoma"/>
      <w:b/>
      <w:sz w:val="20"/>
      <w:lang w:val="en-GB" w:eastAsia="ja-JP"/>
    </w:rPr>
  </w:style>
  <w:style w:type="table" w:styleId="TableGrid">
    <w:name w:val="Table Grid"/>
    <w:basedOn w:val="TableNormal"/>
    <w:rsid w:val="00222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3568CA"/>
    <w:pPr>
      <w:ind w:left="720"/>
      <w:contextualSpacing/>
    </w:pPr>
  </w:style>
  <w:style w:type="character" w:customStyle="1" w:styleId="googqs-tidbit">
    <w:name w:val="goog_qs-tidbit"/>
    <w:basedOn w:val="DefaultParagraphFont"/>
    <w:rsid w:val="00CE125A"/>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2E0E34"/>
    <w:pPr>
      <w:keepNext/>
      <w:spacing w:after="40"/>
      <w:ind w:left="709" w:hanging="709"/>
    </w:pPr>
    <w:rPr>
      <w:rFonts w:ascii="Arial Narrow" w:hAnsi="Arial Narrow" w:cs="Tahoma"/>
      <w:b/>
      <w:sz w:val="20"/>
      <w:lang w:val="en-GB" w:eastAsia="ja-JP"/>
    </w:rPr>
  </w:style>
  <w:style w:type="table" w:styleId="TableGrid">
    <w:name w:val="Table Grid"/>
    <w:basedOn w:val="TableNormal"/>
    <w:rsid w:val="00222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F11B-CA85-4E7B-A631-1156D251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4548</Words>
  <Characters>25031</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29520</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McCandless Sean</cp:lastModifiedBy>
  <cp:revision>3</cp:revision>
  <cp:lastPrinted>2014-09-03T01:35:00Z</cp:lastPrinted>
  <dcterms:created xsi:type="dcterms:W3CDTF">2014-09-01T08:43:00Z</dcterms:created>
  <dcterms:modified xsi:type="dcterms:W3CDTF">2014-09-03T01:36:00Z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