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FC1420">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195A8594" w14:textId="77AF5A39" w:rsidR="003F5DD6" w:rsidRPr="003F5DD6" w:rsidRDefault="003F5DD6" w:rsidP="003F5DD6">
      <w:pPr>
        <w:pStyle w:val="Heading1"/>
      </w:pPr>
      <w:r w:rsidRPr="003F5DD6">
        <w:rPr>
          <w:rStyle w:val="IntenseReference"/>
          <w:b/>
          <w:bCs/>
          <w:i w:val="0"/>
          <w:smallCaps w:val="0"/>
          <w:color w:val="auto"/>
          <w:spacing w:val="0"/>
        </w:rPr>
        <w:t xml:space="preserve">Report to the Medical Services Advisory Committee on real world outcomes of Application </w:t>
      </w:r>
      <w:r w:rsidR="00722938">
        <w:rPr>
          <w:rStyle w:val="IntenseReference"/>
          <w:b/>
          <w:bCs/>
          <w:i w:val="0"/>
          <w:smallCaps w:val="0"/>
          <w:color w:val="auto"/>
          <w:spacing w:val="0"/>
        </w:rPr>
        <w:t xml:space="preserve">1221: </w:t>
      </w:r>
      <w:proofErr w:type="spellStart"/>
      <w:r w:rsidR="00722938" w:rsidRPr="00722938">
        <w:t>Intravesical</w:t>
      </w:r>
      <w:proofErr w:type="spellEnd"/>
      <w:r w:rsidR="00722938" w:rsidRPr="00722938">
        <w:t xml:space="preserve"> injection of </w:t>
      </w:r>
      <w:r w:rsidR="00CB2942">
        <w:t>Botox</w:t>
      </w:r>
      <w:r w:rsidR="00B30E56">
        <w:rPr>
          <w:rFonts w:cs="Arial"/>
        </w:rPr>
        <w:t>®</w:t>
      </w:r>
      <w:r w:rsidR="00722938" w:rsidRPr="00722938">
        <w:t xml:space="preserve"> (</w:t>
      </w:r>
      <w:proofErr w:type="spellStart"/>
      <w:r w:rsidR="00722938" w:rsidRPr="00722938">
        <w:t>botulinum</w:t>
      </w:r>
      <w:proofErr w:type="spellEnd"/>
      <w:r w:rsidR="00722938" w:rsidRPr="00722938">
        <w:t xml:space="preserve"> toxin type A) for the treatment of urinary incontinence due to neurogenic detrusor overactivity (NDO)</w:t>
      </w:r>
    </w:p>
    <w:p w14:paraId="50BBDDE4" w14:textId="706C59C8" w:rsidR="00BC1364" w:rsidRPr="00D90A38" w:rsidRDefault="003F5DD6" w:rsidP="00FC1420">
      <w:pPr>
        <w:spacing w:before="360"/>
        <w:ind w:left="3600" w:hanging="3600"/>
        <w:rPr>
          <w:rFonts w:ascii="Arial" w:hAnsi="Arial" w:cs="Arial"/>
          <w:b/>
          <w:szCs w:val="24"/>
        </w:rPr>
      </w:pPr>
      <w:r>
        <w:rPr>
          <w:rFonts w:ascii="Arial" w:hAnsi="Arial" w:cs="Arial"/>
          <w:b/>
          <w:szCs w:val="24"/>
        </w:rPr>
        <w:t>Medicare Benefits Schedule</w:t>
      </w:r>
      <w:r w:rsidR="001C1BE6">
        <w:rPr>
          <w:rFonts w:ascii="Arial" w:hAnsi="Arial" w:cs="Arial"/>
          <w:b/>
          <w:szCs w:val="24"/>
        </w:rPr>
        <w:t xml:space="preserve"> </w:t>
      </w:r>
      <w:r>
        <w:rPr>
          <w:rFonts w:ascii="Arial" w:hAnsi="Arial" w:cs="Arial"/>
          <w:b/>
          <w:szCs w:val="24"/>
        </w:rPr>
        <w:t>(MBS) items considered</w:t>
      </w:r>
      <w:r w:rsidR="00BC1364" w:rsidRPr="00D90A38">
        <w:rPr>
          <w:rFonts w:ascii="Arial" w:hAnsi="Arial" w:cs="Arial"/>
          <w:b/>
          <w:szCs w:val="24"/>
        </w:rPr>
        <w:t>:</w:t>
      </w:r>
      <w:r w:rsidR="00BC1364" w:rsidRPr="00D90A38">
        <w:rPr>
          <w:rFonts w:ascii="Arial" w:hAnsi="Arial" w:cs="Arial"/>
          <w:b/>
          <w:szCs w:val="24"/>
        </w:rPr>
        <w:tab/>
      </w:r>
      <w:r w:rsidR="00804D1D">
        <w:rPr>
          <w:rFonts w:ascii="Arial" w:hAnsi="Arial" w:cs="Arial"/>
          <w:b/>
          <w:szCs w:val="24"/>
        </w:rPr>
        <w:t>18375 and 36851</w:t>
      </w:r>
    </w:p>
    <w:p w14:paraId="6F6DDFED" w14:textId="38F29381" w:rsidR="00BC1364" w:rsidRPr="00D90A38" w:rsidRDefault="00BC1364" w:rsidP="00FC1420">
      <w:pPr>
        <w:spacing w:before="360"/>
        <w:ind w:left="3600" w:hanging="360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7462A3">
        <w:rPr>
          <w:rFonts w:ascii="Arial" w:hAnsi="Arial" w:cs="Arial"/>
          <w:b/>
          <w:szCs w:val="24"/>
        </w:rPr>
        <w:t>24-25</w:t>
      </w:r>
      <w:r w:rsidR="00B30E56">
        <w:rPr>
          <w:rFonts w:ascii="Arial" w:hAnsi="Arial" w:cs="Arial"/>
          <w:b/>
          <w:szCs w:val="24"/>
        </w:rPr>
        <w:t xml:space="preserve"> November 2016</w:t>
      </w:r>
    </w:p>
    <w:p w14:paraId="46790F2B" w14:textId="2B43E52A" w:rsidR="0041758C" w:rsidRDefault="006A0D97" w:rsidP="00065623">
      <w:pPr>
        <w:rPr>
          <w:szCs w:val="24"/>
        </w:rPr>
      </w:pPr>
      <w:r>
        <w:rPr>
          <w:szCs w:val="24"/>
        </w:rPr>
        <w:t xml:space="preserve">Context for </w:t>
      </w:r>
      <w:r w:rsidRPr="00FC1420">
        <w:t>decision</w:t>
      </w:r>
      <w:r>
        <w:rPr>
          <w:szCs w:val="24"/>
        </w:rPr>
        <w:t>: MSAC makes its advice in accordance with its Terms of Reference, see</w:t>
      </w:r>
      <w:r w:rsidR="00E86450">
        <w:rPr>
          <w:szCs w:val="24"/>
        </w:rPr>
        <w:t xml:space="preserve"> the </w:t>
      </w:r>
      <w:hyperlink r:id="rId10" w:history="1">
        <w:r w:rsidR="00E86450">
          <w:rPr>
            <w:rStyle w:val="Hyperlink"/>
            <w:szCs w:val="24"/>
          </w:rPr>
          <w:t>MSAC Website</w:t>
        </w:r>
      </w:hyperlink>
    </w:p>
    <w:p w14:paraId="52C2A008" w14:textId="328F32A8" w:rsidR="003F5DD6" w:rsidRPr="003F5DD6" w:rsidRDefault="003D7F29" w:rsidP="00FC1420">
      <w:pPr>
        <w:pStyle w:val="Heading1"/>
        <w:numPr>
          <w:ilvl w:val="0"/>
          <w:numId w:val="23"/>
        </w:numPr>
        <w:tabs>
          <w:tab w:val="left" w:pos="720"/>
          <w:tab w:val="left" w:pos="1140"/>
        </w:tabs>
        <w:spacing w:before="360"/>
        <w:ind w:hanging="720"/>
      </w:pPr>
      <w:r w:rsidRPr="00D90A38">
        <w:t>Purpose</w:t>
      </w:r>
    </w:p>
    <w:p w14:paraId="6CD02791" w14:textId="69973FC5" w:rsidR="003F5DD6" w:rsidRDefault="003F5DD6" w:rsidP="003F5DD6">
      <w:r>
        <w:t xml:space="preserve">The purpose of the report presented to the Medical Services Advisory Committee (MSAC) was to inform MSAC of the real world impacts on the outcomes of application </w:t>
      </w:r>
      <w:r w:rsidR="00B37344">
        <w:t>12</w:t>
      </w:r>
      <w:r w:rsidR="00BF253B">
        <w:t>21</w:t>
      </w:r>
      <w:r>
        <w:t>. The MSAC then uses this information to ensure that</w:t>
      </w:r>
      <w:r w:rsidR="00A91AFD">
        <w:t xml:space="preserve"> the new item</w:t>
      </w:r>
      <w:r w:rsidR="00B30E56">
        <w:t>/s</w:t>
      </w:r>
      <w:r w:rsidR="00A91AFD">
        <w:t xml:space="preserve"> resulting from this application</w:t>
      </w:r>
      <w:r w:rsidR="00B30E56">
        <w:t>/s</w:t>
      </w:r>
      <w:r w:rsidR="00A91AFD">
        <w:t xml:space="preserve"> is being used as intended.</w:t>
      </w:r>
    </w:p>
    <w:p w14:paraId="53627D54" w14:textId="77777777" w:rsidR="003F5DD6" w:rsidRPr="00DB1935" w:rsidRDefault="003F5DD6" w:rsidP="00FC1420">
      <w:pPr>
        <w:spacing w:before="240"/>
      </w:pPr>
      <w:r w:rsidRPr="00341476">
        <w:t xml:space="preserve">The </w:t>
      </w:r>
      <w:r>
        <w:t>report</w:t>
      </w:r>
      <w:r w:rsidRPr="00341476">
        <w:t xml:space="preserve"> is not intended to be a review of the clinical information covered during the application process.</w:t>
      </w:r>
    </w:p>
    <w:p w14:paraId="57895869" w14:textId="51271565" w:rsidR="00E977EE" w:rsidRDefault="00E977EE" w:rsidP="00FC1420">
      <w:pPr>
        <w:pStyle w:val="Heading1"/>
        <w:numPr>
          <w:ilvl w:val="0"/>
          <w:numId w:val="23"/>
        </w:numPr>
        <w:tabs>
          <w:tab w:val="left" w:pos="720"/>
          <w:tab w:val="left" w:pos="1140"/>
        </w:tabs>
        <w:spacing w:before="360"/>
        <w:ind w:hanging="720"/>
      </w:pPr>
      <w:r w:rsidRPr="008D5885">
        <w:t xml:space="preserve">MSAC’s advice </w:t>
      </w:r>
    </w:p>
    <w:p w14:paraId="5A406DAA" w14:textId="1B613B19" w:rsidR="00DC3933" w:rsidRPr="005D244F" w:rsidRDefault="005D244F" w:rsidP="00FC1420">
      <w:pPr>
        <w:rPr>
          <w:szCs w:val="24"/>
          <w:lang w:eastAsia="en-US"/>
        </w:rPr>
      </w:pPr>
      <w:r w:rsidRPr="005D244F">
        <w:rPr>
          <w:szCs w:val="24"/>
          <w:lang w:eastAsia="en-US"/>
        </w:rPr>
        <w:t xml:space="preserve">After </w:t>
      </w:r>
      <w:r w:rsidRPr="00FC1420">
        <w:t>considering</w:t>
      </w:r>
      <w:r w:rsidRPr="005D244F">
        <w:rPr>
          <w:szCs w:val="24"/>
          <w:lang w:eastAsia="en-US"/>
        </w:rPr>
        <w:t xml:space="preserve"> the real world impacts of the outcomes of application </w:t>
      </w:r>
      <w:r w:rsidRPr="005D244F">
        <w:rPr>
          <w:szCs w:val="24"/>
        </w:rPr>
        <w:t xml:space="preserve">1221 for the </w:t>
      </w:r>
      <w:proofErr w:type="spellStart"/>
      <w:r w:rsidRPr="005D244F">
        <w:rPr>
          <w:szCs w:val="24"/>
        </w:rPr>
        <w:t>intravesical</w:t>
      </w:r>
      <w:proofErr w:type="spellEnd"/>
      <w:r w:rsidRPr="005D244F">
        <w:rPr>
          <w:szCs w:val="24"/>
        </w:rPr>
        <w:t xml:space="preserve"> injection of </w:t>
      </w:r>
      <w:proofErr w:type="spellStart"/>
      <w:r w:rsidRPr="005D244F">
        <w:rPr>
          <w:szCs w:val="24"/>
        </w:rPr>
        <w:t>botulinum</w:t>
      </w:r>
      <w:proofErr w:type="spellEnd"/>
      <w:r w:rsidRPr="005D244F">
        <w:rPr>
          <w:szCs w:val="24"/>
        </w:rPr>
        <w:t xml:space="preserve"> toxin type A (</w:t>
      </w:r>
      <w:r w:rsidR="00CB2942">
        <w:rPr>
          <w:szCs w:val="24"/>
        </w:rPr>
        <w:t>Botox®</w:t>
      </w:r>
      <w:r w:rsidRPr="005D244F">
        <w:rPr>
          <w:szCs w:val="24"/>
        </w:rPr>
        <w:t xml:space="preserve">) for the treatment of </w:t>
      </w:r>
      <w:r w:rsidRPr="005D244F">
        <w:rPr>
          <w:szCs w:val="24"/>
          <w:lang w:eastAsia="en-US"/>
        </w:rPr>
        <w:t xml:space="preserve">urinary incontinence due to neurogenic detrusor overactivity (NDO) (MBS item number 18375), MSAC recommended that that the potential issue of inappropriate co-claiming of cystoscopy with this item be referred to the department to investigate if the intention was to include </w:t>
      </w:r>
      <w:proofErr w:type="gramStart"/>
      <w:r w:rsidRPr="005D244F">
        <w:rPr>
          <w:szCs w:val="24"/>
          <w:lang w:eastAsia="en-US"/>
        </w:rPr>
        <w:t>cystoscopy</w:t>
      </w:r>
      <w:proofErr w:type="gramEnd"/>
      <w:r w:rsidRPr="005D244F">
        <w:rPr>
          <w:szCs w:val="24"/>
          <w:lang w:eastAsia="en-US"/>
        </w:rPr>
        <w:t xml:space="preserve"> as part of this service.</w:t>
      </w:r>
    </w:p>
    <w:p w14:paraId="084DD51D" w14:textId="470BA549" w:rsidR="00DC3933" w:rsidRPr="005D244F" w:rsidRDefault="00DC3933" w:rsidP="00FC1420">
      <w:pPr>
        <w:pStyle w:val="Heading1"/>
        <w:numPr>
          <w:ilvl w:val="0"/>
          <w:numId w:val="23"/>
        </w:numPr>
        <w:tabs>
          <w:tab w:val="left" w:pos="720"/>
          <w:tab w:val="left" w:pos="1140"/>
        </w:tabs>
        <w:spacing w:before="360"/>
        <w:ind w:hanging="720"/>
      </w:pPr>
      <w:r w:rsidRPr="00E35CDB">
        <w:t>Summary of consideration and rationale for MSAC’s advice</w:t>
      </w:r>
    </w:p>
    <w:p w14:paraId="56B54628" w14:textId="327188A2" w:rsidR="005D244F" w:rsidRPr="005D244F" w:rsidRDefault="005D244F" w:rsidP="00FC1420">
      <w:pPr>
        <w:rPr>
          <w:szCs w:val="24"/>
          <w:lang w:eastAsia="en-US"/>
        </w:rPr>
      </w:pPr>
      <w:r w:rsidRPr="005D244F">
        <w:rPr>
          <w:szCs w:val="24"/>
          <w:lang w:eastAsia="en-US"/>
        </w:rPr>
        <w:t xml:space="preserve">MSAC </w:t>
      </w:r>
      <w:r w:rsidRPr="00FC1420">
        <w:t>considered</w:t>
      </w:r>
      <w:r w:rsidRPr="005D244F">
        <w:rPr>
          <w:szCs w:val="24"/>
          <w:lang w:eastAsia="en-US"/>
        </w:rPr>
        <w:t xml:space="preserve"> the real world impacts of the outcome of application </w:t>
      </w:r>
      <w:r w:rsidRPr="005D244F">
        <w:rPr>
          <w:szCs w:val="24"/>
        </w:rPr>
        <w:t xml:space="preserve">1221 for the </w:t>
      </w:r>
      <w:proofErr w:type="spellStart"/>
      <w:r w:rsidRPr="005D244F">
        <w:rPr>
          <w:szCs w:val="24"/>
        </w:rPr>
        <w:t>intravesical</w:t>
      </w:r>
      <w:proofErr w:type="spellEnd"/>
      <w:r w:rsidRPr="005D244F">
        <w:rPr>
          <w:szCs w:val="24"/>
        </w:rPr>
        <w:t xml:space="preserve"> injection of </w:t>
      </w:r>
      <w:proofErr w:type="spellStart"/>
      <w:r w:rsidRPr="005D244F">
        <w:rPr>
          <w:szCs w:val="24"/>
        </w:rPr>
        <w:t>botulinum</w:t>
      </w:r>
      <w:proofErr w:type="spellEnd"/>
      <w:r w:rsidRPr="005D244F">
        <w:rPr>
          <w:szCs w:val="24"/>
        </w:rPr>
        <w:t xml:space="preserve"> toxin type A (</w:t>
      </w:r>
      <w:r w:rsidR="00CB2942">
        <w:rPr>
          <w:szCs w:val="24"/>
        </w:rPr>
        <w:t>Botox®</w:t>
      </w:r>
      <w:r w:rsidRPr="005D244F">
        <w:rPr>
          <w:szCs w:val="24"/>
        </w:rPr>
        <w:t xml:space="preserve">) for the treatment of </w:t>
      </w:r>
      <w:r w:rsidRPr="005D244F">
        <w:rPr>
          <w:szCs w:val="24"/>
          <w:lang w:eastAsia="en-US"/>
        </w:rPr>
        <w:t>urinary incontinence due to neurogenic detrusor overactivity (NDO) (MBS item number 18375) by examining the available data for this item number.</w:t>
      </w:r>
    </w:p>
    <w:p w14:paraId="03514B8B" w14:textId="08C1AD7F" w:rsidR="005D244F" w:rsidRPr="005D244F" w:rsidRDefault="005D244F" w:rsidP="00FC1420">
      <w:pPr>
        <w:spacing w:before="240"/>
        <w:rPr>
          <w:szCs w:val="24"/>
          <w:lang w:eastAsia="en-US"/>
        </w:rPr>
      </w:pPr>
      <w:r w:rsidRPr="005D244F">
        <w:rPr>
          <w:szCs w:val="24"/>
          <w:lang w:eastAsia="en-US"/>
        </w:rPr>
        <w:t xml:space="preserve">In considering the utilisation data MSAC noted that actual utilisation of the item number was significantly below the total services expected. MSAC noted that the number of patients receiving </w:t>
      </w:r>
      <w:r w:rsidRPr="00FC1420">
        <w:t>the</w:t>
      </w:r>
      <w:r w:rsidRPr="005D244F">
        <w:rPr>
          <w:szCs w:val="24"/>
          <w:lang w:eastAsia="en-US"/>
        </w:rPr>
        <w:t xml:space="preserve"> service was also much lower than estimated. MSAC considered that the lower than expected utilisation of this service is most likely a reflection of low patient acceptability regarding the procedure. MSAC </w:t>
      </w:r>
      <w:r>
        <w:rPr>
          <w:szCs w:val="24"/>
          <w:lang w:eastAsia="en-US"/>
        </w:rPr>
        <w:t>noted</w:t>
      </w:r>
      <w:r w:rsidRPr="005D244F">
        <w:rPr>
          <w:szCs w:val="24"/>
          <w:lang w:eastAsia="en-US"/>
        </w:rPr>
        <w:t xml:space="preserve"> that this </w:t>
      </w:r>
      <w:r w:rsidR="00230604">
        <w:rPr>
          <w:szCs w:val="24"/>
          <w:lang w:eastAsia="en-US"/>
        </w:rPr>
        <w:t>is a relatively</w:t>
      </w:r>
      <w:r w:rsidRPr="005D244F">
        <w:rPr>
          <w:szCs w:val="24"/>
          <w:lang w:eastAsia="en-US"/>
        </w:rPr>
        <w:t xml:space="preserve"> </w:t>
      </w:r>
      <w:r w:rsidR="00230604">
        <w:rPr>
          <w:szCs w:val="24"/>
          <w:lang w:eastAsia="en-US"/>
        </w:rPr>
        <w:t>invasive procedure that requires</w:t>
      </w:r>
      <w:r w:rsidRPr="005D244F">
        <w:rPr>
          <w:szCs w:val="24"/>
          <w:lang w:eastAsia="en-US"/>
        </w:rPr>
        <w:t xml:space="preserve"> </w:t>
      </w:r>
      <w:r w:rsidRPr="005D244F">
        <w:rPr>
          <w:szCs w:val="24"/>
          <w:lang w:eastAsia="en-US"/>
        </w:rPr>
        <w:lastRenderedPageBreak/>
        <w:t xml:space="preserve">hospitalisation and anaesthesia. MSAC considered that a large proportion of patients would have lived with NDO for many years and may not consider the quality of life gains of </w:t>
      </w:r>
      <w:proofErr w:type="spellStart"/>
      <w:r w:rsidRPr="005D244F">
        <w:rPr>
          <w:szCs w:val="24"/>
          <w:lang w:eastAsia="en-US"/>
        </w:rPr>
        <w:t>intravesical</w:t>
      </w:r>
      <w:proofErr w:type="spellEnd"/>
      <w:r w:rsidRPr="005D244F">
        <w:rPr>
          <w:szCs w:val="24"/>
          <w:lang w:eastAsia="en-US"/>
        </w:rPr>
        <w:t xml:space="preserve"> injection of </w:t>
      </w:r>
      <w:r w:rsidR="00CB2942">
        <w:rPr>
          <w:szCs w:val="24"/>
          <w:lang w:eastAsia="en-US"/>
        </w:rPr>
        <w:t>Botox®</w:t>
      </w:r>
      <w:r w:rsidRPr="005D244F">
        <w:rPr>
          <w:szCs w:val="24"/>
          <w:lang w:eastAsia="en-US"/>
        </w:rPr>
        <w:t xml:space="preserve"> substantial enough to undergo treatment. </w:t>
      </w:r>
    </w:p>
    <w:p w14:paraId="54743357" w14:textId="6DECCE52" w:rsidR="006263B1" w:rsidRPr="005D244F" w:rsidRDefault="005D244F" w:rsidP="00FC1420">
      <w:pPr>
        <w:spacing w:before="240"/>
        <w:rPr>
          <w:szCs w:val="24"/>
        </w:rPr>
      </w:pPr>
      <w:r w:rsidRPr="005D244F">
        <w:rPr>
          <w:szCs w:val="24"/>
        </w:rPr>
        <w:t xml:space="preserve">In considering the co-claiming data MSAC noted that item 18375 was predominantly claimed alone. MSAC noted that in some cases item 18375 was co-claimed with other cystoscopy items, despite cystoscopy being included in the item descriptor. MSAC noted that there may be situations in which co-claiming with cystoscopy items may be appropriate. MSAC recommended that </w:t>
      </w:r>
      <w:r w:rsidRPr="005D244F">
        <w:rPr>
          <w:szCs w:val="24"/>
          <w:lang w:eastAsia="en-US"/>
        </w:rPr>
        <w:t>the potential issue of inappropriate co-claiming of cystoscopy with this item be referred to the department to investigate if the intention was to include cystoscopy as part of this service.</w:t>
      </w:r>
    </w:p>
    <w:p w14:paraId="08E2832D" w14:textId="24E7A918" w:rsidR="00550354" w:rsidRDefault="003F5DD6" w:rsidP="00FC1420">
      <w:pPr>
        <w:pStyle w:val="Heading1"/>
        <w:numPr>
          <w:ilvl w:val="0"/>
          <w:numId w:val="23"/>
        </w:numPr>
        <w:tabs>
          <w:tab w:val="left" w:pos="720"/>
          <w:tab w:val="left" w:pos="1140"/>
        </w:tabs>
        <w:spacing w:before="360"/>
        <w:ind w:hanging="720"/>
      </w:pPr>
      <w:r>
        <w:t>Methodology</w:t>
      </w:r>
    </w:p>
    <w:p w14:paraId="74CEFE68" w14:textId="51D017C1" w:rsidR="00550354" w:rsidRDefault="001C1BE6" w:rsidP="00550354">
      <w:pPr>
        <w:rPr>
          <w:szCs w:val="24"/>
        </w:rPr>
      </w:pPr>
      <w:r>
        <w:rPr>
          <w:szCs w:val="24"/>
        </w:rPr>
        <w:t xml:space="preserve">An </w:t>
      </w:r>
      <w:r w:rsidRPr="00FC1420">
        <w:t>application</w:t>
      </w:r>
      <w:r>
        <w:rPr>
          <w:szCs w:val="24"/>
        </w:rPr>
        <w:t xml:space="preserve"> is selected for consideration if the resulting new item(s) 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Chairs of MSAC and its sub-committees.</w:t>
      </w:r>
    </w:p>
    <w:p w14:paraId="5EF0EBE3" w14:textId="372C1663" w:rsidR="001C1BE6" w:rsidRDefault="001C1BE6" w:rsidP="00FC1420">
      <w:pPr>
        <w:spacing w:before="240"/>
        <w:rPr>
          <w:szCs w:val="24"/>
        </w:rPr>
      </w:pPr>
      <w:r>
        <w:rPr>
          <w:szCs w:val="24"/>
        </w:rPr>
        <w:t xml:space="preserve">A report on the utilisation is developed by the Department of Health (the department) with information on a number of metrics including state variation, patient demographics, services per patient, </w:t>
      </w:r>
      <w:r w:rsidRPr="00FC1420">
        <w:t>practitioner’s</w:t>
      </w:r>
      <w:r>
        <w:rPr>
          <w:szCs w:val="24"/>
        </w:rPr>
        <w:t xml:space="preserve">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3163B48C" w:rsidR="001C1BE6" w:rsidRDefault="001C1BE6" w:rsidP="00FC1420">
      <w:pPr>
        <w:spacing w:before="240"/>
        <w:rPr>
          <w:szCs w:val="24"/>
        </w:rPr>
      </w:pPr>
      <w:r>
        <w:rPr>
          <w:szCs w:val="24"/>
        </w:rPr>
        <w:t xml:space="preserve">Where possible the report compares data on real world utilisation to the assumptions made during the </w:t>
      </w:r>
      <w:r w:rsidRPr="00FC1420">
        <w:t>MSAC</w:t>
      </w:r>
      <w:r>
        <w:rPr>
          <w:szCs w:val="24"/>
        </w:rPr>
        <w:t xml:space="preserve"> assessment. Most of these assumptions are drawn from the assessment report.</w:t>
      </w:r>
    </w:p>
    <w:p w14:paraId="26E62F08" w14:textId="3E86C2DF" w:rsidR="00B11472" w:rsidRDefault="001C1BE6" w:rsidP="00FC1420">
      <w:pPr>
        <w:spacing w:before="240"/>
        <w:rPr>
          <w:szCs w:val="24"/>
        </w:rPr>
      </w:pPr>
      <w:r>
        <w:rPr>
          <w:szCs w:val="24"/>
        </w:rPr>
        <w:t xml:space="preserve">Relevant </w:t>
      </w:r>
      <w:r w:rsidRPr="00FC1420">
        <w:t>stakeholders</w:t>
      </w:r>
      <w:r>
        <w:rPr>
          <w:szCs w:val="24"/>
        </w:rPr>
        <w:t xml:space="preserve"> are provided an opportunity to comment on the findings in the report before it is presented to the MSAC. It is intended that stakeholders are given at least three weeks to consider the reports</w:t>
      </w:r>
      <w:r w:rsidR="00E86450">
        <w:rPr>
          <w:szCs w:val="24"/>
        </w:rPr>
        <w:t>.</w:t>
      </w:r>
    </w:p>
    <w:p w14:paraId="40C0C81F" w14:textId="52EECD16" w:rsidR="001C1BE6" w:rsidRDefault="001C1BE6" w:rsidP="00FC1420">
      <w:pPr>
        <w:spacing w:before="240"/>
        <w:rPr>
          <w:szCs w:val="24"/>
        </w:rPr>
      </w:pPr>
      <w:r>
        <w:rPr>
          <w:szCs w:val="24"/>
        </w:rPr>
        <w:t xml:space="preserve">The stakeholder version of the report does not contain information </w:t>
      </w:r>
      <w:r w:rsidR="00B11472">
        <w:rPr>
          <w:szCs w:val="24"/>
        </w:rPr>
        <w:t xml:space="preserve">on assumptions from the MSAC consideration </w:t>
      </w:r>
      <w:r w:rsidR="00B11472" w:rsidRPr="00FC1420">
        <w:t>if</w:t>
      </w:r>
      <w:r w:rsidR="00B11472">
        <w:rPr>
          <w:szCs w:val="24"/>
        </w:rPr>
        <w:t xml:space="preserve"> this information is not already publicly available. This is to protect the commercial in confidence of the original applicants. The same principle is applied to this document.</w:t>
      </w:r>
    </w:p>
    <w:p w14:paraId="5FFB5672" w14:textId="6413BA4E" w:rsidR="00B11472" w:rsidRDefault="00B11472" w:rsidP="00FC1420">
      <w:pPr>
        <w:spacing w:before="240"/>
        <w:rPr>
          <w:szCs w:val="24"/>
        </w:rPr>
      </w:pPr>
      <w:r>
        <w:rPr>
          <w:szCs w:val="24"/>
        </w:rPr>
        <w:t xml:space="preserve">Once MSAC has </w:t>
      </w:r>
      <w:r w:rsidRPr="00FC1420">
        <w:t>considered</w:t>
      </w:r>
      <w:r>
        <w:rPr>
          <w:szCs w:val="24"/>
        </w:rPr>
        <w:t xml:space="preserve"> the report</w:t>
      </w:r>
      <w:r w:rsidR="00A91AFD">
        <w:rPr>
          <w:szCs w:val="24"/>
        </w:rPr>
        <w:t xml:space="preserve"> its advice is made available online at </w:t>
      </w:r>
      <w:r w:rsidR="00E86450">
        <w:rPr>
          <w:szCs w:val="24"/>
        </w:rPr>
        <w:t xml:space="preserve">the </w:t>
      </w:r>
      <w:hyperlink r:id="rId11" w:history="1">
        <w:r w:rsidR="00E86450">
          <w:rPr>
            <w:rStyle w:val="Hyperlink"/>
            <w:szCs w:val="24"/>
          </w:rPr>
          <w:t>MSAC Website</w:t>
        </w:r>
      </w:hyperlink>
      <w:r w:rsidR="00A91AFD">
        <w:rPr>
          <w:szCs w:val="24"/>
        </w:rPr>
        <w:t>.</w:t>
      </w:r>
    </w:p>
    <w:p w14:paraId="09E8EE24" w14:textId="3517EF44" w:rsidR="00BC1364" w:rsidRPr="00A91AFD" w:rsidRDefault="003F5DD6" w:rsidP="00FC1420">
      <w:pPr>
        <w:pStyle w:val="Heading1"/>
        <w:numPr>
          <w:ilvl w:val="0"/>
          <w:numId w:val="23"/>
        </w:numPr>
        <w:tabs>
          <w:tab w:val="left" w:pos="720"/>
          <w:tab w:val="left" w:pos="1140"/>
        </w:tabs>
        <w:spacing w:before="360"/>
        <w:ind w:hanging="720"/>
      </w:pPr>
      <w:r>
        <w:t>Results</w:t>
      </w:r>
    </w:p>
    <w:p w14:paraId="759802B8" w14:textId="03C6E5D8" w:rsidR="004E015F" w:rsidRDefault="004E015F" w:rsidP="00FC1420">
      <w:pPr>
        <w:pStyle w:val="Heading2"/>
      </w:pPr>
      <w:r>
        <w:t>Utilisation</w:t>
      </w:r>
    </w:p>
    <w:p w14:paraId="48E020B0" w14:textId="7242CC61" w:rsidR="00E70533" w:rsidRDefault="00E70533" w:rsidP="00E70533">
      <w:r>
        <w:t>Item 18375 has been growing steadily since listing. However, overall utilisation is low at 299 services in 2014-15 and 456 services in 2015-16 (Table 1).</w:t>
      </w:r>
    </w:p>
    <w:p w14:paraId="5A6B199C" w14:textId="28776264" w:rsidR="00E70533" w:rsidRDefault="00E70533" w:rsidP="00FC1420">
      <w:pPr>
        <w:spacing w:before="240"/>
      </w:pPr>
      <w:r>
        <w:t xml:space="preserve">It was expected that there would be a decrease in utilisation of item 36851 due to the restriction for injecting </w:t>
      </w:r>
      <w:proofErr w:type="spellStart"/>
      <w:r>
        <w:t>botulinum</w:t>
      </w:r>
      <w:proofErr w:type="spellEnd"/>
      <w:r>
        <w:t xml:space="preserve"> toxin under this item. Item 36851 does not appear to have been affected by the listing of 18375, growing by 36% from 2012-13 to 2013-14 and by 14% from 2013-14 to 2014-15 (Table 1).</w:t>
      </w:r>
    </w:p>
    <w:p w14:paraId="1176637A" w14:textId="07A7ACCA" w:rsidR="00E70533" w:rsidRPr="00FC1420" w:rsidRDefault="00E70533" w:rsidP="00FC1420">
      <w:pPr>
        <w:pStyle w:val="Heading3"/>
      </w:pPr>
      <w:r w:rsidRPr="00FC1420">
        <w:lastRenderedPageBreak/>
        <w:t>Table 1: Services, growth and benefits paid per state for MBS item 18375 and 36851 from 2010-2011 to 2015-16</w:t>
      </w:r>
    </w:p>
    <w:tbl>
      <w:tblPr>
        <w:tblW w:w="4989" w:type="pct"/>
        <w:tblInd w:w="108" w:type="dxa"/>
        <w:tblLayout w:type="fixed"/>
        <w:tblLook w:val="04A0" w:firstRow="1" w:lastRow="0" w:firstColumn="1" w:lastColumn="0" w:noHBand="0" w:noVBand="1"/>
        <w:tblDescription w:val="Table 1 presents the services, growth in services and benefits paid in Australia for MBS items 18375 and 36851 from 2010-11 to 2015-16. Each financial year of 2010-11, 2011-12, 2012-13, 2013-14, 2014-15 and 2015-16 is presented across columns and each MBS item of 18375 and 26851 is represented across rows. Each MBS item is split into three rows - one for the number of services, one for the percentage growth  in services, and one for the amount of benefits in Australian dollars."/>
      </w:tblPr>
      <w:tblGrid>
        <w:gridCol w:w="923"/>
        <w:gridCol w:w="1083"/>
        <w:gridCol w:w="1140"/>
        <w:gridCol w:w="1140"/>
        <w:gridCol w:w="1210"/>
        <w:gridCol w:w="1210"/>
        <w:gridCol w:w="1210"/>
        <w:gridCol w:w="1306"/>
      </w:tblGrid>
      <w:tr w:rsidR="00E70533" w14:paraId="2A8BC74C" w14:textId="77777777" w:rsidTr="003E360A">
        <w:trPr>
          <w:trHeight w:val="406"/>
          <w:tblHeader/>
        </w:trPr>
        <w:tc>
          <w:tcPr>
            <w:tcW w:w="500" w:type="pct"/>
            <w:tcBorders>
              <w:top w:val="single" w:sz="4" w:space="0" w:color="auto"/>
              <w:left w:val="single" w:sz="4" w:space="0" w:color="auto"/>
              <w:bottom w:val="single" w:sz="4" w:space="0" w:color="auto"/>
            </w:tcBorders>
            <w:shd w:val="clear" w:color="auto" w:fill="008080"/>
            <w:vAlign w:val="center"/>
          </w:tcPr>
          <w:p w14:paraId="05D2F652" w14:textId="77777777" w:rsidR="00E70533" w:rsidRPr="00647668" w:rsidRDefault="00E70533" w:rsidP="006F0CF3">
            <w:pPr>
              <w:jc w:val="center"/>
              <w:rPr>
                <w:rFonts w:ascii="Arial" w:hAnsi="Arial" w:cs="Arial"/>
                <w:b/>
                <w:bCs/>
                <w:color w:val="FFFFFF"/>
                <w:sz w:val="16"/>
                <w:szCs w:val="16"/>
              </w:rPr>
            </w:pPr>
          </w:p>
        </w:tc>
        <w:tc>
          <w:tcPr>
            <w:tcW w:w="587" w:type="pct"/>
            <w:tcBorders>
              <w:top w:val="single" w:sz="8" w:space="0" w:color="auto"/>
              <w:left w:val="single" w:sz="8" w:space="0" w:color="auto"/>
              <w:bottom w:val="single" w:sz="8" w:space="0" w:color="auto"/>
              <w:right w:val="single" w:sz="8" w:space="0" w:color="auto"/>
            </w:tcBorders>
            <w:shd w:val="clear" w:color="auto" w:fill="008080"/>
            <w:vAlign w:val="center"/>
            <w:hideMark/>
          </w:tcPr>
          <w:p w14:paraId="094067B5" w14:textId="77777777" w:rsidR="00E70533" w:rsidRPr="00647668" w:rsidRDefault="00E70533" w:rsidP="006F0CF3">
            <w:pPr>
              <w:jc w:val="center"/>
              <w:rPr>
                <w:rFonts w:ascii="Arial" w:hAnsi="Arial" w:cs="Arial"/>
                <w:b/>
                <w:bCs/>
                <w:color w:val="FFFFFF"/>
                <w:sz w:val="16"/>
                <w:szCs w:val="16"/>
              </w:rPr>
            </w:pPr>
          </w:p>
        </w:tc>
        <w:tc>
          <w:tcPr>
            <w:tcW w:w="618" w:type="pct"/>
            <w:tcBorders>
              <w:top w:val="single" w:sz="8" w:space="0" w:color="auto"/>
              <w:left w:val="nil"/>
              <w:bottom w:val="single" w:sz="8" w:space="0" w:color="auto"/>
              <w:right w:val="single" w:sz="8" w:space="0" w:color="auto"/>
            </w:tcBorders>
            <w:shd w:val="clear" w:color="auto" w:fill="008080"/>
            <w:vAlign w:val="center"/>
            <w:hideMark/>
          </w:tcPr>
          <w:p w14:paraId="06D73BE9" w14:textId="77777777" w:rsidR="00E70533" w:rsidRPr="00647668" w:rsidRDefault="00E70533" w:rsidP="006F0CF3">
            <w:pPr>
              <w:jc w:val="center"/>
              <w:rPr>
                <w:rFonts w:ascii="Arial" w:hAnsi="Arial" w:cs="Arial"/>
                <w:b/>
                <w:bCs/>
                <w:color w:val="FFFFFF"/>
                <w:sz w:val="16"/>
                <w:szCs w:val="16"/>
              </w:rPr>
            </w:pPr>
            <w:r w:rsidRPr="00647668">
              <w:rPr>
                <w:rFonts w:ascii="Arial" w:hAnsi="Arial" w:cs="Arial"/>
                <w:b/>
                <w:bCs/>
                <w:color w:val="FFFFFF"/>
                <w:sz w:val="16"/>
                <w:szCs w:val="16"/>
              </w:rPr>
              <w:t>2010-11</w:t>
            </w:r>
          </w:p>
        </w:tc>
        <w:tc>
          <w:tcPr>
            <w:tcW w:w="618" w:type="pct"/>
            <w:tcBorders>
              <w:top w:val="single" w:sz="8" w:space="0" w:color="auto"/>
              <w:left w:val="nil"/>
              <w:bottom w:val="single" w:sz="8" w:space="0" w:color="auto"/>
              <w:right w:val="single" w:sz="8" w:space="0" w:color="auto"/>
            </w:tcBorders>
            <w:shd w:val="clear" w:color="auto" w:fill="008080"/>
            <w:vAlign w:val="center"/>
            <w:hideMark/>
          </w:tcPr>
          <w:p w14:paraId="0A22131E" w14:textId="77777777" w:rsidR="00E70533" w:rsidRPr="00647668" w:rsidRDefault="00E70533" w:rsidP="006F0CF3">
            <w:pPr>
              <w:jc w:val="center"/>
              <w:rPr>
                <w:rFonts w:ascii="Arial" w:hAnsi="Arial" w:cs="Arial"/>
                <w:b/>
                <w:bCs/>
                <w:color w:val="FFFFFF"/>
                <w:sz w:val="16"/>
                <w:szCs w:val="16"/>
              </w:rPr>
            </w:pPr>
            <w:r w:rsidRPr="00647668">
              <w:rPr>
                <w:rFonts w:ascii="Arial" w:hAnsi="Arial" w:cs="Arial"/>
                <w:b/>
                <w:bCs/>
                <w:color w:val="FFFFFF"/>
                <w:sz w:val="16"/>
                <w:szCs w:val="16"/>
              </w:rPr>
              <w:t>2011-12</w:t>
            </w:r>
          </w:p>
        </w:tc>
        <w:tc>
          <w:tcPr>
            <w:tcW w:w="656" w:type="pct"/>
            <w:tcBorders>
              <w:top w:val="single" w:sz="8" w:space="0" w:color="auto"/>
              <w:left w:val="nil"/>
              <w:bottom w:val="single" w:sz="8" w:space="0" w:color="auto"/>
              <w:right w:val="single" w:sz="8" w:space="0" w:color="auto"/>
            </w:tcBorders>
            <w:shd w:val="clear" w:color="auto" w:fill="008080"/>
            <w:vAlign w:val="center"/>
            <w:hideMark/>
          </w:tcPr>
          <w:p w14:paraId="58442596" w14:textId="77777777" w:rsidR="00E70533" w:rsidRPr="00647668" w:rsidRDefault="00E70533" w:rsidP="006F0CF3">
            <w:pPr>
              <w:jc w:val="center"/>
              <w:rPr>
                <w:rFonts w:ascii="Arial" w:hAnsi="Arial" w:cs="Arial"/>
                <w:b/>
                <w:bCs/>
                <w:color w:val="FFFFFF"/>
                <w:sz w:val="16"/>
                <w:szCs w:val="16"/>
              </w:rPr>
            </w:pPr>
            <w:r w:rsidRPr="00647668">
              <w:rPr>
                <w:rFonts w:ascii="Arial" w:hAnsi="Arial" w:cs="Arial"/>
                <w:b/>
                <w:bCs/>
                <w:color w:val="FFFFFF"/>
                <w:sz w:val="16"/>
                <w:szCs w:val="16"/>
              </w:rPr>
              <w:t>2012-13</w:t>
            </w:r>
          </w:p>
        </w:tc>
        <w:tc>
          <w:tcPr>
            <w:tcW w:w="656" w:type="pct"/>
            <w:tcBorders>
              <w:top w:val="single" w:sz="8" w:space="0" w:color="auto"/>
              <w:left w:val="nil"/>
              <w:bottom w:val="single" w:sz="8" w:space="0" w:color="auto"/>
              <w:right w:val="single" w:sz="8" w:space="0" w:color="auto"/>
            </w:tcBorders>
            <w:shd w:val="clear" w:color="auto" w:fill="008080"/>
            <w:vAlign w:val="center"/>
            <w:hideMark/>
          </w:tcPr>
          <w:p w14:paraId="4962D477" w14:textId="77777777" w:rsidR="00E70533" w:rsidRPr="00647668" w:rsidRDefault="00E70533" w:rsidP="006F0CF3">
            <w:pPr>
              <w:jc w:val="center"/>
              <w:rPr>
                <w:rFonts w:ascii="Arial" w:hAnsi="Arial" w:cs="Arial"/>
                <w:b/>
                <w:bCs/>
                <w:color w:val="FFFFFF"/>
                <w:sz w:val="16"/>
                <w:szCs w:val="16"/>
              </w:rPr>
            </w:pPr>
            <w:r w:rsidRPr="00647668">
              <w:rPr>
                <w:rFonts w:ascii="Arial" w:hAnsi="Arial" w:cs="Arial"/>
                <w:b/>
                <w:bCs/>
                <w:color w:val="FFFFFF"/>
                <w:sz w:val="16"/>
                <w:szCs w:val="16"/>
              </w:rPr>
              <w:t>2013-14</w:t>
            </w:r>
          </w:p>
        </w:tc>
        <w:tc>
          <w:tcPr>
            <w:tcW w:w="656" w:type="pct"/>
            <w:tcBorders>
              <w:top w:val="single" w:sz="8" w:space="0" w:color="auto"/>
              <w:left w:val="nil"/>
              <w:bottom w:val="single" w:sz="8" w:space="0" w:color="auto"/>
              <w:right w:val="single" w:sz="8" w:space="0" w:color="auto"/>
            </w:tcBorders>
            <w:shd w:val="clear" w:color="auto" w:fill="008080"/>
            <w:vAlign w:val="center"/>
            <w:hideMark/>
          </w:tcPr>
          <w:p w14:paraId="6F7DC56D" w14:textId="77777777" w:rsidR="00E70533" w:rsidRPr="00647668" w:rsidRDefault="00E70533" w:rsidP="006F0CF3">
            <w:pPr>
              <w:jc w:val="center"/>
              <w:rPr>
                <w:rFonts w:ascii="Arial" w:hAnsi="Arial" w:cs="Arial"/>
                <w:b/>
                <w:bCs/>
                <w:color w:val="FFFFFF"/>
                <w:sz w:val="16"/>
                <w:szCs w:val="16"/>
              </w:rPr>
            </w:pPr>
            <w:r w:rsidRPr="00647668">
              <w:rPr>
                <w:rFonts w:ascii="Arial" w:hAnsi="Arial" w:cs="Arial"/>
                <w:b/>
                <w:bCs/>
                <w:color w:val="FFFFFF"/>
                <w:sz w:val="16"/>
                <w:szCs w:val="16"/>
              </w:rPr>
              <w:t xml:space="preserve">2014-15 </w:t>
            </w:r>
          </w:p>
        </w:tc>
        <w:tc>
          <w:tcPr>
            <w:tcW w:w="708" w:type="pct"/>
            <w:tcBorders>
              <w:top w:val="single" w:sz="8" w:space="0" w:color="auto"/>
              <w:left w:val="nil"/>
              <w:bottom w:val="single" w:sz="8" w:space="0" w:color="auto"/>
              <w:right w:val="single" w:sz="8" w:space="0" w:color="auto"/>
            </w:tcBorders>
            <w:shd w:val="clear" w:color="auto" w:fill="008080"/>
            <w:vAlign w:val="center"/>
            <w:hideMark/>
          </w:tcPr>
          <w:p w14:paraId="470BCB87" w14:textId="77777777" w:rsidR="00E70533" w:rsidRPr="00647668" w:rsidRDefault="00E70533" w:rsidP="006F0CF3">
            <w:pPr>
              <w:jc w:val="center"/>
              <w:rPr>
                <w:rFonts w:ascii="Arial" w:hAnsi="Arial" w:cs="Arial"/>
                <w:b/>
                <w:bCs/>
                <w:color w:val="FFFFFF"/>
                <w:sz w:val="16"/>
                <w:szCs w:val="16"/>
              </w:rPr>
            </w:pPr>
            <w:r w:rsidRPr="00647668">
              <w:rPr>
                <w:rFonts w:ascii="Arial" w:hAnsi="Arial" w:cs="Arial"/>
                <w:b/>
                <w:bCs/>
                <w:color w:val="FFFFFF"/>
                <w:sz w:val="16"/>
                <w:szCs w:val="16"/>
              </w:rPr>
              <w:t>2015-16</w:t>
            </w:r>
          </w:p>
        </w:tc>
      </w:tr>
      <w:tr w:rsidR="00E70533" w14:paraId="4ECBA187" w14:textId="77777777" w:rsidTr="006F0CF3">
        <w:trPr>
          <w:trHeight w:val="398"/>
        </w:trPr>
        <w:tc>
          <w:tcPr>
            <w:tcW w:w="500" w:type="pct"/>
            <w:vMerge w:val="restart"/>
            <w:tcBorders>
              <w:top w:val="single" w:sz="4" w:space="0" w:color="auto"/>
              <w:left w:val="single" w:sz="4" w:space="0" w:color="auto"/>
            </w:tcBorders>
            <w:shd w:val="clear" w:color="auto" w:fill="auto"/>
            <w:vAlign w:val="center"/>
          </w:tcPr>
          <w:p w14:paraId="4F696C80" w14:textId="77777777" w:rsidR="00E70533" w:rsidRPr="00647668" w:rsidRDefault="00E70533" w:rsidP="006F0CF3">
            <w:pPr>
              <w:jc w:val="right"/>
              <w:rPr>
                <w:rFonts w:ascii="Arial" w:hAnsi="Arial" w:cs="Arial"/>
                <w:b/>
                <w:color w:val="000000"/>
                <w:sz w:val="18"/>
                <w:szCs w:val="18"/>
              </w:rPr>
            </w:pPr>
            <w:r w:rsidRPr="00647668">
              <w:rPr>
                <w:rFonts w:ascii="Arial" w:hAnsi="Arial" w:cs="Arial"/>
                <w:b/>
                <w:color w:val="000000"/>
                <w:sz w:val="18"/>
                <w:szCs w:val="18"/>
              </w:rPr>
              <w:t>18375</w:t>
            </w:r>
          </w:p>
        </w:tc>
        <w:tc>
          <w:tcPr>
            <w:tcW w:w="587" w:type="pct"/>
            <w:tcBorders>
              <w:top w:val="nil"/>
              <w:left w:val="single" w:sz="8" w:space="0" w:color="auto"/>
              <w:right w:val="single" w:sz="8" w:space="0" w:color="auto"/>
            </w:tcBorders>
            <w:shd w:val="clear" w:color="000000" w:fill="FFFFFF"/>
            <w:vAlign w:val="center"/>
          </w:tcPr>
          <w:p w14:paraId="1A7445B1" w14:textId="3CA25813" w:rsidR="00E70533" w:rsidRPr="00647668" w:rsidRDefault="00E70533" w:rsidP="00E86450">
            <w:pPr>
              <w:jc w:val="right"/>
              <w:rPr>
                <w:rFonts w:ascii="Arial" w:hAnsi="Arial" w:cs="Arial"/>
                <w:b/>
                <w:color w:val="000000"/>
                <w:sz w:val="18"/>
                <w:szCs w:val="18"/>
              </w:rPr>
            </w:pPr>
            <w:r w:rsidRPr="00647668">
              <w:rPr>
                <w:rFonts w:ascii="Arial" w:hAnsi="Arial" w:cs="Arial"/>
                <w:b/>
                <w:color w:val="000000"/>
                <w:sz w:val="18"/>
                <w:szCs w:val="18"/>
              </w:rPr>
              <w:t>Services</w:t>
            </w:r>
          </w:p>
        </w:tc>
        <w:tc>
          <w:tcPr>
            <w:tcW w:w="618" w:type="pct"/>
            <w:tcBorders>
              <w:top w:val="single" w:sz="8" w:space="0" w:color="auto"/>
              <w:left w:val="nil"/>
              <w:bottom w:val="single" w:sz="4" w:space="0" w:color="auto"/>
              <w:right w:val="single" w:sz="8" w:space="0" w:color="auto"/>
              <w:tl2br w:val="single" w:sz="4" w:space="0" w:color="auto"/>
            </w:tcBorders>
            <w:shd w:val="clear" w:color="000000" w:fill="FFFFFF"/>
            <w:vAlign w:val="center"/>
          </w:tcPr>
          <w:p w14:paraId="79A24CF2" w14:textId="77777777" w:rsidR="00E70533" w:rsidRPr="00647668" w:rsidRDefault="00E70533" w:rsidP="006F0CF3">
            <w:pPr>
              <w:jc w:val="right"/>
              <w:rPr>
                <w:rFonts w:ascii="Arial" w:hAnsi="Arial" w:cs="Arial"/>
                <w:color w:val="000000"/>
                <w:sz w:val="18"/>
                <w:szCs w:val="18"/>
              </w:rPr>
            </w:pPr>
          </w:p>
        </w:tc>
        <w:tc>
          <w:tcPr>
            <w:tcW w:w="618" w:type="pct"/>
            <w:tcBorders>
              <w:top w:val="single" w:sz="8" w:space="0" w:color="auto"/>
              <w:left w:val="nil"/>
              <w:bottom w:val="single" w:sz="4" w:space="0" w:color="auto"/>
              <w:right w:val="single" w:sz="8" w:space="0" w:color="auto"/>
              <w:tl2br w:val="single" w:sz="4" w:space="0" w:color="auto"/>
            </w:tcBorders>
            <w:shd w:val="clear" w:color="000000" w:fill="FFFFFF"/>
            <w:vAlign w:val="center"/>
          </w:tcPr>
          <w:p w14:paraId="626EE236" w14:textId="77777777" w:rsidR="00E70533" w:rsidRPr="00647668" w:rsidRDefault="00E70533" w:rsidP="006F0CF3">
            <w:pPr>
              <w:jc w:val="right"/>
              <w:rPr>
                <w:rFonts w:ascii="Arial" w:hAnsi="Arial" w:cs="Arial"/>
                <w:color w:val="000000"/>
                <w:sz w:val="18"/>
                <w:szCs w:val="18"/>
              </w:rPr>
            </w:pPr>
          </w:p>
        </w:tc>
        <w:tc>
          <w:tcPr>
            <w:tcW w:w="656" w:type="pct"/>
            <w:tcBorders>
              <w:top w:val="single" w:sz="8" w:space="0" w:color="auto"/>
              <w:left w:val="nil"/>
              <w:bottom w:val="single" w:sz="4" w:space="0" w:color="auto"/>
              <w:right w:val="single" w:sz="8" w:space="0" w:color="auto"/>
              <w:tl2br w:val="single" w:sz="4" w:space="0" w:color="auto"/>
            </w:tcBorders>
            <w:shd w:val="clear" w:color="000000" w:fill="FFFFFF"/>
            <w:vAlign w:val="center"/>
          </w:tcPr>
          <w:p w14:paraId="52E92D06" w14:textId="77777777" w:rsidR="00E70533" w:rsidRPr="00647668" w:rsidRDefault="00E70533" w:rsidP="006F0CF3">
            <w:pPr>
              <w:jc w:val="right"/>
              <w:rPr>
                <w:rFonts w:ascii="Arial" w:hAnsi="Arial" w:cs="Arial"/>
                <w:color w:val="000000"/>
                <w:sz w:val="18"/>
                <w:szCs w:val="18"/>
              </w:rPr>
            </w:pPr>
          </w:p>
        </w:tc>
        <w:tc>
          <w:tcPr>
            <w:tcW w:w="656" w:type="pct"/>
            <w:tcBorders>
              <w:top w:val="nil"/>
              <w:left w:val="nil"/>
              <w:bottom w:val="single" w:sz="4" w:space="0" w:color="auto"/>
              <w:right w:val="single" w:sz="8" w:space="0" w:color="auto"/>
            </w:tcBorders>
            <w:shd w:val="clear" w:color="000000" w:fill="FFFFFF"/>
            <w:vAlign w:val="center"/>
          </w:tcPr>
          <w:p w14:paraId="56711F3D"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70</w:t>
            </w:r>
          </w:p>
        </w:tc>
        <w:tc>
          <w:tcPr>
            <w:tcW w:w="656" w:type="pct"/>
            <w:tcBorders>
              <w:top w:val="nil"/>
              <w:left w:val="nil"/>
              <w:right w:val="single" w:sz="8" w:space="0" w:color="auto"/>
            </w:tcBorders>
            <w:shd w:val="clear" w:color="000000" w:fill="FFFFFF"/>
            <w:vAlign w:val="center"/>
          </w:tcPr>
          <w:p w14:paraId="4CC83BC1"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299</w:t>
            </w:r>
          </w:p>
        </w:tc>
        <w:tc>
          <w:tcPr>
            <w:tcW w:w="708" w:type="pct"/>
            <w:tcBorders>
              <w:top w:val="nil"/>
              <w:left w:val="nil"/>
              <w:right w:val="single" w:sz="8" w:space="0" w:color="auto"/>
            </w:tcBorders>
            <w:shd w:val="clear" w:color="000000" w:fill="FFFFFF"/>
            <w:vAlign w:val="center"/>
          </w:tcPr>
          <w:p w14:paraId="38A937BA"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456</w:t>
            </w:r>
          </w:p>
        </w:tc>
      </w:tr>
      <w:tr w:rsidR="00E70533" w14:paraId="3CFA8C80" w14:textId="77777777" w:rsidTr="006F0CF3">
        <w:trPr>
          <w:trHeight w:val="415"/>
        </w:trPr>
        <w:tc>
          <w:tcPr>
            <w:tcW w:w="500" w:type="pct"/>
            <w:vMerge/>
            <w:tcBorders>
              <w:left w:val="single" w:sz="4" w:space="0" w:color="auto"/>
            </w:tcBorders>
            <w:shd w:val="clear" w:color="auto" w:fill="auto"/>
          </w:tcPr>
          <w:p w14:paraId="75009267" w14:textId="77777777" w:rsidR="00E70533" w:rsidRPr="00647668" w:rsidRDefault="00E70533" w:rsidP="006F0CF3">
            <w:pPr>
              <w:jc w:val="right"/>
              <w:rPr>
                <w:rFonts w:ascii="Arial" w:hAnsi="Arial" w:cs="Arial"/>
                <w:b/>
                <w:color w:val="000000"/>
                <w:sz w:val="18"/>
                <w:szCs w:val="18"/>
              </w:rPr>
            </w:pPr>
          </w:p>
        </w:tc>
        <w:tc>
          <w:tcPr>
            <w:tcW w:w="587" w:type="pct"/>
            <w:tcBorders>
              <w:top w:val="single" w:sz="4" w:space="0" w:color="auto"/>
              <w:left w:val="single" w:sz="8" w:space="0" w:color="auto"/>
              <w:bottom w:val="single" w:sz="4" w:space="0" w:color="auto"/>
              <w:right w:val="single" w:sz="8" w:space="0" w:color="auto"/>
            </w:tcBorders>
            <w:shd w:val="clear" w:color="000000" w:fill="FFFFFF"/>
            <w:vAlign w:val="center"/>
          </w:tcPr>
          <w:p w14:paraId="31FD7BDF" w14:textId="2ECE11D7" w:rsidR="00E70533" w:rsidRPr="00647668" w:rsidRDefault="00E70533" w:rsidP="00E86450">
            <w:pPr>
              <w:jc w:val="right"/>
              <w:rPr>
                <w:rFonts w:ascii="Arial" w:hAnsi="Arial" w:cs="Arial"/>
                <w:b/>
                <w:color w:val="000000"/>
                <w:sz w:val="18"/>
                <w:szCs w:val="18"/>
              </w:rPr>
            </w:pPr>
            <w:r w:rsidRPr="00647668">
              <w:rPr>
                <w:rFonts w:ascii="Arial" w:hAnsi="Arial" w:cs="Arial"/>
                <w:b/>
                <w:color w:val="000000"/>
                <w:sz w:val="18"/>
                <w:szCs w:val="18"/>
              </w:rPr>
              <w:t>Growt</w:t>
            </w:r>
            <w:r w:rsidR="00E86450">
              <w:rPr>
                <w:rFonts w:ascii="Arial" w:hAnsi="Arial" w:cs="Arial"/>
                <w:b/>
                <w:color w:val="000000"/>
                <w:sz w:val="18"/>
                <w:szCs w:val="18"/>
              </w:rPr>
              <w:t>h</w:t>
            </w:r>
          </w:p>
        </w:tc>
        <w:tc>
          <w:tcPr>
            <w:tcW w:w="618" w:type="pct"/>
            <w:tcBorders>
              <w:top w:val="single" w:sz="4" w:space="0" w:color="auto"/>
              <w:left w:val="nil"/>
              <w:bottom w:val="single" w:sz="4" w:space="0" w:color="auto"/>
              <w:right w:val="single" w:sz="8" w:space="0" w:color="auto"/>
              <w:tl2br w:val="single" w:sz="4" w:space="0" w:color="auto"/>
            </w:tcBorders>
            <w:shd w:val="clear" w:color="000000" w:fill="FFFFFF"/>
            <w:vAlign w:val="center"/>
          </w:tcPr>
          <w:p w14:paraId="6485D6A0" w14:textId="77777777" w:rsidR="00E70533" w:rsidRPr="00647668" w:rsidRDefault="00E70533" w:rsidP="006F0CF3">
            <w:pPr>
              <w:jc w:val="right"/>
              <w:rPr>
                <w:rFonts w:ascii="Arial" w:hAnsi="Arial" w:cs="Arial"/>
                <w:color w:val="000000"/>
                <w:sz w:val="18"/>
                <w:szCs w:val="18"/>
              </w:rPr>
            </w:pPr>
          </w:p>
        </w:tc>
        <w:tc>
          <w:tcPr>
            <w:tcW w:w="618" w:type="pct"/>
            <w:tcBorders>
              <w:top w:val="single" w:sz="4" w:space="0" w:color="auto"/>
              <w:left w:val="nil"/>
              <w:bottom w:val="single" w:sz="4" w:space="0" w:color="auto"/>
              <w:right w:val="single" w:sz="8" w:space="0" w:color="auto"/>
              <w:tl2br w:val="single" w:sz="4" w:space="0" w:color="auto"/>
            </w:tcBorders>
            <w:shd w:val="clear" w:color="000000" w:fill="FFFFFF"/>
            <w:vAlign w:val="center"/>
          </w:tcPr>
          <w:p w14:paraId="7D87B64D" w14:textId="77777777" w:rsidR="00E70533" w:rsidRPr="00647668" w:rsidRDefault="00E70533" w:rsidP="006F0CF3">
            <w:pPr>
              <w:jc w:val="right"/>
              <w:rPr>
                <w:rFonts w:ascii="Arial" w:hAnsi="Arial" w:cs="Arial"/>
                <w:color w:val="000000"/>
                <w:sz w:val="18"/>
                <w:szCs w:val="18"/>
              </w:rPr>
            </w:pPr>
          </w:p>
        </w:tc>
        <w:tc>
          <w:tcPr>
            <w:tcW w:w="656" w:type="pct"/>
            <w:tcBorders>
              <w:top w:val="single" w:sz="4" w:space="0" w:color="auto"/>
              <w:left w:val="nil"/>
              <w:bottom w:val="single" w:sz="4" w:space="0" w:color="auto"/>
              <w:right w:val="single" w:sz="8" w:space="0" w:color="auto"/>
              <w:tl2br w:val="single" w:sz="4" w:space="0" w:color="auto"/>
            </w:tcBorders>
            <w:shd w:val="clear" w:color="000000" w:fill="FFFFFF"/>
            <w:vAlign w:val="center"/>
          </w:tcPr>
          <w:p w14:paraId="5A69A3AE" w14:textId="77777777" w:rsidR="00E70533" w:rsidRPr="00647668" w:rsidRDefault="00E70533" w:rsidP="006F0CF3">
            <w:pPr>
              <w:jc w:val="right"/>
              <w:rPr>
                <w:rFonts w:ascii="Arial" w:hAnsi="Arial" w:cs="Arial"/>
                <w:color w:val="000000"/>
                <w:sz w:val="18"/>
                <w:szCs w:val="18"/>
              </w:rPr>
            </w:pPr>
          </w:p>
        </w:tc>
        <w:tc>
          <w:tcPr>
            <w:tcW w:w="656" w:type="pct"/>
            <w:tcBorders>
              <w:top w:val="single" w:sz="4" w:space="0" w:color="auto"/>
              <w:left w:val="nil"/>
              <w:bottom w:val="single" w:sz="4" w:space="0" w:color="auto"/>
              <w:right w:val="single" w:sz="8" w:space="0" w:color="auto"/>
              <w:tl2br w:val="single" w:sz="4" w:space="0" w:color="auto"/>
            </w:tcBorders>
            <w:shd w:val="clear" w:color="000000" w:fill="FFFFFF"/>
            <w:vAlign w:val="center"/>
          </w:tcPr>
          <w:p w14:paraId="21B91FDB" w14:textId="77777777" w:rsidR="00E70533" w:rsidRPr="00647668" w:rsidRDefault="00E70533" w:rsidP="006F0CF3">
            <w:pPr>
              <w:jc w:val="right"/>
              <w:rPr>
                <w:rFonts w:ascii="Arial" w:hAnsi="Arial" w:cs="Arial"/>
                <w:color w:val="000000"/>
                <w:sz w:val="18"/>
                <w:szCs w:val="18"/>
              </w:rPr>
            </w:pPr>
          </w:p>
        </w:tc>
        <w:tc>
          <w:tcPr>
            <w:tcW w:w="656" w:type="pct"/>
            <w:tcBorders>
              <w:top w:val="single" w:sz="4" w:space="0" w:color="auto"/>
              <w:left w:val="nil"/>
              <w:bottom w:val="single" w:sz="4" w:space="0" w:color="auto"/>
              <w:right w:val="single" w:sz="8" w:space="0" w:color="auto"/>
            </w:tcBorders>
            <w:shd w:val="clear" w:color="000000" w:fill="FFFFFF"/>
            <w:vAlign w:val="center"/>
          </w:tcPr>
          <w:p w14:paraId="5607DFA3"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+327%</w:t>
            </w:r>
          </w:p>
        </w:tc>
        <w:tc>
          <w:tcPr>
            <w:tcW w:w="708" w:type="pct"/>
            <w:tcBorders>
              <w:top w:val="single" w:sz="4" w:space="0" w:color="auto"/>
              <w:left w:val="nil"/>
              <w:bottom w:val="single" w:sz="4" w:space="0" w:color="auto"/>
              <w:right w:val="single" w:sz="8" w:space="0" w:color="auto"/>
            </w:tcBorders>
            <w:shd w:val="clear" w:color="000000" w:fill="FFFFFF"/>
            <w:vAlign w:val="center"/>
          </w:tcPr>
          <w:p w14:paraId="071B4A35"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+53%</w:t>
            </w:r>
          </w:p>
        </w:tc>
      </w:tr>
      <w:tr w:rsidR="00E70533" w14:paraId="7A22F6CA" w14:textId="77777777" w:rsidTr="006F0CF3">
        <w:trPr>
          <w:trHeight w:val="421"/>
        </w:trPr>
        <w:tc>
          <w:tcPr>
            <w:tcW w:w="500" w:type="pct"/>
            <w:vMerge/>
            <w:tcBorders>
              <w:left w:val="single" w:sz="4" w:space="0" w:color="auto"/>
              <w:bottom w:val="single" w:sz="4" w:space="0" w:color="auto"/>
            </w:tcBorders>
            <w:shd w:val="clear" w:color="auto" w:fill="auto"/>
          </w:tcPr>
          <w:p w14:paraId="72ECDBA5" w14:textId="77777777" w:rsidR="00E70533" w:rsidRPr="00647668" w:rsidRDefault="00E70533" w:rsidP="006F0CF3">
            <w:pPr>
              <w:jc w:val="right"/>
              <w:rPr>
                <w:rFonts w:ascii="Arial" w:hAnsi="Arial" w:cs="Arial"/>
                <w:b/>
                <w:color w:val="000000"/>
                <w:sz w:val="18"/>
                <w:szCs w:val="18"/>
              </w:rPr>
            </w:pPr>
          </w:p>
        </w:tc>
        <w:tc>
          <w:tcPr>
            <w:tcW w:w="587" w:type="pct"/>
            <w:tcBorders>
              <w:top w:val="single" w:sz="4" w:space="0" w:color="auto"/>
              <w:left w:val="single" w:sz="8" w:space="0" w:color="auto"/>
              <w:bottom w:val="single" w:sz="4" w:space="0" w:color="auto"/>
              <w:right w:val="single" w:sz="4" w:space="0" w:color="auto"/>
            </w:tcBorders>
            <w:shd w:val="clear" w:color="000000" w:fill="FFFFFF"/>
            <w:vAlign w:val="center"/>
          </w:tcPr>
          <w:p w14:paraId="03B33E48" w14:textId="77777777" w:rsidR="00E70533" w:rsidRPr="00647668" w:rsidRDefault="00E70533" w:rsidP="006F0CF3">
            <w:pPr>
              <w:jc w:val="right"/>
              <w:rPr>
                <w:rFonts w:ascii="Arial" w:hAnsi="Arial" w:cs="Arial"/>
                <w:b/>
                <w:color w:val="000000"/>
                <w:sz w:val="18"/>
                <w:szCs w:val="18"/>
              </w:rPr>
            </w:pPr>
            <w:r w:rsidRPr="00647668">
              <w:rPr>
                <w:rFonts w:ascii="Arial" w:hAnsi="Arial" w:cs="Arial"/>
                <w:b/>
                <w:color w:val="000000"/>
                <w:sz w:val="18"/>
                <w:szCs w:val="18"/>
              </w:rPr>
              <w:t>Benefits</w:t>
            </w:r>
          </w:p>
        </w:tc>
        <w:tc>
          <w:tcPr>
            <w:tcW w:w="618" w:type="pct"/>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14:paraId="0E6914DE" w14:textId="77777777" w:rsidR="00E70533" w:rsidRPr="00647668" w:rsidRDefault="00E70533" w:rsidP="006F0CF3">
            <w:pPr>
              <w:jc w:val="right"/>
              <w:rPr>
                <w:rFonts w:ascii="Arial" w:hAnsi="Arial" w:cs="Arial"/>
                <w:color w:val="000000"/>
                <w:sz w:val="18"/>
                <w:szCs w:val="18"/>
              </w:rPr>
            </w:pPr>
          </w:p>
        </w:tc>
        <w:tc>
          <w:tcPr>
            <w:tcW w:w="618" w:type="pct"/>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14:paraId="705251C7" w14:textId="77777777" w:rsidR="00E70533" w:rsidRPr="00647668" w:rsidRDefault="00E70533" w:rsidP="006F0CF3">
            <w:pPr>
              <w:jc w:val="right"/>
              <w:rPr>
                <w:rFonts w:ascii="Arial" w:hAnsi="Arial" w:cs="Arial"/>
                <w:color w:val="000000"/>
                <w:sz w:val="18"/>
                <w:szCs w:val="18"/>
              </w:rPr>
            </w:pPr>
          </w:p>
        </w:tc>
        <w:tc>
          <w:tcPr>
            <w:tcW w:w="656" w:type="pct"/>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14:paraId="211823ED" w14:textId="77777777" w:rsidR="00E70533" w:rsidRPr="00647668" w:rsidRDefault="00E70533" w:rsidP="006F0CF3">
            <w:pPr>
              <w:jc w:val="right"/>
              <w:rPr>
                <w:rFonts w:ascii="Arial" w:hAnsi="Arial" w:cs="Arial"/>
                <w:color w:val="000000"/>
                <w:sz w:val="18"/>
                <w:szCs w:val="18"/>
              </w:rPr>
            </w:pPr>
          </w:p>
        </w:tc>
        <w:tc>
          <w:tcPr>
            <w:tcW w:w="656" w:type="pct"/>
            <w:tcBorders>
              <w:top w:val="single" w:sz="4" w:space="0" w:color="auto"/>
              <w:left w:val="single" w:sz="4" w:space="0" w:color="auto"/>
              <w:bottom w:val="single" w:sz="4" w:space="0" w:color="auto"/>
              <w:right w:val="single" w:sz="4" w:space="0" w:color="auto"/>
            </w:tcBorders>
            <w:shd w:val="clear" w:color="000000" w:fill="FFFFFF"/>
            <w:vAlign w:val="center"/>
          </w:tcPr>
          <w:p w14:paraId="3626EC7A"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$12,068</w:t>
            </w:r>
          </w:p>
        </w:tc>
        <w:tc>
          <w:tcPr>
            <w:tcW w:w="656" w:type="pct"/>
            <w:tcBorders>
              <w:top w:val="single" w:sz="4" w:space="0" w:color="auto"/>
              <w:left w:val="single" w:sz="4" w:space="0" w:color="auto"/>
              <w:bottom w:val="single" w:sz="4" w:space="0" w:color="auto"/>
              <w:right w:val="single" w:sz="8" w:space="0" w:color="auto"/>
            </w:tcBorders>
            <w:shd w:val="clear" w:color="000000" w:fill="FFFFFF"/>
            <w:vAlign w:val="center"/>
          </w:tcPr>
          <w:p w14:paraId="0E4AD2B3"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$51,548</w:t>
            </w:r>
          </w:p>
        </w:tc>
        <w:tc>
          <w:tcPr>
            <w:tcW w:w="708" w:type="pct"/>
            <w:tcBorders>
              <w:top w:val="single" w:sz="4" w:space="0" w:color="auto"/>
              <w:left w:val="nil"/>
              <w:bottom w:val="single" w:sz="4" w:space="0" w:color="auto"/>
              <w:right w:val="single" w:sz="8" w:space="0" w:color="auto"/>
            </w:tcBorders>
            <w:shd w:val="clear" w:color="000000" w:fill="FFFFFF"/>
            <w:vAlign w:val="center"/>
          </w:tcPr>
          <w:p w14:paraId="6781D05A"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$78,614</w:t>
            </w:r>
          </w:p>
        </w:tc>
      </w:tr>
      <w:tr w:rsidR="00E70533" w14:paraId="7853A78C" w14:textId="77777777" w:rsidTr="006F0CF3">
        <w:trPr>
          <w:trHeight w:val="412"/>
        </w:trPr>
        <w:tc>
          <w:tcPr>
            <w:tcW w:w="500" w:type="pct"/>
            <w:tcBorders>
              <w:top w:val="single" w:sz="4" w:space="0" w:color="auto"/>
              <w:left w:val="single" w:sz="4" w:space="0" w:color="auto"/>
            </w:tcBorders>
            <w:shd w:val="clear" w:color="auto" w:fill="auto"/>
            <w:vAlign w:val="center"/>
          </w:tcPr>
          <w:p w14:paraId="2A62AB61" w14:textId="77777777" w:rsidR="00E70533" w:rsidRPr="00647668" w:rsidRDefault="00E70533" w:rsidP="006F0CF3">
            <w:pPr>
              <w:jc w:val="right"/>
              <w:rPr>
                <w:rFonts w:ascii="Arial" w:hAnsi="Arial" w:cs="Arial"/>
                <w:b/>
                <w:color w:val="000000"/>
                <w:sz w:val="18"/>
                <w:szCs w:val="18"/>
              </w:rPr>
            </w:pPr>
            <w:r w:rsidRPr="00647668">
              <w:rPr>
                <w:rFonts w:ascii="Arial" w:hAnsi="Arial" w:cs="Arial"/>
                <w:b/>
                <w:color w:val="000000"/>
                <w:sz w:val="18"/>
                <w:szCs w:val="18"/>
              </w:rPr>
              <w:t>36851</w:t>
            </w:r>
          </w:p>
        </w:tc>
        <w:tc>
          <w:tcPr>
            <w:tcW w:w="587" w:type="pct"/>
            <w:tcBorders>
              <w:top w:val="single" w:sz="4" w:space="0" w:color="auto"/>
              <w:left w:val="single" w:sz="8" w:space="0" w:color="auto"/>
              <w:bottom w:val="single" w:sz="4" w:space="0" w:color="auto"/>
              <w:right w:val="single" w:sz="8" w:space="0" w:color="auto"/>
            </w:tcBorders>
            <w:shd w:val="clear" w:color="000000" w:fill="FFFFFF"/>
            <w:vAlign w:val="center"/>
          </w:tcPr>
          <w:p w14:paraId="265575CA" w14:textId="77777777" w:rsidR="00E70533" w:rsidRPr="00647668" w:rsidRDefault="00E70533" w:rsidP="006F0CF3">
            <w:pPr>
              <w:jc w:val="right"/>
              <w:rPr>
                <w:rFonts w:ascii="Arial" w:hAnsi="Arial" w:cs="Arial"/>
                <w:b/>
                <w:color w:val="000000"/>
                <w:sz w:val="18"/>
                <w:szCs w:val="18"/>
              </w:rPr>
            </w:pPr>
            <w:r w:rsidRPr="00647668">
              <w:rPr>
                <w:rFonts w:ascii="Arial" w:hAnsi="Arial" w:cs="Arial"/>
                <w:b/>
                <w:color w:val="000000"/>
                <w:sz w:val="18"/>
                <w:szCs w:val="18"/>
              </w:rPr>
              <w:t>Services</w:t>
            </w:r>
          </w:p>
        </w:tc>
        <w:tc>
          <w:tcPr>
            <w:tcW w:w="618" w:type="pct"/>
            <w:tcBorders>
              <w:top w:val="single" w:sz="4" w:space="0" w:color="auto"/>
              <w:left w:val="nil"/>
              <w:bottom w:val="single" w:sz="4" w:space="0" w:color="auto"/>
              <w:right w:val="single" w:sz="8" w:space="0" w:color="auto"/>
            </w:tcBorders>
            <w:shd w:val="clear" w:color="000000" w:fill="FFFFFF"/>
            <w:vAlign w:val="center"/>
          </w:tcPr>
          <w:p w14:paraId="3794A026"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661</w:t>
            </w:r>
          </w:p>
        </w:tc>
        <w:tc>
          <w:tcPr>
            <w:tcW w:w="618" w:type="pct"/>
            <w:tcBorders>
              <w:top w:val="single" w:sz="4" w:space="0" w:color="auto"/>
              <w:left w:val="nil"/>
              <w:bottom w:val="single" w:sz="4" w:space="0" w:color="auto"/>
              <w:right w:val="single" w:sz="8" w:space="0" w:color="auto"/>
            </w:tcBorders>
            <w:shd w:val="clear" w:color="000000" w:fill="FFFFFF"/>
            <w:vAlign w:val="center"/>
          </w:tcPr>
          <w:p w14:paraId="5BD09C82"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745</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6D1104BC"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861</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40EF9483"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1,168</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422134F0"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1,324</w:t>
            </w:r>
          </w:p>
        </w:tc>
        <w:tc>
          <w:tcPr>
            <w:tcW w:w="708" w:type="pct"/>
            <w:tcBorders>
              <w:top w:val="single" w:sz="4" w:space="0" w:color="auto"/>
              <w:left w:val="nil"/>
              <w:bottom w:val="single" w:sz="4" w:space="0" w:color="auto"/>
              <w:right w:val="single" w:sz="8" w:space="0" w:color="auto"/>
            </w:tcBorders>
            <w:shd w:val="clear" w:color="000000" w:fill="FFFFFF"/>
            <w:vAlign w:val="center"/>
          </w:tcPr>
          <w:p w14:paraId="0EF8C2BE"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1,242</w:t>
            </w:r>
          </w:p>
        </w:tc>
      </w:tr>
      <w:tr w:rsidR="00E70533" w14:paraId="2144F768" w14:textId="77777777" w:rsidTr="006F0CF3">
        <w:trPr>
          <w:trHeight w:val="418"/>
        </w:trPr>
        <w:tc>
          <w:tcPr>
            <w:tcW w:w="500" w:type="pct"/>
            <w:tcBorders>
              <w:left w:val="single" w:sz="4" w:space="0" w:color="auto"/>
            </w:tcBorders>
            <w:shd w:val="clear" w:color="auto" w:fill="auto"/>
          </w:tcPr>
          <w:p w14:paraId="3C4F8C5D" w14:textId="77777777" w:rsidR="00E70533" w:rsidRPr="00647668" w:rsidRDefault="00E70533" w:rsidP="006F0CF3">
            <w:pPr>
              <w:jc w:val="right"/>
              <w:rPr>
                <w:rFonts w:ascii="Arial" w:hAnsi="Arial" w:cs="Arial"/>
                <w:b/>
                <w:color w:val="000000"/>
                <w:sz w:val="18"/>
                <w:szCs w:val="18"/>
              </w:rPr>
            </w:pPr>
          </w:p>
        </w:tc>
        <w:tc>
          <w:tcPr>
            <w:tcW w:w="587" w:type="pct"/>
            <w:tcBorders>
              <w:top w:val="single" w:sz="4" w:space="0" w:color="auto"/>
              <w:left w:val="single" w:sz="8" w:space="0" w:color="auto"/>
              <w:bottom w:val="single" w:sz="4" w:space="0" w:color="auto"/>
              <w:right w:val="single" w:sz="8" w:space="0" w:color="auto"/>
            </w:tcBorders>
            <w:shd w:val="clear" w:color="000000" w:fill="FFFFFF"/>
            <w:vAlign w:val="center"/>
          </w:tcPr>
          <w:p w14:paraId="52C891D8" w14:textId="77777777" w:rsidR="00E70533" w:rsidRPr="00647668" w:rsidRDefault="00E70533" w:rsidP="006F0CF3">
            <w:pPr>
              <w:jc w:val="right"/>
              <w:rPr>
                <w:rFonts w:ascii="Arial" w:hAnsi="Arial" w:cs="Arial"/>
                <w:b/>
                <w:color w:val="000000"/>
                <w:sz w:val="18"/>
                <w:szCs w:val="18"/>
              </w:rPr>
            </w:pPr>
            <w:r w:rsidRPr="00647668">
              <w:rPr>
                <w:rFonts w:ascii="Arial" w:hAnsi="Arial" w:cs="Arial"/>
                <w:b/>
                <w:color w:val="000000"/>
                <w:sz w:val="18"/>
                <w:szCs w:val="18"/>
              </w:rPr>
              <w:t>Growth</w:t>
            </w:r>
          </w:p>
        </w:tc>
        <w:tc>
          <w:tcPr>
            <w:tcW w:w="618" w:type="pct"/>
            <w:tcBorders>
              <w:top w:val="single" w:sz="4" w:space="0" w:color="auto"/>
              <w:left w:val="nil"/>
              <w:bottom w:val="single" w:sz="4" w:space="0" w:color="auto"/>
              <w:right w:val="single" w:sz="8" w:space="0" w:color="auto"/>
            </w:tcBorders>
            <w:shd w:val="clear" w:color="000000" w:fill="FFFFFF"/>
            <w:vAlign w:val="center"/>
          </w:tcPr>
          <w:p w14:paraId="738FDEF0" w14:textId="77777777" w:rsidR="00E70533" w:rsidRPr="00647668" w:rsidRDefault="00E70533" w:rsidP="006F0CF3">
            <w:pPr>
              <w:jc w:val="right"/>
              <w:rPr>
                <w:rFonts w:ascii="Arial" w:hAnsi="Arial" w:cs="Arial"/>
                <w:color w:val="000000"/>
                <w:sz w:val="18"/>
                <w:szCs w:val="18"/>
              </w:rPr>
            </w:pPr>
          </w:p>
        </w:tc>
        <w:tc>
          <w:tcPr>
            <w:tcW w:w="618" w:type="pct"/>
            <w:tcBorders>
              <w:top w:val="single" w:sz="4" w:space="0" w:color="auto"/>
              <w:left w:val="nil"/>
              <w:bottom w:val="single" w:sz="4" w:space="0" w:color="auto"/>
              <w:right w:val="single" w:sz="8" w:space="0" w:color="auto"/>
            </w:tcBorders>
            <w:shd w:val="clear" w:color="000000" w:fill="FFFFFF"/>
            <w:vAlign w:val="center"/>
          </w:tcPr>
          <w:p w14:paraId="7168845C"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+13%</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51AAC245"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+16%</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1EEBACDB"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+36%</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52531497"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+14%</w:t>
            </w:r>
          </w:p>
        </w:tc>
        <w:tc>
          <w:tcPr>
            <w:tcW w:w="708" w:type="pct"/>
            <w:tcBorders>
              <w:top w:val="single" w:sz="4" w:space="0" w:color="auto"/>
              <w:left w:val="nil"/>
              <w:bottom w:val="single" w:sz="4" w:space="0" w:color="auto"/>
              <w:right w:val="single" w:sz="8" w:space="0" w:color="auto"/>
            </w:tcBorders>
            <w:shd w:val="clear" w:color="000000" w:fill="FFFFFF"/>
            <w:vAlign w:val="center"/>
          </w:tcPr>
          <w:p w14:paraId="5849C630"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-6%</w:t>
            </w:r>
          </w:p>
        </w:tc>
      </w:tr>
      <w:tr w:rsidR="00E70533" w14:paraId="230A7F5E" w14:textId="77777777" w:rsidTr="006F0CF3">
        <w:trPr>
          <w:trHeight w:val="412"/>
        </w:trPr>
        <w:tc>
          <w:tcPr>
            <w:tcW w:w="500" w:type="pct"/>
            <w:tcBorders>
              <w:left w:val="single" w:sz="4" w:space="0" w:color="auto"/>
              <w:bottom w:val="single" w:sz="4" w:space="0" w:color="auto"/>
            </w:tcBorders>
            <w:shd w:val="clear" w:color="auto" w:fill="auto"/>
          </w:tcPr>
          <w:p w14:paraId="6DD40DB2" w14:textId="77777777" w:rsidR="00E70533" w:rsidRPr="00647668" w:rsidRDefault="00E70533" w:rsidP="006F0CF3">
            <w:pPr>
              <w:jc w:val="right"/>
              <w:rPr>
                <w:rFonts w:ascii="Arial" w:hAnsi="Arial" w:cs="Arial"/>
                <w:b/>
                <w:color w:val="000000"/>
                <w:sz w:val="18"/>
                <w:szCs w:val="18"/>
              </w:rPr>
            </w:pPr>
          </w:p>
        </w:tc>
        <w:tc>
          <w:tcPr>
            <w:tcW w:w="587" w:type="pct"/>
            <w:tcBorders>
              <w:top w:val="single" w:sz="4" w:space="0" w:color="auto"/>
              <w:left w:val="single" w:sz="8" w:space="0" w:color="auto"/>
              <w:bottom w:val="single" w:sz="4" w:space="0" w:color="auto"/>
              <w:right w:val="single" w:sz="8" w:space="0" w:color="auto"/>
            </w:tcBorders>
            <w:shd w:val="clear" w:color="000000" w:fill="FFFFFF"/>
            <w:vAlign w:val="center"/>
          </w:tcPr>
          <w:p w14:paraId="7B1E595A" w14:textId="77777777" w:rsidR="00E70533" w:rsidRPr="00647668" w:rsidRDefault="00E70533" w:rsidP="006F0CF3">
            <w:pPr>
              <w:jc w:val="right"/>
              <w:rPr>
                <w:rFonts w:ascii="Arial" w:hAnsi="Arial" w:cs="Arial"/>
                <w:b/>
                <w:color w:val="000000"/>
                <w:sz w:val="18"/>
                <w:szCs w:val="18"/>
              </w:rPr>
            </w:pPr>
            <w:r w:rsidRPr="00647668">
              <w:rPr>
                <w:rFonts w:ascii="Arial" w:hAnsi="Arial" w:cs="Arial"/>
                <w:b/>
                <w:color w:val="000000"/>
                <w:sz w:val="18"/>
                <w:szCs w:val="18"/>
              </w:rPr>
              <w:t>Benefits</w:t>
            </w:r>
          </w:p>
        </w:tc>
        <w:tc>
          <w:tcPr>
            <w:tcW w:w="618" w:type="pct"/>
            <w:tcBorders>
              <w:top w:val="single" w:sz="4" w:space="0" w:color="auto"/>
              <w:left w:val="nil"/>
              <w:bottom w:val="single" w:sz="4" w:space="0" w:color="auto"/>
              <w:right w:val="single" w:sz="8" w:space="0" w:color="auto"/>
            </w:tcBorders>
            <w:shd w:val="clear" w:color="000000" w:fill="FFFFFF"/>
            <w:vAlign w:val="center"/>
          </w:tcPr>
          <w:p w14:paraId="5656BCEB"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$82,760</w:t>
            </w:r>
          </w:p>
        </w:tc>
        <w:tc>
          <w:tcPr>
            <w:tcW w:w="618" w:type="pct"/>
            <w:tcBorders>
              <w:top w:val="single" w:sz="4" w:space="0" w:color="auto"/>
              <w:left w:val="nil"/>
              <w:bottom w:val="single" w:sz="4" w:space="0" w:color="auto"/>
              <w:right w:val="single" w:sz="8" w:space="0" w:color="auto"/>
            </w:tcBorders>
            <w:shd w:val="clear" w:color="000000" w:fill="FFFFFF"/>
            <w:vAlign w:val="center"/>
          </w:tcPr>
          <w:p w14:paraId="589A5A83"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$96,346</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348F36F2"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$117,600</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753BB635"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$162,869</w:t>
            </w:r>
          </w:p>
        </w:tc>
        <w:tc>
          <w:tcPr>
            <w:tcW w:w="656" w:type="pct"/>
            <w:tcBorders>
              <w:top w:val="single" w:sz="4" w:space="0" w:color="auto"/>
              <w:left w:val="nil"/>
              <w:bottom w:val="single" w:sz="4" w:space="0" w:color="auto"/>
              <w:right w:val="single" w:sz="8" w:space="0" w:color="auto"/>
            </w:tcBorders>
            <w:shd w:val="clear" w:color="000000" w:fill="FFFFFF"/>
            <w:vAlign w:val="center"/>
          </w:tcPr>
          <w:p w14:paraId="0EC9F65C"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$183,971</w:t>
            </w:r>
          </w:p>
        </w:tc>
        <w:tc>
          <w:tcPr>
            <w:tcW w:w="708" w:type="pct"/>
            <w:tcBorders>
              <w:top w:val="single" w:sz="4" w:space="0" w:color="auto"/>
              <w:left w:val="nil"/>
              <w:bottom w:val="single" w:sz="4" w:space="0" w:color="auto"/>
              <w:right w:val="single" w:sz="8" w:space="0" w:color="auto"/>
            </w:tcBorders>
            <w:shd w:val="clear" w:color="000000" w:fill="FFFFFF"/>
            <w:vAlign w:val="center"/>
          </w:tcPr>
          <w:p w14:paraId="74FCD87F" w14:textId="77777777" w:rsidR="00E70533" w:rsidRPr="00647668" w:rsidRDefault="00E70533" w:rsidP="006F0CF3">
            <w:pPr>
              <w:jc w:val="right"/>
              <w:rPr>
                <w:rFonts w:ascii="Arial" w:hAnsi="Arial" w:cs="Arial"/>
                <w:color w:val="000000"/>
                <w:sz w:val="18"/>
                <w:szCs w:val="18"/>
              </w:rPr>
            </w:pPr>
            <w:r w:rsidRPr="00647668">
              <w:rPr>
                <w:rFonts w:ascii="Arial" w:hAnsi="Arial" w:cs="Arial"/>
                <w:color w:val="000000"/>
                <w:sz w:val="18"/>
                <w:szCs w:val="18"/>
              </w:rPr>
              <w:t>$158,951</w:t>
            </w:r>
          </w:p>
        </w:tc>
      </w:tr>
    </w:tbl>
    <w:p w14:paraId="64C4FCF5" w14:textId="469C6520" w:rsidR="00E70533" w:rsidRPr="00C14316" w:rsidRDefault="00E70533" w:rsidP="00E70533">
      <w:pPr>
        <w:rPr>
          <w:i/>
          <w:sz w:val="20"/>
        </w:rPr>
      </w:pPr>
      <w:r>
        <w:rPr>
          <w:i/>
          <w:sz w:val="20"/>
        </w:rPr>
        <w:t>Source: Medicare statistics online and Department of Health</w:t>
      </w:r>
    </w:p>
    <w:p w14:paraId="74292B9A" w14:textId="77777777" w:rsidR="00E70533" w:rsidRDefault="00E70533" w:rsidP="00E70533">
      <w:pPr>
        <w:rPr>
          <w:sz w:val="20"/>
        </w:rPr>
      </w:pPr>
    </w:p>
    <w:p w14:paraId="45170F23" w14:textId="77777777" w:rsidR="00E70533" w:rsidRDefault="00E70533" w:rsidP="00E70533">
      <w:pPr>
        <w:pStyle w:val="Caption"/>
      </w:pPr>
      <w:r>
        <w:rPr>
          <w:noProof/>
          <w:lang w:eastAsia="en-AU"/>
        </w:rPr>
        <w:drawing>
          <wp:inline distT="0" distB="0" distL="0" distR="0" wp14:anchorId="4F8BE8A0" wp14:editId="062FC439">
            <wp:extent cx="5095875" cy="3543300"/>
            <wp:effectExtent l="0" t="0" r="9525" b="0"/>
            <wp:docPr id="14" name="Picture 14" descr="Figure 1 is a line graph presenting the monthly service volume for MBS items 18375 and 36851 from July 2012 to June 2016, by date of claim processing. The horizontal axis presents the month of claim processing and the vertical axis presents the quantity of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ested Medicare Items processed from July 2012 to June 2016"/>
                    <pic:cNvPicPr>
                      <a:picLocks noChangeAspect="1" noChangeArrowheads="1"/>
                    </pic:cNvPicPr>
                  </pic:nvPicPr>
                  <pic:blipFill rotWithShape="1">
                    <a:blip r:embed="rId12">
                      <a:extLst>
                        <a:ext uri="{28A0092B-C50C-407E-A947-70E740481C1C}">
                          <a14:useLocalDpi xmlns:a14="http://schemas.microsoft.com/office/drawing/2010/main" val="0"/>
                        </a:ext>
                      </a:extLst>
                    </a:blip>
                    <a:srcRect l="1084" r="2292"/>
                    <a:stretch/>
                  </pic:blipFill>
                  <pic:spPr bwMode="auto">
                    <a:xfrm>
                      <a:off x="0" y="0"/>
                      <a:ext cx="5096275" cy="3543578"/>
                    </a:xfrm>
                    <a:prstGeom prst="rect">
                      <a:avLst/>
                    </a:prstGeom>
                    <a:noFill/>
                    <a:ln>
                      <a:noFill/>
                    </a:ln>
                    <a:extLst>
                      <a:ext uri="{53640926-AAD7-44D8-BBD7-CCE9431645EC}">
                        <a14:shadowObscured xmlns:a14="http://schemas.microsoft.com/office/drawing/2010/main"/>
                      </a:ext>
                    </a:extLst>
                  </pic:spPr>
                </pic:pic>
              </a:graphicData>
            </a:graphic>
          </wp:inline>
        </w:drawing>
      </w:r>
    </w:p>
    <w:p w14:paraId="6A7AA2A9" w14:textId="20AC87E2" w:rsidR="00E70533" w:rsidRPr="00FC1420" w:rsidRDefault="00E70533" w:rsidP="00FC1420">
      <w:pPr>
        <w:pStyle w:val="Heading3"/>
      </w:pPr>
      <w:r w:rsidRPr="00FC1420">
        <w:t xml:space="preserve">Figure </w:t>
      </w:r>
      <w:fldSimple w:instr=" SEQ Figure \* ARABIC ">
        <w:r w:rsidRPr="00FC1420">
          <w:t>1</w:t>
        </w:r>
      </w:fldSimple>
      <w:r w:rsidRPr="00FC1420">
        <w:t>: Month by month comparison of service volume for MBS items 36851 and 18375</w:t>
      </w:r>
    </w:p>
    <w:p w14:paraId="294823A3" w14:textId="5F419964" w:rsidR="00E70533" w:rsidRPr="00C14316" w:rsidRDefault="00E70533" w:rsidP="00E70533">
      <w:pPr>
        <w:rPr>
          <w:i/>
          <w:sz w:val="20"/>
        </w:rPr>
      </w:pPr>
      <w:r w:rsidRPr="00C14316">
        <w:rPr>
          <w:i/>
          <w:sz w:val="20"/>
        </w:rPr>
        <w:t>Source: Medicare statistics onlin</w:t>
      </w:r>
      <w:r w:rsidR="00E86450">
        <w:rPr>
          <w:i/>
          <w:sz w:val="20"/>
        </w:rPr>
        <w:t>e</w:t>
      </w:r>
    </w:p>
    <w:p w14:paraId="3C98A518" w14:textId="40566645" w:rsidR="004E015F" w:rsidRDefault="004E015F" w:rsidP="004E015F">
      <w:pPr>
        <w:pStyle w:val="Heading2"/>
      </w:pPr>
      <w:r>
        <w:t>Patient breakdown</w:t>
      </w:r>
    </w:p>
    <w:p w14:paraId="12F989AA" w14:textId="72A66EB0" w:rsidR="00E70533" w:rsidRPr="00E70533" w:rsidRDefault="00E70533" w:rsidP="00E70533">
      <w:r w:rsidRPr="00E70533">
        <w:t xml:space="preserve">There were 381 patients who claimed item 18375 in 2015-16. Of these, 272 were new patients and 109 continuing from the previous financial year (Table </w:t>
      </w:r>
      <w:r>
        <w:t>2</w:t>
      </w:r>
      <w:r w:rsidRPr="00E70533">
        <w:t>).</w:t>
      </w:r>
    </w:p>
    <w:p w14:paraId="0A230665" w14:textId="75F13C36" w:rsidR="00E70533" w:rsidRPr="00E70533" w:rsidRDefault="00E70533" w:rsidP="00E86450">
      <w:pPr>
        <w:spacing w:before="240"/>
      </w:pPr>
      <w:r w:rsidRPr="00E70533">
        <w:t xml:space="preserve">The maximum number of treatments per year is two, with no less than six months to elapse between treatments, as stated in the PBS restrictions for </w:t>
      </w:r>
      <w:proofErr w:type="spellStart"/>
      <w:r w:rsidRPr="00E70533">
        <w:t>botulinum</w:t>
      </w:r>
      <w:proofErr w:type="spellEnd"/>
      <w:r w:rsidRPr="00E70533">
        <w:t xml:space="preserve"> toxin. In 2015-16, 19% of patients received two or more treatments under item 18375 (Table </w:t>
      </w:r>
      <w:r>
        <w:t>3</w:t>
      </w:r>
      <w:r w:rsidRPr="00E70533">
        <w:t>). The number receiving more than two is very small and may be a data error given that it is specifically prohibited.</w:t>
      </w:r>
    </w:p>
    <w:p w14:paraId="7CB8F6AD" w14:textId="2939DE47" w:rsidR="00E70533" w:rsidRPr="00E70533" w:rsidRDefault="00E70533" w:rsidP="00E86450">
      <w:pPr>
        <w:spacing w:before="240"/>
      </w:pPr>
      <w:r w:rsidRPr="00E70533">
        <w:t xml:space="preserve">At least 12% of patients who have received treatment in the first year have remained on treatment (Table </w:t>
      </w:r>
      <w:r>
        <w:t>4</w:t>
      </w:r>
      <w:r w:rsidRPr="00E70533">
        <w:t>).</w:t>
      </w:r>
    </w:p>
    <w:p w14:paraId="5EDC4E92" w14:textId="2C111699" w:rsidR="00E70533" w:rsidRDefault="00E70533" w:rsidP="00FC1420">
      <w:pPr>
        <w:spacing w:before="240"/>
      </w:pPr>
      <w:r>
        <w:t>The service is predominantly used by females aged 45-74 (Figure 2).</w:t>
      </w:r>
    </w:p>
    <w:p w14:paraId="0E7E3754" w14:textId="77777777" w:rsidR="000A6F24" w:rsidRDefault="000A6F24" w:rsidP="00FC1420">
      <w:pPr>
        <w:spacing w:before="240"/>
      </w:pPr>
    </w:p>
    <w:p w14:paraId="72D483F0" w14:textId="4DC82592" w:rsidR="00E70533" w:rsidRPr="00FC1420" w:rsidRDefault="00E70533" w:rsidP="00FC1420">
      <w:pPr>
        <w:pStyle w:val="Heading3"/>
      </w:pPr>
      <w:r w:rsidRPr="00FC1420">
        <w:lastRenderedPageBreak/>
        <w:t>Table 2: Number of new and continuing patients who received MBS item 18375 in 2013-14, 2014-15 or 2015-16</w:t>
      </w:r>
    </w:p>
    <w:tbl>
      <w:tblPr>
        <w:tblW w:w="8095" w:type="dxa"/>
        <w:tblInd w:w="93" w:type="dxa"/>
        <w:tblLook w:val="04A0" w:firstRow="1" w:lastRow="0" w:firstColumn="1" w:lastColumn="0" w:noHBand="0" w:noVBand="1"/>
        <w:tblDescription w:val="Table 2 presents the number of new patients commencing treatment with MBS item 18375 for each financial year from 2013-14 to 2015-16. Each row shows financial years. There are four columns, which are split into: 1) Financial year, 2) the number of new patients, 3) the number of continuing patients, 4) and the total number of patients."/>
      </w:tblPr>
      <w:tblGrid>
        <w:gridCol w:w="2020"/>
        <w:gridCol w:w="1823"/>
        <w:gridCol w:w="2268"/>
        <w:gridCol w:w="1984"/>
      </w:tblGrid>
      <w:tr w:rsidR="00E70533" w14:paraId="03D86811" w14:textId="77777777" w:rsidTr="003E360A">
        <w:trPr>
          <w:trHeight w:val="300"/>
          <w:tblHeader/>
        </w:trPr>
        <w:tc>
          <w:tcPr>
            <w:tcW w:w="2020" w:type="dxa"/>
            <w:tcBorders>
              <w:top w:val="single" w:sz="4" w:space="0" w:color="000000"/>
              <w:left w:val="single" w:sz="4" w:space="0" w:color="000000"/>
              <w:bottom w:val="single" w:sz="4" w:space="0" w:color="000000"/>
              <w:right w:val="single" w:sz="4" w:space="0" w:color="000000"/>
            </w:tcBorders>
            <w:shd w:val="clear" w:color="000000" w:fill="138C89"/>
            <w:hideMark/>
          </w:tcPr>
          <w:p w14:paraId="5DD69462"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 xml:space="preserve">Financial Year </w:t>
            </w:r>
          </w:p>
        </w:tc>
        <w:tc>
          <w:tcPr>
            <w:tcW w:w="1823" w:type="dxa"/>
            <w:tcBorders>
              <w:top w:val="single" w:sz="4" w:space="0" w:color="000000"/>
              <w:left w:val="nil"/>
              <w:bottom w:val="single" w:sz="4" w:space="0" w:color="000000"/>
              <w:right w:val="single" w:sz="4" w:space="0" w:color="000000"/>
            </w:tcBorders>
            <w:shd w:val="clear" w:color="000000" w:fill="138C89"/>
            <w:hideMark/>
          </w:tcPr>
          <w:p w14:paraId="0C0759BB"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New Patients</w:t>
            </w:r>
          </w:p>
        </w:tc>
        <w:tc>
          <w:tcPr>
            <w:tcW w:w="2268" w:type="dxa"/>
            <w:tcBorders>
              <w:top w:val="single" w:sz="4" w:space="0" w:color="000000"/>
              <w:left w:val="nil"/>
              <w:bottom w:val="single" w:sz="4" w:space="0" w:color="000000"/>
              <w:right w:val="single" w:sz="4" w:space="0" w:color="000000"/>
            </w:tcBorders>
            <w:shd w:val="clear" w:color="000000" w:fill="138C89"/>
            <w:hideMark/>
          </w:tcPr>
          <w:p w14:paraId="110A2484"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Continuing Patients</w:t>
            </w:r>
          </w:p>
        </w:tc>
        <w:tc>
          <w:tcPr>
            <w:tcW w:w="1984" w:type="dxa"/>
            <w:tcBorders>
              <w:top w:val="single" w:sz="4" w:space="0" w:color="000000"/>
              <w:left w:val="nil"/>
              <w:bottom w:val="single" w:sz="4" w:space="0" w:color="000000"/>
              <w:right w:val="single" w:sz="4" w:space="0" w:color="000000"/>
            </w:tcBorders>
            <w:shd w:val="clear" w:color="000000" w:fill="138C89"/>
            <w:hideMark/>
          </w:tcPr>
          <w:p w14:paraId="4D279DAA"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Total Patients</w:t>
            </w:r>
          </w:p>
        </w:tc>
      </w:tr>
      <w:tr w:rsidR="00E70533" w14:paraId="5EC60755" w14:textId="77777777" w:rsidTr="006F0CF3">
        <w:trPr>
          <w:trHeight w:val="300"/>
        </w:trPr>
        <w:tc>
          <w:tcPr>
            <w:tcW w:w="2020" w:type="dxa"/>
            <w:tcBorders>
              <w:top w:val="nil"/>
              <w:left w:val="single" w:sz="4" w:space="0" w:color="000000"/>
              <w:bottom w:val="single" w:sz="4" w:space="0" w:color="000000"/>
              <w:right w:val="single" w:sz="4" w:space="0" w:color="000000"/>
            </w:tcBorders>
            <w:shd w:val="clear" w:color="000000" w:fill="FFFFFF"/>
            <w:noWrap/>
            <w:vAlign w:val="bottom"/>
            <w:hideMark/>
          </w:tcPr>
          <w:p w14:paraId="201CF778" w14:textId="77777777" w:rsidR="00E70533" w:rsidRDefault="00E70533" w:rsidP="006F0CF3">
            <w:pPr>
              <w:rPr>
                <w:rFonts w:ascii="Arial" w:hAnsi="Arial" w:cs="Arial"/>
                <w:color w:val="000000"/>
                <w:sz w:val="18"/>
                <w:szCs w:val="18"/>
              </w:rPr>
            </w:pPr>
            <w:r>
              <w:rPr>
                <w:rFonts w:ascii="Arial" w:hAnsi="Arial" w:cs="Arial"/>
                <w:color w:val="000000"/>
                <w:sz w:val="18"/>
                <w:szCs w:val="18"/>
              </w:rPr>
              <w:t>2013-14</w:t>
            </w:r>
          </w:p>
        </w:tc>
        <w:tc>
          <w:tcPr>
            <w:tcW w:w="1823" w:type="dxa"/>
            <w:tcBorders>
              <w:top w:val="nil"/>
              <w:left w:val="nil"/>
              <w:bottom w:val="single" w:sz="4" w:space="0" w:color="000000"/>
              <w:right w:val="single" w:sz="4" w:space="0" w:color="000000"/>
            </w:tcBorders>
            <w:shd w:val="clear" w:color="000000" w:fill="FFFFFF"/>
            <w:noWrap/>
            <w:vAlign w:val="bottom"/>
            <w:hideMark/>
          </w:tcPr>
          <w:p w14:paraId="124E7F47"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65</w:t>
            </w:r>
          </w:p>
        </w:tc>
        <w:tc>
          <w:tcPr>
            <w:tcW w:w="2268" w:type="dxa"/>
            <w:tcBorders>
              <w:top w:val="nil"/>
              <w:left w:val="nil"/>
              <w:bottom w:val="single" w:sz="4" w:space="0" w:color="000000"/>
              <w:right w:val="single" w:sz="4" w:space="0" w:color="000000"/>
            </w:tcBorders>
            <w:shd w:val="clear" w:color="000000" w:fill="FFFFFF"/>
            <w:noWrap/>
            <w:vAlign w:val="bottom"/>
            <w:hideMark/>
          </w:tcPr>
          <w:p w14:paraId="6875819C" w14:textId="77777777" w:rsidR="00E70533" w:rsidRDefault="00E70533" w:rsidP="006F0CF3">
            <w:pPr>
              <w:jc w:val="right"/>
              <w:rPr>
                <w:rFonts w:ascii="Arial" w:hAnsi="Arial" w:cs="Arial"/>
                <w:color w:val="000000"/>
                <w:sz w:val="18"/>
                <w:szCs w:val="18"/>
              </w:rPr>
            </w:pPr>
          </w:p>
        </w:tc>
        <w:tc>
          <w:tcPr>
            <w:tcW w:w="1984" w:type="dxa"/>
            <w:tcBorders>
              <w:top w:val="nil"/>
              <w:left w:val="nil"/>
              <w:bottom w:val="single" w:sz="4" w:space="0" w:color="000000"/>
              <w:right w:val="single" w:sz="4" w:space="0" w:color="000000"/>
            </w:tcBorders>
            <w:shd w:val="clear" w:color="000000" w:fill="FFFFFF"/>
            <w:noWrap/>
            <w:vAlign w:val="bottom"/>
            <w:hideMark/>
          </w:tcPr>
          <w:p w14:paraId="7EFA2E10"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65</w:t>
            </w:r>
          </w:p>
        </w:tc>
      </w:tr>
      <w:tr w:rsidR="00E70533" w14:paraId="1E6F89E7" w14:textId="77777777" w:rsidTr="006F0CF3">
        <w:trPr>
          <w:trHeight w:val="300"/>
        </w:trPr>
        <w:tc>
          <w:tcPr>
            <w:tcW w:w="2020" w:type="dxa"/>
            <w:tcBorders>
              <w:top w:val="nil"/>
              <w:left w:val="single" w:sz="4" w:space="0" w:color="000000"/>
              <w:bottom w:val="single" w:sz="4" w:space="0" w:color="000000"/>
              <w:right w:val="single" w:sz="4" w:space="0" w:color="000000"/>
            </w:tcBorders>
            <w:shd w:val="clear" w:color="000000" w:fill="FFFFFF"/>
            <w:noWrap/>
            <w:vAlign w:val="bottom"/>
            <w:hideMark/>
          </w:tcPr>
          <w:p w14:paraId="6E143AE4" w14:textId="77777777" w:rsidR="00E70533" w:rsidRDefault="00E70533" w:rsidP="006F0CF3">
            <w:pPr>
              <w:rPr>
                <w:rFonts w:ascii="Arial" w:hAnsi="Arial" w:cs="Arial"/>
                <w:color w:val="000000"/>
                <w:sz w:val="18"/>
                <w:szCs w:val="18"/>
              </w:rPr>
            </w:pPr>
            <w:r>
              <w:rPr>
                <w:rFonts w:ascii="Arial" w:hAnsi="Arial" w:cs="Arial"/>
                <w:color w:val="000000"/>
                <w:sz w:val="18"/>
                <w:szCs w:val="18"/>
              </w:rPr>
              <w:t>2014-15</w:t>
            </w:r>
          </w:p>
        </w:tc>
        <w:tc>
          <w:tcPr>
            <w:tcW w:w="1823" w:type="dxa"/>
            <w:tcBorders>
              <w:top w:val="nil"/>
              <w:left w:val="nil"/>
              <w:bottom w:val="single" w:sz="4" w:space="0" w:color="000000"/>
              <w:right w:val="single" w:sz="4" w:space="0" w:color="000000"/>
            </w:tcBorders>
            <w:shd w:val="clear" w:color="000000" w:fill="FFFFFF"/>
            <w:noWrap/>
            <w:vAlign w:val="bottom"/>
            <w:hideMark/>
          </w:tcPr>
          <w:p w14:paraId="19243611"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222</w:t>
            </w:r>
          </w:p>
        </w:tc>
        <w:tc>
          <w:tcPr>
            <w:tcW w:w="2268" w:type="dxa"/>
            <w:tcBorders>
              <w:top w:val="nil"/>
              <w:left w:val="nil"/>
              <w:bottom w:val="single" w:sz="4" w:space="0" w:color="000000"/>
              <w:right w:val="single" w:sz="4" w:space="0" w:color="000000"/>
            </w:tcBorders>
            <w:shd w:val="clear" w:color="000000" w:fill="FFFFFF"/>
            <w:noWrap/>
            <w:vAlign w:val="bottom"/>
            <w:hideMark/>
          </w:tcPr>
          <w:p w14:paraId="1D3AD99C"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39</w:t>
            </w:r>
          </w:p>
        </w:tc>
        <w:tc>
          <w:tcPr>
            <w:tcW w:w="1984" w:type="dxa"/>
            <w:tcBorders>
              <w:top w:val="nil"/>
              <w:left w:val="nil"/>
              <w:bottom w:val="single" w:sz="4" w:space="0" w:color="000000"/>
              <w:right w:val="single" w:sz="4" w:space="0" w:color="000000"/>
            </w:tcBorders>
            <w:shd w:val="clear" w:color="000000" w:fill="FFFFFF"/>
            <w:noWrap/>
            <w:vAlign w:val="bottom"/>
            <w:hideMark/>
          </w:tcPr>
          <w:p w14:paraId="75BAE852"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261</w:t>
            </w:r>
          </w:p>
        </w:tc>
      </w:tr>
      <w:tr w:rsidR="00E70533" w14:paraId="2E002280" w14:textId="77777777" w:rsidTr="006F0CF3">
        <w:trPr>
          <w:trHeight w:val="300"/>
        </w:trPr>
        <w:tc>
          <w:tcPr>
            <w:tcW w:w="2020" w:type="dxa"/>
            <w:tcBorders>
              <w:top w:val="nil"/>
              <w:left w:val="single" w:sz="4" w:space="0" w:color="000000"/>
              <w:bottom w:val="single" w:sz="4" w:space="0" w:color="000000"/>
              <w:right w:val="single" w:sz="4" w:space="0" w:color="000000"/>
            </w:tcBorders>
            <w:shd w:val="clear" w:color="000000" w:fill="FFFFFF"/>
            <w:noWrap/>
            <w:vAlign w:val="bottom"/>
            <w:hideMark/>
          </w:tcPr>
          <w:p w14:paraId="380A1CFD" w14:textId="77777777" w:rsidR="00E70533" w:rsidRDefault="00E70533" w:rsidP="006F0CF3">
            <w:pPr>
              <w:rPr>
                <w:rFonts w:ascii="Arial" w:hAnsi="Arial" w:cs="Arial"/>
                <w:color w:val="000000"/>
                <w:sz w:val="18"/>
                <w:szCs w:val="18"/>
              </w:rPr>
            </w:pPr>
            <w:r>
              <w:rPr>
                <w:rFonts w:ascii="Arial" w:hAnsi="Arial" w:cs="Arial"/>
                <w:color w:val="000000"/>
                <w:sz w:val="18"/>
                <w:szCs w:val="18"/>
              </w:rPr>
              <w:t>2015-16</w:t>
            </w:r>
          </w:p>
        </w:tc>
        <w:tc>
          <w:tcPr>
            <w:tcW w:w="1823" w:type="dxa"/>
            <w:tcBorders>
              <w:top w:val="nil"/>
              <w:left w:val="nil"/>
              <w:bottom w:val="single" w:sz="4" w:space="0" w:color="000000"/>
              <w:right w:val="single" w:sz="4" w:space="0" w:color="000000"/>
            </w:tcBorders>
            <w:shd w:val="clear" w:color="000000" w:fill="FFFFFF"/>
            <w:noWrap/>
            <w:vAlign w:val="bottom"/>
            <w:hideMark/>
          </w:tcPr>
          <w:p w14:paraId="7706E6FB"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272</w:t>
            </w:r>
          </w:p>
        </w:tc>
        <w:tc>
          <w:tcPr>
            <w:tcW w:w="2268" w:type="dxa"/>
            <w:tcBorders>
              <w:top w:val="nil"/>
              <w:left w:val="nil"/>
              <w:bottom w:val="single" w:sz="4" w:space="0" w:color="000000"/>
              <w:right w:val="single" w:sz="4" w:space="0" w:color="000000"/>
            </w:tcBorders>
            <w:shd w:val="clear" w:color="000000" w:fill="FFFFFF"/>
            <w:noWrap/>
            <w:vAlign w:val="bottom"/>
            <w:hideMark/>
          </w:tcPr>
          <w:p w14:paraId="5ED8198D"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109</w:t>
            </w:r>
          </w:p>
        </w:tc>
        <w:tc>
          <w:tcPr>
            <w:tcW w:w="1984" w:type="dxa"/>
            <w:tcBorders>
              <w:top w:val="nil"/>
              <w:left w:val="nil"/>
              <w:bottom w:val="single" w:sz="4" w:space="0" w:color="000000"/>
              <w:right w:val="single" w:sz="4" w:space="0" w:color="000000"/>
            </w:tcBorders>
            <w:shd w:val="clear" w:color="000000" w:fill="FFFFFF"/>
            <w:noWrap/>
            <w:vAlign w:val="bottom"/>
            <w:hideMark/>
          </w:tcPr>
          <w:p w14:paraId="2359257E"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381</w:t>
            </w:r>
          </w:p>
        </w:tc>
      </w:tr>
    </w:tbl>
    <w:p w14:paraId="47E8A5E7" w14:textId="635DB7D0" w:rsidR="00E70533" w:rsidRPr="00FC1420" w:rsidRDefault="00E70533" w:rsidP="00FC1420">
      <w:pPr>
        <w:pStyle w:val="Heading3"/>
      </w:pPr>
      <w:r w:rsidRPr="00FC1420">
        <w:t>Table 3: Number of services per patient in 2014-15 and 2015-16</w:t>
      </w:r>
    </w:p>
    <w:tbl>
      <w:tblPr>
        <w:tblW w:w="7262" w:type="dxa"/>
        <w:tblInd w:w="93" w:type="dxa"/>
        <w:tblLook w:val="04A0" w:firstRow="1" w:lastRow="0" w:firstColumn="1" w:lastColumn="0" w:noHBand="0" w:noVBand="1"/>
        <w:tblDescription w:val="Table 3 presents the number of services of MBS item 18375 per patient in the 2014-15 and 2015-16 financial years. Each row contains the financial year, and there are four columns: 1) Financial year, 2) services, 3) number of patients, 4) percentage of patients."/>
      </w:tblPr>
      <w:tblGrid>
        <w:gridCol w:w="1677"/>
        <w:gridCol w:w="2733"/>
        <w:gridCol w:w="1417"/>
        <w:gridCol w:w="1435"/>
      </w:tblGrid>
      <w:tr w:rsidR="00C14480" w14:paraId="2FB69EBA" w14:textId="77777777" w:rsidTr="00C14480">
        <w:trPr>
          <w:trHeight w:val="304"/>
          <w:tblHeader/>
        </w:trPr>
        <w:tc>
          <w:tcPr>
            <w:tcW w:w="1677" w:type="dxa"/>
            <w:tcBorders>
              <w:top w:val="single" w:sz="4" w:space="0" w:color="000000"/>
              <w:left w:val="single" w:sz="4" w:space="0" w:color="000000"/>
              <w:bottom w:val="single" w:sz="4" w:space="0" w:color="000000"/>
              <w:right w:val="single" w:sz="4" w:space="0" w:color="000000"/>
            </w:tcBorders>
            <w:shd w:val="clear" w:color="auto" w:fill="008080"/>
            <w:vAlign w:val="center"/>
            <w:hideMark/>
          </w:tcPr>
          <w:p w14:paraId="1CAD4FF9" w14:textId="3FE1C3AC" w:rsidR="00C14480" w:rsidRDefault="00C14480" w:rsidP="006F0CF3">
            <w:pPr>
              <w:rPr>
                <w:rFonts w:ascii="Arial" w:hAnsi="Arial" w:cs="Arial"/>
                <w:b/>
                <w:bCs/>
                <w:color w:val="FFFFFF"/>
                <w:sz w:val="16"/>
                <w:szCs w:val="16"/>
              </w:rPr>
            </w:pPr>
            <w:r>
              <w:rPr>
                <w:rFonts w:ascii="Arial" w:hAnsi="Arial" w:cs="Arial"/>
                <w:b/>
                <w:bCs/>
                <w:color w:val="FFFFFF"/>
                <w:sz w:val="16"/>
                <w:szCs w:val="16"/>
              </w:rPr>
              <w:t>Financial year</w:t>
            </w:r>
          </w:p>
        </w:tc>
        <w:tc>
          <w:tcPr>
            <w:tcW w:w="2733" w:type="dxa"/>
            <w:tcBorders>
              <w:top w:val="single" w:sz="4" w:space="0" w:color="000000"/>
              <w:left w:val="single" w:sz="4" w:space="0" w:color="000000"/>
              <w:bottom w:val="single" w:sz="4" w:space="0" w:color="000000"/>
              <w:right w:val="single" w:sz="4" w:space="0" w:color="000000"/>
            </w:tcBorders>
            <w:shd w:val="clear" w:color="auto" w:fill="008080"/>
            <w:vAlign w:val="center"/>
          </w:tcPr>
          <w:p w14:paraId="4331774B" w14:textId="042EF2F1" w:rsidR="00C14480" w:rsidRDefault="00C14480" w:rsidP="006F0CF3">
            <w:pPr>
              <w:rPr>
                <w:rFonts w:ascii="Arial" w:hAnsi="Arial" w:cs="Arial"/>
                <w:b/>
                <w:bCs/>
                <w:color w:val="FFFFFF"/>
                <w:sz w:val="16"/>
                <w:szCs w:val="16"/>
              </w:rPr>
            </w:pPr>
            <w:r>
              <w:rPr>
                <w:rFonts w:ascii="Arial" w:hAnsi="Arial" w:cs="Arial"/>
                <w:b/>
                <w:bCs/>
                <w:color w:val="FFFFFF"/>
                <w:sz w:val="16"/>
                <w:szCs w:val="16"/>
              </w:rPr>
              <w:t>Number of services per patient</w:t>
            </w:r>
          </w:p>
        </w:tc>
        <w:tc>
          <w:tcPr>
            <w:tcW w:w="1417" w:type="dxa"/>
            <w:tcBorders>
              <w:top w:val="single" w:sz="4" w:space="0" w:color="auto"/>
              <w:left w:val="nil"/>
              <w:bottom w:val="single" w:sz="4" w:space="0" w:color="000000"/>
              <w:right w:val="single" w:sz="4" w:space="0" w:color="000000"/>
            </w:tcBorders>
            <w:shd w:val="clear" w:color="auto" w:fill="008080"/>
            <w:hideMark/>
          </w:tcPr>
          <w:p w14:paraId="5BBA530F" w14:textId="77777777" w:rsidR="00C14480" w:rsidRDefault="00C14480" w:rsidP="006F0CF3">
            <w:pPr>
              <w:jc w:val="center"/>
              <w:rPr>
                <w:rFonts w:ascii="Arial" w:hAnsi="Arial" w:cs="Arial"/>
                <w:b/>
                <w:bCs/>
                <w:color w:val="FFFFFF"/>
                <w:sz w:val="16"/>
                <w:szCs w:val="16"/>
              </w:rPr>
            </w:pPr>
            <w:r>
              <w:rPr>
                <w:rFonts w:ascii="Arial" w:hAnsi="Arial" w:cs="Arial"/>
                <w:b/>
                <w:bCs/>
                <w:color w:val="FFFFFF"/>
                <w:sz w:val="16"/>
                <w:szCs w:val="16"/>
              </w:rPr>
              <w:t>Count</w:t>
            </w:r>
          </w:p>
        </w:tc>
        <w:tc>
          <w:tcPr>
            <w:tcW w:w="1435" w:type="dxa"/>
            <w:tcBorders>
              <w:top w:val="single" w:sz="4" w:space="0" w:color="auto"/>
              <w:left w:val="nil"/>
              <w:bottom w:val="single" w:sz="4" w:space="0" w:color="000000"/>
              <w:right w:val="single" w:sz="4" w:space="0" w:color="000000"/>
            </w:tcBorders>
            <w:shd w:val="clear" w:color="auto" w:fill="008080"/>
            <w:hideMark/>
          </w:tcPr>
          <w:p w14:paraId="161145FC" w14:textId="77777777" w:rsidR="00C14480" w:rsidRDefault="00C14480" w:rsidP="006F0CF3">
            <w:pPr>
              <w:jc w:val="center"/>
              <w:rPr>
                <w:rFonts w:ascii="Arial" w:hAnsi="Arial" w:cs="Arial"/>
                <w:b/>
                <w:bCs/>
                <w:color w:val="FFFFFF"/>
                <w:sz w:val="16"/>
                <w:szCs w:val="16"/>
              </w:rPr>
            </w:pPr>
            <w:r>
              <w:rPr>
                <w:rFonts w:ascii="Arial" w:hAnsi="Arial" w:cs="Arial"/>
                <w:b/>
                <w:bCs/>
                <w:color w:val="FFFFFF"/>
                <w:sz w:val="16"/>
                <w:szCs w:val="16"/>
              </w:rPr>
              <w:t>Percentage</w:t>
            </w:r>
          </w:p>
        </w:tc>
      </w:tr>
      <w:tr w:rsidR="00E70533" w14:paraId="40597B36" w14:textId="77777777" w:rsidTr="00C14480">
        <w:trPr>
          <w:trHeight w:val="304"/>
        </w:trPr>
        <w:tc>
          <w:tcPr>
            <w:tcW w:w="1677"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0BF418AB"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2014-15</w:t>
            </w:r>
          </w:p>
        </w:tc>
        <w:tc>
          <w:tcPr>
            <w:tcW w:w="2733" w:type="dxa"/>
            <w:tcBorders>
              <w:top w:val="nil"/>
              <w:left w:val="nil"/>
              <w:bottom w:val="single" w:sz="4" w:space="0" w:color="000000"/>
              <w:right w:val="single" w:sz="4" w:space="0" w:color="000000"/>
            </w:tcBorders>
            <w:shd w:val="clear" w:color="000000" w:fill="FFFFFF"/>
            <w:noWrap/>
            <w:vAlign w:val="center"/>
            <w:hideMark/>
          </w:tcPr>
          <w:p w14:paraId="2E631C75"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1</w:t>
            </w:r>
          </w:p>
        </w:tc>
        <w:tc>
          <w:tcPr>
            <w:tcW w:w="1417" w:type="dxa"/>
            <w:tcBorders>
              <w:top w:val="nil"/>
              <w:left w:val="nil"/>
              <w:bottom w:val="nil"/>
              <w:right w:val="single" w:sz="4" w:space="0" w:color="000000"/>
            </w:tcBorders>
            <w:shd w:val="clear" w:color="000000" w:fill="FFFFFF"/>
            <w:noWrap/>
            <w:vAlign w:val="bottom"/>
            <w:hideMark/>
          </w:tcPr>
          <w:p w14:paraId="2B478128"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226</w:t>
            </w:r>
          </w:p>
        </w:tc>
        <w:tc>
          <w:tcPr>
            <w:tcW w:w="1435" w:type="dxa"/>
            <w:tcBorders>
              <w:top w:val="nil"/>
              <w:left w:val="nil"/>
              <w:bottom w:val="nil"/>
              <w:right w:val="single" w:sz="4" w:space="0" w:color="000000"/>
            </w:tcBorders>
            <w:shd w:val="clear" w:color="000000" w:fill="FFFFFF"/>
            <w:noWrap/>
            <w:vAlign w:val="bottom"/>
            <w:hideMark/>
          </w:tcPr>
          <w:p w14:paraId="7132AE66"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87%</w:t>
            </w:r>
          </w:p>
        </w:tc>
      </w:tr>
      <w:tr w:rsidR="00E70533" w14:paraId="2B95F787" w14:textId="77777777" w:rsidTr="00C14480">
        <w:trPr>
          <w:trHeight w:val="304"/>
        </w:trPr>
        <w:tc>
          <w:tcPr>
            <w:tcW w:w="1677" w:type="dxa"/>
            <w:vMerge/>
            <w:tcBorders>
              <w:top w:val="nil"/>
              <w:left w:val="single" w:sz="4" w:space="0" w:color="000000"/>
              <w:bottom w:val="single" w:sz="4" w:space="0" w:color="000000"/>
              <w:right w:val="single" w:sz="4" w:space="0" w:color="000000"/>
            </w:tcBorders>
            <w:vAlign w:val="center"/>
            <w:hideMark/>
          </w:tcPr>
          <w:p w14:paraId="43D89FB5" w14:textId="77777777" w:rsidR="00E70533" w:rsidRDefault="00E70533" w:rsidP="006F0CF3">
            <w:pPr>
              <w:rPr>
                <w:rFonts w:ascii="Arial" w:hAnsi="Arial" w:cs="Arial"/>
                <w:b/>
                <w:bCs/>
                <w:color w:val="000000"/>
                <w:sz w:val="16"/>
                <w:szCs w:val="16"/>
              </w:rPr>
            </w:pPr>
          </w:p>
        </w:tc>
        <w:tc>
          <w:tcPr>
            <w:tcW w:w="2733" w:type="dxa"/>
            <w:tcBorders>
              <w:top w:val="nil"/>
              <w:left w:val="nil"/>
              <w:bottom w:val="single" w:sz="4" w:space="0" w:color="000000"/>
              <w:right w:val="single" w:sz="4" w:space="0" w:color="000000"/>
            </w:tcBorders>
            <w:shd w:val="clear" w:color="000000" w:fill="FFFFFF"/>
            <w:noWrap/>
            <w:vAlign w:val="center"/>
            <w:hideMark/>
          </w:tcPr>
          <w:p w14:paraId="6873BB78"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2+</w:t>
            </w:r>
          </w:p>
        </w:tc>
        <w:tc>
          <w:tcPr>
            <w:tcW w:w="1417" w:type="dxa"/>
            <w:tcBorders>
              <w:top w:val="single" w:sz="4" w:space="0" w:color="000000"/>
              <w:left w:val="nil"/>
              <w:bottom w:val="single" w:sz="4" w:space="0" w:color="000000"/>
              <w:right w:val="single" w:sz="4" w:space="0" w:color="000000"/>
            </w:tcBorders>
            <w:shd w:val="clear" w:color="000000" w:fill="FFFFFF"/>
            <w:noWrap/>
            <w:vAlign w:val="bottom"/>
            <w:hideMark/>
          </w:tcPr>
          <w:p w14:paraId="3AEBC6D5"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35</w:t>
            </w:r>
          </w:p>
        </w:tc>
        <w:tc>
          <w:tcPr>
            <w:tcW w:w="1435" w:type="dxa"/>
            <w:tcBorders>
              <w:top w:val="single" w:sz="4" w:space="0" w:color="000000"/>
              <w:left w:val="nil"/>
              <w:bottom w:val="single" w:sz="4" w:space="0" w:color="000000"/>
              <w:right w:val="single" w:sz="4" w:space="0" w:color="000000"/>
            </w:tcBorders>
            <w:shd w:val="clear" w:color="000000" w:fill="FFFFFF"/>
            <w:noWrap/>
            <w:vAlign w:val="bottom"/>
            <w:hideMark/>
          </w:tcPr>
          <w:p w14:paraId="0237A3DD"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13%</w:t>
            </w:r>
          </w:p>
        </w:tc>
      </w:tr>
      <w:tr w:rsidR="00E70533" w14:paraId="45DF574D" w14:textId="77777777" w:rsidTr="00C14480">
        <w:trPr>
          <w:trHeight w:val="304"/>
        </w:trPr>
        <w:tc>
          <w:tcPr>
            <w:tcW w:w="1677" w:type="dxa"/>
            <w:vMerge/>
            <w:tcBorders>
              <w:top w:val="nil"/>
              <w:left w:val="single" w:sz="4" w:space="0" w:color="000000"/>
              <w:bottom w:val="single" w:sz="4" w:space="0" w:color="000000"/>
              <w:right w:val="single" w:sz="4" w:space="0" w:color="000000"/>
            </w:tcBorders>
            <w:vAlign w:val="center"/>
            <w:hideMark/>
          </w:tcPr>
          <w:p w14:paraId="3345D043" w14:textId="77777777" w:rsidR="00E70533" w:rsidRDefault="00E70533" w:rsidP="006F0CF3">
            <w:pPr>
              <w:rPr>
                <w:rFonts w:ascii="Arial" w:hAnsi="Arial" w:cs="Arial"/>
                <w:b/>
                <w:bCs/>
                <w:color w:val="000000"/>
                <w:sz w:val="16"/>
                <w:szCs w:val="16"/>
              </w:rPr>
            </w:pPr>
          </w:p>
        </w:tc>
        <w:tc>
          <w:tcPr>
            <w:tcW w:w="2733" w:type="dxa"/>
            <w:tcBorders>
              <w:top w:val="nil"/>
              <w:left w:val="nil"/>
              <w:bottom w:val="single" w:sz="4" w:space="0" w:color="000000"/>
              <w:right w:val="single" w:sz="4" w:space="0" w:color="000000"/>
            </w:tcBorders>
            <w:shd w:val="clear" w:color="000000" w:fill="FFFFFF"/>
            <w:noWrap/>
            <w:vAlign w:val="center"/>
            <w:hideMark/>
          </w:tcPr>
          <w:p w14:paraId="18535922"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Total</w:t>
            </w:r>
          </w:p>
        </w:tc>
        <w:tc>
          <w:tcPr>
            <w:tcW w:w="1417" w:type="dxa"/>
            <w:tcBorders>
              <w:top w:val="nil"/>
              <w:left w:val="nil"/>
              <w:bottom w:val="single" w:sz="4" w:space="0" w:color="000000"/>
              <w:right w:val="single" w:sz="4" w:space="0" w:color="000000"/>
            </w:tcBorders>
            <w:shd w:val="clear" w:color="000000" w:fill="FFFFFF"/>
            <w:noWrap/>
            <w:vAlign w:val="bottom"/>
            <w:hideMark/>
          </w:tcPr>
          <w:p w14:paraId="508F2912" w14:textId="77777777" w:rsidR="00E70533" w:rsidRPr="00A35069" w:rsidRDefault="00E70533" w:rsidP="006F0CF3">
            <w:pPr>
              <w:jc w:val="right"/>
              <w:rPr>
                <w:rFonts w:ascii="Arial" w:hAnsi="Arial" w:cs="Arial"/>
                <w:b/>
                <w:color w:val="000000"/>
                <w:sz w:val="18"/>
                <w:szCs w:val="18"/>
              </w:rPr>
            </w:pPr>
            <w:r w:rsidRPr="00A35069">
              <w:rPr>
                <w:rFonts w:ascii="Arial" w:hAnsi="Arial" w:cs="Arial"/>
                <w:b/>
                <w:color w:val="000000"/>
                <w:sz w:val="18"/>
                <w:szCs w:val="18"/>
              </w:rPr>
              <w:t>261</w:t>
            </w:r>
          </w:p>
        </w:tc>
        <w:tc>
          <w:tcPr>
            <w:tcW w:w="1435" w:type="dxa"/>
            <w:tcBorders>
              <w:top w:val="nil"/>
              <w:left w:val="nil"/>
              <w:bottom w:val="single" w:sz="4" w:space="0" w:color="000000"/>
              <w:right w:val="single" w:sz="4" w:space="0" w:color="000000"/>
            </w:tcBorders>
            <w:shd w:val="clear" w:color="000000" w:fill="FFFFFF"/>
            <w:noWrap/>
            <w:vAlign w:val="bottom"/>
            <w:hideMark/>
          </w:tcPr>
          <w:p w14:paraId="1F276877" w14:textId="77777777" w:rsidR="00E70533" w:rsidRPr="00A35069" w:rsidRDefault="00E70533" w:rsidP="006F0CF3">
            <w:pPr>
              <w:jc w:val="right"/>
              <w:rPr>
                <w:rFonts w:ascii="Arial" w:hAnsi="Arial" w:cs="Arial"/>
                <w:b/>
                <w:color w:val="000000"/>
                <w:sz w:val="18"/>
                <w:szCs w:val="18"/>
              </w:rPr>
            </w:pPr>
            <w:r w:rsidRPr="00A35069">
              <w:rPr>
                <w:rFonts w:ascii="Arial" w:hAnsi="Arial" w:cs="Arial"/>
                <w:b/>
                <w:color w:val="000000"/>
                <w:sz w:val="18"/>
                <w:szCs w:val="18"/>
              </w:rPr>
              <w:t>100%</w:t>
            </w:r>
          </w:p>
        </w:tc>
      </w:tr>
      <w:tr w:rsidR="00E70533" w14:paraId="3F8B9857" w14:textId="77777777" w:rsidTr="00C14480">
        <w:trPr>
          <w:trHeight w:val="304"/>
        </w:trPr>
        <w:tc>
          <w:tcPr>
            <w:tcW w:w="1677"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14:paraId="2424F60C"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2015-16</w:t>
            </w:r>
          </w:p>
        </w:tc>
        <w:tc>
          <w:tcPr>
            <w:tcW w:w="2733" w:type="dxa"/>
            <w:tcBorders>
              <w:top w:val="nil"/>
              <w:left w:val="nil"/>
              <w:bottom w:val="single" w:sz="4" w:space="0" w:color="000000"/>
              <w:right w:val="single" w:sz="4" w:space="0" w:color="000000"/>
            </w:tcBorders>
            <w:shd w:val="clear" w:color="000000" w:fill="FFFFFF"/>
            <w:noWrap/>
            <w:vAlign w:val="center"/>
            <w:hideMark/>
          </w:tcPr>
          <w:p w14:paraId="38FFF25E"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1</w:t>
            </w:r>
          </w:p>
        </w:tc>
        <w:tc>
          <w:tcPr>
            <w:tcW w:w="1417" w:type="dxa"/>
            <w:tcBorders>
              <w:top w:val="nil"/>
              <w:left w:val="nil"/>
              <w:bottom w:val="nil"/>
              <w:right w:val="single" w:sz="4" w:space="0" w:color="000000"/>
            </w:tcBorders>
            <w:shd w:val="clear" w:color="000000" w:fill="FFFFFF"/>
            <w:noWrap/>
            <w:vAlign w:val="bottom"/>
            <w:hideMark/>
          </w:tcPr>
          <w:p w14:paraId="4E01C8FA"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310</w:t>
            </w:r>
          </w:p>
        </w:tc>
        <w:tc>
          <w:tcPr>
            <w:tcW w:w="1435" w:type="dxa"/>
            <w:tcBorders>
              <w:top w:val="nil"/>
              <w:left w:val="nil"/>
              <w:bottom w:val="nil"/>
              <w:right w:val="single" w:sz="4" w:space="0" w:color="000000"/>
            </w:tcBorders>
            <w:shd w:val="clear" w:color="000000" w:fill="FFFFFF"/>
            <w:noWrap/>
            <w:vAlign w:val="bottom"/>
            <w:hideMark/>
          </w:tcPr>
          <w:p w14:paraId="35880DF1"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81%</w:t>
            </w:r>
          </w:p>
        </w:tc>
      </w:tr>
      <w:tr w:rsidR="00E70533" w14:paraId="46F5CC9D" w14:textId="77777777" w:rsidTr="00C14480">
        <w:trPr>
          <w:trHeight w:val="304"/>
        </w:trPr>
        <w:tc>
          <w:tcPr>
            <w:tcW w:w="1677" w:type="dxa"/>
            <w:vMerge/>
            <w:tcBorders>
              <w:top w:val="nil"/>
              <w:left w:val="single" w:sz="4" w:space="0" w:color="000000"/>
              <w:bottom w:val="single" w:sz="4" w:space="0" w:color="000000"/>
              <w:right w:val="single" w:sz="4" w:space="0" w:color="000000"/>
            </w:tcBorders>
            <w:vAlign w:val="center"/>
            <w:hideMark/>
          </w:tcPr>
          <w:p w14:paraId="69600783" w14:textId="77777777" w:rsidR="00E70533" w:rsidRDefault="00E70533" w:rsidP="006F0CF3">
            <w:pPr>
              <w:rPr>
                <w:rFonts w:ascii="Arial" w:hAnsi="Arial" w:cs="Arial"/>
                <w:b/>
                <w:bCs/>
                <w:color w:val="000000"/>
                <w:sz w:val="16"/>
                <w:szCs w:val="16"/>
              </w:rPr>
            </w:pPr>
          </w:p>
        </w:tc>
        <w:tc>
          <w:tcPr>
            <w:tcW w:w="2733" w:type="dxa"/>
            <w:tcBorders>
              <w:top w:val="nil"/>
              <w:left w:val="nil"/>
              <w:bottom w:val="single" w:sz="4" w:space="0" w:color="000000"/>
              <w:right w:val="single" w:sz="4" w:space="0" w:color="000000"/>
            </w:tcBorders>
            <w:shd w:val="clear" w:color="000000" w:fill="FFFFFF"/>
            <w:noWrap/>
            <w:vAlign w:val="center"/>
            <w:hideMark/>
          </w:tcPr>
          <w:p w14:paraId="240D187D"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2+</w:t>
            </w:r>
          </w:p>
        </w:tc>
        <w:tc>
          <w:tcPr>
            <w:tcW w:w="1417" w:type="dxa"/>
            <w:tcBorders>
              <w:top w:val="single" w:sz="4" w:space="0" w:color="000000"/>
              <w:left w:val="nil"/>
              <w:bottom w:val="single" w:sz="4" w:space="0" w:color="000000"/>
              <w:right w:val="single" w:sz="4" w:space="0" w:color="000000"/>
            </w:tcBorders>
            <w:shd w:val="clear" w:color="000000" w:fill="FFFFFF"/>
            <w:noWrap/>
            <w:vAlign w:val="bottom"/>
            <w:hideMark/>
          </w:tcPr>
          <w:p w14:paraId="25713C78"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71</w:t>
            </w:r>
          </w:p>
        </w:tc>
        <w:tc>
          <w:tcPr>
            <w:tcW w:w="1435" w:type="dxa"/>
            <w:tcBorders>
              <w:top w:val="single" w:sz="4" w:space="0" w:color="000000"/>
              <w:left w:val="nil"/>
              <w:bottom w:val="single" w:sz="4" w:space="0" w:color="000000"/>
              <w:right w:val="single" w:sz="4" w:space="0" w:color="000000"/>
            </w:tcBorders>
            <w:shd w:val="clear" w:color="000000" w:fill="FFFFFF"/>
            <w:noWrap/>
            <w:vAlign w:val="bottom"/>
            <w:hideMark/>
          </w:tcPr>
          <w:p w14:paraId="04297EE5"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19%</w:t>
            </w:r>
          </w:p>
        </w:tc>
      </w:tr>
      <w:tr w:rsidR="00E70533" w14:paraId="155AF4E2" w14:textId="77777777" w:rsidTr="00C14480">
        <w:trPr>
          <w:trHeight w:val="304"/>
        </w:trPr>
        <w:tc>
          <w:tcPr>
            <w:tcW w:w="1677" w:type="dxa"/>
            <w:vMerge/>
            <w:tcBorders>
              <w:top w:val="nil"/>
              <w:left w:val="single" w:sz="4" w:space="0" w:color="000000"/>
              <w:bottom w:val="single" w:sz="4" w:space="0" w:color="000000"/>
              <w:right w:val="single" w:sz="4" w:space="0" w:color="000000"/>
            </w:tcBorders>
            <w:vAlign w:val="center"/>
            <w:hideMark/>
          </w:tcPr>
          <w:p w14:paraId="5EB7906E" w14:textId="77777777" w:rsidR="00E70533" w:rsidRDefault="00E70533" w:rsidP="006F0CF3">
            <w:pPr>
              <w:rPr>
                <w:rFonts w:ascii="Arial" w:hAnsi="Arial" w:cs="Arial"/>
                <w:b/>
                <w:bCs/>
                <w:color w:val="000000"/>
                <w:sz w:val="16"/>
                <w:szCs w:val="16"/>
              </w:rPr>
            </w:pPr>
          </w:p>
        </w:tc>
        <w:tc>
          <w:tcPr>
            <w:tcW w:w="2733" w:type="dxa"/>
            <w:tcBorders>
              <w:top w:val="nil"/>
              <w:left w:val="nil"/>
              <w:bottom w:val="single" w:sz="4" w:space="0" w:color="000000"/>
              <w:right w:val="single" w:sz="4" w:space="0" w:color="000000"/>
            </w:tcBorders>
            <w:shd w:val="clear" w:color="000000" w:fill="FFFFFF"/>
            <w:noWrap/>
            <w:vAlign w:val="center"/>
            <w:hideMark/>
          </w:tcPr>
          <w:p w14:paraId="432CAD4B"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Total</w:t>
            </w:r>
          </w:p>
        </w:tc>
        <w:tc>
          <w:tcPr>
            <w:tcW w:w="1417" w:type="dxa"/>
            <w:tcBorders>
              <w:top w:val="nil"/>
              <w:left w:val="nil"/>
              <w:bottom w:val="single" w:sz="4" w:space="0" w:color="000000"/>
              <w:right w:val="single" w:sz="4" w:space="0" w:color="000000"/>
            </w:tcBorders>
            <w:shd w:val="clear" w:color="000000" w:fill="FFFFFF"/>
            <w:noWrap/>
            <w:vAlign w:val="bottom"/>
            <w:hideMark/>
          </w:tcPr>
          <w:p w14:paraId="2400EE37" w14:textId="77777777" w:rsidR="00E70533" w:rsidRPr="00A35069" w:rsidRDefault="00E70533" w:rsidP="006F0CF3">
            <w:pPr>
              <w:jc w:val="right"/>
              <w:rPr>
                <w:rFonts w:ascii="Arial" w:hAnsi="Arial" w:cs="Arial"/>
                <w:b/>
                <w:color w:val="000000"/>
                <w:sz w:val="18"/>
                <w:szCs w:val="18"/>
              </w:rPr>
            </w:pPr>
            <w:r w:rsidRPr="00A35069">
              <w:rPr>
                <w:rFonts w:ascii="Arial" w:hAnsi="Arial" w:cs="Arial"/>
                <w:b/>
                <w:color w:val="000000"/>
                <w:sz w:val="18"/>
                <w:szCs w:val="18"/>
              </w:rPr>
              <w:t>381</w:t>
            </w:r>
          </w:p>
        </w:tc>
        <w:tc>
          <w:tcPr>
            <w:tcW w:w="1435" w:type="dxa"/>
            <w:tcBorders>
              <w:top w:val="nil"/>
              <w:left w:val="nil"/>
              <w:bottom w:val="single" w:sz="4" w:space="0" w:color="000000"/>
              <w:right w:val="single" w:sz="4" w:space="0" w:color="000000"/>
            </w:tcBorders>
            <w:shd w:val="clear" w:color="000000" w:fill="FFFFFF"/>
            <w:noWrap/>
            <w:vAlign w:val="bottom"/>
            <w:hideMark/>
          </w:tcPr>
          <w:p w14:paraId="52BF70E5" w14:textId="77777777" w:rsidR="00E70533" w:rsidRPr="00A35069" w:rsidRDefault="00E70533" w:rsidP="006F0CF3">
            <w:pPr>
              <w:jc w:val="right"/>
              <w:rPr>
                <w:rFonts w:ascii="Arial" w:hAnsi="Arial" w:cs="Arial"/>
                <w:b/>
                <w:color w:val="000000"/>
                <w:sz w:val="18"/>
                <w:szCs w:val="18"/>
              </w:rPr>
            </w:pPr>
            <w:r w:rsidRPr="00A35069">
              <w:rPr>
                <w:rFonts w:ascii="Arial" w:hAnsi="Arial" w:cs="Arial"/>
                <w:b/>
                <w:color w:val="000000"/>
                <w:sz w:val="18"/>
                <w:szCs w:val="18"/>
              </w:rPr>
              <w:t>100%</w:t>
            </w:r>
          </w:p>
        </w:tc>
      </w:tr>
    </w:tbl>
    <w:p w14:paraId="5DBC226F" w14:textId="40962BE8" w:rsidR="00E70533" w:rsidRPr="00FC1420" w:rsidRDefault="00E70533" w:rsidP="00FC1420">
      <w:pPr>
        <w:pStyle w:val="Heading3"/>
      </w:pPr>
      <w:r w:rsidRPr="00FC1420">
        <w:t>Table 4: Number of services per patient since service listed 1 October 2014 to June 2016</w:t>
      </w:r>
    </w:p>
    <w:tbl>
      <w:tblPr>
        <w:tblW w:w="6600" w:type="dxa"/>
        <w:tblInd w:w="93" w:type="dxa"/>
        <w:tblLook w:val="04A0" w:firstRow="1" w:lastRow="0" w:firstColumn="1" w:lastColumn="0" w:noHBand="0" w:noVBand="1"/>
        <w:tblDescription w:val="Table 4 presents the number of services per patient since MBS item 18375 was listed in October 2014 to June 2016. There are three columns: 1) Number of services per patient, 2) Number of patients, 3) Percentage of patients. The rows are broken down according to the number of services, from 1 through to four-plus, and then the total."/>
      </w:tblPr>
      <w:tblGrid>
        <w:gridCol w:w="2567"/>
        <w:gridCol w:w="1473"/>
        <w:gridCol w:w="2560"/>
      </w:tblGrid>
      <w:tr w:rsidR="00E70533" w14:paraId="1DC7E151" w14:textId="77777777" w:rsidTr="00C14480">
        <w:trPr>
          <w:trHeight w:val="465"/>
          <w:tblHeader/>
        </w:trPr>
        <w:tc>
          <w:tcPr>
            <w:tcW w:w="2567" w:type="dxa"/>
            <w:tcBorders>
              <w:top w:val="single" w:sz="4" w:space="0" w:color="auto"/>
              <w:left w:val="single" w:sz="4" w:space="0" w:color="000000"/>
              <w:bottom w:val="single" w:sz="4" w:space="0" w:color="000000"/>
              <w:right w:val="single" w:sz="4" w:space="0" w:color="000000"/>
            </w:tcBorders>
            <w:shd w:val="clear" w:color="auto" w:fill="008080"/>
            <w:hideMark/>
          </w:tcPr>
          <w:p w14:paraId="1581D8B7" w14:textId="0772AFD9" w:rsidR="00E70533" w:rsidRDefault="00C14480" w:rsidP="006F0CF3">
            <w:pPr>
              <w:rPr>
                <w:rFonts w:ascii="Arial" w:hAnsi="Arial" w:cs="Arial"/>
                <w:b/>
                <w:bCs/>
                <w:color w:val="FFFFFF"/>
                <w:sz w:val="16"/>
                <w:szCs w:val="16"/>
              </w:rPr>
            </w:pPr>
            <w:r>
              <w:rPr>
                <w:rFonts w:ascii="Arial" w:hAnsi="Arial" w:cs="Arial"/>
                <w:b/>
                <w:bCs/>
                <w:color w:val="FFFFFF"/>
                <w:sz w:val="16"/>
                <w:szCs w:val="16"/>
              </w:rPr>
              <w:t>Number of services per patient</w:t>
            </w:r>
          </w:p>
        </w:tc>
        <w:tc>
          <w:tcPr>
            <w:tcW w:w="1473" w:type="dxa"/>
            <w:tcBorders>
              <w:top w:val="single" w:sz="4" w:space="0" w:color="000000"/>
              <w:left w:val="nil"/>
              <w:bottom w:val="single" w:sz="4" w:space="0" w:color="000000"/>
              <w:right w:val="single" w:sz="4" w:space="0" w:color="000000"/>
            </w:tcBorders>
            <w:shd w:val="clear" w:color="auto" w:fill="008080"/>
            <w:hideMark/>
          </w:tcPr>
          <w:p w14:paraId="31639689"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Count</w:t>
            </w:r>
          </w:p>
        </w:tc>
        <w:tc>
          <w:tcPr>
            <w:tcW w:w="2560" w:type="dxa"/>
            <w:tcBorders>
              <w:top w:val="single" w:sz="4" w:space="0" w:color="000000"/>
              <w:left w:val="nil"/>
              <w:bottom w:val="single" w:sz="4" w:space="0" w:color="000000"/>
              <w:right w:val="single" w:sz="4" w:space="0" w:color="000000"/>
            </w:tcBorders>
            <w:shd w:val="clear" w:color="auto" w:fill="008080"/>
            <w:hideMark/>
          </w:tcPr>
          <w:p w14:paraId="5492C622"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Percentage</w:t>
            </w:r>
          </w:p>
        </w:tc>
      </w:tr>
      <w:tr w:rsidR="00E70533" w14:paraId="75C2AC4F" w14:textId="77777777" w:rsidTr="00C14480">
        <w:trPr>
          <w:trHeight w:val="405"/>
        </w:trPr>
        <w:tc>
          <w:tcPr>
            <w:tcW w:w="2567" w:type="dxa"/>
            <w:tcBorders>
              <w:top w:val="nil"/>
              <w:left w:val="single" w:sz="4" w:space="0" w:color="000000"/>
              <w:bottom w:val="single" w:sz="4" w:space="0" w:color="000000"/>
              <w:right w:val="single" w:sz="4" w:space="0" w:color="000000"/>
            </w:tcBorders>
            <w:shd w:val="clear" w:color="000000" w:fill="FFFFFF"/>
            <w:noWrap/>
            <w:vAlign w:val="center"/>
            <w:hideMark/>
          </w:tcPr>
          <w:p w14:paraId="181BA789"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1</w:t>
            </w:r>
          </w:p>
        </w:tc>
        <w:tc>
          <w:tcPr>
            <w:tcW w:w="1473" w:type="dxa"/>
            <w:tcBorders>
              <w:top w:val="nil"/>
              <w:left w:val="nil"/>
              <w:bottom w:val="nil"/>
              <w:right w:val="single" w:sz="4" w:space="0" w:color="000000"/>
            </w:tcBorders>
            <w:shd w:val="clear" w:color="000000" w:fill="FFFFFF"/>
            <w:noWrap/>
            <w:vAlign w:val="bottom"/>
            <w:hideMark/>
          </w:tcPr>
          <w:p w14:paraId="77F6F4B4"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382</w:t>
            </w:r>
          </w:p>
        </w:tc>
        <w:tc>
          <w:tcPr>
            <w:tcW w:w="2560" w:type="dxa"/>
            <w:tcBorders>
              <w:top w:val="nil"/>
              <w:left w:val="nil"/>
              <w:bottom w:val="nil"/>
              <w:right w:val="single" w:sz="4" w:space="0" w:color="000000"/>
            </w:tcBorders>
            <w:shd w:val="clear" w:color="000000" w:fill="FFFFFF"/>
            <w:noWrap/>
            <w:vAlign w:val="bottom"/>
            <w:hideMark/>
          </w:tcPr>
          <w:p w14:paraId="58169799"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68%</w:t>
            </w:r>
          </w:p>
        </w:tc>
      </w:tr>
      <w:tr w:rsidR="00E70533" w14:paraId="22036994" w14:textId="77777777" w:rsidTr="00C14480">
        <w:trPr>
          <w:trHeight w:val="300"/>
        </w:trPr>
        <w:tc>
          <w:tcPr>
            <w:tcW w:w="2567" w:type="dxa"/>
            <w:tcBorders>
              <w:top w:val="nil"/>
              <w:left w:val="single" w:sz="4" w:space="0" w:color="000000"/>
              <w:bottom w:val="single" w:sz="4" w:space="0" w:color="000000"/>
              <w:right w:val="single" w:sz="4" w:space="0" w:color="000000"/>
            </w:tcBorders>
            <w:shd w:val="clear" w:color="000000" w:fill="FFFFFF"/>
            <w:noWrap/>
            <w:vAlign w:val="center"/>
            <w:hideMark/>
          </w:tcPr>
          <w:p w14:paraId="485949D6"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2</w:t>
            </w:r>
          </w:p>
        </w:tc>
        <w:tc>
          <w:tcPr>
            <w:tcW w:w="1473" w:type="dxa"/>
            <w:tcBorders>
              <w:top w:val="single" w:sz="4" w:space="0" w:color="000000"/>
              <w:left w:val="nil"/>
              <w:bottom w:val="single" w:sz="4" w:space="0" w:color="000000"/>
              <w:right w:val="single" w:sz="4" w:space="0" w:color="000000"/>
            </w:tcBorders>
            <w:shd w:val="clear" w:color="000000" w:fill="FFFFFF"/>
            <w:noWrap/>
            <w:vAlign w:val="bottom"/>
            <w:hideMark/>
          </w:tcPr>
          <w:p w14:paraId="2472693E"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114</w:t>
            </w:r>
          </w:p>
        </w:tc>
        <w:tc>
          <w:tcPr>
            <w:tcW w:w="2560" w:type="dxa"/>
            <w:tcBorders>
              <w:top w:val="single" w:sz="4" w:space="0" w:color="000000"/>
              <w:left w:val="nil"/>
              <w:bottom w:val="single" w:sz="4" w:space="0" w:color="000000"/>
              <w:right w:val="single" w:sz="4" w:space="0" w:color="000000"/>
            </w:tcBorders>
            <w:shd w:val="clear" w:color="000000" w:fill="FFFFFF"/>
            <w:noWrap/>
            <w:vAlign w:val="bottom"/>
            <w:hideMark/>
          </w:tcPr>
          <w:p w14:paraId="543C2279"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20%</w:t>
            </w:r>
          </w:p>
        </w:tc>
      </w:tr>
      <w:tr w:rsidR="00E70533" w14:paraId="51F36788" w14:textId="77777777" w:rsidTr="00C14480">
        <w:trPr>
          <w:trHeight w:val="300"/>
        </w:trPr>
        <w:tc>
          <w:tcPr>
            <w:tcW w:w="2567" w:type="dxa"/>
            <w:tcBorders>
              <w:top w:val="nil"/>
              <w:left w:val="single" w:sz="4" w:space="0" w:color="000000"/>
              <w:bottom w:val="single" w:sz="4" w:space="0" w:color="000000"/>
              <w:right w:val="single" w:sz="4" w:space="0" w:color="000000"/>
            </w:tcBorders>
            <w:shd w:val="clear" w:color="000000" w:fill="FFFFFF"/>
            <w:noWrap/>
            <w:vAlign w:val="center"/>
            <w:hideMark/>
          </w:tcPr>
          <w:p w14:paraId="77F622A3"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3</w:t>
            </w:r>
          </w:p>
        </w:tc>
        <w:tc>
          <w:tcPr>
            <w:tcW w:w="1473" w:type="dxa"/>
            <w:tcBorders>
              <w:top w:val="nil"/>
              <w:left w:val="nil"/>
              <w:bottom w:val="single" w:sz="4" w:space="0" w:color="000000"/>
              <w:right w:val="single" w:sz="4" w:space="0" w:color="000000"/>
            </w:tcBorders>
            <w:shd w:val="clear" w:color="000000" w:fill="FFFFFF"/>
            <w:noWrap/>
            <w:vAlign w:val="bottom"/>
            <w:hideMark/>
          </w:tcPr>
          <w:p w14:paraId="389BB92E"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46</w:t>
            </w:r>
          </w:p>
        </w:tc>
        <w:tc>
          <w:tcPr>
            <w:tcW w:w="2560" w:type="dxa"/>
            <w:tcBorders>
              <w:top w:val="nil"/>
              <w:left w:val="nil"/>
              <w:bottom w:val="single" w:sz="4" w:space="0" w:color="000000"/>
              <w:right w:val="single" w:sz="4" w:space="0" w:color="000000"/>
            </w:tcBorders>
            <w:shd w:val="clear" w:color="000000" w:fill="FFFFFF"/>
            <w:noWrap/>
            <w:vAlign w:val="bottom"/>
            <w:hideMark/>
          </w:tcPr>
          <w:p w14:paraId="491BFE31"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w:t>
            </w:r>
          </w:p>
        </w:tc>
      </w:tr>
      <w:tr w:rsidR="00E70533" w14:paraId="12A72E43" w14:textId="77777777" w:rsidTr="00C14480">
        <w:trPr>
          <w:trHeight w:val="300"/>
        </w:trPr>
        <w:tc>
          <w:tcPr>
            <w:tcW w:w="2567" w:type="dxa"/>
            <w:tcBorders>
              <w:top w:val="nil"/>
              <w:left w:val="single" w:sz="4" w:space="0" w:color="000000"/>
              <w:bottom w:val="single" w:sz="4" w:space="0" w:color="000000"/>
              <w:right w:val="single" w:sz="4" w:space="0" w:color="000000"/>
            </w:tcBorders>
            <w:shd w:val="clear" w:color="000000" w:fill="FFFFFF"/>
            <w:noWrap/>
            <w:vAlign w:val="center"/>
            <w:hideMark/>
          </w:tcPr>
          <w:p w14:paraId="01D79C0F"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4+</w:t>
            </w:r>
          </w:p>
        </w:tc>
        <w:tc>
          <w:tcPr>
            <w:tcW w:w="1473" w:type="dxa"/>
            <w:tcBorders>
              <w:top w:val="nil"/>
              <w:left w:val="nil"/>
              <w:bottom w:val="single" w:sz="4" w:space="0" w:color="000000"/>
              <w:right w:val="single" w:sz="4" w:space="0" w:color="000000"/>
            </w:tcBorders>
            <w:shd w:val="clear" w:color="000000" w:fill="FFFFFF"/>
            <w:noWrap/>
            <w:vAlign w:val="bottom"/>
            <w:hideMark/>
          </w:tcPr>
          <w:p w14:paraId="478AA226"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17</w:t>
            </w:r>
          </w:p>
        </w:tc>
        <w:tc>
          <w:tcPr>
            <w:tcW w:w="2560" w:type="dxa"/>
            <w:tcBorders>
              <w:top w:val="nil"/>
              <w:left w:val="nil"/>
              <w:bottom w:val="single" w:sz="4" w:space="0" w:color="000000"/>
              <w:right w:val="single" w:sz="4" w:space="0" w:color="000000"/>
            </w:tcBorders>
            <w:shd w:val="clear" w:color="000000" w:fill="FFFFFF"/>
            <w:noWrap/>
            <w:vAlign w:val="bottom"/>
            <w:hideMark/>
          </w:tcPr>
          <w:p w14:paraId="2C7B5636"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4%</w:t>
            </w:r>
          </w:p>
        </w:tc>
      </w:tr>
      <w:tr w:rsidR="00E70533" w14:paraId="55FCAA50" w14:textId="77777777" w:rsidTr="00C14480">
        <w:trPr>
          <w:trHeight w:val="300"/>
        </w:trPr>
        <w:tc>
          <w:tcPr>
            <w:tcW w:w="2567" w:type="dxa"/>
            <w:tcBorders>
              <w:top w:val="nil"/>
              <w:left w:val="single" w:sz="4" w:space="0" w:color="000000"/>
              <w:bottom w:val="single" w:sz="4" w:space="0" w:color="000000"/>
              <w:right w:val="single" w:sz="4" w:space="0" w:color="000000"/>
            </w:tcBorders>
            <w:shd w:val="clear" w:color="000000" w:fill="FFFFFF"/>
            <w:noWrap/>
            <w:vAlign w:val="center"/>
            <w:hideMark/>
          </w:tcPr>
          <w:p w14:paraId="32A66F3F"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Total</w:t>
            </w:r>
          </w:p>
        </w:tc>
        <w:tc>
          <w:tcPr>
            <w:tcW w:w="1473" w:type="dxa"/>
            <w:tcBorders>
              <w:top w:val="nil"/>
              <w:left w:val="nil"/>
              <w:bottom w:val="single" w:sz="4" w:space="0" w:color="000000"/>
              <w:right w:val="single" w:sz="4" w:space="0" w:color="000000"/>
            </w:tcBorders>
            <w:shd w:val="clear" w:color="000000" w:fill="FFFFFF"/>
            <w:noWrap/>
            <w:vAlign w:val="bottom"/>
            <w:hideMark/>
          </w:tcPr>
          <w:p w14:paraId="3606927D"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559</w:t>
            </w:r>
          </w:p>
        </w:tc>
        <w:tc>
          <w:tcPr>
            <w:tcW w:w="2560" w:type="dxa"/>
            <w:tcBorders>
              <w:top w:val="nil"/>
              <w:left w:val="nil"/>
              <w:bottom w:val="single" w:sz="4" w:space="0" w:color="000000"/>
              <w:right w:val="single" w:sz="4" w:space="0" w:color="000000"/>
            </w:tcBorders>
            <w:shd w:val="clear" w:color="000000" w:fill="FFFFFF"/>
            <w:noWrap/>
            <w:vAlign w:val="bottom"/>
            <w:hideMark/>
          </w:tcPr>
          <w:p w14:paraId="352E8DA4"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100%</w:t>
            </w:r>
          </w:p>
        </w:tc>
      </w:tr>
    </w:tbl>
    <w:p w14:paraId="78FADB49" w14:textId="5F895B99" w:rsidR="00E70533" w:rsidRPr="00E70533" w:rsidRDefault="00E70533" w:rsidP="00E70533">
      <w:pPr>
        <w:rPr>
          <w:i/>
          <w:color w:val="000000" w:themeColor="text1"/>
          <w:sz w:val="20"/>
        </w:rPr>
      </w:pPr>
      <w:r w:rsidRPr="00C14316">
        <w:rPr>
          <w:i/>
          <w:color w:val="000000" w:themeColor="text1"/>
          <w:sz w:val="20"/>
        </w:rPr>
        <w:t>Source</w:t>
      </w:r>
      <w:r>
        <w:rPr>
          <w:i/>
          <w:color w:val="000000" w:themeColor="text1"/>
          <w:sz w:val="20"/>
        </w:rPr>
        <w:t xml:space="preserve"> for tables 2-4</w:t>
      </w:r>
      <w:r w:rsidR="006F0CF3">
        <w:rPr>
          <w:i/>
          <w:color w:val="000000" w:themeColor="text1"/>
          <w:sz w:val="20"/>
        </w:rPr>
        <w:t>: Department of Health</w:t>
      </w:r>
    </w:p>
    <w:p w14:paraId="16AC878B" w14:textId="70A75215" w:rsidR="00E70533" w:rsidRDefault="00E70533" w:rsidP="00E70533">
      <w:pPr>
        <w:pStyle w:val="Caption"/>
      </w:pPr>
      <w:r>
        <w:rPr>
          <w:noProof/>
          <w:lang w:eastAsia="en-AU"/>
        </w:rPr>
        <w:lastRenderedPageBreak/>
        <mc:AlternateContent>
          <mc:Choice Requires="wps">
            <w:drawing>
              <wp:anchor distT="0" distB="0" distL="114300" distR="114300" simplePos="0" relativeHeight="251659264" behindDoc="0" locked="0" layoutInCell="1" allowOverlap="1" wp14:anchorId="78DAA27D" wp14:editId="71DE2488">
                <wp:simplePos x="0" y="0"/>
                <wp:positionH relativeFrom="column">
                  <wp:posOffset>3695700</wp:posOffset>
                </wp:positionH>
                <wp:positionV relativeFrom="paragraph">
                  <wp:posOffset>99060</wp:posOffset>
                </wp:positionV>
                <wp:extent cx="360045" cy="314325"/>
                <wp:effectExtent l="0" t="0" r="1905" b="9525"/>
                <wp:wrapNone/>
                <wp:docPr id="1" name="Text Box 1"/>
                <wp:cNvGraphicFramePr/>
                <a:graphic xmlns:a="http://schemas.openxmlformats.org/drawingml/2006/main">
                  <a:graphicData uri="http://schemas.microsoft.com/office/word/2010/wordprocessingShape">
                    <wps:wsp>
                      <wps:cNvSpPr txBox="1"/>
                      <wps:spPr>
                        <a:xfrm>
                          <a:off x="0" y="0"/>
                          <a:ext cx="36004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8F6AC" w14:textId="77777777" w:rsidR="00D74C68" w:rsidRPr="00304E80" w:rsidRDefault="00D74C68" w:rsidP="00E70533">
                            <w:pPr>
                              <w:rPr>
                                <w:b/>
                                <w:sz w:val="32"/>
                                <w:szCs w:val="32"/>
                              </w:rPr>
                            </w:pPr>
                            <w:r w:rsidRPr="00304E80">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1pt;margin-top:7.8pt;width:28.3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" fillcolor="white [3201]" stroked="f" strokeweight=".5pt">
                <v:textbox>
                  <w:txbxContent>
                    <w:p w14:paraId="2868F6AC" w14:textId="77777777" w:rsidR="00D74C68" w:rsidRPr="00304E80" w:rsidRDefault="00D74C68" w:rsidP="00E70533">
                      <w:pPr>
                        <w:rPr>
                          <w:b/>
                          <w:sz w:val="32"/>
                          <w:szCs w:val="32"/>
                        </w:rPr>
                      </w:pPr>
                      <w:r w:rsidRPr="00304E80">
                        <w:rPr>
                          <w:b/>
                          <w:sz w:val="32"/>
                          <w:szCs w:val="32"/>
                        </w:rPr>
                        <w:t>a)</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0F57BAD2" wp14:editId="0470D911">
                <wp:simplePos x="0" y="0"/>
                <wp:positionH relativeFrom="column">
                  <wp:posOffset>3695700</wp:posOffset>
                </wp:positionH>
                <wp:positionV relativeFrom="paragraph">
                  <wp:posOffset>2708910</wp:posOffset>
                </wp:positionV>
                <wp:extent cx="429260" cy="32385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42926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D353B" w14:textId="1F4B39A0" w:rsidR="00D74C68" w:rsidRPr="00304E80" w:rsidRDefault="00D74C68" w:rsidP="00E70533">
                            <w:pPr>
                              <w:rPr>
                                <w:b/>
                                <w:sz w:val="32"/>
                                <w:szCs w:val="32"/>
                              </w:rPr>
                            </w:pPr>
                            <w:r>
                              <w:rPr>
                                <w:b/>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291pt;margin-top:213.3pt;width:33.8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" fillcolor="white [3201]" stroked="f" strokeweight=".5pt">
                <v:textbox>
                  <w:txbxContent>
                    <w:p w14:paraId="567D353B" w14:textId="1F4B39A0" w:rsidR="00D74C68" w:rsidRPr="00304E80" w:rsidRDefault="00D74C68" w:rsidP="00E70533">
                      <w:pPr>
                        <w:rPr>
                          <w:b/>
                          <w:sz w:val="32"/>
                          <w:szCs w:val="32"/>
                        </w:rPr>
                      </w:pPr>
                      <w:r>
                        <w:rPr>
                          <w:b/>
                          <w:sz w:val="32"/>
                          <w:szCs w:val="32"/>
                        </w:rPr>
                        <w:t>b)</w:t>
                      </w:r>
                    </w:p>
                  </w:txbxContent>
                </v:textbox>
              </v:shape>
            </w:pict>
          </mc:Fallback>
        </mc:AlternateContent>
      </w:r>
      <w:r>
        <w:rPr>
          <w:noProof/>
          <w:lang w:eastAsia="en-AU"/>
        </w:rPr>
        <w:drawing>
          <wp:inline distT="0" distB="0" distL="0" distR="0" wp14:anchorId="6310BD8F" wp14:editId="11FD4C89">
            <wp:extent cx="4338084" cy="2463292"/>
            <wp:effectExtent l="19050" t="19050" r="24765" b="13335"/>
            <wp:docPr id="7" name="Picture 7" descr="Figure 2 presents three horizontal bar charts of the number of services for MBS item 18375, by gender and age. Each bar chart is for each financial year of 2013-14, 2014-15 and 2015-16. The age brackets are 5-14, 15-24, 25-34, 35-44, 45-54, 55-64, 65-74, 75-84 and greater than or equal to 85. Patients receiving this service are predominantly female and aged 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care Item 18375 processed from July 2013 to June 2014"/>
                    <pic:cNvPicPr>
                      <a:picLocks noChangeAspect="1" noChangeArrowheads="1"/>
                    </pic:cNvPicPr>
                  </pic:nvPicPr>
                  <pic:blipFill rotWithShape="1">
                    <a:blip r:embed="rId13">
                      <a:extLst>
                        <a:ext uri="{28A0092B-C50C-407E-A947-70E740481C1C}">
                          <a14:useLocalDpi xmlns:a14="http://schemas.microsoft.com/office/drawing/2010/main" val="0"/>
                        </a:ext>
                      </a:extLst>
                    </a:blip>
                    <a:srcRect b="7838"/>
                    <a:stretch/>
                  </pic:blipFill>
                  <pic:spPr bwMode="auto">
                    <a:xfrm>
                      <a:off x="0" y="0"/>
                      <a:ext cx="4361595" cy="2476642"/>
                    </a:xfrm>
                    <a:prstGeom prst="rect">
                      <a:avLst/>
                    </a:prstGeom>
                    <a:noFill/>
                    <a:ln>
                      <a:solidFill>
                        <a:schemeClr val="bg1"/>
                      </a:solid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36882804" wp14:editId="3D6DE735">
            <wp:extent cx="4178596" cy="2489582"/>
            <wp:effectExtent l="19050" t="19050" r="12700" b="25400"/>
            <wp:docPr id="8" name="Picture 8" descr="Figure 2 presents three horizontal bar charts of the number of services for MBS item 18375, by gender and age. Each bar chart is for each financial year of 2013-14, 2014-15 and 2015-16. The age brackets are 5-14, 15-24, 25-34, 35-44, 45-54, 55-64, 65-74, 75-84 and greater than or equal to 85. Patients receiving this service are predominantly female and aged 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re Item 18375 processed from July 2014 to June 2015"/>
                    <pic:cNvPicPr>
                      <a:picLocks noChangeAspect="1" noChangeArrowheads="1"/>
                    </pic:cNvPicPr>
                  </pic:nvPicPr>
                  <pic:blipFill rotWithShape="1">
                    <a:blip r:embed="rId14">
                      <a:extLst>
                        <a:ext uri="{28A0092B-C50C-407E-A947-70E740481C1C}">
                          <a14:useLocalDpi xmlns:a14="http://schemas.microsoft.com/office/drawing/2010/main" val="0"/>
                        </a:ext>
                      </a:extLst>
                    </a:blip>
                    <a:srcRect b="4378"/>
                    <a:stretch/>
                  </pic:blipFill>
                  <pic:spPr bwMode="auto">
                    <a:xfrm>
                      <a:off x="0" y="0"/>
                      <a:ext cx="4208612" cy="2507465"/>
                    </a:xfrm>
                    <a:prstGeom prst="rect">
                      <a:avLst/>
                    </a:prstGeom>
                    <a:noFill/>
                    <a:ln>
                      <a:solidFill>
                        <a:schemeClr val="bg1"/>
                      </a:solidFill>
                    </a:ln>
                    <a:extLst>
                      <a:ext uri="{53640926-AAD7-44D8-BBD7-CCE9431645EC}">
                        <a14:shadowObscured xmlns:a14="http://schemas.microsoft.com/office/drawing/2010/main"/>
                      </a:ext>
                    </a:extLst>
                  </pic:spPr>
                </pic:pic>
              </a:graphicData>
            </a:graphic>
          </wp:inline>
        </w:drawing>
      </w:r>
    </w:p>
    <w:p w14:paraId="73D8AEC4" w14:textId="7F0C4DF7" w:rsidR="00E70533" w:rsidRDefault="00E70533" w:rsidP="00E70533">
      <w:pPr>
        <w:pStyle w:val="Caption"/>
      </w:pPr>
      <w:r>
        <w:rPr>
          <w:noProof/>
          <w:lang w:eastAsia="en-AU"/>
        </w:rPr>
        <mc:AlternateContent>
          <mc:Choice Requires="wps">
            <w:drawing>
              <wp:anchor distT="0" distB="0" distL="114300" distR="114300" simplePos="0" relativeHeight="251663360" behindDoc="0" locked="0" layoutInCell="1" allowOverlap="1" wp14:anchorId="1617EA94" wp14:editId="00080843">
                <wp:simplePos x="0" y="0"/>
                <wp:positionH relativeFrom="column">
                  <wp:posOffset>3725545</wp:posOffset>
                </wp:positionH>
                <wp:positionV relativeFrom="paragraph">
                  <wp:posOffset>175260</wp:posOffset>
                </wp:positionV>
                <wp:extent cx="359897" cy="361950"/>
                <wp:effectExtent l="0" t="0" r="2540" b="0"/>
                <wp:wrapNone/>
                <wp:docPr id="10" name="Text Box 10"/>
                <wp:cNvGraphicFramePr/>
                <a:graphic xmlns:a="http://schemas.openxmlformats.org/drawingml/2006/main">
                  <a:graphicData uri="http://schemas.microsoft.com/office/word/2010/wordprocessingShape">
                    <wps:wsp>
                      <wps:cNvSpPr txBox="1"/>
                      <wps:spPr>
                        <a:xfrm>
                          <a:off x="0" y="0"/>
                          <a:ext cx="359897"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2B7D7" w14:textId="77777777" w:rsidR="00D74C68" w:rsidRPr="00304E80" w:rsidRDefault="00D74C68" w:rsidP="00E70533">
                            <w:pPr>
                              <w:rPr>
                                <w:b/>
                                <w:sz w:val="32"/>
                                <w:szCs w:val="32"/>
                              </w:rPr>
                            </w:pPr>
                            <w:r>
                              <w:rPr>
                                <w:b/>
                                <w:sz w:val="32"/>
                                <w:szCs w:val="32"/>
                              </w:rPr>
                              <w:t>c</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8" type="#_x0000_t202" style="position:absolute;left:0;text-align:left;margin-left:293.35pt;margin-top:13.8pt;width:28.3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" fillcolor="white [3201]" stroked="f" strokeweight=".5pt">
                <v:textbox>
                  <w:txbxContent>
                    <w:p w14:paraId="6FA2B7D7" w14:textId="77777777" w:rsidR="00D74C68" w:rsidRPr="00304E80" w:rsidRDefault="00D74C68" w:rsidP="00E70533">
                      <w:pPr>
                        <w:rPr>
                          <w:b/>
                          <w:sz w:val="32"/>
                          <w:szCs w:val="32"/>
                        </w:rPr>
                      </w:pPr>
                      <w:r>
                        <w:rPr>
                          <w:b/>
                          <w:sz w:val="32"/>
                          <w:szCs w:val="32"/>
                        </w:rPr>
                        <w:t>c</w:t>
                      </w:r>
                      <w:r w:rsidRPr="00304E80">
                        <w:rPr>
                          <w:b/>
                          <w:sz w:val="32"/>
                          <w:szCs w:val="32"/>
                        </w:rPr>
                        <w:t>)</w:t>
                      </w:r>
                    </w:p>
                  </w:txbxContent>
                </v:textbox>
              </v:shape>
            </w:pict>
          </mc:Fallback>
        </mc:AlternateContent>
      </w:r>
      <w:r>
        <w:rPr>
          <w:noProof/>
          <w:lang w:eastAsia="en-AU"/>
        </w:rPr>
        <w:drawing>
          <wp:inline distT="0" distB="0" distL="0" distR="0" wp14:anchorId="1DACF036" wp14:editId="3C4BA203">
            <wp:extent cx="4284921" cy="2581483"/>
            <wp:effectExtent l="19050" t="19050" r="20955" b="9525"/>
            <wp:docPr id="9" name="Picture 9" descr="Figure 2 presents three horizontal bar charts of the number of services for MBS item 18375, by gender and age. Each bar chart is for each financial year of 2013-14, 2014-15 and 2015-16. The age brackets are 5-14, 15-24, 25-34, 35-44, 45-54, 55-64, 65-74, 75-84 and greater than or equal to 85. Patients receiving this service are predominantly female and aged 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care Item 18375 processed from July 2015 to March 2016"/>
                    <pic:cNvPicPr>
                      <a:picLocks noChangeAspect="1" noChangeArrowheads="1"/>
                    </pic:cNvPicPr>
                  </pic:nvPicPr>
                  <pic:blipFill rotWithShape="1">
                    <a:blip r:embed="rId15">
                      <a:extLst>
                        <a:ext uri="{28A0092B-C50C-407E-A947-70E740481C1C}">
                          <a14:useLocalDpi xmlns:a14="http://schemas.microsoft.com/office/drawing/2010/main" val="0"/>
                        </a:ext>
                      </a:extLst>
                    </a:blip>
                    <a:srcRect b="5950"/>
                    <a:stretch/>
                  </pic:blipFill>
                  <pic:spPr bwMode="auto">
                    <a:xfrm>
                      <a:off x="0" y="0"/>
                      <a:ext cx="4327294" cy="2607011"/>
                    </a:xfrm>
                    <a:prstGeom prst="rect">
                      <a:avLst/>
                    </a:prstGeom>
                    <a:noFill/>
                    <a:ln>
                      <a:solidFill>
                        <a:schemeClr val="bg1"/>
                      </a:solidFill>
                    </a:ln>
                    <a:extLst>
                      <a:ext uri="{53640926-AAD7-44D8-BBD7-CCE9431645EC}">
                        <a14:shadowObscured xmlns:a14="http://schemas.microsoft.com/office/drawing/2010/main"/>
                      </a:ext>
                    </a:extLst>
                  </pic:spPr>
                </pic:pic>
              </a:graphicData>
            </a:graphic>
          </wp:inline>
        </w:drawing>
      </w:r>
    </w:p>
    <w:p w14:paraId="5AB59C26" w14:textId="2D54332E" w:rsidR="00E70533" w:rsidRPr="00FC1420" w:rsidRDefault="00E70533" w:rsidP="00FC1420">
      <w:pPr>
        <w:pStyle w:val="Heading3"/>
      </w:pPr>
      <w:r w:rsidRPr="00FC1420">
        <w:t>Figure 2: Demographic profile for MBS item 18375 for 2013-14 (a), 2014-15 (b) and 2015-16 (c)</w:t>
      </w:r>
    </w:p>
    <w:p w14:paraId="04343CE5" w14:textId="269CA607" w:rsidR="00E70533" w:rsidRPr="00C14316" w:rsidRDefault="00E70533" w:rsidP="00E70533">
      <w:pPr>
        <w:rPr>
          <w:i/>
          <w:color w:val="000000" w:themeColor="text1"/>
          <w:sz w:val="20"/>
        </w:rPr>
      </w:pPr>
      <w:r w:rsidRPr="00C14316">
        <w:rPr>
          <w:i/>
          <w:color w:val="000000" w:themeColor="text1"/>
          <w:sz w:val="20"/>
        </w:rPr>
        <w:t xml:space="preserve">Source: </w:t>
      </w:r>
      <w:r>
        <w:rPr>
          <w:i/>
          <w:color w:val="000000" w:themeColor="text1"/>
          <w:sz w:val="20"/>
        </w:rPr>
        <w:t>Medicare statistics online</w:t>
      </w:r>
    </w:p>
    <w:p w14:paraId="4ACBFCDC" w14:textId="629A2818" w:rsidR="004E015F" w:rsidRDefault="004E015F" w:rsidP="004E015F">
      <w:pPr>
        <w:pStyle w:val="Heading2"/>
      </w:pPr>
      <w:r>
        <w:t>Practitioner breakdown</w:t>
      </w:r>
    </w:p>
    <w:p w14:paraId="1CCC43CF" w14:textId="4F00FA7B" w:rsidR="00E70533" w:rsidRDefault="00E70533" w:rsidP="00E70533">
      <w:r w:rsidRPr="00AF20F5">
        <w:t xml:space="preserve">The number of </w:t>
      </w:r>
      <w:r>
        <w:t>practitioners providing this service has been increasing steadily each year (Table 5). The service is predominantly provided by general surgeons and specialists in urology (Table 6). Provision of the service is not very concentrated with 40% of practitioners providing around 80% of services (Table 7).</w:t>
      </w:r>
    </w:p>
    <w:p w14:paraId="625D8169" w14:textId="2DD22D6A" w:rsidR="00E70533" w:rsidRPr="00FC1420" w:rsidRDefault="00E70533" w:rsidP="00FC1420">
      <w:pPr>
        <w:pStyle w:val="Heading3"/>
      </w:pPr>
      <w:r w:rsidRPr="00FC1420">
        <w:lastRenderedPageBreak/>
        <w:t>Table 5: Number of practitioners providing this service in 2013-14 to 2015-16</w:t>
      </w:r>
    </w:p>
    <w:tbl>
      <w:tblPr>
        <w:tblW w:w="0" w:type="auto"/>
        <w:tblInd w:w="108" w:type="dxa"/>
        <w:tblLook w:val="04A0" w:firstRow="1" w:lastRow="0" w:firstColumn="1" w:lastColumn="0" w:noHBand="0" w:noVBand="1"/>
        <w:tblDescription w:val="Table 5 presents the number of practitioners providing the service for MBS item 18375 from 2013-14 to 2015-16. It has two columns - financial year and Australia-wide number of services. It has separate rows for each financial year of 2013-14, 2014-15 and 2015-16."/>
      </w:tblPr>
      <w:tblGrid>
        <w:gridCol w:w="1418"/>
        <w:gridCol w:w="1134"/>
      </w:tblGrid>
      <w:tr w:rsidR="00E70533" w:rsidRPr="000E4B4B" w14:paraId="607AAB33" w14:textId="77777777" w:rsidTr="003E360A">
        <w:trPr>
          <w:trHeight w:val="450"/>
          <w:tblHeader/>
        </w:trPr>
        <w:tc>
          <w:tcPr>
            <w:tcW w:w="1418" w:type="dxa"/>
            <w:tcBorders>
              <w:top w:val="single" w:sz="4" w:space="0" w:color="000000"/>
              <w:left w:val="single" w:sz="4" w:space="0" w:color="000000"/>
              <w:bottom w:val="single" w:sz="4" w:space="0" w:color="000000"/>
              <w:right w:val="single" w:sz="4" w:space="0" w:color="000000"/>
            </w:tcBorders>
            <w:shd w:val="clear" w:color="auto" w:fill="008080"/>
            <w:vAlign w:val="bottom"/>
          </w:tcPr>
          <w:p w14:paraId="383A7409" w14:textId="77777777" w:rsidR="00E70533" w:rsidRPr="0024127B" w:rsidRDefault="00E70533" w:rsidP="006F0CF3">
            <w:pPr>
              <w:rPr>
                <w:rFonts w:ascii="Arial" w:hAnsi="Arial" w:cs="Arial"/>
                <w:b/>
                <w:bCs/>
                <w:color w:val="FFFFFF"/>
                <w:sz w:val="16"/>
                <w:szCs w:val="16"/>
              </w:rPr>
            </w:pPr>
            <w:r w:rsidRPr="0024127B">
              <w:rPr>
                <w:rFonts w:ascii="Arial" w:hAnsi="Arial" w:cs="Arial"/>
                <w:b/>
                <w:bCs/>
                <w:color w:val="FFFFFF"/>
                <w:sz w:val="16"/>
                <w:szCs w:val="16"/>
              </w:rPr>
              <w:t>Financial year</w:t>
            </w:r>
          </w:p>
        </w:tc>
        <w:tc>
          <w:tcPr>
            <w:tcW w:w="1134" w:type="dxa"/>
            <w:tcBorders>
              <w:top w:val="single" w:sz="4" w:space="0" w:color="000000"/>
              <w:left w:val="nil"/>
              <w:bottom w:val="single" w:sz="4" w:space="0" w:color="000000"/>
              <w:right w:val="single" w:sz="4" w:space="0" w:color="000000"/>
            </w:tcBorders>
            <w:shd w:val="clear" w:color="auto" w:fill="008080"/>
            <w:vAlign w:val="bottom"/>
          </w:tcPr>
          <w:p w14:paraId="35823D69" w14:textId="77777777" w:rsidR="00E70533" w:rsidRPr="0024127B" w:rsidRDefault="00E70533" w:rsidP="006F0CF3">
            <w:pPr>
              <w:jc w:val="right"/>
              <w:rPr>
                <w:rFonts w:ascii="Arial" w:hAnsi="Arial" w:cs="Arial"/>
                <w:b/>
                <w:bCs/>
                <w:color w:val="FFFFFF"/>
                <w:sz w:val="16"/>
                <w:szCs w:val="16"/>
              </w:rPr>
            </w:pPr>
            <w:r w:rsidRPr="0024127B">
              <w:rPr>
                <w:rFonts w:ascii="Arial" w:hAnsi="Arial" w:cs="Arial"/>
                <w:b/>
                <w:bCs/>
                <w:color w:val="FFFFFF"/>
                <w:sz w:val="16"/>
                <w:szCs w:val="16"/>
              </w:rPr>
              <w:t>Australia</w:t>
            </w:r>
          </w:p>
        </w:tc>
      </w:tr>
      <w:tr w:rsidR="00E70533" w:rsidRPr="000E4B4B" w14:paraId="70C920FD" w14:textId="77777777" w:rsidTr="006F0CF3">
        <w:trPr>
          <w:trHeight w:val="246"/>
        </w:trPr>
        <w:tc>
          <w:tcPr>
            <w:tcW w:w="1418" w:type="dxa"/>
            <w:tcBorders>
              <w:top w:val="nil"/>
              <w:left w:val="single" w:sz="4" w:space="0" w:color="000000"/>
              <w:bottom w:val="single" w:sz="4" w:space="0" w:color="auto"/>
              <w:right w:val="single" w:sz="4" w:space="0" w:color="000000"/>
            </w:tcBorders>
            <w:shd w:val="clear" w:color="000000" w:fill="FFFFFF"/>
            <w:vAlign w:val="center"/>
            <w:hideMark/>
          </w:tcPr>
          <w:p w14:paraId="5D06BD5C" w14:textId="77777777" w:rsidR="00E70533" w:rsidRPr="0024127B" w:rsidRDefault="00E70533" w:rsidP="006F0CF3">
            <w:pPr>
              <w:rPr>
                <w:rFonts w:ascii="Arial" w:hAnsi="Arial" w:cs="Arial"/>
                <w:b/>
                <w:bCs/>
                <w:color w:val="000000"/>
                <w:sz w:val="16"/>
                <w:szCs w:val="16"/>
              </w:rPr>
            </w:pPr>
            <w:r w:rsidRPr="0024127B">
              <w:rPr>
                <w:rFonts w:ascii="Arial" w:hAnsi="Arial" w:cs="Arial"/>
                <w:b/>
                <w:bCs/>
                <w:color w:val="000000"/>
                <w:sz w:val="16"/>
                <w:szCs w:val="16"/>
              </w:rPr>
              <w:t>2013-14</w:t>
            </w:r>
          </w:p>
        </w:tc>
        <w:tc>
          <w:tcPr>
            <w:tcW w:w="1134" w:type="dxa"/>
            <w:tcBorders>
              <w:top w:val="nil"/>
              <w:left w:val="nil"/>
              <w:bottom w:val="single" w:sz="4" w:space="0" w:color="auto"/>
              <w:right w:val="single" w:sz="4" w:space="0" w:color="000000"/>
            </w:tcBorders>
            <w:shd w:val="clear" w:color="000000" w:fill="FFFFFF"/>
            <w:vAlign w:val="bottom"/>
            <w:hideMark/>
          </w:tcPr>
          <w:p w14:paraId="669B5999" w14:textId="77777777" w:rsidR="00E70533" w:rsidRPr="0024127B" w:rsidRDefault="00E70533" w:rsidP="006F0CF3">
            <w:pPr>
              <w:jc w:val="right"/>
              <w:rPr>
                <w:rFonts w:ascii="Arial" w:hAnsi="Arial" w:cs="Arial"/>
                <w:color w:val="000000"/>
                <w:sz w:val="18"/>
                <w:szCs w:val="18"/>
              </w:rPr>
            </w:pPr>
            <w:r w:rsidRPr="0024127B">
              <w:rPr>
                <w:rFonts w:ascii="Arial" w:hAnsi="Arial" w:cs="Arial"/>
                <w:color w:val="000000"/>
                <w:sz w:val="18"/>
                <w:szCs w:val="18"/>
              </w:rPr>
              <w:t>17</w:t>
            </w:r>
          </w:p>
        </w:tc>
      </w:tr>
      <w:tr w:rsidR="00E70533" w:rsidRPr="004806EA" w14:paraId="6E852605" w14:textId="77777777" w:rsidTr="006F0CF3">
        <w:trPr>
          <w:trHeight w:val="193"/>
        </w:trPr>
        <w:tc>
          <w:tcPr>
            <w:tcW w:w="1418" w:type="dxa"/>
            <w:tcBorders>
              <w:top w:val="single" w:sz="4" w:space="0" w:color="auto"/>
              <w:left w:val="single" w:sz="4" w:space="0" w:color="000000"/>
              <w:bottom w:val="single" w:sz="4" w:space="0" w:color="auto"/>
              <w:right w:val="single" w:sz="4" w:space="0" w:color="000000"/>
            </w:tcBorders>
            <w:shd w:val="clear" w:color="000000" w:fill="FFFFFF"/>
            <w:vAlign w:val="center"/>
          </w:tcPr>
          <w:p w14:paraId="6F038504" w14:textId="77777777" w:rsidR="00E70533" w:rsidRPr="0024127B" w:rsidRDefault="00E70533" w:rsidP="006F0CF3">
            <w:pPr>
              <w:rPr>
                <w:rFonts w:ascii="Arial" w:hAnsi="Arial" w:cs="Arial"/>
                <w:b/>
                <w:bCs/>
                <w:color w:val="000000"/>
                <w:sz w:val="16"/>
                <w:szCs w:val="16"/>
              </w:rPr>
            </w:pPr>
            <w:r w:rsidRPr="0024127B">
              <w:rPr>
                <w:rFonts w:ascii="Arial" w:hAnsi="Arial" w:cs="Arial"/>
                <w:b/>
                <w:bCs/>
                <w:color w:val="000000"/>
                <w:sz w:val="16"/>
                <w:szCs w:val="16"/>
              </w:rPr>
              <w:t>2014-15</w:t>
            </w:r>
          </w:p>
        </w:tc>
        <w:tc>
          <w:tcPr>
            <w:tcW w:w="1134" w:type="dxa"/>
            <w:tcBorders>
              <w:top w:val="single" w:sz="4" w:space="0" w:color="auto"/>
              <w:left w:val="nil"/>
              <w:bottom w:val="single" w:sz="4" w:space="0" w:color="auto"/>
              <w:right w:val="single" w:sz="4" w:space="0" w:color="000000"/>
            </w:tcBorders>
            <w:shd w:val="clear" w:color="000000" w:fill="FFFFFF"/>
            <w:vAlign w:val="bottom"/>
          </w:tcPr>
          <w:p w14:paraId="7512D513" w14:textId="77777777" w:rsidR="00E70533" w:rsidRPr="0024127B" w:rsidRDefault="00E70533" w:rsidP="006F0CF3">
            <w:pPr>
              <w:jc w:val="right"/>
              <w:rPr>
                <w:rFonts w:ascii="Arial" w:hAnsi="Arial" w:cs="Arial"/>
                <w:color w:val="000000"/>
                <w:sz w:val="18"/>
                <w:szCs w:val="18"/>
              </w:rPr>
            </w:pPr>
            <w:r w:rsidRPr="0024127B">
              <w:rPr>
                <w:rFonts w:ascii="Arial" w:hAnsi="Arial" w:cs="Arial"/>
                <w:color w:val="000000"/>
                <w:sz w:val="18"/>
                <w:szCs w:val="18"/>
              </w:rPr>
              <w:t>49</w:t>
            </w:r>
          </w:p>
        </w:tc>
      </w:tr>
      <w:tr w:rsidR="00E70533" w:rsidRPr="004806EA" w14:paraId="36D2C98C" w14:textId="77777777" w:rsidTr="006F0CF3">
        <w:trPr>
          <w:trHeight w:val="193"/>
        </w:trPr>
        <w:tc>
          <w:tcPr>
            <w:tcW w:w="1418"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5109238" w14:textId="77777777" w:rsidR="00E70533" w:rsidRPr="0024127B" w:rsidRDefault="00E70533" w:rsidP="006F0CF3">
            <w:pPr>
              <w:rPr>
                <w:rFonts w:ascii="Arial" w:hAnsi="Arial" w:cs="Arial"/>
                <w:b/>
                <w:bCs/>
                <w:color w:val="000000"/>
                <w:sz w:val="16"/>
                <w:szCs w:val="16"/>
              </w:rPr>
            </w:pPr>
            <w:r w:rsidRPr="0024127B">
              <w:rPr>
                <w:rFonts w:ascii="Arial" w:hAnsi="Arial" w:cs="Arial"/>
                <w:b/>
                <w:bCs/>
                <w:color w:val="000000"/>
                <w:sz w:val="16"/>
                <w:szCs w:val="16"/>
              </w:rPr>
              <w:t>2015-16</w:t>
            </w:r>
          </w:p>
        </w:tc>
        <w:tc>
          <w:tcPr>
            <w:tcW w:w="1134" w:type="dxa"/>
            <w:tcBorders>
              <w:top w:val="single" w:sz="4" w:space="0" w:color="auto"/>
              <w:left w:val="nil"/>
              <w:bottom w:val="single" w:sz="4" w:space="0" w:color="000000"/>
              <w:right w:val="single" w:sz="4" w:space="0" w:color="000000"/>
            </w:tcBorders>
            <w:shd w:val="clear" w:color="000000" w:fill="FFFFFF"/>
            <w:vAlign w:val="bottom"/>
          </w:tcPr>
          <w:p w14:paraId="67C62052" w14:textId="77777777" w:rsidR="00E70533" w:rsidRPr="0024127B" w:rsidRDefault="00E70533" w:rsidP="006F0CF3">
            <w:pPr>
              <w:jc w:val="right"/>
              <w:rPr>
                <w:rFonts w:ascii="Arial" w:hAnsi="Arial" w:cs="Arial"/>
                <w:color w:val="000000"/>
                <w:sz w:val="18"/>
                <w:szCs w:val="18"/>
              </w:rPr>
            </w:pPr>
            <w:r w:rsidRPr="0024127B">
              <w:rPr>
                <w:rFonts w:ascii="Arial" w:hAnsi="Arial" w:cs="Arial"/>
                <w:color w:val="000000"/>
                <w:sz w:val="18"/>
                <w:szCs w:val="18"/>
              </w:rPr>
              <w:t>64</w:t>
            </w:r>
          </w:p>
        </w:tc>
      </w:tr>
    </w:tbl>
    <w:p w14:paraId="5F6095C3" w14:textId="338BD7EC" w:rsidR="00E70533" w:rsidRPr="006F0CF3" w:rsidRDefault="00E70533" w:rsidP="00FC1420">
      <w:pPr>
        <w:pStyle w:val="Heading3"/>
        <w:rPr>
          <w:rFonts w:cs="Times New Roman"/>
          <w:szCs w:val="18"/>
        </w:rPr>
      </w:pPr>
      <w:r w:rsidRPr="00FC1420">
        <w:t>Table 6: Practitioner specialties providing item 18375 from 2013-14 to 2015-16</w:t>
      </w:r>
    </w:p>
    <w:tbl>
      <w:tblPr>
        <w:tblW w:w="4907" w:type="dxa"/>
        <w:tblInd w:w="93" w:type="dxa"/>
        <w:tblLook w:val="04A0" w:firstRow="1" w:lastRow="0" w:firstColumn="1" w:lastColumn="0" w:noHBand="0" w:noVBand="1"/>
        <w:tblDescription w:val="Table 6 presents the practitioner specialities for service providers of the MBS item 18375 from 2013-14 to 2015-16. Financial years are separated by columns and the practitioner speciality is separated by rows, with separate rows for surgery - general surgery, surgery - urology, other and total."/>
      </w:tblPr>
      <w:tblGrid>
        <w:gridCol w:w="2345"/>
        <w:gridCol w:w="854"/>
        <w:gridCol w:w="854"/>
        <w:gridCol w:w="854"/>
      </w:tblGrid>
      <w:tr w:rsidR="00E70533" w14:paraId="444B8EB5" w14:textId="77777777" w:rsidTr="003E360A">
        <w:trPr>
          <w:trHeight w:val="326"/>
          <w:tblHeader/>
        </w:trPr>
        <w:tc>
          <w:tcPr>
            <w:tcW w:w="0" w:type="auto"/>
            <w:tcBorders>
              <w:top w:val="single" w:sz="4" w:space="0" w:color="auto"/>
              <w:left w:val="single" w:sz="4" w:space="0" w:color="auto"/>
              <w:bottom w:val="nil"/>
              <w:right w:val="single" w:sz="4" w:space="0" w:color="000000"/>
            </w:tcBorders>
            <w:shd w:val="clear" w:color="auto" w:fill="008080"/>
            <w:vAlign w:val="center"/>
            <w:hideMark/>
          </w:tcPr>
          <w:p w14:paraId="175E424B" w14:textId="77777777" w:rsidR="00E70533" w:rsidRDefault="00E70533" w:rsidP="006F0CF3">
            <w:pPr>
              <w:jc w:val="center"/>
              <w:rPr>
                <w:rFonts w:ascii="Arial" w:hAnsi="Arial" w:cs="Arial"/>
                <w:b/>
                <w:bCs/>
                <w:color w:val="FFFFFF"/>
                <w:sz w:val="16"/>
                <w:szCs w:val="16"/>
              </w:rPr>
            </w:pPr>
            <w:r w:rsidRPr="00357FAC">
              <w:rPr>
                <w:rFonts w:ascii="Arial" w:hAnsi="Arial" w:cs="Arial"/>
                <w:b/>
                <w:bCs/>
                <w:color w:val="FFFFFF"/>
                <w:sz w:val="16"/>
                <w:szCs w:val="16"/>
              </w:rPr>
              <w:t>Practitioner specialty</w:t>
            </w:r>
          </w:p>
        </w:tc>
        <w:tc>
          <w:tcPr>
            <w:tcW w:w="0" w:type="auto"/>
            <w:tcBorders>
              <w:top w:val="single" w:sz="4" w:space="0" w:color="auto"/>
              <w:left w:val="nil"/>
              <w:bottom w:val="single" w:sz="4" w:space="0" w:color="000000"/>
              <w:right w:val="single" w:sz="4" w:space="0" w:color="000000"/>
            </w:tcBorders>
            <w:shd w:val="clear" w:color="auto" w:fill="008080"/>
            <w:vAlign w:val="center"/>
            <w:hideMark/>
          </w:tcPr>
          <w:p w14:paraId="1621F2AB"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2013-14</w:t>
            </w:r>
          </w:p>
        </w:tc>
        <w:tc>
          <w:tcPr>
            <w:tcW w:w="0" w:type="auto"/>
            <w:tcBorders>
              <w:top w:val="single" w:sz="4" w:space="0" w:color="auto"/>
              <w:left w:val="nil"/>
              <w:bottom w:val="single" w:sz="4" w:space="0" w:color="000000"/>
              <w:right w:val="single" w:sz="4" w:space="0" w:color="000000"/>
            </w:tcBorders>
            <w:shd w:val="clear" w:color="auto" w:fill="008080"/>
            <w:vAlign w:val="center"/>
            <w:hideMark/>
          </w:tcPr>
          <w:p w14:paraId="2F673F2C"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2014-15</w:t>
            </w:r>
          </w:p>
        </w:tc>
        <w:tc>
          <w:tcPr>
            <w:tcW w:w="0" w:type="auto"/>
            <w:tcBorders>
              <w:top w:val="single" w:sz="4" w:space="0" w:color="auto"/>
              <w:left w:val="nil"/>
              <w:bottom w:val="single" w:sz="4" w:space="0" w:color="000000"/>
              <w:right w:val="single" w:sz="4" w:space="0" w:color="000000"/>
            </w:tcBorders>
            <w:shd w:val="clear" w:color="auto" w:fill="008080"/>
            <w:vAlign w:val="center"/>
            <w:hideMark/>
          </w:tcPr>
          <w:p w14:paraId="26EF458A" w14:textId="77777777" w:rsidR="00E70533" w:rsidRDefault="00E70533" w:rsidP="006F0CF3">
            <w:pPr>
              <w:jc w:val="center"/>
              <w:rPr>
                <w:rFonts w:ascii="Arial" w:hAnsi="Arial" w:cs="Arial"/>
                <w:b/>
                <w:bCs/>
                <w:color w:val="FFFFFF"/>
                <w:sz w:val="16"/>
                <w:szCs w:val="16"/>
              </w:rPr>
            </w:pPr>
            <w:r>
              <w:rPr>
                <w:rFonts w:ascii="Arial" w:hAnsi="Arial" w:cs="Arial"/>
                <w:b/>
                <w:bCs/>
                <w:color w:val="FFFFFF"/>
                <w:sz w:val="16"/>
                <w:szCs w:val="16"/>
              </w:rPr>
              <w:t>2015-16</w:t>
            </w:r>
          </w:p>
        </w:tc>
      </w:tr>
      <w:tr w:rsidR="00E70533" w14:paraId="0F33A158" w14:textId="77777777" w:rsidTr="006F0CF3">
        <w:trPr>
          <w:trHeight w:val="326"/>
        </w:trPr>
        <w:tc>
          <w:tcPr>
            <w:tcW w:w="0" w:type="auto"/>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14:paraId="21AE8BD9"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Surgery - General Surgery</w:t>
            </w:r>
          </w:p>
        </w:tc>
        <w:tc>
          <w:tcPr>
            <w:tcW w:w="0" w:type="auto"/>
            <w:tcBorders>
              <w:top w:val="single" w:sz="4" w:space="0" w:color="auto"/>
              <w:left w:val="single" w:sz="4" w:space="0" w:color="000000"/>
              <w:bottom w:val="single" w:sz="4" w:space="0" w:color="000000"/>
              <w:right w:val="single" w:sz="4" w:space="0" w:color="000000"/>
            </w:tcBorders>
            <w:vAlign w:val="bottom"/>
            <w:hideMark/>
          </w:tcPr>
          <w:p w14:paraId="4037D25B"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12</w:t>
            </w:r>
          </w:p>
        </w:tc>
        <w:tc>
          <w:tcPr>
            <w:tcW w:w="0" w:type="auto"/>
            <w:tcBorders>
              <w:top w:val="single" w:sz="4" w:space="0" w:color="auto"/>
              <w:left w:val="single" w:sz="4" w:space="0" w:color="000000"/>
              <w:bottom w:val="single" w:sz="4" w:space="0" w:color="000000"/>
              <w:right w:val="single" w:sz="4" w:space="0" w:color="000000"/>
            </w:tcBorders>
            <w:vAlign w:val="bottom"/>
            <w:hideMark/>
          </w:tcPr>
          <w:p w14:paraId="388DD4AF"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19</w:t>
            </w:r>
          </w:p>
        </w:tc>
        <w:tc>
          <w:tcPr>
            <w:tcW w:w="0" w:type="auto"/>
            <w:tcBorders>
              <w:top w:val="single" w:sz="4" w:space="0" w:color="auto"/>
              <w:left w:val="single" w:sz="4" w:space="0" w:color="000000"/>
              <w:bottom w:val="single" w:sz="4" w:space="0" w:color="000000"/>
              <w:right w:val="single" w:sz="4" w:space="0" w:color="000000"/>
            </w:tcBorders>
            <w:vAlign w:val="bottom"/>
            <w:hideMark/>
          </w:tcPr>
          <w:p w14:paraId="34251F6E"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14</w:t>
            </w:r>
          </w:p>
        </w:tc>
      </w:tr>
      <w:tr w:rsidR="00E70533" w14:paraId="7A36C232" w14:textId="77777777" w:rsidTr="006F0CF3">
        <w:trPr>
          <w:trHeight w:val="32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4AC17367"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Surgery - Urology</w:t>
            </w:r>
          </w:p>
        </w:tc>
        <w:tc>
          <w:tcPr>
            <w:tcW w:w="0" w:type="auto"/>
            <w:tcBorders>
              <w:top w:val="nil"/>
              <w:left w:val="nil"/>
              <w:bottom w:val="single" w:sz="4" w:space="0" w:color="000000"/>
              <w:right w:val="single" w:sz="4" w:space="0" w:color="000000"/>
            </w:tcBorders>
            <w:shd w:val="clear" w:color="000000" w:fill="FFFFFF"/>
            <w:noWrap/>
            <w:vAlign w:val="bottom"/>
            <w:hideMark/>
          </w:tcPr>
          <w:p w14:paraId="7A75065D"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58</w:t>
            </w:r>
          </w:p>
        </w:tc>
        <w:tc>
          <w:tcPr>
            <w:tcW w:w="0" w:type="auto"/>
            <w:tcBorders>
              <w:top w:val="nil"/>
              <w:left w:val="nil"/>
              <w:bottom w:val="single" w:sz="4" w:space="0" w:color="000000"/>
              <w:right w:val="single" w:sz="4" w:space="0" w:color="000000"/>
            </w:tcBorders>
            <w:shd w:val="clear" w:color="000000" w:fill="FFFFFF"/>
            <w:noWrap/>
            <w:vAlign w:val="bottom"/>
            <w:hideMark/>
          </w:tcPr>
          <w:p w14:paraId="768216B7"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275</w:t>
            </w:r>
          </w:p>
        </w:tc>
        <w:tc>
          <w:tcPr>
            <w:tcW w:w="0" w:type="auto"/>
            <w:tcBorders>
              <w:top w:val="nil"/>
              <w:left w:val="nil"/>
              <w:bottom w:val="single" w:sz="4" w:space="0" w:color="000000"/>
              <w:right w:val="single" w:sz="4" w:space="0" w:color="000000"/>
            </w:tcBorders>
            <w:shd w:val="clear" w:color="000000" w:fill="FFFFFF"/>
            <w:noWrap/>
            <w:vAlign w:val="bottom"/>
            <w:hideMark/>
          </w:tcPr>
          <w:p w14:paraId="77AE7120"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428</w:t>
            </w:r>
          </w:p>
        </w:tc>
      </w:tr>
      <w:tr w:rsidR="00E70533" w14:paraId="1EC09B19" w14:textId="77777777" w:rsidTr="006F0CF3">
        <w:trPr>
          <w:trHeight w:val="326"/>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14:paraId="21C4F5D2" w14:textId="77777777" w:rsidR="00E70533" w:rsidRDefault="00E70533" w:rsidP="006F0CF3">
            <w:pPr>
              <w:rPr>
                <w:rFonts w:ascii="Arial" w:hAnsi="Arial" w:cs="Arial"/>
                <w:b/>
                <w:bCs/>
                <w:color w:val="000000"/>
                <w:sz w:val="16"/>
                <w:szCs w:val="16"/>
              </w:rPr>
            </w:pPr>
            <w:r>
              <w:rPr>
                <w:rFonts w:ascii="Arial" w:hAnsi="Arial" w:cs="Arial"/>
                <w:b/>
                <w:bCs/>
                <w:color w:val="000000"/>
                <w:sz w:val="16"/>
                <w:szCs w:val="16"/>
              </w:rPr>
              <w:t xml:space="preserve">Other </w:t>
            </w:r>
          </w:p>
        </w:tc>
        <w:tc>
          <w:tcPr>
            <w:tcW w:w="0" w:type="auto"/>
            <w:tcBorders>
              <w:top w:val="nil"/>
              <w:left w:val="nil"/>
              <w:bottom w:val="single" w:sz="4" w:space="0" w:color="000000"/>
              <w:right w:val="single" w:sz="4" w:space="0" w:color="000000"/>
            </w:tcBorders>
            <w:shd w:val="clear" w:color="000000" w:fill="FFFFFF"/>
            <w:noWrap/>
            <w:vAlign w:val="bottom"/>
            <w:hideMark/>
          </w:tcPr>
          <w:p w14:paraId="1C17444B" w14:textId="57B00C80" w:rsidR="00E70533" w:rsidRDefault="00B30E56" w:rsidP="006F0CF3">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nil"/>
              <w:left w:val="nil"/>
              <w:bottom w:val="single" w:sz="4" w:space="0" w:color="000000"/>
              <w:right w:val="single" w:sz="4" w:space="0" w:color="000000"/>
            </w:tcBorders>
            <w:shd w:val="clear" w:color="000000" w:fill="FFFFFF"/>
            <w:noWrap/>
            <w:vAlign w:val="bottom"/>
            <w:hideMark/>
          </w:tcPr>
          <w:p w14:paraId="43A3C444" w14:textId="0060887C" w:rsidR="00E70533" w:rsidRDefault="00B30E56" w:rsidP="006F0CF3">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0" w:type="auto"/>
            <w:tcBorders>
              <w:top w:val="nil"/>
              <w:left w:val="nil"/>
              <w:bottom w:val="single" w:sz="4" w:space="0" w:color="000000"/>
              <w:right w:val="single" w:sz="4" w:space="0" w:color="000000"/>
            </w:tcBorders>
            <w:shd w:val="clear" w:color="000000" w:fill="FFFFFF"/>
            <w:noWrap/>
            <w:vAlign w:val="bottom"/>
            <w:hideMark/>
          </w:tcPr>
          <w:p w14:paraId="7CAD486E" w14:textId="21022622" w:rsidR="00E70533" w:rsidRDefault="00B30E56" w:rsidP="006F0CF3">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r>
    </w:tbl>
    <w:p w14:paraId="6A7DABCA" w14:textId="6C25390E" w:rsidR="00B30E56" w:rsidRPr="00B30E56" w:rsidRDefault="00B30E56" w:rsidP="00FC1420">
      <w:pPr>
        <w:pStyle w:val="Heading3"/>
        <w:rPr>
          <w:b w:val="0"/>
        </w:rPr>
      </w:pPr>
      <w:r>
        <w:rPr>
          <w:b w:val="0"/>
        </w:rPr>
        <w:t>NP</w:t>
      </w:r>
      <w:r w:rsidRPr="00B30E56">
        <w:rPr>
          <w:b w:val="0"/>
        </w:rPr>
        <w:t xml:space="preserve"> = not </w:t>
      </w:r>
      <w:r>
        <w:rPr>
          <w:b w:val="0"/>
        </w:rPr>
        <w:t>printed</w:t>
      </w:r>
    </w:p>
    <w:p w14:paraId="26FDDF28" w14:textId="45E92644" w:rsidR="00E70533" w:rsidRPr="00FC1420" w:rsidRDefault="00E70533" w:rsidP="00FC1420">
      <w:pPr>
        <w:pStyle w:val="Heading3"/>
      </w:pPr>
      <w:r w:rsidRPr="00FC1420">
        <w:t>Table 7: Cumulative percentage of medical practitioners providing item 18375 and how many services each percentile accounts for in 2013-14 to 2015-16</w:t>
      </w:r>
    </w:p>
    <w:tbl>
      <w:tblPr>
        <w:tblW w:w="4432" w:type="dxa"/>
        <w:tblLook w:val="04A0" w:firstRow="1" w:lastRow="0" w:firstColumn="1" w:lastColumn="0" w:noHBand="0" w:noVBand="1"/>
        <w:tblDescription w:val="Table 7 presents the cumulative percentage of medical practitioners providing item 18375 and how many services each percentile accounts for in 2013-14, 2014-15 and 2015-16. The financial years are split into each column and the cumulative percentage of medical practitioners is split into ten rows - one row each for 10, 20, 30, 40, 50, 60, 70, 80, 90 and 100%."/>
      </w:tblPr>
      <w:tblGrid>
        <w:gridCol w:w="1012"/>
        <w:gridCol w:w="1140"/>
        <w:gridCol w:w="1140"/>
        <w:gridCol w:w="1140"/>
      </w:tblGrid>
      <w:tr w:rsidR="00E70533" w14:paraId="6352E542" w14:textId="77777777" w:rsidTr="003E360A">
        <w:trPr>
          <w:trHeight w:val="300"/>
          <w:tblHeader/>
        </w:trPr>
        <w:tc>
          <w:tcPr>
            <w:tcW w:w="1012" w:type="dxa"/>
            <w:tcBorders>
              <w:top w:val="single" w:sz="4" w:space="0" w:color="auto"/>
              <w:left w:val="single" w:sz="4" w:space="0" w:color="auto"/>
              <w:bottom w:val="single" w:sz="4" w:space="0" w:color="000000"/>
              <w:right w:val="single" w:sz="4" w:space="0" w:color="000000"/>
            </w:tcBorders>
            <w:shd w:val="clear" w:color="auto" w:fill="008080"/>
            <w:vAlign w:val="center"/>
            <w:hideMark/>
          </w:tcPr>
          <w:p w14:paraId="7466D54C" w14:textId="77777777" w:rsidR="00E70533" w:rsidRPr="00FA7F64" w:rsidRDefault="00E70533" w:rsidP="00E86450">
            <w:pPr>
              <w:rPr>
                <w:rFonts w:ascii="Arial" w:hAnsi="Arial" w:cs="Arial"/>
                <w:b/>
                <w:bCs/>
                <w:color w:val="FFFFFF" w:themeColor="background1"/>
                <w:sz w:val="16"/>
                <w:szCs w:val="16"/>
              </w:rPr>
            </w:pPr>
          </w:p>
        </w:tc>
        <w:tc>
          <w:tcPr>
            <w:tcW w:w="1140" w:type="dxa"/>
            <w:tcBorders>
              <w:top w:val="single" w:sz="4" w:space="0" w:color="000000"/>
              <w:left w:val="nil"/>
              <w:bottom w:val="single" w:sz="4" w:space="0" w:color="000000"/>
              <w:right w:val="single" w:sz="4" w:space="0" w:color="000000"/>
            </w:tcBorders>
            <w:shd w:val="clear" w:color="auto" w:fill="008080"/>
            <w:vAlign w:val="center"/>
            <w:hideMark/>
          </w:tcPr>
          <w:p w14:paraId="2811C7A9" w14:textId="77777777" w:rsidR="00E70533" w:rsidRPr="00FA7F64" w:rsidRDefault="00E70533" w:rsidP="00E86450">
            <w:pPr>
              <w:jc w:val="right"/>
              <w:rPr>
                <w:rFonts w:ascii="Arial" w:hAnsi="Arial" w:cs="Arial"/>
                <w:b/>
                <w:color w:val="FFFFFF" w:themeColor="background1"/>
                <w:sz w:val="18"/>
                <w:szCs w:val="18"/>
              </w:rPr>
            </w:pPr>
            <w:r w:rsidRPr="00FA7F64">
              <w:rPr>
                <w:rFonts w:ascii="Arial" w:hAnsi="Arial" w:cs="Arial"/>
                <w:b/>
                <w:color w:val="FFFFFF" w:themeColor="background1"/>
                <w:sz w:val="18"/>
                <w:szCs w:val="18"/>
              </w:rPr>
              <w:t>2013-14</w:t>
            </w:r>
          </w:p>
        </w:tc>
        <w:tc>
          <w:tcPr>
            <w:tcW w:w="1140" w:type="dxa"/>
            <w:tcBorders>
              <w:top w:val="single" w:sz="4" w:space="0" w:color="000000"/>
              <w:left w:val="nil"/>
              <w:bottom w:val="single" w:sz="4" w:space="0" w:color="000000"/>
              <w:right w:val="single" w:sz="4" w:space="0" w:color="000000"/>
            </w:tcBorders>
            <w:shd w:val="clear" w:color="auto" w:fill="008080"/>
            <w:vAlign w:val="center"/>
          </w:tcPr>
          <w:p w14:paraId="4D256C65" w14:textId="77777777" w:rsidR="00E70533" w:rsidRPr="00FA7F64" w:rsidRDefault="00E70533" w:rsidP="00E86450">
            <w:pPr>
              <w:jc w:val="right"/>
              <w:rPr>
                <w:rFonts w:ascii="Arial" w:hAnsi="Arial" w:cs="Arial"/>
                <w:b/>
                <w:color w:val="FFFFFF" w:themeColor="background1"/>
                <w:sz w:val="18"/>
                <w:szCs w:val="18"/>
              </w:rPr>
            </w:pPr>
            <w:r w:rsidRPr="00FA7F64">
              <w:rPr>
                <w:rFonts w:ascii="Arial" w:hAnsi="Arial" w:cs="Arial"/>
                <w:b/>
                <w:color w:val="FFFFFF" w:themeColor="background1"/>
                <w:sz w:val="18"/>
                <w:szCs w:val="18"/>
              </w:rPr>
              <w:t>2014-15</w:t>
            </w:r>
          </w:p>
        </w:tc>
        <w:tc>
          <w:tcPr>
            <w:tcW w:w="1140" w:type="dxa"/>
            <w:tcBorders>
              <w:top w:val="single" w:sz="4" w:space="0" w:color="000000"/>
              <w:left w:val="nil"/>
              <w:bottom w:val="single" w:sz="4" w:space="0" w:color="000000"/>
              <w:right w:val="single" w:sz="4" w:space="0" w:color="000000"/>
            </w:tcBorders>
            <w:shd w:val="clear" w:color="auto" w:fill="008080"/>
            <w:vAlign w:val="center"/>
          </w:tcPr>
          <w:p w14:paraId="2FBC3BE7" w14:textId="77777777" w:rsidR="00E70533" w:rsidRPr="00FA7F64" w:rsidRDefault="00E70533" w:rsidP="00E86450">
            <w:pPr>
              <w:jc w:val="right"/>
              <w:rPr>
                <w:rFonts w:ascii="Arial" w:hAnsi="Arial" w:cs="Arial"/>
                <w:b/>
                <w:color w:val="FFFFFF" w:themeColor="background1"/>
                <w:sz w:val="18"/>
                <w:szCs w:val="18"/>
              </w:rPr>
            </w:pPr>
            <w:r w:rsidRPr="00FA7F64">
              <w:rPr>
                <w:rFonts w:ascii="Arial" w:hAnsi="Arial" w:cs="Arial"/>
                <w:b/>
                <w:color w:val="FFFFFF" w:themeColor="background1"/>
                <w:sz w:val="18"/>
                <w:szCs w:val="18"/>
              </w:rPr>
              <w:t>2015-16</w:t>
            </w:r>
          </w:p>
        </w:tc>
      </w:tr>
      <w:tr w:rsidR="00E70533" w14:paraId="12B73E5F" w14:textId="77777777" w:rsidTr="00E86450">
        <w:trPr>
          <w:trHeight w:val="300"/>
        </w:trPr>
        <w:tc>
          <w:tcPr>
            <w:tcW w:w="1012"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14:paraId="7E31F4BB"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10%</w:t>
            </w:r>
          </w:p>
        </w:tc>
        <w:tc>
          <w:tcPr>
            <w:tcW w:w="1140" w:type="dxa"/>
            <w:tcBorders>
              <w:top w:val="single" w:sz="4" w:space="0" w:color="000000"/>
              <w:left w:val="nil"/>
              <w:bottom w:val="single" w:sz="4" w:space="0" w:color="000000"/>
              <w:right w:val="single" w:sz="4" w:space="0" w:color="000000"/>
            </w:tcBorders>
            <w:shd w:val="clear" w:color="000000" w:fill="FFFFFF"/>
            <w:vAlign w:val="bottom"/>
            <w:hideMark/>
          </w:tcPr>
          <w:p w14:paraId="5D86AF61"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39%</w:t>
            </w:r>
          </w:p>
        </w:tc>
        <w:tc>
          <w:tcPr>
            <w:tcW w:w="1140" w:type="dxa"/>
            <w:tcBorders>
              <w:top w:val="single" w:sz="4" w:space="0" w:color="000000"/>
              <w:left w:val="nil"/>
              <w:bottom w:val="single" w:sz="4" w:space="0" w:color="000000"/>
              <w:right w:val="single" w:sz="4" w:space="0" w:color="000000"/>
            </w:tcBorders>
            <w:shd w:val="clear" w:color="000000" w:fill="FFFFFF"/>
            <w:vAlign w:val="bottom"/>
          </w:tcPr>
          <w:p w14:paraId="13030969"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53%</w:t>
            </w:r>
          </w:p>
        </w:tc>
        <w:tc>
          <w:tcPr>
            <w:tcW w:w="1140" w:type="dxa"/>
            <w:tcBorders>
              <w:top w:val="single" w:sz="4" w:space="0" w:color="000000"/>
              <w:left w:val="nil"/>
              <w:bottom w:val="single" w:sz="4" w:space="0" w:color="000000"/>
              <w:right w:val="single" w:sz="4" w:space="0" w:color="000000"/>
            </w:tcBorders>
            <w:shd w:val="clear" w:color="000000" w:fill="FFFFFF"/>
            <w:vAlign w:val="bottom"/>
          </w:tcPr>
          <w:p w14:paraId="768CCD92"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53%</w:t>
            </w:r>
          </w:p>
        </w:tc>
      </w:tr>
      <w:tr w:rsidR="00E70533" w14:paraId="3D8BA694"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1AE07E62"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20%</w:t>
            </w:r>
          </w:p>
        </w:tc>
        <w:tc>
          <w:tcPr>
            <w:tcW w:w="1140" w:type="dxa"/>
            <w:tcBorders>
              <w:top w:val="nil"/>
              <w:left w:val="nil"/>
              <w:bottom w:val="single" w:sz="4" w:space="0" w:color="000000"/>
              <w:right w:val="single" w:sz="4" w:space="0" w:color="000000"/>
            </w:tcBorders>
            <w:shd w:val="clear" w:color="000000" w:fill="FFFFFF"/>
            <w:vAlign w:val="bottom"/>
            <w:hideMark/>
          </w:tcPr>
          <w:p w14:paraId="315D2E19"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63%</w:t>
            </w:r>
          </w:p>
        </w:tc>
        <w:tc>
          <w:tcPr>
            <w:tcW w:w="1140" w:type="dxa"/>
            <w:tcBorders>
              <w:top w:val="nil"/>
              <w:left w:val="nil"/>
              <w:bottom w:val="single" w:sz="4" w:space="0" w:color="000000"/>
              <w:right w:val="single" w:sz="4" w:space="0" w:color="000000"/>
            </w:tcBorders>
            <w:shd w:val="clear" w:color="000000" w:fill="FFFFFF"/>
            <w:vAlign w:val="bottom"/>
          </w:tcPr>
          <w:p w14:paraId="5EBE4D45"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72%</w:t>
            </w:r>
          </w:p>
        </w:tc>
        <w:tc>
          <w:tcPr>
            <w:tcW w:w="1140" w:type="dxa"/>
            <w:tcBorders>
              <w:top w:val="nil"/>
              <w:left w:val="nil"/>
              <w:bottom w:val="single" w:sz="4" w:space="0" w:color="000000"/>
              <w:right w:val="single" w:sz="4" w:space="0" w:color="000000"/>
            </w:tcBorders>
            <w:shd w:val="clear" w:color="000000" w:fill="FFFFFF"/>
            <w:vAlign w:val="bottom"/>
          </w:tcPr>
          <w:p w14:paraId="45A74840"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66%</w:t>
            </w:r>
          </w:p>
        </w:tc>
      </w:tr>
      <w:tr w:rsidR="00E70533" w14:paraId="288E9E75"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318241C0"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30%</w:t>
            </w:r>
          </w:p>
        </w:tc>
        <w:tc>
          <w:tcPr>
            <w:tcW w:w="1140" w:type="dxa"/>
            <w:tcBorders>
              <w:top w:val="nil"/>
              <w:left w:val="nil"/>
              <w:bottom w:val="single" w:sz="4" w:space="0" w:color="000000"/>
              <w:right w:val="single" w:sz="4" w:space="0" w:color="000000"/>
            </w:tcBorders>
            <w:shd w:val="clear" w:color="000000" w:fill="FFFFFF"/>
            <w:vAlign w:val="bottom"/>
            <w:hideMark/>
          </w:tcPr>
          <w:p w14:paraId="6D212F40"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69%</w:t>
            </w:r>
          </w:p>
        </w:tc>
        <w:tc>
          <w:tcPr>
            <w:tcW w:w="1140" w:type="dxa"/>
            <w:tcBorders>
              <w:top w:val="nil"/>
              <w:left w:val="nil"/>
              <w:bottom w:val="single" w:sz="4" w:space="0" w:color="000000"/>
              <w:right w:val="single" w:sz="4" w:space="0" w:color="000000"/>
            </w:tcBorders>
            <w:shd w:val="clear" w:color="000000" w:fill="FFFFFF"/>
            <w:vAlign w:val="bottom"/>
          </w:tcPr>
          <w:p w14:paraId="2D1E958C"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83%</w:t>
            </w:r>
          </w:p>
        </w:tc>
        <w:tc>
          <w:tcPr>
            <w:tcW w:w="1140" w:type="dxa"/>
            <w:tcBorders>
              <w:top w:val="nil"/>
              <w:left w:val="nil"/>
              <w:bottom w:val="single" w:sz="4" w:space="0" w:color="000000"/>
              <w:right w:val="single" w:sz="4" w:space="0" w:color="000000"/>
            </w:tcBorders>
            <w:shd w:val="clear" w:color="000000" w:fill="FFFFFF"/>
            <w:vAlign w:val="bottom"/>
          </w:tcPr>
          <w:p w14:paraId="095BF9E6"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78%</w:t>
            </w:r>
          </w:p>
        </w:tc>
      </w:tr>
      <w:tr w:rsidR="00E70533" w14:paraId="076AF7AD"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0261C74C"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40%</w:t>
            </w:r>
          </w:p>
        </w:tc>
        <w:tc>
          <w:tcPr>
            <w:tcW w:w="1140" w:type="dxa"/>
            <w:tcBorders>
              <w:top w:val="nil"/>
              <w:left w:val="nil"/>
              <w:bottom w:val="single" w:sz="4" w:space="0" w:color="000000"/>
              <w:right w:val="single" w:sz="4" w:space="0" w:color="000000"/>
            </w:tcBorders>
            <w:shd w:val="clear" w:color="000000" w:fill="FFFFFF"/>
            <w:vAlign w:val="bottom"/>
            <w:hideMark/>
          </w:tcPr>
          <w:p w14:paraId="7C276B73"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80%</w:t>
            </w:r>
          </w:p>
        </w:tc>
        <w:tc>
          <w:tcPr>
            <w:tcW w:w="1140" w:type="dxa"/>
            <w:tcBorders>
              <w:top w:val="nil"/>
              <w:left w:val="nil"/>
              <w:bottom w:val="single" w:sz="4" w:space="0" w:color="000000"/>
              <w:right w:val="single" w:sz="4" w:space="0" w:color="000000"/>
            </w:tcBorders>
            <w:shd w:val="clear" w:color="000000" w:fill="FFFFFF"/>
            <w:vAlign w:val="bottom"/>
          </w:tcPr>
          <w:p w14:paraId="0F520781"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88%</w:t>
            </w:r>
          </w:p>
        </w:tc>
        <w:tc>
          <w:tcPr>
            <w:tcW w:w="1140" w:type="dxa"/>
            <w:tcBorders>
              <w:top w:val="nil"/>
              <w:left w:val="nil"/>
              <w:bottom w:val="single" w:sz="4" w:space="0" w:color="000000"/>
              <w:right w:val="single" w:sz="4" w:space="0" w:color="000000"/>
            </w:tcBorders>
            <w:shd w:val="clear" w:color="000000" w:fill="FFFFFF"/>
            <w:vAlign w:val="bottom"/>
          </w:tcPr>
          <w:p w14:paraId="58F6997B"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84%</w:t>
            </w:r>
          </w:p>
        </w:tc>
      </w:tr>
      <w:tr w:rsidR="00E70533" w14:paraId="0076A869"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2DAC6238"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50%</w:t>
            </w:r>
          </w:p>
        </w:tc>
        <w:tc>
          <w:tcPr>
            <w:tcW w:w="1140" w:type="dxa"/>
            <w:tcBorders>
              <w:top w:val="nil"/>
              <w:left w:val="nil"/>
              <w:bottom w:val="single" w:sz="4" w:space="0" w:color="000000"/>
              <w:right w:val="single" w:sz="4" w:space="0" w:color="000000"/>
            </w:tcBorders>
            <w:shd w:val="clear" w:color="000000" w:fill="FFFFFF"/>
            <w:vAlign w:val="bottom"/>
            <w:hideMark/>
          </w:tcPr>
          <w:p w14:paraId="4940C4ED"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87%</w:t>
            </w:r>
          </w:p>
        </w:tc>
        <w:tc>
          <w:tcPr>
            <w:tcW w:w="1140" w:type="dxa"/>
            <w:tcBorders>
              <w:top w:val="nil"/>
              <w:left w:val="nil"/>
              <w:bottom w:val="single" w:sz="4" w:space="0" w:color="000000"/>
              <w:right w:val="single" w:sz="4" w:space="0" w:color="000000"/>
            </w:tcBorders>
            <w:shd w:val="clear" w:color="000000" w:fill="FFFFFF"/>
            <w:vAlign w:val="bottom"/>
          </w:tcPr>
          <w:p w14:paraId="54CF95FB"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91%</w:t>
            </w:r>
          </w:p>
        </w:tc>
        <w:tc>
          <w:tcPr>
            <w:tcW w:w="1140" w:type="dxa"/>
            <w:tcBorders>
              <w:top w:val="nil"/>
              <w:left w:val="nil"/>
              <w:bottom w:val="single" w:sz="4" w:space="0" w:color="000000"/>
              <w:right w:val="single" w:sz="4" w:space="0" w:color="000000"/>
            </w:tcBorders>
            <w:shd w:val="clear" w:color="000000" w:fill="FFFFFF"/>
            <w:vAlign w:val="bottom"/>
          </w:tcPr>
          <w:p w14:paraId="3AB9AEE0"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90%</w:t>
            </w:r>
          </w:p>
        </w:tc>
      </w:tr>
      <w:tr w:rsidR="00E70533" w14:paraId="0266D916"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6327803C"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60%</w:t>
            </w:r>
          </w:p>
        </w:tc>
        <w:tc>
          <w:tcPr>
            <w:tcW w:w="1140" w:type="dxa"/>
            <w:tcBorders>
              <w:top w:val="nil"/>
              <w:left w:val="nil"/>
              <w:bottom w:val="single" w:sz="4" w:space="0" w:color="000000"/>
              <w:right w:val="single" w:sz="4" w:space="0" w:color="000000"/>
            </w:tcBorders>
            <w:shd w:val="clear" w:color="000000" w:fill="FFFFFF"/>
            <w:vAlign w:val="bottom"/>
            <w:hideMark/>
          </w:tcPr>
          <w:p w14:paraId="7D6F718F"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91%</w:t>
            </w:r>
          </w:p>
        </w:tc>
        <w:tc>
          <w:tcPr>
            <w:tcW w:w="1140" w:type="dxa"/>
            <w:tcBorders>
              <w:top w:val="nil"/>
              <w:left w:val="nil"/>
              <w:bottom w:val="single" w:sz="4" w:space="0" w:color="000000"/>
              <w:right w:val="single" w:sz="4" w:space="0" w:color="000000"/>
            </w:tcBorders>
            <w:shd w:val="clear" w:color="000000" w:fill="FFFFFF"/>
            <w:vAlign w:val="bottom"/>
          </w:tcPr>
          <w:p w14:paraId="3764789B"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94%</w:t>
            </w:r>
          </w:p>
        </w:tc>
        <w:tc>
          <w:tcPr>
            <w:tcW w:w="1140" w:type="dxa"/>
            <w:tcBorders>
              <w:top w:val="nil"/>
              <w:left w:val="nil"/>
              <w:bottom w:val="single" w:sz="4" w:space="0" w:color="000000"/>
              <w:right w:val="single" w:sz="4" w:space="0" w:color="000000"/>
            </w:tcBorders>
            <w:shd w:val="clear" w:color="000000" w:fill="FFFFFF"/>
            <w:vAlign w:val="bottom"/>
          </w:tcPr>
          <w:p w14:paraId="24739D50"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93%</w:t>
            </w:r>
          </w:p>
        </w:tc>
      </w:tr>
      <w:tr w:rsidR="00E70533" w14:paraId="7B2015E1"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3EA2DE5C"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70%</w:t>
            </w:r>
          </w:p>
        </w:tc>
        <w:tc>
          <w:tcPr>
            <w:tcW w:w="1140" w:type="dxa"/>
            <w:tcBorders>
              <w:top w:val="nil"/>
              <w:left w:val="nil"/>
              <w:bottom w:val="single" w:sz="4" w:space="0" w:color="000000"/>
              <w:right w:val="single" w:sz="4" w:space="0" w:color="000000"/>
            </w:tcBorders>
            <w:shd w:val="clear" w:color="000000" w:fill="FFFFFF"/>
            <w:vAlign w:val="bottom"/>
            <w:hideMark/>
          </w:tcPr>
          <w:p w14:paraId="09394033"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93%</w:t>
            </w:r>
          </w:p>
        </w:tc>
        <w:tc>
          <w:tcPr>
            <w:tcW w:w="1140" w:type="dxa"/>
            <w:tcBorders>
              <w:top w:val="nil"/>
              <w:left w:val="nil"/>
              <w:bottom w:val="single" w:sz="4" w:space="0" w:color="000000"/>
              <w:right w:val="single" w:sz="4" w:space="0" w:color="000000"/>
            </w:tcBorders>
            <w:shd w:val="clear" w:color="000000" w:fill="FFFFFF"/>
            <w:vAlign w:val="bottom"/>
          </w:tcPr>
          <w:p w14:paraId="7460A7A9"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96%</w:t>
            </w:r>
          </w:p>
        </w:tc>
        <w:tc>
          <w:tcPr>
            <w:tcW w:w="1140" w:type="dxa"/>
            <w:tcBorders>
              <w:top w:val="nil"/>
              <w:left w:val="nil"/>
              <w:bottom w:val="single" w:sz="4" w:space="0" w:color="000000"/>
              <w:right w:val="single" w:sz="4" w:space="0" w:color="000000"/>
            </w:tcBorders>
            <w:shd w:val="clear" w:color="000000" w:fill="FFFFFF"/>
            <w:vAlign w:val="bottom"/>
          </w:tcPr>
          <w:p w14:paraId="3B0CF502"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96%</w:t>
            </w:r>
          </w:p>
        </w:tc>
      </w:tr>
      <w:tr w:rsidR="00E70533" w14:paraId="6E776452"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18F455DF"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80%</w:t>
            </w:r>
          </w:p>
        </w:tc>
        <w:tc>
          <w:tcPr>
            <w:tcW w:w="1140" w:type="dxa"/>
            <w:tcBorders>
              <w:top w:val="nil"/>
              <w:left w:val="nil"/>
              <w:bottom w:val="single" w:sz="4" w:space="0" w:color="000000"/>
              <w:right w:val="single" w:sz="4" w:space="0" w:color="000000"/>
            </w:tcBorders>
            <w:shd w:val="clear" w:color="000000" w:fill="FFFFFF"/>
            <w:vAlign w:val="bottom"/>
            <w:hideMark/>
          </w:tcPr>
          <w:p w14:paraId="708F0C86"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96%</w:t>
            </w:r>
          </w:p>
        </w:tc>
        <w:tc>
          <w:tcPr>
            <w:tcW w:w="1140" w:type="dxa"/>
            <w:tcBorders>
              <w:top w:val="nil"/>
              <w:left w:val="nil"/>
              <w:bottom w:val="single" w:sz="4" w:space="0" w:color="000000"/>
              <w:right w:val="single" w:sz="4" w:space="0" w:color="000000"/>
            </w:tcBorders>
            <w:shd w:val="clear" w:color="000000" w:fill="FFFFFF"/>
            <w:vAlign w:val="bottom"/>
          </w:tcPr>
          <w:p w14:paraId="3AE05994"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97%</w:t>
            </w:r>
          </w:p>
        </w:tc>
        <w:tc>
          <w:tcPr>
            <w:tcW w:w="1140" w:type="dxa"/>
            <w:tcBorders>
              <w:top w:val="nil"/>
              <w:left w:val="nil"/>
              <w:bottom w:val="single" w:sz="4" w:space="0" w:color="000000"/>
              <w:right w:val="single" w:sz="4" w:space="0" w:color="000000"/>
            </w:tcBorders>
            <w:shd w:val="clear" w:color="000000" w:fill="FFFFFF"/>
            <w:vAlign w:val="bottom"/>
          </w:tcPr>
          <w:p w14:paraId="4BD967FE"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98%</w:t>
            </w:r>
          </w:p>
        </w:tc>
      </w:tr>
      <w:tr w:rsidR="00E70533" w14:paraId="55B6D4F4"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755090F3"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90%</w:t>
            </w:r>
          </w:p>
        </w:tc>
        <w:tc>
          <w:tcPr>
            <w:tcW w:w="1140" w:type="dxa"/>
            <w:tcBorders>
              <w:top w:val="nil"/>
              <w:left w:val="nil"/>
              <w:bottom w:val="single" w:sz="4" w:space="0" w:color="000000"/>
              <w:right w:val="single" w:sz="4" w:space="0" w:color="000000"/>
            </w:tcBorders>
            <w:shd w:val="clear" w:color="000000" w:fill="FFFFFF"/>
            <w:vAlign w:val="bottom"/>
            <w:hideMark/>
          </w:tcPr>
          <w:p w14:paraId="2ED5C186"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99%</w:t>
            </w:r>
          </w:p>
        </w:tc>
        <w:tc>
          <w:tcPr>
            <w:tcW w:w="1140" w:type="dxa"/>
            <w:tcBorders>
              <w:top w:val="nil"/>
              <w:left w:val="nil"/>
              <w:bottom w:val="single" w:sz="4" w:space="0" w:color="000000"/>
              <w:right w:val="single" w:sz="4" w:space="0" w:color="000000"/>
            </w:tcBorders>
            <w:shd w:val="clear" w:color="000000" w:fill="FFFFFF"/>
            <w:vAlign w:val="bottom"/>
          </w:tcPr>
          <w:p w14:paraId="596E0646"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99%</w:t>
            </w:r>
          </w:p>
        </w:tc>
        <w:tc>
          <w:tcPr>
            <w:tcW w:w="1140" w:type="dxa"/>
            <w:tcBorders>
              <w:top w:val="nil"/>
              <w:left w:val="nil"/>
              <w:bottom w:val="single" w:sz="4" w:space="0" w:color="000000"/>
              <w:right w:val="single" w:sz="4" w:space="0" w:color="000000"/>
            </w:tcBorders>
            <w:shd w:val="clear" w:color="000000" w:fill="FFFFFF"/>
            <w:vAlign w:val="bottom"/>
          </w:tcPr>
          <w:p w14:paraId="6CF3880A"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99%</w:t>
            </w:r>
          </w:p>
        </w:tc>
      </w:tr>
      <w:tr w:rsidR="00E70533" w14:paraId="355CB912" w14:textId="77777777" w:rsidTr="00E86450">
        <w:trPr>
          <w:trHeight w:val="300"/>
        </w:trPr>
        <w:tc>
          <w:tcPr>
            <w:tcW w:w="1012" w:type="dxa"/>
            <w:tcBorders>
              <w:top w:val="nil"/>
              <w:left w:val="single" w:sz="4" w:space="0" w:color="auto"/>
              <w:bottom w:val="single" w:sz="4" w:space="0" w:color="000000"/>
              <w:right w:val="single" w:sz="4" w:space="0" w:color="000000"/>
            </w:tcBorders>
            <w:shd w:val="clear" w:color="000000" w:fill="FFFFFF"/>
            <w:vAlign w:val="center"/>
            <w:hideMark/>
          </w:tcPr>
          <w:p w14:paraId="62146F14" w14:textId="77777777" w:rsidR="00E70533" w:rsidRDefault="00E70533" w:rsidP="00E86450">
            <w:pPr>
              <w:rPr>
                <w:rFonts w:ascii="Arial" w:hAnsi="Arial" w:cs="Arial"/>
                <w:b/>
                <w:bCs/>
                <w:color w:val="000000"/>
                <w:sz w:val="16"/>
                <w:szCs w:val="16"/>
              </w:rPr>
            </w:pPr>
            <w:r>
              <w:rPr>
                <w:rFonts w:ascii="Arial" w:hAnsi="Arial" w:cs="Arial"/>
                <w:b/>
                <w:bCs/>
                <w:color w:val="000000"/>
                <w:sz w:val="16"/>
                <w:szCs w:val="16"/>
              </w:rPr>
              <w:t>100%</w:t>
            </w:r>
          </w:p>
        </w:tc>
        <w:tc>
          <w:tcPr>
            <w:tcW w:w="1140" w:type="dxa"/>
            <w:tcBorders>
              <w:top w:val="nil"/>
              <w:left w:val="nil"/>
              <w:bottom w:val="single" w:sz="4" w:space="0" w:color="000000"/>
              <w:right w:val="single" w:sz="4" w:space="0" w:color="000000"/>
            </w:tcBorders>
            <w:shd w:val="clear" w:color="000000" w:fill="FFFFFF"/>
            <w:vAlign w:val="bottom"/>
            <w:hideMark/>
          </w:tcPr>
          <w:p w14:paraId="44F63552"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100%</w:t>
            </w:r>
          </w:p>
        </w:tc>
        <w:tc>
          <w:tcPr>
            <w:tcW w:w="1140" w:type="dxa"/>
            <w:tcBorders>
              <w:top w:val="nil"/>
              <w:left w:val="nil"/>
              <w:bottom w:val="single" w:sz="4" w:space="0" w:color="000000"/>
              <w:right w:val="single" w:sz="4" w:space="0" w:color="000000"/>
            </w:tcBorders>
            <w:shd w:val="clear" w:color="000000" w:fill="FFFFFF"/>
            <w:vAlign w:val="bottom"/>
          </w:tcPr>
          <w:p w14:paraId="34686993"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100%</w:t>
            </w:r>
          </w:p>
        </w:tc>
        <w:tc>
          <w:tcPr>
            <w:tcW w:w="1140" w:type="dxa"/>
            <w:tcBorders>
              <w:top w:val="nil"/>
              <w:left w:val="nil"/>
              <w:bottom w:val="single" w:sz="4" w:space="0" w:color="000000"/>
              <w:right w:val="single" w:sz="4" w:space="0" w:color="000000"/>
            </w:tcBorders>
            <w:shd w:val="clear" w:color="000000" w:fill="FFFFFF"/>
            <w:vAlign w:val="bottom"/>
          </w:tcPr>
          <w:p w14:paraId="24A6FDA0" w14:textId="77777777" w:rsidR="00E70533" w:rsidRDefault="00E70533" w:rsidP="00E86450">
            <w:pPr>
              <w:jc w:val="right"/>
              <w:rPr>
                <w:rFonts w:ascii="Arial" w:hAnsi="Arial" w:cs="Arial"/>
                <w:color w:val="000000"/>
                <w:sz w:val="18"/>
                <w:szCs w:val="18"/>
              </w:rPr>
            </w:pPr>
            <w:r>
              <w:rPr>
                <w:rFonts w:ascii="Arial" w:hAnsi="Arial" w:cs="Arial"/>
                <w:color w:val="000000"/>
                <w:sz w:val="18"/>
                <w:szCs w:val="18"/>
              </w:rPr>
              <w:t>100%</w:t>
            </w:r>
          </w:p>
        </w:tc>
      </w:tr>
    </w:tbl>
    <w:p w14:paraId="52D412EC" w14:textId="666DBBE1" w:rsidR="00AC6433" w:rsidRPr="006F0CF3" w:rsidRDefault="00E70533" w:rsidP="00AC6433">
      <w:pPr>
        <w:rPr>
          <w:i/>
          <w:color w:val="000000" w:themeColor="text1"/>
          <w:sz w:val="20"/>
        </w:rPr>
      </w:pPr>
      <w:r w:rsidRPr="00C14316">
        <w:rPr>
          <w:i/>
          <w:color w:val="000000" w:themeColor="text1"/>
          <w:sz w:val="20"/>
        </w:rPr>
        <w:t>Source</w:t>
      </w:r>
      <w:r>
        <w:rPr>
          <w:i/>
          <w:color w:val="000000" w:themeColor="text1"/>
          <w:sz w:val="20"/>
        </w:rPr>
        <w:t xml:space="preserve"> for tables 5-7</w:t>
      </w:r>
      <w:r w:rsidR="006F0CF3">
        <w:rPr>
          <w:i/>
          <w:color w:val="000000" w:themeColor="text1"/>
          <w:sz w:val="20"/>
        </w:rPr>
        <w:t>: Department of Health</w:t>
      </w:r>
    </w:p>
    <w:p w14:paraId="2CE6D0C9" w14:textId="316F0819" w:rsidR="00AC6433" w:rsidRDefault="004E015F" w:rsidP="004E015F">
      <w:pPr>
        <w:pStyle w:val="Heading2"/>
      </w:pPr>
      <w:bookmarkStart w:id="0" w:name="_Toc465347395"/>
      <w:r w:rsidRPr="00457F5E">
        <w:t>Co-claiming</w:t>
      </w:r>
      <w:bookmarkEnd w:id="0"/>
    </w:p>
    <w:p w14:paraId="14AD2173" w14:textId="739631BF" w:rsidR="00E70533" w:rsidRDefault="00E70533" w:rsidP="00E70533">
      <w:r w:rsidRPr="00ED62D4">
        <w:t>The service is predominantly claimed by itself</w:t>
      </w:r>
      <w:r>
        <w:t xml:space="preserve"> (Tables 8-10)</w:t>
      </w:r>
      <w:r w:rsidRPr="00ED62D4">
        <w:t>. The most common items claimed with the service are those for cystoscopy (MBS items 36811, 36812, 36815, 36818, 36827, 36840, 36851 or 36854</w:t>
      </w:r>
      <w:r>
        <w:t>)</w:t>
      </w:r>
      <w:r w:rsidRPr="00ED62D4">
        <w:t xml:space="preserve">. </w:t>
      </w:r>
      <w:r>
        <w:t>In 2015-16 the service is co-claimed with a subsequent consult (MBS item 105). This claiming is specifically prohibited in the item descriptor of item 18375.</w:t>
      </w:r>
    </w:p>
    <w:p w14:paraId="11D095E5" w14:textId="7A4BE2EE" w:rsidR="00E70533" w:rsidRPr="006F0CF3" w:rsidRDefault="00E70533" w:rsidP="00FC1420">
      <w:pPr>
        <w:pStyle w:val="Heading3"/>
        <w:rPr>
          <w:rFonts w:cs="Times New Roman"/>
          <w:szCs w:val="18"/>
        </w:rPr>
      </w:pPr>
      <w:r w:rsidRPr="0035013F">
        <w:t xml:space="preserve"> </w:t>
      </w:r>
      <w:r w:rsidRPr="00FC1420">
        <w:t>Table 8: Top 10 instances of co-claiming with MBS item 18375 in 2013-14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8 presents the top ten instances of co-claiming with MBS item 18375 in the 2013-14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NP' means that for that cell, the data is not printed."/>
      </w:tblPr>
      <w:tblGrid>
        <w:gridCol w:w="426"/>
        <w:gridCol w:w="3063"/>
        <w:gridCol w:w="770"/>
        <w:gridCol w:w="734"/>
        <w:gridCol w:w="1063"/>
        <w:gridCol w:w="761"/>
        <w:gridCol w:w="810"/>
      </w:tblGrid>
      <w:tr w:rsidR="00E70533" w:rsidRPr="00961397" w14:paraId="5043C96E" w14:textId="77777777" w:rsidTr="003E360A">
        <w:trPr>
          <w:trHeight w:val="516"/>
          <w:tblHeader/>
        </w:trPr>
        <w:tc>
          <w:tcPr>
            <w:tcW w:w="426" w:type="dxa"/>
            <w:shd w:val="clear" w:color="auto" w:fill="008080"/>
          </w:tcPr>
          <w:p w14:paraId="0A131DE1" w14:textId="77777777" w:rsidR="00E70533" w:rsidRPr="002012FC" w:rsidRDefault="00E70533" w:rsidP="006F0CF3">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1A6DF03F"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06A65A83"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36EAFADA" w14:textId="56B55D3B"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Number</w:t>
            </w:r>
            <w:r w:rsidR="002D568B">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6FA65DED" w14:textId="77777777" w:rsidR="00E70533" w:rsidRPr="002012FC" w:rsidRDefault="00E70533" w:rsidP="006F0CF3">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5C6E3A0B"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761" w:type="dxa"/>
            <w:shd w:val="clear" w:color="auto" w:fill="008080"/>
          </w:tcPr>
          <w:p w14:paraId="0BB595E2" w14:textId="77777777" w:rsidR="00E70533" w:rsidRPr="002012FC" w:rsidRDefault="00E70533" w:rsidP="006F0CF3">
            <w:pPr>
              <w:jc w:val="center"/>
              <w:rPr>
                <w:rStyle w:val="textitem"/>
                <w:b/>
                <w:bCs/>
                <w:color w:val="FFFFFF" w:themeColor="background1"/>
                <w:sz w:val="16"/>
                <w:szCs w:val="16"/>
              </w:rPr>
            </w:pPr>
            <w:r>
              <w:rPr>
                <w:rStyle w:val="textitem"/>
                <w:b/>
                <w:bCs/>
                <w:color w:val="FFFFFF" w:themeColor="background1"/>
                <w:sz w:val="16"/>
                <w:szCs w:val="16"/>
              </w:rPr>
              <w:t>Cumulative %</w:t>
            </w:r>
          </w:p>
        </w:tc>
      </w:tr>
      <w:tr w:rsidR="00E70533" w:rsidRPr="00961397" w14:paraId="0F6CBBD8" w14:textId="77777777" w:rsidTr="006F0CF3">
        <w:tc>
          <w:tcPr>
            <w:tcW w:w="426" w:type="dxa"/>
          </w:tcPr>
          <w:p w14:paraId="539361FE"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63" w:type="dxa"/>
            <w:tcMar>
              <w:top w:w="60" w:type="dxa"/>
              <w:left w:w="75" w:type="dxa"/>
              <w:bottom w:w="60" w:type="dxa"/>
              <w:right w:w="75" w:type="dxa"/>
            </w:tcMar>
            <w:vAlign w:val="center"/>
            <w:hideMark/>
          </w:tcPr>
          <w:p w14:paraId="58232FBA" w14:textId="77777777" w:rsidR="00E70533" w:rsidRPr="00361EAD" w:rsidRDefault="00E70533" w:rsidP="006F0CF3">
            <w:pPr>
              <w:rPr>
                <w:rFonts w:ascii="Arial" w:hAnsi="Arial" w:cs="Arial"/>
                <w:b/>
                <w:bCs/>
                <w:color w:val="000000"/>
                <w:sz w:val="18"/>
                <w:szCs w:val="18"/>
              </w:rPr>
            </w:pPr>
            <w:r>
              <w:rPr>
                <w:rFonts w:ascii="Arial" w:hAnsi="Arial" w:cs="Arial"/>
                <w:b/>
                <w:bCs/>
                <w:color w:val="000000"/>
                <w:sz w:val="18"/>
                <w:szCs w:val="18"/>
              </w:rPr>
              <w:t>18375</w:t>
            </w:r>
          </w:p>
        </w:tc>
        <w:tc>
          <w:tcPr>
            <w:tcW w:w="770" w:type="dxa"/>
            <w:tcMar>
              <w:top w:w="60" w:type="dxa"/>
              <w:left w:w="75" w:type="dxa"/>
              <w:bottom w:w="60" w:type="dxa"/>
              <w:right w:w="75" w:type="dxa"/>
            </w:tcMar>
            <w:vAlign w:val="bottom"/>
            <w:hideMark/>
          </w:tcPr>
          <w:p w14:paraId="58EAE655"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60 </w:t>
            </w:r>
          </w:p>
        </w:tc>
        <w:tc>
          <w:tcPr>
            <w:tcW w:w="734" w:type="dxa"/>
            <w:tcMar>
              <w:top w:w="60" w:type="dxa"/>
              <w:left w:w="75" w:type="dxa"/>
              <w:bottom w:w="60" w:type="dxa"/>
              <w:right w:w="75" w:type="dxa"/>
            </w:tcMar>
            <w:vAlign w:val="bottom"/>
            <w:hideMark/>
          </w:tcPr>
          <w:p w14:paraId="46933D12"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60 </w:t>
            </w:r>
          </w:p>
        </w:tc>
        <w:tc>
          <w:tcPr>
            <w:tcW w:w="1063" w:type="dxa"/>
            <w:tcMar>
              <w:top w:w="60" w:type="dxa"/>
              <w:left w:w="75" w:type="dxa"/>
              <w:bottom w:w="60" w:type="dxa"/>
              <w:right w:w="75" w:type="dxa"/>
            </w:tcMar>
            <w:vAlign w:val="bottom"/>
            <w:hideMark/>
          </w:tcPr>
          <w:p w14:paraId="199AAE7D"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$13,791 </w:t>
            </w:r>
          </w:p>
        </w:tc>
        <w:tc>
          <w:tcPr>
            <w:tcW w:w="761" w:type="dxa"/>
            <w:tcMar>
              <w:top w:w="60" w:type="dxa"/>
              <w:left w:w="75" w:type="dxa"/>
              <w:bottom w:w="60" w:type="dxa"/>
              <w:right w:w="75" w:type="dxa"/>
            </w:tcMar>
            <w:vAlign w:val="bottom"/>
            <w:hideMark/>
          </w:tcPr>
          <w:p w14:paraId="5E24A7CE"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86% </w:t>
            </w:r>
          </w:p>
        </w:tc>
        <w:tc>
          <w:tcPr>
            <w:tcW w:w="761" w:type="dxa"/>
          </w:tcPr>
          <w:p w14:paraId="3F468518"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86%</w:t>
            </w:r>
          </w:p>
        </w:tc>
      </w:tr>
      <w:tr w:rsidR="00E70533" w:rsidRPr="00961397" w14:paraId="550F5E12" w14:textId="77777777" w:rsidTr="006F0CF3">
        <w:tc>
          <w:tcPr>
            <w:tcW w:w="426" w:type="dxa"/>
          </w:tcPr>
          <w:p w14:paraId="596F03F1"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63" w:type="dxa"/>
            <w:tcMar>
              <w:top w:w="60" w:type="dxa"/>
              <w:left w:w="75" w:type="dxa"/>
              <w:bottom w:w="60" w:type="dxa"/>
              <w:right w:w="75" w:type="dxa"/>
            </w:tcMar>
            <w:vAlign w:val="bottom"/>
            <w:hideMark/>
          </w:tcPr>
          <w:p w14:paraId="12F7106A"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36840.</w:t>
            </w:r>
          </w:p>
        </w:tc>
        <w:tc>
          <w:tcPr>
            <w:tcW w:w="770" w:type="dxa"/>
            <w:tcMar>
              <w:top w:w="60" w:type="dxa"/>
              <w:left w:w="75" w:type="dxa"/>
              <w:bottom w:w="60" w:type="dxa"/>
              <w:right w:w="75" w:type="dxa"/>
            </w:tcMar>
            <w:vAlign w:val="bottom"/>
          </w:tcPr>
          <w:p w14:paraId="2B3D8082" w14:textId="77777777" w:rsidR="00E70533" w:rsidRDefault="00E70533" w:rsidP="006F0CF3">
            <w:pPr>
              <w:jc w:val="right"/>
            </w:pPr>
            <w:proofErr w:type="spellStart"/>
            <w:r w:rsidRPr="0076719D">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7177D86F" w14:textId="77777777" w:rsidR="00E70533" w:rsidRDefault="00E70533" w:rsidP="006F0CF3">
            <w:pPr>
              <w:jc w:val="right"/>
            </w:pPr>
            <w:proofErr w:type="spellStart"/>
            <w:r w:rsidRPr="0076719D">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1DB71908" w14:textId="77777777" w:rsidR="00E70533" w:rsidRDefault="00E70533" w:rsidP="006F0CF3">
            <w:pPr>
              <w:jc w:val="right"/>
            </w:pPr>
            <w:proofErr w:type="spellStart"/>
            <w:r w:rsidRPr="0076719D">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14480161" w14:textId="77777777" w:rsidR="00E70533" w:rsidRDefault="00E70533" w:rsidP="006F0CF3">
            <w:pPr>
              <w:jc w:val="right"/>
            </w:pPr>
            <w:proofErr w:type="spellStart"/>
            <w:r w:rsidRPr="0076719D">
              <w:rPr>
                <w:rFonts w:ascii="Arial" w:hAnsi="Arial" w:cs="Arial"/>
                <w:color w:val="000000"/>
                <w:sz w:val="18"/>
                <w:szCs w:val="18"/>
              </w:rPr>
              <w:t>np</w:t>
            </w:r>
            <w:proofErr w:type="spellEnd"/>
          </w:p>
        </w:tc>
        <w:tc>
          <w:tcPr>
            <w:tcW w:w="761" w:type="dxa"/>
          </w:tcPr>
          <w:p w14:paraId="2969A5EE" w14:textId="77777777" w:rsidR="00E70533" w:rsidRPr="0076719D" w:rsidRDefault="00E70533" w:rsidP="006F0CF3">
            <w:pPr>
              <w:rPr>
                <w:rFonts w:ascii="Arial" w:hAnsi="Arial" w:cs="Arial"/>
                <w:color w:val="000000"/>
                <w:sz w:val="18"/>
                <w:szCs w:val="18"/>
              </w:rPr>
            </w:pPr>
          </w:p>
        </w:tc>
      </w:tr>
      <w:tr w:rsidR="00E70533" w:rsidRPr="00961397" w14:paraId="12033C87" w14:textId="77777777" w:rsidTr="006F0CF3">
        <w:tc>
          <w:tcPr>
            <w:tcW w:w="426" w:type="dxa"/>
          </w:tcPr>
          <w:p w14:paraId="4998C4BC"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63" w:type="dxa"/>
            <w:tcMar>
              <w:top w:w="60" w:type="dxa"/>
              <w:left w:w="75" w:type="dxa"/>
              <w:bottom w:w="60" w:type="dxa"/>
              <w:right w:w="75" w:type="dxa"/>
            </w:tcMar>
            <w:vAlign w:val="bottom"/>
            <w:hideMark/>
          </w:tcPr>
          <w:p w14:paraId="04C0453B"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00105, 36863.</w:t>
            </w:r>
          </w:p>
        </w:tc>
        <w:tc>
          <w:tcPr>
            <w:tcW w:w="770" w:type="dxa"/>
            <w:tcMar>
              <w:top w:w="60" w:type="dxa"/>
              <w:left w:w="75" w:type="dxa"/>
              <w:bottom w:w="60" w:type="dxa"/>
              <w:right w:w="75" w:type="dxa"/>
            </w:tcMar>
            <w:vAlign w:val="bottom"/>
          </w:tcPr>
          <w:p w14:paraId="5F2C8F3F" w14:textId="77777777" w:rsidR="00E70533" w:rsidRDefault="00E70533" w:rsidP="006F0CF3">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4B80412C"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1251144C"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4B845CE2"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Pr>
          <w:p w14:paraId="2FEC2990" w14:textId="77777777" w:rsidR="00E70533" w:rsidRPr="00DD0BB1" w:rsidRDefault="00E70533" w:rsidP="006F0CF3">
            <w:pPr>
              <w:rPr>
                <w:rFonts w:ascii="Arial" w:hAnsi="Arial" w:cs="Arial"/>
                <w:color w:val="000000"/>
                <w:sz w:val="18"/>
                <w:szCs w:val="18"/>
              </w:rPr>
            </w:pPr>
          </w:p>
        </w:tc>
      </w:tr>
      <w:tr w:rsidR="00E70533" w:rsidRPr="00961397" w14:paraId="7445C0E0" w14:textId="77777777" w:rsidTr="006F0CF3">
        <w:tc>
          <w:tcPr>
            <w:tcW w:w="426" w:type="dxa"/>
          </w:tcPr>
          <w:p w14:paraId="2135B7E6"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63" w:type="dxa"/>
            <w:tcMar>
              <w:top w:w="60" w:type="dxa"/>
              <w:left w:w="75" w:type="dxa"/>
              <w:bottom w:w="60" w:type="dxa"/>
              <w:right w:w="75" w:type="dxa"/>
            </w:tcMar>
            <w:vAlign w:val="bottom"/>
            <w:hideMark/>
          </w:tcPr>
          <w:p w14:paraId="24DCB684"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00105.</w:t>
            </w:r>
          </w:p>
        </w:tc>
        <w:tc>
          <w:tcPr>
            <w:tcW w:w="770" w:type="dxa"/>
            <w:tcMar>
              <w:top w:w="60" w:type="dxa"/>
              <w:left w:w="75" w:type="dxa"/>
              <w:bottom w:w="60" w:type="dxa"/>
              <w:right w:w="75" w:type="dxa"/>
            </w:tcMar>
            <w:vAlign w:val="bottom"/>
          </w:tcPr>
          <w:p w14:paraId="4252B620" w14:textId="77777777" w:rsidR="00E70533" w:rsidRDefault="00E70533" w:rsidP="006F0CF3">
            <w:pPr>
              <w:jc w:val="right"/>
            </w:pPr>
            <w:proofErr w:type="spellStart"/>
            <w:r w:rsidRPr="00FA0490">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7A21D119"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7E5FA65D"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367E2869"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Pr>
          <w:p w14:paraId="20E109E8" w14:textId="77777777" w:rsidR="00E70533" w:rsidRPr="00DD0BB1" w:rsidRDefault="00E70533" w:rsidP="006F0CF3">
            <w:pPr>
              <w:rPr>
                <w:rFonts w:ascii="Arial" w:hAnsi="Arial" w:cs="Arial"/>
                <w:color w:val="000000"/>
                <w:sz w:val="18"/>
                <w:szCs w:val="18"/>
              </w:rPr>
            </w:pPr>
          </w:p>
        </w:tc>
      </w:tr>
      <w:tr w:rsidR="00E70533" w:rsidRPr="00961397" w14:paraId="3CF299AC" w14:textId="77777777" w:rsidTr="006F0CF3">
        <w:tc>
          <w:tcPr>
            <w:tcW w:w="426" w:type="dxa"/>
          </w:tcPr>
          <w:p w14:paraId="33054909"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63" w:type="dxa"/>
            <w:tcMar>
              <w:top w:w="60" w:type="dxa"/>
              <w:left w:w="75" w:type="dxa"/>
              <w:bottom w:w="60" w:type="dxa"/>
              <w:right w:w="75" w:type="dxa"/>
            </w:tcMar>
            <w:vAlign w:val="bottom"/>
            <w:hideMark/>
          </w:tcPr>
          <w:p w14:paraId="6CCFBB41"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11903.</w:t>
            </w:r>
          </w:p>
        </w:tc>
        <w:tc>
          <w:tcPr>
            <w:tcW w:w="770" w:type="dxa"/>
            <w:tcMar>
              <w:top w:w="60" w:type="dxa"/>
              <w:left w:w="75" w:type="dxa"/>
              <w:bottom w:w="60" w:type="dxa"/>
              <w:right w:w="75" w:type="dxa"/>
            </w:tcMar>
            <w:vAlign w:val="bottom"/>
          </w:tcPr>
          <w:p w14:paraId="784F9669" w14:textId="77777777" w:rsidR="00E70533" w:rsidRDefault="00E70533" w:rsidP="006F0CF3">
            <w:pPr>
              <w:jc w:val="right"/>
            </w:pPr>
            <w:proofErr w:type="spellStart"/>
            <w:r w:rsidRPr="00FA0490">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204A2645"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57AADCBD"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50E316ED"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Pr>
          <w:p w14:paraId="32F35AE4" w14:textId="77777777" w:rsidR="00E70533" w:rsidRPr="00DD0BB1" w:rsidRDefault="00E70533" w:rsidP="006F0CF3">
            <w:pPr>
              <w:rPr>
                <w:rFonts w:ascii="Arial" w:hAnsi="Arial" w:cs="Arial"/>
                <w:color w:val="000000"/>
                <w:sz w:val="18"/>
                <w:szCs w:val="18"/>
              </w:rPr>
            </w:pPr>
          </w:p>
        </w:tc>
      </w:tr>
      <w:tr w:rsidR="00E70533" w:rsidRPr="00961397" w14:paraId="6ED38A48" w14:textId="77777777" w:rsidTr="006F0CF3">
        <w:tc>
          <w:tcPr>
            <w:tcW w:w="426" w:type="dxa"/>
          </w:tcPr>
          <w:p w14:paraId="41FE21D8"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63" w:type="dxa"/>
            <w:tcMar>
              <w:top w:w="60" w:type="dxa"/>
              <w:left w:w="75" w:type="dxa"/>
              <w:bottom w:w="60" w:type="dxa"/>
              <w:right w:w="75" w:type="dxa"/>
            </w:tcMar>
            <w:vAlign w:val="bottom"/>
            <w:hideMark/>
          </w:tcPr>
          <w:p w14:paraId="4D652473"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35599.</w:t>
            </w:r>
          </w:p>
        </w:tc>
        <w:tc>
          <w:tcPr>
            <w:tcW w:w="770" w:type="dxa"/>
            <w:tcMar>
              <w:top w:w="60" w:type="dxa"/>
              <w:left w:w="75" w:type="dxa"/>
              <w:bottom w:w="60" w:type="dxa"/>
              <w:right w:w="75" w:type="dxa"/>
            </w:tcMar>
            <w:vAlign w:val="bottom"/>
          </w:tcPr>
          <w:p w14:paraId="3C342678" w14:textId="77777777" w:rsidR="00E70533" w:rsidRDefault="00E70533" w:rsidP="006F0CF3">
            <w:pPr>
              <w:jc w:val="right"/>
            </w:pPr>
            <w:proofErr w:type="spellStart"/>
            <w:r w:rsidRPr="00FA0490">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37B4A981"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28D78086"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6E6A532B"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Pr>
          <w:p w14:paraId="00058532" w14:textId="77777777" w:rsidR="00E70533" w:rsidRPr="00DD0BB1" w:rsidRDefault="00E70533" w:rsidP="006F0CF3">
            <w:pPr>
              <w:rPr>
                <w:rFonts w:ascii="Arial" w:hAnsi="Arial" w:cs="Arial"/>
                <w:color w:val="000000"/>
                <w:sz w:val="18"/>
                <w:szCs w:val="18"/>
              </w:rPr>
            </w:pPr>
          </w:p>
        </w:tc>
      </w:tr>
      <w:tr w:rsidR="00E70533" w:rsidRPr="00961397" w14:paraId="0D884992" w14:textId="77777777" w:rsidTr="006F0CF3">
        <w:tc>
          <w:tcPr>
            <w:tcW w:w="426" w:type="dxa"/>
          </w:tcPr>
          <w:p w14:paraId="446CD20F"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63" w:type="dxa"/>
            <w:tcMar>
              <w:top w:w="60" w:type="dxa"/>
              <w:left w:w="75" w:type="dxa"/>
              <w:bottom w:w="60" w:type="dxa"/>
              <w:right w:w="75" w:type="dxa"/>
            </w:tcMar>
            <w:vAlign w:val="bottom"/>
            <w:hideMark/>
          </w:tcPr>
          <w:p w14:paraId="1DC37247"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36811, 55085.</w:t>
            </w:r>
          </w:p>
        </w:tc>
        <w:tc>
          <w:tcPr>
            <w:tcW w:w="770" w:type="dxa"/>
            <w:tcMar>
              <w:top w:w="60" w:type="dxa"/>
              <w:left w:w="75" w:type="dxa"/>
              <w:bottom w:w="60" w:type="dxa"/>
              <w:right w:w="75" w:type="dxa"/>
            </w:tcMar>
            <w:vAlign w:val="bottom"/>
          </w:tcPr>
          <w:p w14:paraId="6E03C5B0" w14:textId="77777777" w:rsidR="00E70533" w:rsidRDefault="00E70533" w:rsidP="006F0CF3">
            <w:pPr>
              <w:jc w:val="right"/>
            </w:pPr>
            <w:proofErr w:type="spellStart"/>
            <w:r w:rsidRPr="00FA0490">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21C3DE1C"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722CA4AC"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35B645C8"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Pr>
          <w:p w14:paraId="2C9FE7B1" w14:textId="77777777" w:rsidR="00E70533" w:rsidRPr="00DD0BB1" w:rsidRDefault="00E70533" w:rsidP="006F0CF3">
            <w:pPr>
              <w:rPr>
                <w:rFonts w:ascii="Arial" w:hAnsi="Arial" w:cs="Arial"/>
                <w:color w:val="000000"/>
                <w:sz w:val="18"/>
                <w:szCs w:val="18"/>
              </w:rPr>
            </w:pPr>
          </w:p>
        </w:tc>
      </w:tr>
      <w:tr w:rsidR="00E70533" w:rsidRPr="00961397" w14:paraId="6C0D8C4F" w14:textId="77777777" w:rsidTr="006F0CF3">
        <w:tc>
          <w:tcPr>
            <w:tcW w:w="426" w:type="dxa"/>
          </w:tcPr>
          <w:p w14:paraId="407B1877"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63" w:type="dxa"/>
            <w:tcMar>
              <w:top w:w="60" w:type="dxa"/>
              <w:left w:w="75" w:type="dxa"/>
              <w:bottom w:w="60" w:type="dxa"/>
              <w:right w:w="75" w:type="dxa"/>
            </w:tcMar>
            <w:vAlign w:val="bottom"/>
            <w:hideMark/>
          </w:tcPr>
          <w:p w14:paraId="4D66706F"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36812.</w:t>
            </w:r>
          </w:p>
        </w:tc>
        <w:tc>
          <w:tcPr>
            <w:tcW w:w="770" w:type="dxa"/>
            <w:tcMar>
              <w:top w:w="60" w:type="dxa"/>
              <w:left w:w="75" w:type="dxa"/>
              <w:bottom w:w="60" w:type="dxa"/>
              <w:right w:w="75" w:type="dxa"/>
            </w:tcMar>
            <w:vAlign w:val="bottom"/>
          </w:tcPr>
          <w:p w14:paraId="6DF43F0B" w14:textId="77777777" w:rsidR="00E70533" w:rsidRDefault="00E70533" w:rsidP="006F0CF3">
            <w:pPr>
              <w:jc w:val="right"/>
            </w:pPr>
            <w:proofErr w:type="spellStart"/>
            <w:r w:rsidRPr="00FA0490">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4E237857"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41CC784C"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5C2FDB84"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Pr>
          <w:p w14:paraId="330543FA" w14:textId="77777777" w:rsidR="00E70533" w:rsidRPr="00DD0BB1" w:rsidRDefault="00E70533" w:rsidP="006F0CF3">
            <w:pPr>
              <w:rPr>
                <w:rFonts w:ascii="Arial" w:hAnsi="Arial" w:cs="Arial"/>
                <w:color w:val="000000"/>
                <w:sz w:val="18"/>
                <w:szCs w:val="18"/>
              </w:rPr>
            </w:pPr>
          </w:p>
        </w:tc>
      </w:tr>
      <w:tr w:rsidR="00E70533" w:rsidRPr="00961397" w14:paraId="6779E9A8" w14:textId="77777777" w:rsidTr="006F0CF3">
        <w:tc>
          <w:tcPr>
            <w:tcW w:w="426" w:type="dxa"/>
          </w:tcPr>
          <w:p w14:paraId="5ECC9F45"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63" w:type="dxa"/>
            <w:tcMar>
              <w:top w:w="60" w:type="dxa"/>
              <w:left w:w="75" w:type="dxa"/>
              <w:bottom w:w="60" w:type="dxa"/>
              <w:right w:w="75" w:type="dxa"/>
            </w:tcMar>
            <w:vAlign w:val="bottom"/>
            <w:hideMark/>
          </w:tcPr>
          <w:p w14:paraId="6B06FB8C"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36854.</w:t>
            </w:r>
          </w:p>
        </w:tc>
        <w:tc>
          <w:tcPr>
            <w:tcW w:w="770" w:type="dxa"/>
            <w:tcMar>
              <w:top w:w="60" w:type="dxa"/>
              <w:left w:w="75" w:type="dxa"/>
              <w:bottom w:w="60" w:type="dxa"/>
              <w:right w:w="75" w:type="dxa"/>
            </w:tcMar>
            <w:vAlign w:val="bottom"/>
          </w:tcPr>
          <w:p w14:paraId="05ED0FC4" w14:textId="77777777" w:rsidR="00E70533" w:rsidRDefault="00E70533" w:rsidP="006F0CF3">
            <w:pPr>
              <w:jc w:val="right"/>
            </w:pPr>
            <w:proofErr w:type="spellStart"/>
            <w:r w:rsidRPr="00FA0490">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728286E0"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147D33D1"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223996BE"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Pr>
          <w:p w14:paraId="1658CB3F" w14:textId="77777777" w:rsidR="00E70533" w:rsidRPr="00DD0BB1" w:rsidRDefault="00E70533" w:rsidP="006F0CF3">
            <w:pPr>
              <w:rPr>
                <w:rFonts w:ascii="Arial" w:hAnsi="Arial" w:cs="Arial"/>
                <w:color w:val="000000"/>
                <w:sz w:val="18"/>
                <w:szCs w:val="18"/>
              </w:rPr>
            </w:pPr>
          </w:p>
        </w:tc>
      </w:tr>
      <w:tr w:rsidR="00E70533" w:rsidRPr="00961397" w14:paraId="29A5F136" w14:textId="77777777" w:rsidTr="006F0CF3">
        <w:tc>
          <w:tcPr>
            <w:tcW w:w="426" w:type="dxa"/>
          </w:tcPr>
          <w:p w14:paraId="4B05AD98"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63" w:type="dxa"/>
            <w:tcMar>
              <w:top w:w="60" w:type="dxa"/>
              <w:left w:w="75" w:type="dxa"/>
              <w:bottom w:w="60" w:type="dxa"/>
              <w:right w:w="75" w:type="dxa"/>
            </w:tcMar>
            <w:vAlign w:val="bottom"/>
            <w:hideMark/>
          </w:tcPr>
          <w:p w14:paraId="33E178B6"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36860.</w:t>
            </w:r>
          </w:p>
        </w:tc>
        <w:tc>
          <w:tcPr>
            <w:tcW w:w="770" w:type="dxa"/>
            <w:tcMar>
              <w:top w:w="60" w:type="dxa"/>
              <w:left w:w="75" w:type="dxa"/>
              <w:bottom w:w="60" w:type="dxa"/>
              <w:right w:w="75" w:type="dxa"/>
            </w:tcMar>
            <w:vAlign w:val="bottom"/>
          </w:tcPr>
          <w:p w14:paraId="6BE0A572" w14:textId="77777777" w:rsidR="00E70533" w:rsidRDefault="00E70533" w:rsidP="006F0CF3">
            <w:pPr>
              <w:jc w:val="right"/>
            </w:pPr>
            <w:proofErr w:type="spellStart"/>
            <w:r w:rsidRPr="00FA0490">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2438039F"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13EFB252"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6D98B92C" w14:textId="77777777" w:rsidR="00E70533" w:rsidRDefault="00E70533" w:rsidP="006F0CF3">
            <w:pPr>
              <w:jc w:val="right"/>
            </w:pPr>
            <w:proofErr w:type="spellStart"/>
            <w:r w:rsidRPr="00DD0BB1">
              <w:rPr>
                <w:rFonts w:ascii="Arial" w:hAnsi="Arial" w:cs="Arial"/>
                <w:color w:val="000000"/>
                <w:sz w:val="18"/>
                <w:szCs w:val="18"/>
              </w:rPr>
              <w:t>np</w:t>
            </w:r>
            <w:proofErr w:type="spellEnd"/>
          </w:p>
        </w:tc>
        <w:tc>
          <w:tcPr>
            <w:tcW w:w="761" w:type="dxa"/>
          </w:tcPr>
          <w:p w14:paraId="1704AE78" w14:textId="77777777" w:rsidR="00E70533" w:rsidRPr="00DD0BB1" w:rsidRDefault="00E70533" w:rsidP="006F0CF3">
            <w:pPr>
              <w:rPr>
                <w:rFonts w:ascii="Arial" w:hAnsi="Arial" w:cs="Arial"/>
                <w:color w:val="000000"/>
                <w:sz w:val="18"/>
                <w:szCs w:val="18"/>
              </w:rPr>
            </w:pPr>
          </w:p>
        </w:tc>
      </w:tr>
    </w:tbl>
    <w:p w14:paraId="7D8185CC" w14:textId="59DBF589" w:rsidR="00E70533" w:rsidRPr="00FC1420" w:rsidRDefault="00E70533" w:rsidP="00FC1420">
      <w:pPr>
        <w:pStyle w:val="Heading3"/>
      </w:pPr>
      <w:r w:rsidRPr="00FC1420">
        <w:lastRenderedPageBreak/>
        <w:t>Table 9: Top 10 instances of co-claiming with MBS item 18375 in 2014-15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9 presents the top ten instances of co-claiming with MBS item 18375 in the 2014-15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NP' means that for that cell, the data is not printed."/>
      </w:tblPr>
      <w:tblGrid>
        <w:gridCol w:w="426"/>
        <w:gridCol w:w="3063"/>
        <w:gridCol w:w="770"/>
        <w:gridCol w:w="734"/>
        <w:gridCol w:w="1063"/>
        <w:gridCol w:w="761"/>
        <w:gridCol w:w="810"/>
      </w:tblGrid>
      <w:tr w:rsidR="00E70533" w:rsidRPr="00961397" w14:paraId="70591D68" w14:textId="77777777" w:rsidTr="003E360A">
        <w:trPr>
          <w:trHeight w:val="516"/>
          <w:tblHeader/>
        </w:trPr>
        <w:tc>
          <w:tcPr>
            <w:tcW w:w="426" w:type="dxa"/>
            <w:shd w:val="clear" w:color="auto" w:fill="008080"/>
          </w:tcPr>
          <w:p w14:paraId="6CF6DA2B" w14:textId="77777777" w:rsidR="00E70533" w:rsidRPr="002012FC" w:rsidRDefault="00E70533" w:rsidP="006F0CF3">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551C9596"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44A37FF9"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4F713D30" w14:textId="06C673D5"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Number</w:t>
            </w:r>
            <w:r w:rsidR="002D568B">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46452A16" w14:textId="77777777" w:rsidR="00E70533" w:rsidRPr="002012FC" w:rsidRDefault="00E70533" w:rsidP="006F0CF3">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666C6B0D"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761" w:type="dxa"/>
            <w:shd w:val="clear" w:color="auto" w:fill="008080"/>
          </w:tcPr>
          <w:p w14:paraId="6853C27D" w14:textId="77777777" w:rsidR="00E70533" w:rsidRPr="002012FC" w:rsidRDefault="00E70533" w:rsidP="006F0CF3">
            <w:pPr>
              <w:jc w:val="center"/>
              <w:rPr>
                <w:rStyle w:val="textitem"/>
                <w:b/>
                <w:bCs/>
                <w:color w:val="FFFFFF" w:themeColor="background1"/>
                <w:sz w:val="16"/>
                <w:szCs w:val="16"/>
              </w:rPr>
            </w:pPr>
            <w:r>
              <w:rPr>
                <w:rStyle w:val="textitem"/>
                <w:b/>
                <w:bCs/>
                <w:color w:val="FFFFFF" w:themeColor="background1"/>
                <w:sz w:val="16"/>
                <w:szCs w:val="16"/>
              </w:rPr>
              <w:t>Cumulative %</w:t>
            </w:r>
          </w:p>
        </w:tc>
      </w:tr>
      <w:tr w:rsidR="00E70533" w:rsidRPr="00961397" w14:paraId="3FD5C39E" w14:textId="77777777" w:rsidTr="006F0CF3">
        <w:tc>
          <w:tcPr>
            <w:tcW w:w="426" w:type="dxa"/>
          </w:tcPr>
          <w:p w14:paraId="25CA237B"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63" w:type="dxa"/>
            <w:tcMar>
              <w:top w:w="60" w:type="dxa"/>
              <w:left w:w="75" w:type="dxa"/>
              <w:bottom w:w="60" w:type="dxa"/>
              <w:right w:w="75" w:type="dxa"/>
            </w:tcMar>
            <w:vAlign w:val="center"/>
            <w:hideMark/>
          </w:tcPr>
          <w:p w14:paraId="56BFF388" w14:textId="77777777" w:rsidR="00E70533" w:rsidRPr="00361EAD" w:rsidRDefault="00E70533" w:rsidP="006F0CF3">
            <w:pPr>
              <w:rPr>
                <w:rFonts w:ascii="Arial" w:hAnsi="Arial" w:cs="Arial"/>
                <w:b/>
                <w:bCs/>
                <w:color w:val="000000"/>
                <w:sz w:val="18"/>
                <w:szCs w:val="18"/>
              </w:rPr>
            </w:pPr>
            <w:r>
              <w:rPr>
                <w:rFonts w:ascii="Arial" w:hAnsi="Arial" w:cs="Arial"/>
                <w:b/>
                <w:bCs/>
                <w:color w:val="000000"/>
                <w:sz w:val="18"/>
                <w:szCs w:val="18"/>
              </w:rPr>
              <w:t>18375</w:t>
            </w:r>
          </w:p>
        </w:tc>
        <w:tc>
          <w:tcPr>
            <w:tcW w:w="770" w:type="dxa"/>
            <w:tcMar>
              <w:top w:w="60" w:type="dxa"/>
              <w:left w:w="75" w:type="dxa"/>
              <w:bottom w:w="60" w:type="dxa"/>
              <w:right w:w="75" w:type="dxa"/>
            </w:tcMar>
            <w:vAlign w:val="bottom"/>
            <w:hideMark/>
          </w:tcPr>
          <w:p w14:paraId="1CEE9E0C"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242 </w:t>
            </w:r>
          </w:p>
        </w:tc>
        <w:tc>
          <w:tcPr>
            <w:tcW w:w="734" w:type="dxa"/>
            <w:tcMar>
              <w:top w:w="60" w:type="dxa"/>
              <w:left w:w="75" w:type="dxa"/>
              <w:bottom w:w="60" w:type="dxa"/>
              <w:right w:w="75" w:type="dxa"/>
            </w:tcMar>
            <w:vAlign w:val="bottom"/>
            <w:hideMark/>
          </w:tcPr>
          <w:p w14:paraId="0931EC95"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242 </w:t>
            </w:r>
          </w:p>
        </w:tc>
        <w:tc>
          <w:tcPr>
            <w:tcW w:w="1063" w:type="dxa"/>
            <w:tcMar>
              <w:top w:w="60" w:type="dxa"/>
              <w:left w:w="75" w:type="dxa"/>
              <w:bottom w:w="60" w:type="dxa"/>
              <w:right w:w="75" w:type="dxa"/>
            </w:tcMar>
            <w:vAlign w:val="bottom"/>
            <w:hideMark/>
          </w:tcPr>
          <w:p w14:paraId="5B4DC8C6"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$55,624 </w:t>
            </w:r>
          </w:p>
        </w:tc>
        <w:tc>
          <w:tcPr>
            <w:tcW w:w="761" w:type="dxa"/>
            <w:tcMar>
              <w:top w:w="60" w:type="dxa"/>
              <w:left w:w="75" w:type="dxa"/>
              <w:bottom w:w="60" w:type="dxa"/>
              <w:right w:w="75" w:type="dxa"/>
            </w:tcMar>
            <w:vAlign w:val="bottom"/>
            <w:hideMark/>
          </w:tcPr>
          <w:p w14:paraId="521C3A0E"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81% </w:t>
            </w:r>
          </w:p>
        </w:tc>
        <w:tc>
          <w:tcPr>
            <w:tcW w:w="761" w:type="dxa"/>
          </w:tcPr>
          <w:p w14:paraId="1FEC1B08"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81%</w:t>
            </w:r>
          </w:p>
        </w:tc>
      </w:tr>
      <w:tr w:rsidR="00E70533" w:rsidRPr="00961397" w14:paraId="668114A4" w14:textId="77777777" w:rsidTr="006F0CF3">
        <w:tc>
          <w:tcPr>
            <w:tcW w:w="426" w:type="dxa"/>
          </w:tcPr>
          <w:p w14:paraId="06BE69B5"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63" w:type="dxa"/>
            <w:tcMar>
              <w:top w:w="60" w:type="dxa"/>
              <w:left w:w="75" w:type="dxa"/>
              <w:bottom w:w="60" w:type="dxa"/>
              <w:right w:w="75" w:type="dxa"/>
            </w:tcMar>
            <w:vAlign w:val="bottom"/>
            <w:hideMark/>
          </w:tcPr>
          <w:p w14:paraId="51E9E80B"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36827.</w:t>
            </w:r>
          </w:p>
        </w:tc>
        <w:tc>
          <w:tcPr>
            <w:tcW w:w="770" w:type="dxa"/>
            <w:tcMar>
              <w:top w:w="60" w:type="dxa"/>
              <w:left w:w="75" w:type="dxa"/>
              <w:bottom w:w="60" w:type="dxa"/>
              <w:right w:w="75" w:type="dxa"/>
            </w:tcMar>
            <w:vAlign w:val="bottom"/>
            <w:hideMark/>
          </w:tcPr>
          <w:p w14:paraId="1577DD0B"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16 </w:t>
            </w:r>
          </w:p>
        </w:tc>
        <w:tc>
          <w:tcPr>
            <w:tcW w:w="734" w:type="dxa"/>
            <w:tcMar>
              <w:top w:w="60" w:type="dxa"/>
              <w:left w:w="75" w:type="dxa"/>
              <w:bottom w:w="60" w:type="dxa"/>
              <w:right w:w="75" w:type="dxa"/>
            </w:tcMar>
            <w:vAlign w:val="bottom"/>
            <w:hideMark/>
          </w:tcPr>
          <w:p w14:paraId="3267A9D1"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32 </w:t>
            </w:r>
          </w:p>
        </w:tc>
        <w:tc>
          <w:tcPr>
            <w:tcW w:w="1063" w:type="dxa"/>
            <w:tcMar>
              <w:top w:w="60" w:type="dxa"/>
              <w:left w:w="75" w:type="dxa"/>
              <w:bottom w:w="60" w:type="dxa"/>
              <w:right w:w="75" w:type="dxa"/>
            </w:tcMar>
            <w:vAlign w:val="bottom"/>
            <w:hideMark/>
          </w:tcPr>
          <w:p w14:paraId="4DEA80F4"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$7,355 </w:t>
            </w:r>
          </w:p>
        </w:tc>
        <w:tc>
          <w:tcPr>
            <w:tcW w:w="761" w:type="dxa"/>
            <w:tcMar>
              <w:top w:w="60" w:type="dxa"/>
              <w:left w:w="75" w:type="dxa"/>
              <w:bottom w:w="60" w:type="dxa"/>
              <w:right w:w="75" w:type="dxa"/>
            </w:tcMar>
            <w:vAlign w:val="bottom"/>
            <w:hideMark/>
          </w:tcPr>
          <w:p w14:paraId="3861FC2A"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5% </w:t>
            </w:r>
          </w:p>
        </w:tc>
        <w:tc>
          <w:tcPr>
            <w:tcW w:w="761" w:type="dxa"/>
          </w:tcPr>
          <w:p w14:paraId="2213A3D6"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86%</w:t>
            </w:r>
          </w:p>
        </w:tc>
      </w:tr>
      <w:tr w:rsidR="00E70533" w:rsidRPr="00961397" w14:paraId="2DDDFD31" w14:textId="77777777" w:rsidTr="006F0CF3">
        <w:tc>
          <w:tcPr>
            <w:tcW w:w="426" w:type="dxa"/>
          </w:tcPr>
          <w:p w14:paraId="0101D7DC"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63" w:type="dxa"/>
            <w:tcMar>
              <w:top w:w="60" w:type="dxa"/>
              <w:left w:w="75" w:type="dxa"/>
              <w:bottom w:w="60" w:type="dxa"/>
              <w:right w:w="75" w:type="dxa"/>
            </w:tcMar>
            <w:vAlign w:val="bottom"/>
            <w:hideMark/>
          </w:tcPr>
          <w:p w14:paraId="3EC2C533"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37011.</w:t>
            </w:r>
          </w:p>
        </w:tc>
        <w:tc>
          <w:tcPr>
            <w:tcW w:w="770" w:type="dxa"/>
            <w:tcMar>
              <w:top w:w="60" w:type="dxa"/>
              <w:left w:w="75" w:type="dxa"/>
              <w:bottom w:w="60" w:type="dxa"/>
              <w:right w:w="75" w:type="dxa"/>
            </w:tcMar>
            <w:vAlign w:val="bottom"/>
          </w:tcPr>
          <w:p w14:paraId="51140ACC"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08EF0E2D"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55FF948F"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48F32557"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Pr>
          <w:p w14:paraId="32EC49F5" w14:textId="77777777" w:rsidR="00E70533" w:rsidRPr="00082EC2" w:rsidRDefault="00E70533" w:rsidP="006F0CF3">
            <w:pPr>
              <w:rPr>
                <w:rFonts w:ascii="Arial" w:hAnsi="Arial" w:cs="Arial"/>
                <w:color w:val="000000"/>
                <w:sz w:val="18"/>
                <w:szCs w:val="18"/>
              </w:rPr>
            </w:pPr>
          </w:p>
        </w:tc>
      </w:tr>
      <w:tr w:rsidR="00E70533" w:rsidRPr="00961397" w14:paraId="19D96DC9" w14:textId="77777777" w:rsidTr="006F0CF3">
        <w:tc>
          <w:tcPr>
            <w:tcW w:w="426" w:type="dxa"/>
          </w:tcPr>
          <w:p w14:paraId="38471BB1"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63" w:type="dxa"/>
            <w:tcMar>
              <w:top w:w="60" w:type="dxa"/>
              <w:left w:w="75" w:type="dxa"/>
              <w:bottom w:w="60" w:type="dxa"/>
              <w:right w:w="75" w:type="dxa"/>
            </w:tcMar>
            <w:vAlign w:val="bottom"/>
            <w:hideMark/>
          </w:tcPr>
          <w:p w14:paraId="1AFE1571"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36840.</w:t>
            </w:r>
          </w:p>
        </w:tc>
        <w:tc>
          <w:tcPr>
            <w:tcW w:w="770" w:type="dxa"/>
            <w:tcMar>
              <w:top w:w="60" w:type="dxa"/>
              <w:left w:w="75" w:type="dxa"/>
              <w:bottom w:w="60" w:type="dxa"/>
              <w:right w:w="75" w:type="dxa"/>
            </w:tcMar>
            <w:vAlign w:val="bottom"/>
          </w:tcPr>
          <w:p w14:paraId="2089561C"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4FB943A4"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1164D1C2"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63CFB785"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Pr>
          <w:p w14:paraId="32C0646D" w14:textId="77777777" w:rsidR="00E70533" w:rsidRPr="00082EC2" w:rsidRDefault="00E70533" w:rsidP="006F0CF3">
            <w:pPr>
              <w:rPr>
                <w:rFonts w:ascii="Arial" w:hAnsi="Arial" w:cs="Arial"/>
                <w:color w:val="000000"/>
                <w:sz w:val="18"/>
                <w:szCs w:val="18"/>
              </w:rPr>
            </w:pPr>
          </w:p>
        </w:tc>
      </w:tr>
      <w:tr w:rsidR="00E70533" w:rsidRPr="00961397" w14:paraId="7E6E59A8" w14:textId="77777777" w:rsidTr="006F0CF3">
        <w:tc>
          <w:tcPr>
            <w:tcW w:w="426" w:type="dxa"/>
          </w:tcPr>
          <w:p w14:paraId="455576BC"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63" w:type="dxa"/>
            <w:tcMar>
              <w:top w:w="60" w:type="dxa"/>
              <w:left w:w="75" w:type="dxa"/>
              <w:bottom w:w="60" w:type="dxa"/>
              <w:right w:w="75" w:type="dxa"/>
            </w:tcMar>
            <w:vAlign w:val="bottom"/>
            <w:hideMark/>
          </w:tcPr>
          <w:p w14:paraId="7AB8E568"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36854.</w:t>
            </w:r>
          </w:p>
        </w:tc>
        <w:tc>
          <w:tcPr>
            <w:tcW w:w="770" w:type="dxa"/>
            <w:tcMar>
              <w:top w:w="60" w:type="dxa"/>
              <w:left w:w="75" w:type="dxa"/>
              <w:bottom w:w="60" w:type="dxa"/>
              <w:right w:w="75" w:type="dxa"/>
            </w:tcMar>
            <w:vAlign w:val="bottom"/>
          </w:tcPr>
          <w:p w14:paraId="2245C231"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69378B91"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12F23B9B"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71E55B6F"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Pr>
          <w:p w14:paraId="06F19F06" w14:textId="77777777" w:rsidR="00E70533" w:rsidRPr="00082EC2" w:rsidRDefault="00E70533" w:rsidP="006F0CF3">
            <w:pPr>
              <w:rPr>
                <w:rFonts w:ascii="Arial" w:hAnsi="Arial" w:cs="Arial"/>
                <w:color w:val="000000"/>
                <w:sz w:val="18"/>
                <w:szCs w:val="18"/>
              </w:rPr>
            </w:pPr>
          </w:p>
        </w:tc>
      </w:tr>
      <w:tr w:rsidR="00E70533" w:rsidRPr="00961397" w14:paraId="4F84E22B" w14:textId="77777777" w:rsidTr="006F0CF3">
        <w:tc>
          <w:tcPr>
            <w:tcW w:w="426" w:type="dxa"/>
          </w:tcPr>
          <w:p w14:paraId="6A726FE0"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63" w:type="dxa"/>
            <w:tcMar>
              <w:top w:w="60" w:type="dxa"/>
              <w:left w:w="75" w:type="dxa"/>
              <w:bottom w:w="60" w:type="dxa"/>
              <w:right w:w="75" w:type="dxa"/>
            </w:tcMar>
            <w:vAlign w:val="bottom"/>
            <w:hideMark/>
          </w:tcPr>
          <w:p w14:paraId="433AC927"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00105, 36827.</w:t>
            </w:r>
          </w:p>
        </w:tc>
        <w:tc>
          <w:tcPr>
            <w:tcW w:w="770" w:type="dxa"/>
            <w:tcMar>
              <w:top w:w="60" w:type="dxa"/>
              <w:left w:w="75" w:type="dxa"/>
              <w:bottom w:w="60" w:type="dxa"/>
              <w:right w:w="75" w:type="dxa"/>
            </w:tcMar>
            <w:vAlign w:val="bottom"/>
          </w:tcPr>
          <w:p w14:paraId="4143C2C5"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5F93E518"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47C8A847"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77EC8E78"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Pr>
          <w:p w14:paraId="49229A43" w14:textId="77777777" w:rsidR="00E70533" w:rsidRPr="00082EC2" w:rsidRDefault="00E70533" w:rsidP="006F0CF3">
            <w:pPr>
              <w:rPr>
                <w:rFonts w:ascii="Arial" w:hAnsi="Arial" w:cs="Arial"/>
                <w:color w:val="000000"/>
                <w:sz w:val="18"/>
                <w:szCs w:val="18"/>
              </w:rPr>
            </w:pPr>
          </w:p>
        </w:tc>
      </w:tr>
      <w:tr w:rsidR="00E70533" w:rsidRPr="00961397" w14:paraId="4759E702" w14:textId="77777777" w:rsidTr="006F0CF3">
        <w:tc>
          <w:tcPr>
            <w:tcW w:w="426" w:type="dxa"/>
          </w:tcPr>
          <w:p w14:paraId="37E55FB1"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63" w:type="dxa"/>
            <w:tcMar>
              <w:top w:w="60" w:type="dxa"/>
              <w:left w:w="75" w:type="dxa"/>
              <w:bottom w:w="60" w:type="dxa"/>
              <w:right w:w="75" w:type="dxa"/>
            </w:tcMar>
            <w:vAlign w:val="bottom"/>
            <w:hideMark/>
          </w:tcPr>
          <w:p w14:paraId="7594DB7F"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00105.</w:t>
            </w:r>
          </w:p>
        </w:tc>
        <w:tc>
          <w:tcPr>
            <w:tcW w:w="770" w:type="dxa"/>
            <w:tcMar>
              <w:top w:w="60" w:type="dxa"/>
              <w:left w:w="75" w:type="dxa"/>
              <w:bottom w:w="60" w:type="dxa"/>
              <w:right w:w="75" w:type="dxa"/>
            </w:tcMar>
            <w:vAlign w:val="bottom"/>
          </w:tcPr>
          <w:p w14:paraId="6AB57AF0"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4F3A474B"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09CDD6A0"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38AF6B74"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Pr>
          <w:p w14:paraId="3CBA04E0" w14:textId="77777777" w:rsidR="00E70533" w:rsidRPr="00082EC2" w:rsidRDefault="00E70533" w:rsidP="006F0CF3">
            <w:pPr>
              <w:rPr>
                <w:rFonts w:ascii="Arial" w:hAnsi="Arial" w:cs="Arial"/>
                <w:color w:val="000000"/>
                <w:sz w:val="18"/>
                <w:szCs w:val="18"/>
              </w:rPr>
            </w:pPr>
          </w:p>
        </w:tc>
      </w:tr>
      <w:tr w:rsidR="00E70533" w:rsidRPr="00961397" w14:paraId="4AC2E8FD" w14:textId="77777777" w:rsidTr="006F0CF3">
        <w:tc>
          <w:tcPr>
            <w:tcW w:w="426" w:type="dxa"/>
          </w:tcPr>
          <w:p w14:paraId="5F000533"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63" w:type="dxa"/>
            <w:tcMar>
              <w:top w:w="60" w:type="dxa"/>
              <w:left w:w="75" w:type="dxa"/>
              <w:bottom w:w="60" w:type="dxa"/>
              <w:right w:w="75" w:type="dxa"/>
            </w:tcMar>
            <w:vAlign w:val="bottom"/>
            <w:hideMark/>
          </w:tcPr>
          <w:p w14:paraId="1ED46EB0"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36811.</w:t>
            </w:r>
          </w:p>
        </w:tc>
        <w:tc>
          <w:tcPr>
            <w:tcW w:w="770" w:type="dxa"/>
            <w:tcMar>
              <w:top w:w="60" w:type="dxa"/>
              <w:left w:w="75" w:type="dxa"/>
              <w:bottom w:w="60" w:type="dxa"/>
              <w:right w:w="75" w:type="dxa"/>
            </w:tcMar>
            <w:vAlign w:val="bottom"/>
          </w:tcPr>
          <w:p w14:paraId="56A724C3"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653A29F9"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03692D32"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74F794AD"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Pr>
          <w:p w14:paraId="590FB5EB" w14:textId="77777777" w:rsidR="00E70533" w:rsidRPr="00082EC2" w:rsidRDefault="00E70533" w:rsidP="006F0CF3">
            <w:pPr>
              <w:rPr>
                <w:rFonts w:ascii="Arial" w:hAnsi="Arial" w:cs="Arial"/>
                <w:color w:val="000000"/>
                <w:sz w:val="18"/>
                <w:szCs w:val="18"/>
              </w:rPr>
            </w:pPr>
          </w:p>
        </w:tc>
      </w:tr>
      <w:tr w:rsidR="00E70533" w:rsidRPr="00961397" w14:paraId="61056AEC" w14:textId="77777777" w:rsidTr="006F0CF3">
        <w:tc>
          <w:tcPr>
            <w:tcW w:w="426" w:type="dxa"/>
          </w:tcPr>
          <w:p w14:paraId="32710BFA"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63" w:type="dxa"/>
            <w:tcMar>
              <w:top w:w="60" w:type="dxa"/>
              <w:left w:w="75" w:type="dxa"/>
              <w:bottom w:w="60" w:type="dxa"/>
              <w:right w:w="75" w:type="dxa"/>
            </w:tcMar>
            <w:vAlign w:val="bottom"/>
            <w:hideMark/>
          </w:tcPr>
          <w:p w14:paraId="35E53609"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36812.</w:t>
            </w:r>
          </w:p>
        </w:tc>
        <w:tc>
          <w:tcPr>
            <w:tcW w:w="770" w:type="dxa"/>
            <w:tcMar>
              <w:top w:w="60" w:type="dxa"/>
              <w:left w:w="75" w:type="dxa"/>
              <w:bottom w:w="60" w:type="dxa"/>
              <w:right w:w="75" w:type="dxa"/>
            </w:tcMar>
            <w:vAlign w:val="bottom"/>
          </w:tcPr>
          <w:p w14:paraId="3556C44C"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5CB566F5"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363BAC8E"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2A579E7A"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Pr>
          <w:p w14:paraId="7E676E75" w14:textId="77777777" w:rsidR="00E70533" w:rsidRPr="00082EC2" w:rsidRDefault="00E70533" w:rsidP="006F0CF3">
            <w:pPr>
              <w:rPr>
                <w:rFonts w:ascii="Arial" w:hAnsi="Arial" w:cs="Arial"/>
                <w:color w:val="000000"/>
                <w:sz w:val="18"/>
                <w:szCs w:val="18"/>
              </w:rPr>
            </w:pPr>
          </w:p>
        </w:tc>
      </w:tr>
      <w:tr w:rsidR="00E70533" w:rsidRPr="00961397" w14:paraId="42850633" w14:textId="77777777" w:rsidTr="006F0CF3">
        <w:tc>
          <w:tcPr>
            <w:tcW w:w="426" w:type="dxa"/>
          </w:tcPr>
          <w:p w14:paraId="27E3D9A5"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63" w:type="dxa"/>
            <w:tcMar>
              <w:top w:w="60" w:type="dxa"/>
              <w:left w:w="75" w:type="dxa"/>
              <w:bottom w:w="60" w:type="dxa"/>
              <w:right w:w="75" w:type="dxa"/>
            </w:tcMar>
            <w:vAlign w:val="bottom"/>
            <w:hideMark/>
          </w:tcPr>
          <w:p w14:paraId="6B2156B8"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36818, 36827.</w:t>
            </w:r>
          </w:p>
        </w:tc>
        <w:tc>
          <w:tcPr>
            <w:tcW w:w="770" w:type="dxa"/>
            <w:tcMar>
              <w:top w:w="60" w:type="dxa"/>
              <w:left w:w="75" w:type="dxa"/>
              <w:bottom w:w="60" w:type="dxa"/>
              <w:right w:w="75" w:type="dxa"/>
            </w:tcMar>
            <w:vAlign w:val="bottom"/>
          </w:tcPr>
          <w:p w14:paraId="7908D17E"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6259CA54"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29B3E696"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75A1DBCF" w14:textId="77777777" w:rsidR="00E70533" w:rsidRDefault="00E70533" w:rsidP="006F0CF3">
            <w:pPr>
              <w:jc w:val="right"/>
            </w:pPr>
            <w:proofErr w:type="spellStart"/>
            <w:r w:rsidRPr="00082EC2">
              <w:rPr>
                <w:rFonts w:ascii="Arial" w:hAnsi="Arial" w:cs="Arial"/>
                <w:color w:val="000000"/>
                <w:sz w:val="18"/>
                <w:szCs w:val="18"/>
              </w:rPr>
              <w:t>np</w:t>
            </w:r>
            <w:proofErr w:type="spellEnd"/>
          </w:p>
        </w:tc>
        <w:tc>
          <w:tcPr>
            <w:tcW w:w="761" w:type="dxa"/>
          </w:tcPr>
          <w:p w14:paraId="5D7A93CD" w14:textId="77777777" w:rsidR="00E70533" w:rsidRPr="00082EC2" w:rsidRDefault="00E70533" w:rsidP="006F0CF3">
            <w:pPr>
              <w:rPr>
                <w:rFonts w:ascii="Arial" w:hAnsi="Arial" w:cs="Arial"/>
                <w:color w:val="000000"/>
                <w:sz w:val="18"/>
                <w:szCs w:val="18"/>
              </w:rPr>
            </w:pPr>
          </w:p>
        </w:tc>
      </w:tr>
    </w:tbl>
    <w:p w14:paraId="348DDC2C" w14:textId="27BA66C9" w:rsidR="00E70533" w:rsidRPr="00FC1420" w:rsidRDefault="00E70533" w:rsidP="00FC1420">
      <w:pPr>
        <w:pStyle w:val="Heading3"/>
      </w:pPr>
      <w:r w:rsidRPr="00FC1420">
        <w:t>Table 10: Top 10 instances of co-claiming with MBS item 18375 in 2015-16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10 presents the top ten instances of co-claiming with MBS item 18375 in the 2015-16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NP' means that for that cell, the data is not printed."/>
      </w:tblPr>
      <w:tblGrid>
        <w:gridCol w:w="426"/>
        <w:gridCol w:w="3063"/>
        <w:gridCol w:w="770"/>
        <w:gridCol w:w="734"/>
        <w:gridCol w:w="1063"/>
        <w:gridCol w:w="761"/>
        <w:gridCol w:w="810"/>
      </w:tblGrid>
      <w:tr w:rsidR="00E70533" w:rsidRPr="00961397" w14:paraId="5067BC17" w14:textId="77777777" w:rsidTr="00A15C96">
        <w:trPr>
          <w:trHeight w:val="516"/>
          <w:tblHeader/>
        </w:trPr>
        <w:tc>
          <w:tcPr>
            <w:tcW w:w="426" w:type="dxa"/>
            <w:shd w:val="clear" w:color="auto" w:fill="008080"/>
          </w:tcPr>
          <w:p w14:paraId="4144422D" w14:textId="77777777" w:rsidR="00E70533" w:rsidRPr="002012FC" w:rsidRDefault="00E70533" w:rsidP="006F0CF3">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72AB890B"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39B55CE3"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7DB94DE6" w14:textId="06566C3A"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Number</w:t>
            </w:r>
            <w:r w:rsidR="002D568B">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48EE5DCD" w14:textId="77777777" w:rsidR="00E70533" w:rsidRPr="002012FC" w:rsidRDefault="00E70533" w:rsidP="006F0CF3">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7B9154DD" w14:textId="77777777" w:rsidR="00E70533" w:rsidRPr="002012FC" w:rsidRDefault="00E70533" w:rsidP="006F0CF3">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810" w:type="dxa"/>
            <w:shd w:val="clear" w:color="auto" w:fill="008080"/>
          </w:tcPr>
          <w:p w14:paraId="1171A8DC" w14:textId="77777777" w:rsidR="00E70533" w:rsidRPr="002012FC" w:rsidRDefault="00E70533" w:rsidP="006F0CF3">
            <w:pPr>
              <w:jc w:val="center"/>
              <w:rPr>
                <w:rStyle w:val="textitem"/>
                <w:b/>
                <w:bCs/>
                <w:color w:val="FFFFFF" w:themeColor="background1"/>
                <w:sz w:val="16"/>
                <w:szCs w:val="16"/>
              </w:rPr>
            </w:pPr>
            <w:r>
              <w:rPr>
                <w:rStyle w:val="textitem"/>
                <w:b/>
                <w:bCs/>
                <w:color w:val="FFFFFF" w:themeColor="background1"/>
                <w:sz w:val="16"/>
                <w:szCs w:val="16"/>
              </w:rPr>
              <w:t>Cumulative %</w:t>
            </w:r>
          </w:p>
        </w:tc>
      </w:tr>
      <w:tr w:rsidR="00E70533" w:rsidRPr="00961397" w14:paraId="412EC81F" w14:textId="77777777" w:rsidTr="00A15C96">
        <w:tc>
          <w:tcPr>
            <w:tcW w:w="426" w:type="dxa"/>
          </w:tcPr>
          <w:p w14:paraId="36A792BA"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63" w:type="dxa"/>
            <w:tcMar>
              <w:top w:w="60" w:type="dxa"/>
              <w:left w:w="75" w:type="dxa"/>
              <w:bottom w:w="60" w:type="dxa"/>
              <w:right w:w="75" w:type="dxa"/>
            </w:tcMar>
            <w:vAlign w:val="center"/>
            <w:hideMark/>
          </w:tcPr>
          <w:p w14:paraId="55B4B147" w14:textId="77777777" w:rsidR="00E70533" w:rsidRPr="00361EAD" w:rsidRDefault="00E70533" w:rsidP="006F0CF3">
            <w:pPr>
              <w:rPr>
                <w:rFonts w:ascii="Arial" w:hAnsi="Arial" w:cs="Arial"/>
                <w:b/>
                <w:bCs/>
                <w:color w:val="000000"/>
                <w:sz w:val="18"/>
                <w:szCs w:val="18"/>
              </w:rPr>
            </w:pPr>
            <w:r>
              <w:rPr>
                <w:rFonts w:ascii="Arial" w:hAnsi="Arial" w:cs="Arial"/>
                <w:b/>
                <w:bCs/>
                <w:color w:val="000000"/>
                <w:sz w:val="18"/>
                <w:szCs w:val="18"/>
              </w:rPr>
              <w:t>18375</w:t>
            </w:r>
          </w:p>
        </w:tc>
        <w:tc>
          <w:tcPr>
            <w:tcW w:w="770" w:type="dxa"/>
            <w:tcMar>
              <w:top w:w="60" w:type="dxa"/>
              <w:left w:w="75" w:type="dxa"/>
              <w:bottom w:w="60" w:type="dxa"/>
              <w:right w:w="75" w:type="dxa"/>
            </w:tcMar>
            <w:vAlign w:val="bottom"/>
            <w:hideMark/>
          </w:tcPr>
          <w:p w14:paraId="1001C41E"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388 </w:t>
            </w:r>
          </w:p>
        </w:tc>
        <w:tc>
          <w:tcPr>
            <w:tcW w:w="734" w:type="dxa"/>
            <w:tcMar>
              <w:top w:w="60" w:type="dxa"/>
              <w:left w:w="75" w:type="dxa"/>
              <w:bottom w:w="60" w:type="dxa"/>
              <w:right w:w="75" w:type="dxa"/>
            </w:tcMar>
            <w:vAlign w:val="bottom"/>
            <w:hideMark/>
          </w:tcPr>
          <w:p w14:paraId="2ECD65C7"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388 </w:t>
            </w:r>
          </w:p>
        </w:tc>
        <w:tc>
          <w:tcPr>
            <w:tcW w:w="1063" w:type="dxa"/>
            <w:tcMar>
              <w:top w:w="60" w:type="dxa"/>
              <w:left w:w="75" w:type="dxa"/>
              <w:bottom w:w="60" w:type="dxa"/>
              <w:right w:w="75" w:type="dxa"/>
            </w:tcMar>
            <w:vAlign w:val="bottom"/>
            <w:hideMark/>
          </w:tcPr>
          <w:p w14:paraId="18C64396"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$89,182 </w:t>
            </w:r>
          </w:p>
        </w:tc>
        <w:tc>
          <w:tcPr>
            <w:tcW w:w="761" w:type="dxa"/>
            <w:tcMar>
              <w:top w:w="60" w:type="dxa"/>
              <w:left w:w="75" w:type="dxa"/>
              <w:bottom w:w="60" w:type="dxa"/>
              <w:right w:w="75" w:type="dxa"/>
            </w:tcMar>
            <w:vAlign w:val="bottom"/>
            <w:hideMark/>
          </w:tcPr>
          <w:p w14:paraId="091B7F21"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80% </w:t>
            </w:r>
          </w:p>
        </w:tc>
        <w:tc>
          <w:tcPr>
            <w:tcW w:w="810" w:type="dxa"/>
            <w:vAlign w:val="bottom"/>
          </w:tcPr>
          <w:p w14:paraId="7EE8B9D9"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80%</w:t>
            </w:r>
          </w:p>
        </w:tc>
      </w:tr>
      <w:tr w:rsidR="00E70533" w:rsidRPr="00961397" w14:paraId="53728250" w14:textId="77777777" w:rsidTr="00A15C96">
        <w:tc>
          <w:tcPr>
            <w:tcW w:w="426" w:type="dxa"/>
          </w:tcPr>
          <w:p w14:paraId="3AC024B4"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63" w:type="dxa"/>
            <w:tcMar>
              <w:top w:w="60" w:type="dxa"/>
              <w:left w:w="75" w:type="dxa"/>
              <w:bottom w:w="60" w:type="dxa"/>
              <w:right w:w="75" w:type="dxa"/>
            </w:tcMar>
            <w:vAlign w:val="bottom"/>
            <w:hideMark/>
          </w:tcPr>
          <w:p w14:paraId="784CE641"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00105</w:t>
            </w:r>
          </w:p>
        </w:tc>
        <w:tc>
          <w:tcPr>
            <w:tcW w:w="770" w:type="dxa"/>
            <w:tcMar>
              <w:top w:w="60" w:type="dxa"/>
              <w:left w:w="75" w:type="dxa"/>
              <w:bottom w:w="60" w:type="dxa"/>
              <w:right w:w="75" w:type="dxa"/>
            </w:tcMar>
            <w:vAlign w:val="bottom"/>
            <w:hideMark/>
          </w:tcPr>
          <w:p w14:paraId="392A35CA"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13 </w:t>
            </w:r>
          </w:p>
        </w:tc>
        <w:tc>
          <w:tcPr>
            <w:tcW w:w="734" w:type="dxa"/>
            <w:tcMar>
              <w:top w:w="60" w:type="dxa"/>
              <w:left w:w="75" w:type="dxa"/>
              <w:bottom w:w="60" w:type="dxa"/>
              <w:right w:w="75" w:type="dxa"/>
            </w:tcMar>
            <w:vAlign w:val="bottom"/>
            <w:hideMark/>
          </w:tcPr>
          <w:p w14:paraId="235E48B2"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26 </w:t>
            </w:r>
          </w:p>
        </w:tc>
        <w:tc>
          <w:tcPr>
            <w:tcW w:w="1063" w:type="dxa"/>
            <w:tcMar>
              <w:top w:w="60" w:type="dxa"/>
              <w:left w:w="75" w:type="dxa"/>
              <w:bottom w:w="60" w:type="dxa"/>
              <w:right w:w="75" w:type="dxa"/>
            </w:tcMar>
            <w:vAlign w:val="bottom"/>
            <w:hideMark/>
          </w:tcPr>
          <w:p w14:paraId="7317A4FC"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$3,547 </w:t>
            </w:r>
          </w:p>
        </w:tc>
        <w:tc>
          <w:tcPr>
            <w:tcW w:w="761" w:type="dxa"/>
            <w:tcMar>
              <w:top w:w="60" w:type="dxa"/>
              <w:left w:w="75" w:type="dxa"/>
              <w:bottom w:w="60" w:type="dxa"/>
              <w:right w:w="75" w:type="dxa"/>
            </w:tcMar>
            <w:vAlign w:val="bottom"/>
            <w:hideMark/>
          </w:tcPr>
          <w:p w14:paraId="6D214CF5"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3% </w:t>
            </w:r>
          </w:p>
        </w:tc>
        <w:tc>
          <w:tcPr>
            <w:tcW w:w="810" w:type="dxa"/>
            <w:vAlign w:val="bottom"/>
          </w:tcPr>
          <w:p w14:paraId="3192451F"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83%</w:t>
            </w:r>
          </w:p>
        </w:tc>
      </w:tr>
      <w:tr w:rsidR="00E70533" w:rsidRPr="00961397" w14:paraId="17586CE2" w14:textId="77777777" w:rsidTr="00A15C96">
        <w:tc>
          <w:tcPr>
            <w:tcW w:w="426" w:type="dxa"/>
          </w:tcPr>
          <w:p w14:paraId="6AFE1EE9"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63" w:type="dxa"/>
            <w:tcMar>
              <w:top w:w="60" w:type="dxa"/>
              <w:left w:w="75" w:type="dxa"/>
              <w:bottom w:w="60" w:type="dxa"/>
              <w:right w:w="75" w:type="dxa"/>
            </w:tcMar>
            <w:vAlign w:val="bottom"/>
            <w:hideMark/>
          </w:tcPr>
          <w:p w14:paraId="31F4C768"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36812.</w:t>
            </w:r>
          </w:p>
        </w:tc>
        <w:tc>
          <w:tcPr>
            <w:tcW w:w="770" w:type="dxa"/>
            <w:tcMar>
              <w:top w:w="60" w:type="dxa"/>
              <w:left w:w="75" w:type="dxa"/>
              <w:bottom w:w="60" w:type="dxa"/>
              <w:right w:w="75" w:type="dxa"/>
            </w:tcMar>
            <w:vAlign w:val="bottom"/>
            <w:hideMark/>
          </w:tcPr>
          <w:p w14:paraId="1692B6E0"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12 </w:t>
            </w:r>
          </w:p>
        </w:tc>
        <w:tc>
          <w:tcPr>
            <w:tcW w:w="734" w:type="dxa"/>
            <w:tcMar>
              <w:top w:w="60" w:type="dxa"/>
              <w:left w:w="75" w:type="dxa"/>
              <w:bottom w:w="60" w:type="dxa"/>
              <w:right w:w="75" w:type="dxa"/>
            </w:tcMar>
            <w:vAlign w:val="bottom"/>
            <w:hideMark/>
          </w:tcPr>
          <w:p w14:paraId="157E7DE7"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24 </w:t>
            </w:r>
          </w:p>
        </w:tc>
        <w:tc>
          <w:tcPr>
            <w:tcW w:w="1063" w:type="dxa"/>
            <w:tcMar>
              <w:top w:w="60" w:type="dxa"/>
              <w:left w:w="75" w:type="dxa"/>
              <w:bottom w:w="60" w:type="dxa"/>
              <w:right w:w="75" w:type="dxa"/>
            </w:tcMar>
            <w:vAlign w:val="bottom"/>
            <w:hideMark/>
          </w:tcPr>
          <w:p w14:paraId="30B0C82F"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$4,759 </w:t>
            </w:r>
          </w:p>
        </w:tc>
        <w:tc>
          <w:tcPr>
            <w:tcW w:w="761" w:type="dxa"/>
            <w:tcMar>
              <w:top w:w="60" w:type="dxa"/>
              <w:left w:w="75" w:type="dxa"/>
              <w:bottom w:w="60" w:type="dxa"/>
              <w:right w:w="75" w:type="dxa"/>
            </w:tcMar>
            <w:vAlign w:val="bottom"/>
            <w:hideMark/>
          </w:tcPr>
          <w:p w14:paraId="08FC6E92"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 </w:t>
            </w:r>
          </w:p>
        </w:tc>
        <w:tc>
          <w:tcPr>
            <w:tcW w:w="810" w:type="dxa"/>
            <w:vAlign w:val="bottom"/>
          </w:tcPr>
          <w:p w14:paraId="572A930E"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85%</w:t>
            </w:r>
          </w:p>
        </w:tc>
      </w:tr>
      <w:tr w:rsidR="00E70533" w:rsidRPr="00961397" w14:paraId="32AF6567" w14:textId="77777777" w:rsidTr="00A15C96">
        <w:tc>
          <w:tcPr>
            <w:tcW w:w="426" w:type="dxa"/>
          </w:tcPr>
          <w:p w14:paraId="3655EA0D"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63" w:type="dxa"/>
            <w:tcMar>
              <w:top w:w="60" w:type="dxa"/>
              <w:left w:w="75" w:type="dxa"/>
              <w:bottom w:w="60" w:type="dxa"/>
              <w:right w:w="75" w:type="dxa"/>
            </w:tcMar>
            <w:vAlign w:val="bottom"/>
            <w:hideMark/>
          </w:tcPr>
          <w:p w14:paraId="1900C74C"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36840.</w:t>
            </w:r>
          </w:p>
        </w:tc>
        <w:tc>
          <w:tcPr>
            <w:tcW w:w="770" w:type="dxa"/>
            <w:tcMar>
              <w:top w:w="60" w:type="dxa"/>
              <w:left w:w="75" w:type="dxa"/>
              <w:bottom w:w="60" w:type="dxa"/>
              <w:right w:w="75" w:type="dxa"/>
            </w:tcMar>
            <w:vAlign w:val="bottom"/>
            <w:hideMark/>
          </w:tcPr>
          <w:p w14:paraId="4DEA6887"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11 </w:t>
            </w:r>
          </w:p>
        </w:tc>
        <w:tc>
          <w:tcPr>
            <w:tcW w:w="734" w:type="dxa"/>
            <w:tcMar>
              <w:top w:w="60" w:type="dxa"/>
              <w:left w:w="75" w:type="dxa"/>
              <w:bottom w:w="60" w:type="dxa"/>
              <w:right w:w="75" w:type="dxa"/>
            </w:tcMar>
            <w:vAlign w:val="bottom"/>
            <w:hideMark/>
          </w:tcPr>
          <w:p w14:paraId="34B8EC8B"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22 </w:t>
            </w:r>
          </w:p>
        </w:tc>
        <w:tc>
          <w:tcPr>
            <w:tcW w:w="1063" w:type="dxa"/>
            <w:tcMar>
              <w:top w:w="60" w:type="dxa"/>
              <w:left w:w="75" w:type="dxa"/>
              <w:bottom w:w="60" w:type="dxa"/>
              <w:right w:w="75" w:type="dxa"/>
            </w:tcMar>
            <w:vAlign w:val="bottom"/>
            <w:hideMark/>
          </w:tcPr>
          <w:p w14:paraId="355760BF"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$6,084 </w:t>
            </w:r>
          </w:p>
        </w:tc>
        <w:tc>
          <w:tcPr>
            <w:tcW w:w="761" w:type="dxa"/>
            <w:tcMar>
              <w:top w:w="60" w:type="dxa"/>
              <w:left w:w="75" w:type="dxa"/>
              <w:bottom w:w="60" w:type="dxa"/>
              <w:right w:w="75" w:type="dxa"/>
            </w:tcMar>
            <w:vAlign w:val="bottom"/>
            <w:hideMark/>
          </w:tcPr>
          <w:p w14:paraId="74274777"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 </w:t>
            </w:r>
          </w:p>
        </w:tc>
        <w:tc>
          <w:tcPr>
            <w:tcW w:w="810" w:type="dxa"/>
            <w:vAlign w:val="bottom"/>
          </w:tcPr>
          <w:p w14:paraId="21ED9665"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87%</w:t>
            </w:r>
          </w:p>
        </w:tc>
      </w:tr>
      <w:tr w:rsidR="00E70533" w:rsidRPr="00961397" w14:paraId="18BC70F8" w14:textId="77777777" w:rsidTr="00A15C96">
        <w:tc>
          <w:tcPr>
            <w:tcW w:w="426" w:type="dxa"/>
          </w:tcPr>
          <w:p w14:paraId="0DD1E98D"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63" w:type="dxa"/>
            <w:tcMar>
              <w:top w:w="60" w:type="dxa"/>
              <w:left w:w="75" w:type="dxa"/>
              <w:bottom w:w="60" w:type="dxa"/>
              <w:right w:w="75" w:type="dxa"/>
            </w:tcMar>
            <w:vAlign w:val="bottom"/>
            <w:hideMark/>
          </w:tcPr>
          <w:p w14:paraId="48F9847D"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36827.</w:t>
            </w:r>
          </w:p>
        </w:tc>
        <w:tc>
          <w:tcPr>
            <w:tcW w:w="770" w:type="dxa"/>
            <w:tcMar>
              <w:top w:w="60" w:type="dxa"/>
              <w:left w:w="75" w:type="dxa"/>
              <w:bottom w:w="60" w:type="dxa"/>
              <w:right w:w="75" w:type="dxa"/>
            </w:tcMar>
            <w:vAlign w:val="bottom"/>
            <w:hideMark/>
          </w:tcPr>
          <w:p w14:paraId="275C8714"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10 </w:t>
            </w:r>
          </w:p>
        </w:tc>
        <w:tc>
          <w:tcPr>
            <w:tcW w:w="734" w:type="dxa"/>
            <w:tcMar>
              <w:top w:w="60" w:type="dxa"/>
              <w:left w:w="75" w:type="dxa"/>
              <w:bottom w:w="60" w:type="dxa"/>
              <w:right w:w="75" w:type="dxa"/>
            </w:tcMar>
            <w:vAlign w:val="bottom"/>
            <w:hideMark/>
          </w:tcPr>
          <w:p w14:paraId="23B6D1AD"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20 </w:t>
            </w:r>
          </w:p>
        </w:tc>
        <w:tc>
          <w:tcPr>
            <w:tcW w:w="1063" w:type="dxa"/>
            <w:tcMar>
              <w:top w:w="60" w:type="dxa"/>
              <w:left w:w="75" w:type="dxa"/>
              <w:bottom w:w="60" w:type="dxa"/>
              <w:right w:w="75" w:type="dxa"/>
            </w:tcMar>
            <w:vAlign w:val="bottom"/>
            <w:hideMark/>
          </w:tcPr>
          <w:p w14:paraId="3796914C"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$4,597 </w:t>
            </w:r>
          </w:p>
        </w:tc>
        <w:tc>
          <w:tcPr>
            <w:tcW w:w="761" w:type="dxa"/>
            <w:tcMar>
              <w:top w:w="60" w:type="dxa"/>
              <w:left w:w="75" w:type="dxa"/>
              <w:bottom w:w="60" w:type="dxa"/>
              <w:right w:w="75" w:type="dxa"/>
            </w:tcMar>
            <w:vAlign w:val="bottom"/>
            <w:hideMark/>
          </w:tcPr>
          <w:p w14:paraId="2650D3F9"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 xml:space="preserve">2% </w:t>
            </w:r>
          </w:p>
        </w:tc>
        <w:tc>
          <w:tcPr>
            <w:tcW w:w="810" w:type="dxa"/>
            <w:vAlign w:val="bottom"/>
          </w:tcPr>
          <w:p w14:paraId="05E0B640" w14:textId="77777777" w:rsidR="00E70533" w:rsidRDefault="00E70533" w:rsidP="006F0CF3">
            <w:pPr>
              <w:jc w:val="right"/>
              <w:rPr>
                <w:rFonts w:ascii="Arial" w:hAnsi="Arial" w:cs="Arial"/>
                <w:color w:val="000000"/>
                <w:sz w:val="18"/>
                <w:szCs w:val="18"/>
              </w:rPr>
            </w:pPr>
            <w:r>
              <w:rPr>
                <w:rFonts w:ascii="Arial" w:hAnsi="Arial" w:cs="Arial"/>
                <w:color w:val="000000"/>
                <w:sz w:val="18"/>
                <w:szCs w:val="18"/>
              </w:rPr>
              <w:t>89%</w:t>
            </w:r>
          </w:p>
        </w:tc>
      </w:tr>
      <w:tr w:rsidR="00E70533" w:rsidRPr="00961397" w14:paraId="4FFE7D69" w14:textId="77777777" w:rsidTr="00A15C96">
        <w:tc>
          <w:tcPr>
            <w:tcW w:w="426" w:type="dxa"/>
          </w:tcPr>
          <w:p w14:paraId="1046AB05"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63" w:type="dxa"/>
            <w:tcMar>
              <w:top w:w="60" w:type="dxa"/>
              <w:left w:w="75" w:type="dxa"/>
              <w:bottom w:w="60" w:type="dxa"/>
              <w:right w:w="75" w:type="dxa"/>
            </w:tcMar>
            <w:vAlign w:val="bottom"/>
            <w:hideMark/>
          </w:tcPr>
          <w:p w14:paraId="021B98E4"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36818, 36827.</w:t>
            </w:r>
          </w:p>
        </w:tc>
        <w:tc>
          <w:tcPr>
            <w:tcW w:w="770" w:type="dxa"/>
            <w:tcMar>
              <w:top w:w="60" w:type="dxa"/>
              <w:left w:w="75" w:type="dxa"/>
              <w:bottom w:w="60" w:type="dxa"/>
              <w:right w:w="75" w:type="dxa"/>
            </w:tcMar>
            <w:vAlign w:val="bottom"/>
          </w:tcPr>
          <w:p w14:paraId="77C50D89"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5DA52F24"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250E57EA"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324F6BB3"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810" w:type="dxa"/>
            <w:vAlign w:val="bottom"/>
          </w:tcPr>
          <w:p w14:paraId="2BE374A4" w14:textId="77777777" w:rsidR="00E70533" w:rsidRPr="0030117C" w:rsidRDefault="00E70533" w:rsidP="006F0CF3">
            <w:pPr>
              <w:jc w:val="right"/>
              <w:rPr>
                <w:rFonts w:ascii="Arial" w:hAnsi="Arial" w:cs="Arial"/>
                <w:color w:val="000000"/>
                <w:sz w:val="18"/>
                <w:szCs w:val="18"/>
              </w:rPr>
            </w:pPr>
          </w:p>
        </w:tc>
      </w:tr>
      <w:tr w:rsidR="00E70533" w:rsidRPr="00961397" w14:paraId="2225D4B3" w14:textId="77777777" w:rsidTr="00A15C96">
        <w:tc>
          <w:tcPr>
            <w:tcW w:w="426" w:type="dxa"/>
          </w:tcPr>
          <w:p w14:paraId="711E0A12"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63" w:type="dxa"/>
            <w:tcMar>
              <w:top w:w="60" w:type="dxa"/>
              <w:left w:w="75" w:type="dxa"/>
              <w:bottom w:w="60" w:type="dxa"/>
              <w:right w:w="75" w:type="dxa"/>
            </w:tcMar>
            <w:vAlign w:val="bottom"/>
            <w:hideMark/>
          </w:tcPr>
          <w:p w14:paraId="28754815"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36836.</w:t>
            </w:r>
          </w:p>
        </w:tc>
        <w:tc>
          <w:tcPr>
            <w:tcW w:w="770" w:type="dxa"/>
            <w:tcMar>
              <w:top w:w="60" w:type="dxa"/>
              <w:left w:w="75" w:type="dxa"/>
              <w:bottom w:w="60" w:type="dxa"/>
              <w:right w:w="75" w:type="dxa"/>
            </w:tcMar>
            <w:vAlign w:val="bottom"/>
          </w:tcPr>
          <w:p w14:paraId="365B048D"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5CCA7488"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5DE5610B"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43C8C274"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810" w:type="dxa"/>
            <w:vAlign w:val="bottom"/>
          </w:tcPr>
          <w:p w14:paraId="07D8C5B8" w14:textId="77777777" w:rsidR="00E70533" w:rsidRPr="0030117C" w:rsidRDefault="00E70533" w:rsidP="006F0CF3">
            <w:pPr>
              <w:jc w:val="right"/>
              <w:rPr>
                <w:rFonts w:ascii="Arial" w:hAnsi="Arial" w:cs="Arial"/>
                <w:color w:val="000000"/>
                <w:sz w:val="18"/>
                <w:szCs w:val="18"/>
              </w:rPr>
            </w:pPr>
          </w:p>
        </w:tc>
      </w:tr>
      <w:tr w:rsidR="00E70533" w:rsidRPr="00961397" w14:paraId="4A52F412" w14:textId="77777777" w:rsidTr="00A15C96">
        <w:tc>
          <w:tcPr>
            <w:tcW w:w="426" w:type="dxa"/>
          </w:tcPr>
          <w:p w14:paraId="205D9AFD"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63" w:type="dxa"/>
            <w:tcMar>
              <w:top w:w="60" w:type="dxa"/>
              <w:left w:w="75" w:type="dxa"/>
              <w:bottom w:w="60" w:type="dxa"/>
              <w:right w:w="75" w:type="dxa"/>
            </w:tcMar>
            <w:vAlign w:val="bottom"/>
            <w:hideMark/>
          </w:tcPr>
          <w:p w14:paraId="420FAC15"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37011.</w:t>
            </w:r>
          </w:p>
        </w:tc>
        <w:tc>
          <w:tcPr>
            <w:tcW w:w="770" w:type="dxa"/>
            <w:tcMar>
              <w:top w:w="60" w:type="dxa"/>
              <w:left w:w="75" w:type="dxa"/>
              <w:bottom w:w="60" w:type="dxa"/>
              <w:right w:w="75" w:type="dxa"/>
            </w:tcMar>
            <w:vAlign w:val="bottom"/>
          </w:tcPr>
          <w:p w14:paraId="6E49891A"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161DA4BB"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0A455E32"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223B69D9"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810" w:type="dxa"/>
            <w:vAlign w:val="bottom"/>
          </w:tcPr>
          <w:p w14:paraId="5C5880D3" w14:textId="77777777" w:rsidR="00E70533" w:rsidRPr="0030117C" w:rsidRDefault="00E70533" w:rsidP="006F0CF3">
            <w:pPr>
              <w:jc w:val="right"/>
              <w:rPr>
                <w:rFonts w:ascii="Arial" w:hAnsi="Arial" w:cs="Arial"/>
                <w:color w:val="000000"/>
                <w:sz w:val="18"/>
                <w:szCs w:val="18"/>
              </w:rPr>
            </w:pPr>
          </w:p>
        </w:tc>
      </w:tr>
      <w:tr w:rsidR="00E70533" w:rsidRPr="00961397" w14:paraId="364865AC" w14:textId="77777777" w:rsidTr="00A15C96">
        <w:tc>
          <w:tcPr>
            <w:tcW w:w="426" w:type="dxa"/>
          </w:tcPr>
          <w:p w14:paraId="6B6A3313"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63" w:type="dxa"/>
            <w:tcMar>
              <w:top w:w="60" w:type="dxa"/>
              <w:left w:w="75" w:type="dxa"/>
              <w:bottom w:w="60" w:type="dxa"/>
              <w:right w:w="75" w:type="dxa"/>
            </w:tcMar>
            <w:vAlign w:val="bottom"/>
            <w:hideMark/>
          </w:tcPr>
          <w:p w14:paraId="64364641"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36863.</w:t>
            </w:r>
          </w:p>
        </w:tc>
        <w:tc>
          <w:tcPr>
            <w:tcW w:w="770" w:type="dxa"/>
            <w:tcMar>
              <w:top w:w="60" w:type="dxa"/>
              <w:left w:w="75" w:type="dxa"/>
              <w:bottom w:w="60" w:type="dxa"/>
              <w:right w:w="75" w:type="dxa"/>
            </w:tcMar>
            <w:vAlign w:val="bottom"/>
          </w:tcPr>
          <w:p w14:paraId="11320A1A"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47BA3CCB"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4EBB1E2C"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7B81636F"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810" w:type="dxa"/>
            <w:vAlign w:val="bottom"/>
          </w:tcPr>
          <w:p w14:paraId="2DD09748" w14:textId="77777777" w:rsidR="00E70533" w:rsidRPr="0030117C" w:rsidRDefault="00E70533" w:rsidP="006F0CF3">
            <w:pPr>
              <w:jc w:val="right"/>
              <w:rPr>
                <w:rFonts w:ascii="Arial" w:hAnsi="Arial" w:cs="Arial"/>
                <w:color w:val="000000"/>
                <w:sz w:val="18"/>
                <w:szCs w:val="18"/>
              </w:rPr>
            </w:pPr>
          </w:p>
        </w:tc>
      </w:tr>
      <w:tr w:rsidR="00E70533" w:rsidRPr="00961397" w14:paraId="19C96322" w14:textId="77777777" w:rsidTr="00A15C96">
        <w:tc>
          <w:tcPr>
            <w:tcW w:w="426" w:type="dxa"/>
          </w:tcPr>
          <w:p w14:paraId="12713A06" w14:textId="77777777" w:rsidR="00E70533" w:rsidRPr="00361EAD" w:rsidRDefault="00E70533" w:rsidP="006F0CF3">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63" w:type="dxa"/>
            <w:tcMar>
              <w:top w:w="60" w:type="dxa"/>
              <w:left w:w="75" w:type="dxa"/>
              <w:bottom w:w="60" w:type="dxa"/>
              <w:right w:w="75" w:type="dxa"/>
            </w:tcMar>
            <w:vAlign w:val="bottom"/>
            <w:hideMark/>
          </w:tcPr>
          <w:p w14:paraId="1CCBB70C" w14:textId="77777777" w:rsidR="00E70533" w:rsidRDefault="00E70533" w:rsidP="006F0CF3">
            <w:pPr>
              <w:rPr>
                <w:rFonts w:ascii="Arial" w:hAnsi="Arial" w:cs="Arial"/>
                <w:color w:val="000000"/>
                <w:sz w:val="18"/>
                <w:szCs w:val="18"/>
              </w:rPr>
            </w:pPr>
            <w:r>
              <w:rPr>
                <w:rFonts w:ascii="Arial" w:hAnsi="Arial" w:cs="Arial"/>
                <w:b/>
                <w:bCs/>
                <w:color w:val="000000"/>
                <w:sz w:val="18"/>
                <w:szCs w:val="18"/>
              </w:rPr>
              <w:t xml:space="preserve">18375, </w:t>
            </w:r>
            <w:r>
              <w:rPr>
                <w:rFonts w:ascii="Arial" w:hAnsi="Arial" w:cs="Arial"/>
                <w:color w:val="000000"/>
                <w:sz w:val="18"/>
                <w:szCs w:val="18"/>
              </w:rPr>
              <w:t>00105, 36827.</w:t>
            </w:r>
          </w:p>
        </w:tc>
        <w:tc>
          <w:tcPr>
            <w:tcW w:w="770" w:type="dxa"/>
            <w:tcMar>
              <w:top w:w="60" w:type="dxa"/>
              <w:left w:w="75" w:type="dxa"/>
              <w:bottom w:w="60" w:type="dxa"/>
              <w:right w:w="75" w:type="dxa"/>
            </w:tcMar>
            <w:vAlign w:val="bottom"/>
          </w:tcPr>
          <w:p w14:paraId="4E3A0A0C"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34" w:type="dxa"/>
            <w:tcMar>
              <w:top w:w="60" w:type="dxa"/>
              <w:left w:w="75" w:type="dxa"/>
              <w:bottom w:w="60" w:type="dxa"/>
              <w:right w:w="75" w:type="dxa"/>
            </w:tcMar>
            <w:vAlign w:val="bottom"/>
          </w:tcPr>
          <w:p w14:paraId="23A03B2A"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1063" w:type="dxa"/>
            <w:tcMar>
              <w:top w:w="60" w:type="dxa"/>
              <w:left w:w="75" w:type="dxa"/>
              <w:bottom w:w="60" w:type="dxa"/>
              <w:right w:w="75" w:type="dxa"/>
            </w:tcMar>
            <w:vAlign w:val="bottom"/>
          </w:tcPr>
          <w:p w14:paraId="550A74B3"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761" w:type="dxa"/>
            <w:tcMar>
              <w:top w:w="60" w:type="dxa"/>
              <w:left w:w="75" w:type="dxa"/>
              <w:bottom w:w="60" w:type="dxa"/>
              <w:right w:w="75" w:type="dxa"/>
            </w:tcMar>
            <w:vAlign w:val="bottom"/>
          </w:tcPr>
          <w:p w14:paraId="0D2BEAF2" w14:textId="77777777" w:rsidR="00E70533" w:rsidRDefault="00E70533" w:rsidP="006F0CF3">
            <w:pPr>
              <w:jc w:val="right"/>
            </w:pPr>
            <w:proofErr w:type="spellStart"/>
            <w:r w:rsidRPr="0030117C">
              <w:rPr>
                <w:rFonts w:ascii="Arial" w:hAnsi="Arial" w:cs="Arial"/>
                <w:color w:val="000000"/>
                <w:sz w:val="18"/>
                <w:szCs w:val="18"/>
              </w:rPr>
              <w:t>np</w:t>
            </w:r>
            <w:proofErr w:type="spellEnd"/>
          </w:p>
        </w:tc>
        <w:tc>
          <w:tcPr>
            <w:tcW w:w="810" w:type="dxa"/>
            <w:vAlign w:val="bottom"/>
          </w:tcPr>
          <w:p w14:paraId="68E0F950" w14:textId="77777777" w:rsidR="00E70533" w:rsidRPr="0030117C" w:rsidRDefault="00E70533" w:rsidP="006F0CF3">
            <w:pPr>
              <w:jc w:val="right"/>
              <w:rPr>
                <w:rFonts w:ascii="Arial" w:hAnsi="Arial" w:cs="Arial"/>
                <w:color w:val="000000"/>
                <w:sz w:val="18"/>
                <w:szCs w:val="18"/>
              </w:rPr>
            </w:pPr>
          </w:p>
        </w:tc>
      </w:tr>
    </w:tbl>
    <w:p w14:paraId="648A8EEE" w14:textId="77777777" w:rsidR="00A15C96" w:rsidRPr="000E7EA4" w:rsidRDefault="00A15C96" w:rsidP="00A15C96">
      <w:pPr>
        <w:rPr>
          <w:sz w:val="20"/>
        </w:rPr>
      </w:pPr>
      <w:r>
        <w:rPr>
          <w:sz w:val="20"/>
        </w:rPr>
        <w:t>NP</w:t>
      </w:r>
      <w:r w:rsidRPr="000E7EA4">
        <w:rPr>
          <w:sz w:val="20"/>
        </w:rPr>
        <w:t xml:space="preserve"> = not </w:t>
      </w:r>
      <w:r>
        <w:rPr>
          <w:sz w:val="20"/>
        </w:rPr>
        <w:t>published due to low volumes</w:t>
      </w:r>
    </w:p>
    <w:p w14:paraId="5F87EA59" w14:textId="418620EB" w:rsidR="00E70533" w:rsidRPr="00C14316" w:rsidRDefault="00E70533" w:rsidP="00E70533">
      <w:pPr>
        <w:rPr>
          <w:i/>
          <w:color w:val="000000" w:themeColor="text1"/>
          <w:sz w:val="20"/>
        </w:rPr>
      </w:pPr>
      <w:r w:rsidRPr="00C14316">
        <w:rPr>
          <w:i/>
          <w:color w:val="000000" w:themeColor="text1"/>
          <w:sz w:val="20"/>
        </w:rPr>
        <w:t>Source</w:t>
      </w:r>
      <w:r>
        <w:rPr>
          <w:i/>
          <w:color w:val="000000" w:themeColor="text1"/>
          <w:sz w:val="20"/>
        </w:rPr>
        <w:t xml:space="preserve"> for tables 8-10</w:t>
      </w:r>
      <w:r w:rsidRPr="00C14316">
        <w:rPr>
          <w:i/>
          <w:color w:val="000000" w:themeColor="text1"/>
          <w:sz w:val="20"/>
        </w:rPr>
        <w:t>: Department of Health</w:t>
      </w:r>
    </w:p>
    <w:p w14:paraId="42A4BC07" w14:textId="045A6BD3" w:rsidR="00A91AFD" w:rsidRDefault="004E015F" w:rsidP="004E015F">
      <w:pPr>
        <w:pStyle w:val="Heading2"/>
      </w:pPr>
      <w:r>
        <w:t>Data on fee charged</w:t>
      </w:r>
    </w:p>
    <w:p w14:paraId="0C71DEE5" w14:textId="63FF7042" w:rsidR="00E70533" w:rsidRDefault="00E70533" w:rsidP="00E70533">
      <w:pPr>
        <w:rPr>
          <w:color w:val="000000" w:themeColor="text1"/>
        </w:rPr>
      </w:pPr>
      <w:r>
        <w:rPr>
          <w:color w:val="000000" w:themeColor="text1"/>
        </w:rPr>
        <w:t xml:space="preserve">The average </w:t>
      </w:r>
      <w:r w:rsidRPr="00FC1420">
        <w:t>fee</w:t>
      </w:r>
      <w:r>
        <w:rPr>
          <w:color w:val="000000" w:themeColor="text1"/>
        </w:rPr>
        <w:t xml:space="preserve"> charged in 2015-16 ranged from $339 in WA to $552 in SA (Table 11). The median fee charged in SA in 2015-16 is $657 and is only $1 below the 95</w:t>
      </w:r>
      <w:r w:rsidRPr="008C282E">
        <w:rPr>
          <w:color w:val="000000" w:themeColor="text1"/>
          <w:vertAlign w:val="superscript"/>
        </w:rPr>
        <w:t>th</w:t>
      </w:r>
      <w:r>
        <w:rPr>
          <w:color w:val="000000" w:themeColor="text1"/>
        </w:rPr>
        <w:t xml:space="preserve"> percentile fee charged, indicating that the higher fee is the most common fee charged for that state.</w:t>
      </w:r>
    </w:p>
    <w:p w14:paraId="6D4E5D3B" w14:textId="7FAF8F12" w:rsidR="00E70533" w:rsidRDefault="00E70533" w:rsidP="00FC1420">
      <w:pPr>
        <w:spacing w:before="240"/>
        <w:rPr>
          <w:color w:val="000000" w:themeColor="text1"/>
        </w:rPr>
      </w:pPr>
      <w:r>
        <w:rPr>
          <w:color w:val="000000" w:themeColor="text1"/>
        </w:rPr>
        <w:t>This service has only been bulk billed in NSW.</w:t>
      </w:r>
    </w:p>
    <w:p w14:paraId="3F344A23" w14:textId="6F64DE30" w:rsidR="00E70533" w:rsidRPr="00FC1420" w:rsidRDefault="00E70533" w:rsidP="00FC1420">
      <w:pPr>
        <w:pStyle w:val="Heading3"/>
      </w:pPr>
      <w:r w:rsidRPr="00FC1420">
        <w:t>Table 11: Statistics on fees charged for MBS item 18375 for 2014-15 to 2015-16 by date of service</w:t>
      </w:r>
    </w:p>
    <w:tbl>
      <w:tblPr>
        <w:tblW w:w="9322" w:type="dxa"/>
        <w:tblLayout w:type="fixed"/>
        <w:tblLook w:val="04A0" w:firstRow="1" w:lastRow="0" w:firstColumn="1" w:lastColumn="0" w:noHBand="0" w:noVBand="1"/>
        <w:tblDescription w:val="Table 11 presents statistics on fees charged for MBS item 18375 from 2014-15 to 2015-16 by date of service. Columns are split by state. There are six rows for each financial year of 2014-15 and 2015-16: 1) Average fee charged, 2) Standard deviation, 3) Median fee charged, 4) 75th percentile, 5) 95th percentile, 6) Bulk-billing rate. 'NP' means that for that cell, the data is not printed."/>
      </w:tblPr>
      <w:tblGrid>
        <w:gridCol w:w="709"/>
        <w:gridCol w:w="1277"/>
        <w:gridCol w:w="816"/>
        <w:gridCol w:w="850"/>
        <w:gridCol w:w="851"/>
        <w:gridCol w:w="850"/>
        <w:gridCol w:w="709"/>
        <w:gridCol w:w="709"/>
        <w:gridCol w:w="708"/>
        <w:gridCol w:w="851"/>
        <w:gridCol w:w="992"/>
      </w:tblGrid>
      <w:tr w:rsidR="00E86450" w:rsidRPr="00320EA7" w14:paraId="007CF341" w14:textId="77777777" w:rsidTr="003E360A">
        <w:trPr>
          <w:trHeight w:val="300"/>
          <w:tblHeader/>
        </w:trPr>
        <w:tc>
          <w:tcPr>
            <w:tcW w:w="1986" w:type="dxa"/>
            <w:gridSpan w:val="2"/>
            <w:vMerge w:val="restart"/>
            <w:tcBorders>
              <w:top w:val="single" w:sz="4" w:space="0" w:color="000000"/>
              <w:left w:val="single" w:sz="4" w:space="0" w:color="000000"/>
              <w:right w:val="single" w:sz="4" w:space="0" w:color="000000"/>
            </w:tcBorders>
            <w:shd w:val="clear" w:color="000000" w:fill="138C89"/>
            <w:hideMark/>
          </w:tcPr>
          <w:p w14:paraId="12E35504" w14:textId="3ED3FBCD" w:rsidR="00E86450" w:rsidRPr="00320EA7" w:rsidRDefault="00E86450" w:rsidP="006F0CF3">
            <w:pPr>
              <w:rPr>
                <w:rFonts w:ascii="Arial" w:hAnsi="Arial" w:cs="Arial"/>
                <w:b/>
                <w:bCs/>
                <w:color w:val="FFFFFF"/>
                <w:sz w:val="16"/>
                <w:szCs w:val="16"/>
              </w:rPr>
            </w:pPr>
          </w:p>
        </w:tc>
        <w:tc>
          <w:tcPr>
            <w:tcW w:w="7336" w:type="dxa"/>
            <w:gridSpan w:val="9"/>
            <w:tcBorders>
              <w:top w:val="single" w:sz="4" w:space="0" w:color="000000"/>
              <w:left w:val="single" w:sz="4" w:space="0" w:color="000000"/>
              <w:bottom w:val="single" w:sz="4" w:space="0" w:color="000000"/>
              <w:right w:val="single" w:sz="4" w:space="0" w:color="000000"/>
            </w:tcBorders>
            <w:shd w:val="clear" w:color="000000" w:fill="138C89"/>
            <w:hideMark/>
          </w:tcPr>
          <w:p w14:paraId="36414190" w14:textId="77777777" w:rsidR="00E86450" w:rsidRPr="00320EA7" w:rsidRDefault="00E86450" w:rsidP="006F0CF3">
            <w:pPr>
              <w:jc w:val="center"/>
              <w:rPr>
                <w:rFonts w:ascii="Arial" w:hAnsi="Arial" w:cs="Arial"/>
                <w:b/>
                <w:bCs/>
                <w:color w:val="FFFFFF"/>
                <w:sz w:val="16"/>
                <w:szCs w:val="16"/>
              </w:rPr>
            </w:pPr>
            <w:r w:rsidRPr="00320EA7">
              <w:rPr>
                <w:rFonts w:ascii="Arial" w:hAnsi="Arial" w:cs="Arial"/>
                <w:b/>
                <w:bCs/>
                <w:color w:val="FFFFFF"/>
                <w:sz w:val="16"/>
                <w:szCs w:val="16"/>
              </w:rPr>
              <w:t>Provider State/Territory</w:t>
            </w:r>
          </w:p>
        </w:tc>
      </w:tr>
      <w:tr w:rsidR="00E86450" w:rsidRPr="00320EA7" w14:paraId="3C272BF4" w14:textId="77777777" w:rsidTr="003E360A">
        <w:trPr>
          <w:trHeight w:val="300"/>
          <w:tblHeader/>
        </w:trPr>
        <w:tc>
          <w:tcPr>
            <w:tcW w:w="1986" w:type="dxa"/>
            <w:gridSpan w:val="2"/>
            <w:vMerge/>
            <w:tcBorders>
              <w:left w:val="single" w:sz="4" w:space="0" w:color="000000"/>
              <w:bottom w:val="single" w:sz="4" w:space="0" w:color="000000"/>
              <w:right w:val="single" w:sz="4" w:space="0" w:color="000000"/>
            </w:tcBorders>
            <w:shd w:val="clear" w:color="000000" w:fill="138C89"/>
            <w:hideMark/>
          </w:tcPr>
          <w:p w14:paraId="34992660" w14:textId="5CBB80D4" w:rsidR="00E86450" w:rsidRPr="00320EA7" w:rsidRDefault="00E86450" w:rsidP="006F0CF3">
            <w:pPr>
              <w:rPr>
                <w:rFonts w:ascii="Arial" w:hAnsi="Arial" w:cs="Arial"/>
                <w:b/>
                <w:bCs/>
                <w:color w:val="FFFFFF"/>
                <w:sz w:val="16"/>
                <w:szCs w:val="16"/>
              </w:rPr>
            </w:pPr>
          </w:p>
        </w:tc>
        <w:tc>
          <w:tcPr>
            <w:tcW w:w="816" w:type="dxa"/>
            <w:tcBorders>
              <w:top w:val="nil"/>
              <w:left w:val="single" w:sz="4" w:space="0" w:color="000000"/>
              <w:bottom w:val="single" w:sz="4" w:space="0" w:color="000000"/>
              <w:right w:val="single" w:sz="4" w:space="0" w:color="000000"/>
            </w:tcBorders>
            <w:shd w:val="clear" w:color="000000" w:fill="138C89"/>
            <w:hideMark/>
          </w:tcPr>
          <w:p w14:paraId="72620624" w14:textId="77777777" w:rsidR="00E86450" w:rsidRPr="00320EA7" w:rsidRDefault="00E86450" w:rsidP="006F0CF3">
            <w:pPr>
              <w:jc w:val="center"/>
              <w:rPr>
                <w:rFonts w:ascii="Arial" w:hAnsi="Arial" w:cs="Arial"/>
                <w:b/>
                <w:bCs/>
                <w:color w:val="FFFFFF"/>
                <w:sz w:val="16"/>
                <w:szCs w:val="16"/>
              </w:rPr>
            </w:pPr>
            <w:r w:rsidRPr="00320EA7">
              <w:rPr>
                <w:rFonts w:ascii="Arial" w:hAnsi="Arial" w:cs="Arial"/>
                <w:b/>
                <w:bCs/>
                <w:color w:val="FFFFFF"/>
                <w:sz w:val="16"/>
                <w:szCs w:val="16"/>
              </w:rPr>
              <w:t>NSW</w:t>
            </w:r>
          </w:p>
        </w:tc>
        <w:tc>
          <w:tcPr>
            <w:tcW w:w="850" w:type="dxa"/>
            <w:tcBorders>
              <w:top w:val="nil"/>
              <w:left w:val="nil"/>
              <w:bottom w:val="single" w:sz="4" w:space="0" w:color="000000"/>
              <w:right w:val="single" w:sz="4" w:space="0" w:color="000000"/>
            </w:tcBorders>
            <w:shd w:val="clear" w:color="000000" w:fill="138C89"/>
            <w:hideMark/>
          </w:tcPr>
          <w:p w14:paraId="3592880B" w14:textId="77777777" w:rsidR="00E86450" w:rsidRPr="00320EA7" w:rsidRDefault="00E86450" w:rsidP="006F0CF3">
            <w:pPr>
              <w:jc w:val="center"/>
              <w:rPr>
                <w:rFonts w:ascii="Arial" w:hAnsi="Arial" w:cs="Arial"/>
                <w:b/>
                <w:bCs/>
                <w:color w:val="FFFFFF"/>
                <w:sz w:val="16"/>
                <w:szCs w:val="16"/>
              </w:rPr>
            </w:pPr>
            <w:r>
              <w:rPr>
                <w:rFonts w:ascii="Arial" w:hAnsi="Arial" w:cs="Arial"/>
                <w:b/>
                <w:bCs/>
                <w:color w:val="FFFFFF"/>
                <w:sz w:val="16"/>
                <w:szCs w:val="16"/>
              </w:rPr>
              <w:t>VIC</w:t>
            </w:r>
          </w:p>
        </w:tc>
        <w:tc>
          <w:tcPr>
            <w:tcW w:w="851" w:type="dxa"/>
            <w:tcBorders>
              <w:top w:val="nil"/>
              <w:left w:val="nil"/>
              <w:bottom w:val="single" w:sz="4" w:space="0" w:color="000000"/>
              <w:right w:val="single" w:sz="4" w:space="0" w:color="000000"/>
            </w:tcBorders>
            <w:shd w:val="clear" w:color="000000" w:fill="138C89"/>
            <w:hideMark/>
          </w:tcPr>
          <w:p w14:paraId="5179D64D" w14:textId="77777777" w:rsidR="00E86450" w:rsidRPr="00320EA7" w:rsidRDefault="00E86450" w:rsidP="006F0CF3">
            <w:pPr>
              <w:jc w:val="center"/>
              <w:rPr>
                <w:rFonts w:ascii="Arial" w:hAnsi="Arial" w:cs="Arial"/>
                <w:b/>
                <w:bCs/>
                <w:color w:val="FFFFFF"/>
                <w:sz w:val="16"/>
                <w:szCs w:val="16"/>
              </w:rPr>
            </w:pPr>
            <w:r>
              <w:rPr>
                <w:rFonts w:ascii="Arial" w:hAnsi="Arial" w:cs="Arial"/>
                <w:b/>
                <w:bCs/>
                <w:color w:val="FFFFFF"/>
                <w:sz w:val="16"/>
                <w:szCs w:val="16"/>
              </w:rPr>
              <w:t>QLD</w:t>
            </w:r>
          </w:p>
        </w:tc>
        <w:tc>
          <w:tcPr>
            <w:tcW w:w="850" w:type="dxa"/>
            <w:tcBorders>
              <w:top w:val="nil"/>
              <w:left w:val="nil"/>
              <w:bottom w:val="single" w:sz="4" w:space="0" w:color="000000"/>
              <w:right w:val="single" w:sz="4" w:space="0" w:color="000000"/>
            </w:tcBorders>
            <w:shd w:val="clear" w:color="000000" w:fill="138C89"/>
            <w:hideMark/>
          </w:tcPr>
          <w:p w14:paraId="4A1F2CAD" w14:textId="77777777" w:rsidR="00E86450" w:rsidRPr="00320EA7" w:rsidRDefault="00E86450" w:rsidP="006F0CF3">
            <w:pPr>
              <w:jc w:val="center"/>
              <w:rPr>
                <w:rFonts w:ascii="Arial" w:hAnsi="Arial" w:cs="Arial"/>
                <w:b/>
                <w:bCs/>
                <w:color w:val="FFFFFF"/>
                <w:sz w:val="16"/>
                <w:szCs w:val="16"/>
              </w:rPr>
            </w:pPr>
            <w:r w:rsidRPr="00320EA7">
              <w:rPr>
                <w:rFonts w:ascii="Arial" w:hAnsi="Arial" w:cs="Arial"/>
                <w:b/>
                <w:bCs/>
                <w:color w:val="FFFFFF"/>
                <w:sz w:val="16"/>
                <w:szCs w:val="16"/>
              </w:rPr>
              <w:t>SA</w:t>
            </w:r>
          </w:p>
        </w:tc>
        <w:tc>
          <w:tcPr>
            <w:tcW w:w="709" w:type="dxa"/>
            <w:tcBorders>
              <w:top w:val="nil"/>
              <w:left w:val="nil"/>
              <w:bottom w:val="single" w:sz="4" w:space="0" w:color="000000"/>
              <w:right w:val="single" w:sz="4" w:space="0" w:color="000000"/>
            </w:tcBorders>
            <w:shd w:val="clear" w:color="000000" w:fill="138C89"/>
            <w:hideMark/>
          </w:tcPr>
          <w:p w14:paraId="2901C77C" w14:textId="77777777" w:rsidR="00E86450" w:rsidRPr="00320EA7" w:rsidRDefault="00E86450" w:rsidP="006F0CF3">
            <w:pPr>
              <w:jc w:val="center"/>
              <w:rPr>
                <w:rFonts w:ascii="Arial" w:hAnsi="Arial" w:cs="Arial"/>
                <w:b/>
                <w:bCs/>
                <w:color w:val="FFFFFF"/>
                <w:sz w:val="16"/>
                <w:szCs w:val="16"/>
              </w:rPr>
            </w:pPr>
            <w:r w:rsidRPr="00320EA7">
              <w:rPr>
                <w:rFonts w:ascii="Arial" w:hAnsi="Arial" w:cs="Arial"/>
                <w:b/>
                <w:bCs/>
                <w:color w:val="FFFFFF"/>
                <w:sz w:val="16"/>
                <w:szCs w:val="16"/>
              </w:rPr>
              <w:t>WA</w:t>
            </w:r>
          </w:p>
        </w:tc>
        <w:tc>
          <w:tcPr>
            <w:tcW w:w="709" w:type="dxa"/>
            <w:tcBorders>
              <w:top w:val="nil"/>
              <w:left w:val="nil"/>
              <w:bottom w:val="single" w:sz="4" w:space="0" w:color="000000"/>
              <w:right w:val="single" w:sz="4" w:space="0" w:color="auto"/>
            </w:tcBorders>
            <w:shd w:val="clear" w:color="000000" w:fill="138C89"/>
            <w:hideMark/>
          </w:tcPr>
          <w:p w14:paraId="444EA355" w14:textId="77777777" w:rsidR="00E86450" w:rsidRPr="00320EA7" w:rsidRDefault="00E86450" w:rsidP="006F0CF3">
            <w:pPr>
              <w:jc w:val="center"/>
              <w:rPr>
                <w:rFonts w:ascii="Arial" w:hAnsi="Arial" w:cs="Arial"/>
                <w:b/>
                <w:bCs/>
                <w:color w:val="FFFFFF"/>
                <w:sz w:val="16"/>
                <w:szCs w:val="16"/>
              </w:rPr>
            </w:pPr>
            <w:r>
              <w:rPr>
                <w:rFonts w:ascii="Arial" w:hAnsi="Arial" w:cs="Arial"/>
                <w:b/>
                <w:bCs/>
                <w:color w:val="FFFFFF"/>
                <w:sz w:val="16"/>
                <w:szCs w:val="16"/>
              </w:rPr>
              <w:t>TAS</w:t>
            </w:r>
          </w:p>
        </w:tc>
        <w:tc>
          <w:tcPr>
            <w:tcW w:w="708" w:type="dxa"/>
            <w:tcBorders>
              <w:top w:val="nil"/>
              <w:left w:val="single" w:sz="4" w:space="0" w:color="auto"/>
              <w:bottom w:val="single" w:sz="4" w:space="0" w:color="000000"/>
              <w:right w:val="single" w:sz="4" w:space="0" w:color="auto"/>
            </w:tcBorders>
            <w:shd w:val="clear" w:color="000000" w:fill="138C89"/>
          </w:tcPr>
          <w:p w14:paraId="17DCD211" w14:textId="77777777" w:rsidR="00E86450" w:rsidRPr="00320EA7" w:rsidRDefault="00E86450" w:rsidP="006F0CF3">
            <w:pPr>
              <w:jc w:val="center"/>
              <w:rPr>
                <w:rFonts w:ascii="Arial" w:hAnsi="Arial" w:cs="Arial"/>
                <w:b/>
                <w:bCs/>
                <w:color w:val="FFFFFF"/>
                <w:sz w:val="16"/>
                <w:szCs w:val="16"/>
              </w:rPr>
            </w:pPr>
            <w:r>
              <w:rPr>
                <w:rFonts w:ascii="Arial" w:hAnsi="Arial" w:cs="Arial"/>
                <w:b/>
                <w:bCs/>
                <w:color w:val="FFFFFF"/>
                <w:sz w:val="16"/>
                <w:szCs w:val="16"/>
              </w:rPr>
              <w:t>NT</w:t>
            </w:r>
          </w:p>
        </w:tc>
        <w:tc>
          <w:tcPr>
            <w:tcW w:w="851" w:type="dxa"/>
            <w:tcBorders>
              <w:top w:val="nil"/>
              <w:left w:val="single" w:sz="4" w:space="0" w:color="auto"/>
              <w:bottom w:val="single" w:sz="4" w:space="0" w:color="000000"/>
              <w:right w:val="single" w:sz="4" w:space="0" w:color="auto"/>
            </w:tcBorders>
            <w:shd w:val="clear" w:color="000000" w:fill="138C89"/>
          </w:tcPr>
          <w:p w14:paraId="0D739605" w14:textId="77777777" w:rsidR="00E86450" w:rsidRPr="00320EA7" w:rsidRDefault="00E86450" w:rsidP="006F0CF3">
            <w:pPr>
              <w:jc w:val="center"/>
              <w:rPr>
                <w:rFonts w:ascii="Arial" w:hAnsi="Arial" w:cs="Arial"/>
                <w:b/>
                <w:bCs/>
                <w:color w:val="FFFFFF"/>
                <w:sz w:val="16"/>
                <w:szCs w:val="16"/>
              </w:rPr>
            </w:pPr>
            <w:r>
              <w:rPr>
                <w:rFonts w:ascii="Arial" w:hAnsi="Arial" w:cs="Arial"/>
                <w:b/>
                <w:bCs/>
                <w:color w:val="FFFFFF"/>
                <w:sz w:val="16"/>
                <w:szCs w:val="16"/>
              </w:rPr>
              <w:t>ACT</w:t>
            </w:r>
          </w:p>
        </w:tc>
        <w:tc>
          <w:tcPr>
            <w:tcW w:w="992" w:type="dxa"/>
            <w:tcBorders>
              <w:top w:val="nil"/>
              <w:left w:val="single" w:sz="4" w:space="0" w:color="auto"/>
              <w:bottom w:val="single" w:sz="4" w:space="0" w:color="000000"/>
              <w:right w:val="single" w:sz="4" w:space="0" w:color="000000"/>
            </w:tcBorders>
            <w:shd w:val="clear" w:color="000000" w:fill="138C89"/>
          </w:tcPr>
          <w:p w14:paraId="264EE801" w14:textId="77777777" w:rsidR="00E86450" w:rsidRPr="00320EA7" w:rsidRDefault="00E86450" w:rsidP="006F0CF3">
            <w:pPr>
              <w:jc w:val="center"/>
              <w:rPr>
                <w:rFonts w:ascii="Arial" w:hAnsi="Arial" w:cs="Arial"/>
                <w:b/>
                <w:bCs/>
                <w:color w:val="FFFFFF"/>
                <w:sz w:val="16"/>
                <w:szCs w:val="16"/>
              </w:rPr>
            </w:pPr>
            <w:r w:rsidRPr="00320EA7">
              <w:rPr>
                <w:rFonts w:ascii="Arial" w:hAnsi="Arial" w:cs="Arial"/>
                <w:b/>
                <w:bCs/>
                <w:color w:val="FFFFFF"/>
                <w:sz w:val="16"/>
                <w:szCs w:val="16"/>
              </w:rPr>
              <w:t>Aus</w:t>
            </w:r>
            <w:r>
              <w:rPr>
                <w:rFonts w:ascii="Arial" w:hAnsi="Arial" w:cs="Arial"/>
                <w:b/>
                <w:bCs/>
                <w:color w:val="FFFFFF"/>
                <w:sz w:val="16"/>
                <w:szCs w:val="16"/>
              </w:rPr>
              <w:t>tralia</w:t>
            </w:r>
          </w:p>
        </w:tc>
      </w:tr>
      <w:tr w:rsidR="00E86450" w:rsidRPr="00320EA7" w14:paraId="58EABD25" w14:textId="77777777" w:rsidTr="00D74C68">
        <w:trPr>
          <w:trHeight w:val="300"/>
        </w:trPr>
        <w:tc>
          <w:tcPr>
            <w:tcW w:w="709" w:type="dxa"/>
            <w:vMerge w:val="restart"/>
            <w:tcBorders>
              <w:top w:val="single" w:sz="4" w:space="0" w:color="auto"/>
              <w:left w:val="single" w:sz="4" w:space="0" w:color="000000"/>
              <w:right w:val="single" w:sz="4" w:space="0" w:color="000000"/>
            </w:tcBorders>
            <w:shd w:val="clear" w:color="000000" w:fill="FFFFFF"/>
            <w:noWrap/>
            <w:vAlign w:val="center"/>
            <w:hideMark/>
          </w:tcPr>
          <w:p w14:paraId="45CE1551" w14:textId="2230A26D" w:rsidR="00E86450" w:rsidRPr="00320EA7" w:rsidRDefault="00E86450" w:rsidP="00E86450">
            <w:pPr>
              <w:rPr>
                <w:rFonts w:ascii="Arial" w:hAnsi="Arial" w:cs="Arial"/>
                <w:b/>
                <w:bCs/>
                <w:color w:val="000000"/>
                <w:sz w:val="16"/>
                <w:szCs w:val="16"/>
              </w:rPr>
            </w:pPr>
            <w:r>
              <w:rPr>
                <w:rFonts w:ascii="Arial" w:hAnsi="Arial" w:cs="Arial"/>
                <w:b/>
                <w:bCs/>
                <w:color w:val="000000"/>
                <w:sz w:val="16"/>
                <w:szCs w:val="16"/>
              </w:rPr>
              <w:t>2014-15</w:t>
            </w:r>
          </w:p>
        </w:tc>
        <w:tc>
          <w:tcPr>
            <w:tcW w:w="1277" w:type="dxa"/>
            <w:tcBorders>
              <w:top w:val="nil"/>
              <w:left w:val="nil"/>
              <w:bottom w:val="single" w:sz="4" w:space="0" w:color="000000"/>
              <w:right w:val="single" w:sz="4" w:space="0" w:color="000000"/>
            </w:tcBorders>
            <w:shd w:val="clear" w:color="000000" w:fill="FFFFFF"/>
            <w:noWrap/>
            <w:vAlign w:val="center"/>
            <w:hideMark/>
          </w:tcPr>
          <w:p w14:paraId="0E14B0ED" w14:textId="656FB6E5" w:rsidR="00E86450" w:rsidRPr="00320EA7" w:rsidRDefault="00E86450" w:rsidP="00E86450">
            <w:pPr>
              <w:rPr>
                <w:rFonts w:ascii="Arial" w:hAnsi="Arial" w:cs="Arial"/>
                <w:b/>
                <w:bCs/>
                <w:color w:val="000000"/>
                <w:sz w:val="16"/>
                <w:szCs w:val="16"/>
              </w:rPr>
            </w:pPr>
            <w:r w:rsidRPr="00320EA7">
              <w:rPr>
                <w:rFonts w:ascii="Arial" w:hAnsi="Arial" w:cs="Arial"/>
                <w:b/>
                <w:bCs/>
                <w:color w:val="000000"/>
                <w:sz w:val="16"/>
                <w:szCs w:val="16"/>
              </w:rPr>
              <w:t>Average Fee Charged</w:t>
            </w:r>
          </w:p>
        </w:tc>
        <w:tc>
          <w:tcPr>
            <w:tcW w:w="816" w:type="dxa"/>
            <w:tcBorders>
              <w:top w:val="nil"/>
              <w:left w:val="nil"/>
              <w:bottom w:val="single" w:sz="4" w:space="0" w:color="000000"/>
              <w:right w:val="single" w:sz="4" w:space="0" w:color="000000"/>
            </w:tcBorders>
            <w:shd w:val="clear" w:color="000000" w:fill="FFFFFF"/>
            <w:noWrap/>
            <w:vAlign w:val="bottom"/>
            <w:hideMark/>
          </w:tcPr>
          <w:p w14:paraId="4AD4282C"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$401</w:t>
            </w:r>
          </w:p>
        </w:tc>
        <w:tc>
          <w:tcPr>
            <w:tcW w:w="850" w:type="dxa"/>
            <w:tcBorders>
              <w:top w:val="nil"/>
              <w:left w:val="nil"/>
              <w:bottom w:val="single" w:sz="4" w:space="0" w:color="000000"/>
              <w:right w:val="single" w:sz="4" w:space="0" w:color="000000"/>
            </w:tcBorders>
            <w:shd w:val="clear" w:color="000000" w:fill="FFFFFF"/>
            <w:noWrap/>
            <w:vAlign w:val="bottom"/>
            <w:hideMark/>
          </w:tcPr>
          <w:p w14:paraId="4816030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$357</w:t>
            </w:r>
          </w:p>
        </w:tc>
        <w:tc>
          <w:tcPr>
            <w:tcW w:w="851" w:type="dxa"/>
            <w:tcBorders>
              <w:top w:val="nil"/>
              <w:left w:val="nil"/>
              <w:bottom w:val="single" w:sz="4" w:space="0" w:color="000000"/>
              <w:right w:val="single" w:sz="4" w:space="0" w:color="000000"/>
            </w:tcBorders>
            <w:shd w:val="clear" w:color="000000" w:fill="FFFFFF"/>
            <w:noWrap/>
            <w:vAlign w:val="bottom"/>
            <w:hideMark/>
          </w:tcPr>
          <w:p w14:paraId="0F7F756C"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$435</w:t>
            </w:r>
          </w:p>
        </w:tc>
        <w:tc>
          <w:tcPr>
            <w:tcW w:w="850" w:type="dxa"/>
            <w:tcBorders>
              <w:top w:val="nil"/>
              <w:left w:val="nil"/>
              <w:bottom w:val="single" w:sz="4" w:space="0" w:color="000000"/>
              <w:right w:val="single" w:sz="4" w:space="0" w:color="000000"/>
            </w:tcBorders>
            <w:shd w:val="clear" w:color="000000" w:fill="FFFFFF"/>
            <w:noWrap/>
            <w:vAlign w:val="bottom"/>
            <w:hideMark/>
          </w:tcPr>
          <w:p w14:paraId="27C85B18"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$477</w:t>
            </w:r>
          </w:p>
        </w:tc>
        <w:tc>
          <w:tcPr>
            <w:tcW w:w="709" w:type="dxa"/>
            <w:tcBorders>
              <w:top w:val="nil"/>
              <w:left w:val="nil"/>
              <w:bottom w:val="single" w:sz="4" w:space="0" w:color="000000"/>
              <w:right w:val="single" w:sz="4" w:space="0" w:color="000000"/>
            </w:tcBorders>
            <w:shd w:val="clear" w:color="000000" w:fill="FFFFFF"/>
            <w:noWrap/>
            <w:vAlign w:val="bottom"/>
            <w:hideMark/>
          </w:tcPr>
          <w:p w14:paraId="4C5B7DA9"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$302</w:t>
            </w:r>
          </w:p>
        </w:tc>
        <w:tc>
          <w:tcPr>
            <w:tcW w:w="709" w:type="dxa"/>
            <w:tcBorders>
              <w:top w:val="nil"/>
              <w:left w:val="nil"/>
              <w:bottom w:val="single" w:sz="4" w:space="0" w:color="000000"/>
              <w:right w:val="single" w:sz="4" w:space="0" w:color="auto"/>
            </w:tcBorders>
            <w:shd w:val="clear" w:color="000000" w:fill="FFFFFF"/>
            <w:noWrap/>
            <w:vAlign w:val="bottom"/>
            <w:hideMark/>
          </w:tcPr>
          <w:p w14:paraId="6CF0A358" w14:textId="77777777" w:rsidR="00E86450" w:rsidRDefault="00E86450" w:rsidP="006F0CF3">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66B756D6"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228B30ED"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50E0BE20"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$391</w:t>
            </w:r>
          </w:p>
        </w:tc>
      </w:tr>
      <w:tr w:rsidR="00E86450" w:rsidRPr="00320EA7" w14:paraId="278EC4EA" w14:textId="77777777" w:rsidTr="00D74C68">
        <w:trPr>
          <w:trHeight w:val="300"/>
        </w:trPr>
        <w:tc>
          <w:tcPr>
            <w:tcW w:w="709" w:type="dxa"/>
            <w:vMerge/>
            <w:tcBorders>
              <w:left w:val="single" w:sz="4" w:space="0" w:color="000000"/>
              <w:right w:val="single" w:sz="4" w:space="0" w:color="000000"/>
            </w:tcBorders>
            <w:shd w:val="clear" w:color="000000" w:fill="FFFFFF"/>
            <w:noWrap/>
            <w:vAlign w:val="center"/>
            <w:hideMark/>
          </w:tcPr>
          <w:p w14:paraId="40672762" w14:textId="6993863C"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505EA681" w14:textId="77777777" w:rsidR="00E86450" w:rsidRPr="00320EA7" w:rsidRDefault="00E86450" w:rsidP="006F0CF3">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5A267CC7"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$88</w:t>
            </w:r>
          </w:p>
        </w:tc>
        <w:tc>
          <w:tcPr>
            <w:tcW w:w="850" w:type="dxa"/>
            <w:tcBorders>
              <w:top w:val="nil"/>
              <w:left w:val="nil"/>
              <w:bottom w:val="single" w:sz="4" w:space="0" w:color="000000"/>
              <w:right w:val="single" w:sz="4" w:space="0" w:color="000000"/>
            </w:tcBorders>
            <w:shd w:val="clear" w:color="000000" w:fill="FFFFFF"/>
            <w:noWrap/>
            <w:vAlign w:val="bottom"/>
            <w:hideMark/>
          </w:tcPr>
          <w:p w14:paraId="118DB6F0"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$86</w:t>
            </w:r>
          </w:p>
        </w:tc>
        <w:tc>
          <w:tcPr>
            <w:tcW w:w="851" w:type="dxa"/>
            <w:tcBorders>
              <w:top w:val="nil"/>
              <w:left w:val="nil"/>
              <w:bottom w:val="single" w:sz="4" w:space="0" w:color="000000"/>
              <w:right w:val="single" w:sz="4" w:space="0" w:color="000000"/>
            </w:tcBorders>
            <w:shd w:val="clear" w:color="000000" w:fill="FFFFFF"/>
            <w:noWrap/>
            <w:vAlign w:val="bottom"/>
            <w:hideMark/>
          </w:tcPr>
          <w:p w14:paraId="04AFC419"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$128</w:t>
            </w:r>
          </w:p>
        </w:tc>
        <w:tc>
          <w:tcPr>
            <w:tcW w:w="850" w:type="dxa"/>
            <w:tcBorders>
              <w:top w:val="nil"/>
              <w:left w:val="nil"/>
              <w:bottom w:val="single" w:sz="4" w:space="0" w:color="000000"/>
              <w:right w:val="single" w:sz="4" w:space="0" w:color="000000"/>
            </w:tcBorders>
            <w:shd w:val="clear" w:color="000000" w:fill="FFFFFF"/>
            <w:noWrap/>
            <w:vAlign w:val="bottom"/>
            <w:hideMark/>
          </w:tcPr>
          <w:p w14:paraId="66029B51"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$127</w:t>
            </w:r>
          </w:p>
        </w:tc>
        <w:tc>
          <w:tcPr>
            <w:tcW w:w="709" w:type="dxa"/>
            <w:tcBorders>
              <w:top w:val="nil"/>
              <w:left w:val="nil"/>
              <w:bottom w:val="single" w:sz="4" w:space="0" w:color="000000"/>
              <w:right w:val="single" w:sz="4" w:space="0" w:color="000000"/>
            </w:tcBorders>
            <w:shd w:val="clear" w:color="000000" w:fill="FFFFFF"/>
            <w:noWrap/>
            <w:vAlign w:val="bottom"/>
            <w:hideMark/>
          </w:tcPr>
          <w:p w14:paraId="0D0D6106"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$119</w:t>
            </w:r>
          </w:p>
        </w:tc>
        <w:tc>
          <w:tcPr>
            <w:tcW w:w="709" w:type="dxa"/>
            <w:tcBorders>
              <w:top w:val="nil"/>
              <w:left w:val="nil"/>
              <w:bottom w:val="single" w:sz="4" w:space="0" w:color="000000"/>
              <w:right w:val="single" w:sz="4" w:space="0" w:color="auto"/>
            </w:tcBorders>
            <w:shd w:val="clear" w:color="000000" w:fill="FFFFFF"/>
            <w:noWrap/>
            <w:vAlign w:val="bottom"/>
            <w:hideMark/>
          </w:tcPr>
          <w:p w14:paraId="554FDA8D"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738035FA"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18A3A119"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5867F780"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$111</w:t>
            </w:r>
          </w:p>
        </w:tc>
      </w:tr>
      <w:tr w:rsidR="00E86450" w:rsidRPr="00320EA7" w14:paraId="1A2ABE4F" w14:textId="77777777" w:rsidTr="00D74C68">
        <w:trPr>
          <w:trHeight w:val="300"/>
        </w:trPr>
        <w:tc>
          <w:tcPr>
            <w:tcW w:w="709" w:type="dxa"/>
            <w:vMerge/>
            <w:tcBorders>
              <w:left w:val="single" w:sz="4" w:space="0" w:color="000000"/>
              <w:right w:val="single" w:sz="4" w:space="0" w:color="000000"/>
            </w:tcBorders>
            <w:shd w:val="clear" w:color="000000" w:fill="FFFFFF"/>
            <w:noWrap/>
            <w:vAlign w:val="center"/>
            <w:hideMark/>
          </w:tcPr>
          <w:p w14:paraId="2B250F90" w14:textId="1DABEC06"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47D2D6E3" w14:textId="09C85DB7" w:rsidR="00E86450" w:rsidRPr="00320EA7" w:rsidRDefault="00E86450" w:rsidP="00E86450">
            <w:pPr>
              <w:rPr>
                <w:rFonts w:ascii="Arial" w:hAnsi="Arial" w:cs="Arial"/>
                <w:b/>
                <w:bCs/>
                <w:color w:val="000000"/>
                <w:sz w:val="16"/>
                <w:szCs w:val="16"/>
              </w:rPr>
            </w:pPr>
            <w:r w:rsidRPr="00320EA7">
              <w:rPr>
                <w:rFonts w:ascii="Arial" w:hAnsi="Arial" w:cs="Arial"/>
                <w:b/>
                <w:bCs/>
                <w:color w:val="000000"/>
                <w:sz w:val="16"/>
                <w:szCs w:val="16"/>
              </w:rPr>
              <w:t>Median Fee Charged</w:t>
            </w:r>
          </w:p>
        </w:tc>
        <w:tc>
          <w:tcPr>
            <w:tcW w:w="816" w:type="dxa"/>
            <w:tcBorders>
              <w:top w:val="nil"/>
              <w:left w:val="nil"/>
              <w:bottom w:val="single" w:sz="4" w:space="0" w:color="000000"/>
              <w:right w:val="single" w:sz="4" w:space="0" w:color="000000"/>
            </w:tcBorders>
            <w:shd w:val="clear" w:color="000000" w:fill="FFFFFF"/>
            <w:noWrap/>
            <w:vAlign w:val="bottom"/>
            <w:hideMark/>
          </w:tcPr>
          <w:p w14:paraId="7E8A988E"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$383</w:t>
            </w:r>
          </w:p>
        </w:tc>
        <w:tc>
          <w:tcPr>
            <w:tcW w:w="850" w:type="dxa"/>
            <w:tcBorders>
              <w:top w:val="nil"/>
              <w:left w:val="nil"/>
              <w:bottom w:val="single" w:sz="4" w:space="0" w:color="000000"/>
              <w:right w:val="single" w:sz="4" w:space="0" w:color="000000"/>
            </w:tcBorders>
            <w:shd w:val="clear" w:color="000000" w:fill="FFFFFF"/>
            <w:noWrap/>
            <w:vAlign w:val="bottom"/>
            <w:hideMark/>
          </w:tcPr>
          <w:p w14:paraId="260B747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$383</w:t>
            </w:r>
          </w:p>
        </w:tc>
        <w:tc>
          <w:tcPr>
            <w:tcW w:w="851" w:type="dxa"/>
            <w:tcBorders>
              <w:top w:val="nil"/>
              <w:left w:val="nil"/>
              <w:bottom w:val="single" w:sz="4" w:space="0" w:color="000000"/>
              <w:right w:val="single" w:sz="4" w:space="0" w:color="000000"/>
            </w:tcBorders>
            <w:shd w:val="clear" w:color="000000" w:fill="FFFFFF"/>
            <w:noWrap/>
            <w:vAlign w:val="bottom"/>
            <w:hideMark/>
          </w:tcPr>
          <w:p w14:paraId="20802D96"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$392</w:t>
            </w:r>
          </w:p>
        </w:tc>
        <w:tc>
          <w:tcPr>
            <w:tcW w:w="850" w:type="dxa"/>
            <w:tcBorders>
              <w:top w:val="nil"/>
              <w:left w:val="nil"/>
              <w:bottom w:val="single" w:sz="4" w:space="0" w:color="000000"/>
              <w:right w:val="single" w:sz="4" w:space="0" w:color="000000"/>
            </w:tcBorders>
            <w:shd w:val="clear" w:color="000000" w:fill="FFFFFF"/>
            <w:noWrap/>
            <w:vAlign w:val="bottom"/>
            <w:hideMark/>
          </w:tcPr>
          <w:p w14:paraId="70618EFC"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$406</w:t>
            </w:r>
          </w:p>
        </w:tc>
        <w:tc>
          <w:tcPr>
            <w:tcW w:w="709" w:type="dxa"/>
            <w:tcBorders>
              <w:top w:val="nil"/>
              <w:left w:val="nil"/>
              <w:bottom w:val="single" w:sz="4" w:space="0" w:color="000000"/>
              <w:right w:val="single" w:sz="4" w:space="0" w:color="000000"/>
            </w:tcBorders>
            <w:shd w:val="clear" w:color="000000" w:fill="FFFFFF"/>
            <w:noWrap/>
            <w:vAlign w:val="bottom"/>
            <w:hideMark/>
          </w:tcPr>
          <w:p w14:paraId="69B73BED" w14:textId="77777777" w:rsidR="00E86450" w:rsidRDefault="00E86450" w:rsidP="006F0CF3">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09" w:type="dxa"/>
            <w:tcBorders>
              <w:top w:val="nil"/>
              <w:left w:val="nil"/>
              <w:bottom w:val="single" w:sz="4" w:space="0" w:color="000000"/>
              <w:right w:val="single" w:sz="4" w:space="0" w:color="auto"/>
            </w:tcBorders>
            <w:shd w:val="clear" w:color="000000" w:fill="FFFFFF"/>
            <w:noWrap/>
            <w:vAlign w:val="bottom"/>
            <w:hideMark/>
          </w:tcPr>
          <w:p w14:paraId="3582DFF8"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78D70402"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6BC1B58A"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015E4FDF"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$240</w:t>
            </w:r>
          </w:p>
        </w:tc>
      </w:tr>
      <w:tr w:rsidR="00E86450" w:rsidRPr="00320EA7" w14:paraId="24FC807F" w14:textId="77777777" w:rsidTr="00D74C68">
        <w:trPr>
          <w:trHeight w:val="300"/>
        </w:trPr>
        <w:tc>
          <w:tcPr>
            <w:tcW w:w="709" w:type="dxa"/>
            <w:vMerge/>
            <w:tcBorders>
              <w:left w:val="single" w:sz="4" w:space="0" w:color="000000"/>
              <w:right w:val="single" w:sz="4" w:space="0" w:color="000000"/>
            </w:tcBorders>
            <w:shd w:val="clear" w:color="000000" w:fill="FFFFFF"/>
            <w:noWrap/>
            <w:vAlign w:val="center"/>
            <w:hideMark/>
          </w:tcPr>
          <w:p w14:paraId="74D39B30" w14:textId="7842B04B"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74F57882" w14:textId="77777777" w:rsidR="00E86450" w:rsidRPr="00320EA7" w:rsidRDefault="00E86450" w:rsidP="006F0CF3">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081D0340"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$408</w:t>
            </w:r>
          </w:p>
        </w:tc>
        <w:tc>
          <w:tcPr>
            <w:tcW w:w="850" w:type="dxa"/>
            <w:tcBorders>
              <w:top w:val="nil"/>
              <w:left w:val="nil"/>
              <w:bottom w:val="single" w:sz="4" w:space="0" w:color="000000"/>
              <w:right w:val="single" w:sz="4" w:space="0" w:color="000000"/>
            </w:tcBorders>
            <w:shd w:val="clear" w:color="000000" w:fill="FFFFFF"/>
            <w:noWrap/>
            <w:vAlign w:val="bottom"/>
            <w:hideMark/>
          </w:tcPr>
          <w:p w14:paraId="5C1250A4"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$408</w:t>
            </w:r>
          </w:p>
        </w:tc>
        <w:tc>
          <w:tcPr>
            <w:tcW w:w="851" w:type="dxa"/>
            <w:tcBorders>
              <w:top w:val="nil"/>
              <w:left w:val="nil"/>
              <w:bottom w:val="single" w:sz="4" w:space="0" w:color="000000"/>
              <w:right w:val="single" w:sz="4" w:space="0" w:color="000000"/>
            </w:tcBorders>
            <w:shd w:val="clear" w:color="000000" w:fill="FFFFFF"/>
            <w:noWrap/>
            <w:vAlign w:val="bottom"/>
            <w:hideMark/>
          </w:tcPr>
          <w:p w14:paraId="45AC8BB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$447</w:t>
            </w:r>
          </w:p>
        </w:tc>
        <w:tc>
          <w:tcPr>
            <w:tcW w:w="850" w:type="dxa"/>
            <w:tcBorders>
              <w:top w:val="nil"/>
              <w:left w:val="nil"/>
              <w:bottom w:val="single" w:sz="4" w:space="0" w:color="000000"/>
              <w:right w:val="single" w:sz="4" w:space="0" w:color="000000"/>
            </w:tcBorders>
            <w:shd w:val="clear" w:color="000000" w:fill="FFFFFF"/>
            <w:noWrap/>
            <w:vAlign w:val="bottom"/>
            <w:hideMark/>
          </w:tcPr>
          <w:p w14:paraId="07794AD8"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$614</w:t>
            </w:r>
          </w:p>
        </w:tc>
        <w:tc>
          <w:tcPr>
            <w:tcW w:w="709" w:type="dxa"/>
            <w:tcBorders>
              <w:top w:val="nil"/>
              <w:left w:val="nil"/>
              <w:bottom w:val="single" w:sz="4" w:space="0" w:color="000000"/>
              <w:right w:val="single" w:sz="4" w:space="0" w:color="000000"/>
            </w:tcBorders>
            <w:shd w:val="clear" w:color="000000" w:fill="FFFFFF"/>
            <w:noWrap/>
            <w:vAlign w:val="bottom"/>
            <w:hideMark/>
          </w:tcPr>
          <w:p w14:paraId="53390600" w14:textId="77777777" w:rsidR="00E86450" w:rsidRDefault="00E86450" w:rsidP="006F0CF3">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09" w:type="dxa"/>
            <w:tcBorders>
              <w:top w:val="nil"/>
              <w:left w:val="nil"/>
              <w:bottom w:val="single" w:sz="4" w:space="0" w:color="000000"/>
              <w:right w:val="single" w:sz="4" w:space="0" w:color="auto"/>
            </w:tcBorders>
            <w:shd w:val="clear" w:color="000000" w:fill="FFFFFF"/>
            <w:noWrap/>
            <w:vAlign w:val="bottom"/>
            <w:hideMark/>
          </w:tcPr>
          <w:p w14:paraId="4DA81D6B"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457D6F88"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782C9031"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60A49532"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$350</w:t>
            </w:r>
          </w:p>
        </w:tc>
      </w:tr>
      <w:tr w:rsidR="00E86450" w:rsidRPr="00320EA7" w14:paraId="1161B98E" w14:textId="77777777" w:rsidTr="00D74C68">
        <w:trPr>
          <w:trHeight w:val="300"/>
        </w:trPr>
        <w:tc>
          <w:tcPr>
            <w:tcW w:w="709" w:type="dxa"/>
            <w:vMerge/>
            <w:tcBorders>
              <w:left w:val="single" w:sz="4" w:space="0" w:color="000000"/>
              <w:right w:val="single" w:sz="4" w:space="0" w:color="000000"/>
            </w:tcBorders>
            <w:shd w:val="clear" w:color="000000" w:fill="FFFFFF"/>
            <w:noWrap/>
            <w:vAlign w:val="center"/>
            <w:hideMark/>
          </w:tcPr>
          <w:p w14:paraId="05DA601B" w14:textId="4AA2C5DC"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25A5A8BA" w14:textId="77777777" w:rsidR="00E86450" w:rsidRPr="00320EA7" w:rsidRDefault="00E86450" w:rsidP="006F0CF3">
            <w:pPr>
              <w:rPr>
                <w:rFonts w:ascii="Arial" w:hAnsi="Arial" w:cs="Arial"/>
                <w:b/>
                <w:bCs/>
                <w:color w:val="000000"/>
                <w:sz w:val="16"/>
                <w:szCs w:val="16"/>
              </w:rPr>
            </w:pPr>
            <w:r w:rsidRPr="00320EA7">
              <w:rPr>
                <w:rFonts w:ascii="Arial" w:hAnsi="Arial" w:cs="Arial"/>
                <w:b/>
                <w:bCs/>
                <w:color w:val="000000"/>
                <w:sz w:val="16"/>
                <w:szCs w:val="16"/>
              </w:rPr>
              <w:t xml:space="preserve">95th </w:t>
            </w:r>
            <w:r>
              <w:rPr>
                <w:rStyle w:val="FootnoteReference"/>
                <w:rFonts w:ascii="Arial" w:hAnsi="Arial" w:cs="Arial"/>
                <w:b/>
                <w:bCs/>
                <w:color w:val="000000"/>
                <w:sz w:val="16"/>
                <w:szCs w:val="16"/>
              </w:rPr>
              <w:footnoteReference w:id="1"/>
            </w:r>
            <w:r w:rsidRPr="00320EA7">
              <w:rPr>
                <w:rFonts w:ascii="Arial" w:hAnsi="Arial" w:cs="Arial"/>
                <w:b/>
                <w:bCs/>
                <w:color w:val="000000"/>
                <w:sz w:val="16"/>
                <w:szCs w:val="16"/>
              </w:rPr>
              <w:t>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5F46B4E5"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$600</w:t>
            </w:r>
          </w:p>
        </w:tc>
        <w:tc>
          <w:tcPr>
            <w:tcW w:w="850" w:type="dxa"/>
            <w:tcBorders>
              <w:top w:val="nil"/>
              <w:left w:val="nil"/>
              <w:bottom w:val="single" w:sz="4" w:space="0" w:color="000000"/>
              <w:right w:val="single" w:sz="4" w:space="0" w:color="000000"/>
            </w:tcBorders>
            <w:shd w:val="clear" w:color="000000" w:fill="FFFFFF"/>
            <w:noWrap/>
            <w:vAlign w:val="bottom"/>
            <w:hideMark/>
          </w:tcPr>
          <w:p w14:paraId="3696A06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$530</w:t>
            </w:r>
          </w:p>
        </w:tc>
        <w:tc>
          <w:tcPr>
            <w:tcW w:w="851" w:type="dxa"/>
            <w:tcBorders>
              <w:top w:val="nil"/>
              <w:left w:val="nil"/>
              <w:bottom w:val="single" w:sz="4" w:space="0" w:color="000000"/>
              <w:right w:val="single" w:sz="4" w:space="0" w:color="000000"/>
            </w:tcBorders>
            <w:shd w:val="clear" w:color="000000" w:fill="FFFFFF"/>
            <w:noWrap/>
            <w:vAlign w:val="bottom"/>
            <w:hideMark/>
          </w:tcPr>
          <w:p w14:paraId="4B94D993"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$622</w:t>
            </w:r>
          </w:p>
        </w:tc>
        <w:tc>
          <w:tcPr>
            <w:tcW w:w="850" w:type="dxa"/>
            <w:tcBorders>
              <w:top w:val="nil"/>
              <w:left w:val="nil"/>
              <w:bottom w:val="single" w:sz="4" w:space="0" w:color="000000"/>
              <w:right w:val="single" w:sz="4" w:space="0" w:color="000000"/>
            </w:tcBorders>
            <w:shd w:val="clear" w:color="000000" w:fill="FFFFFF"/>
            <w:noWrap/>
            <w:vAlign w:val="bottom"/>
            <w:hideMark/>
          </w:tcPr>
          <w:p w14:paraId="286BB8C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$656</w:t>
            </w:r>
          </w:p>
        </w:tc>
        <w:tc>
          <w:tcPr>
            <w:tcW w:w="709" w:type="dxa"/>
            <w:tcBorders>
              <w:top w:val="nil"/>
              <w:left w:val="nil"/>
              <w:bottom w:val="single" w:sz="4" w:space="0" w:color="000000"/>
              <w:right w:val="single" w:sz="4" w:space="0" w:color="000000"/>
            </w:tcBorders>
            <w:shd w:val="clear" w:color="000000" w:fill="FFFFFF"/>
            <w:noWrap/>
            <w:vAlign w:val="bottom"/>
            <w:hideMark/>
          </w:tcPr>
          <w:p w14:paraId="479CF5CC" w14:textId="77777777" w:rsidR="00E86450" w:rsidRDefault="00E86450" w:rsidP="006F0CF3">
            <w:pPr>
              <w:jc w:val="right"/>
              <w:rPr>
                <w:rFonts w:ascii="Arial" w:hAnsi="Arial" w:cs="Arial"/>
                <w:color w:val="000000"/>
                <w:sz w:val="18"/>
                <w:szCs w:val="18"/>
              </w:rPr>
            </w:pPr>
            <w:proofErr w:type="spellStart"/>
            <w:r>
              <w:rPr>
                <w:rFonts w:ascii="Arial" w:hAnsi="Arial" w:cs="Arial"/>
                <w:color w:val="000000"/>
                <w:sz w:val="18"/>
                <w:szCs w:val="18"/>
              </w:rPr>
              <w:t>np</w:t>
            </w:r>
            <w:proofErr w:type="spellEnd"/>
          </w:p>
        </w:tc>
        <w:tc>
          <w:tcPr>
            <w:tcW w:w="709" w:type="dxa"/>
            <w:tcBorders>
              <w:top w:val="nil"/>
              <w:left w:val="nil"/>
              <w:bottom w:val="single" w:sz="4" w:space="0" w:color="000000"/>
              <w:right w:val="single" w:sz="4" w:space="0" w:color="auto"/>
            </w:tcBorders>
            <w:shd w:val="clear" w:color="000000" w:fill="FFFFFF"/>
            <w:noWrap/>
            <w:vAlign w:val="bottom"/>
            <w:hideMark/>
          </w:tcPr>
          <w:p w14:paraId="6B8E79D5"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53E4E1B4"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0EB3A3DD"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1CA21739"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$500</w:t>
            </w:r>
          </w:p>
        </w:tc>
      </w:tr>
      <w:tr w:rsidR="00E86450" w:rsidRPr="00320EA7" w14:paraId="00E71EB4" w14:textId="77777777" w:rsidTr="00D74C68">
        <w:trPr>
          <w:trHeight w:val="300"/>
        </w:trPr>
        <w:tc>
          <w:tcPr>
            <w:tcW w:w="709" w:type="dxa"/>
            <w:vMerge/>
            <w:tcBorders>
              <w:left w:val="single" w:sz="4" w:space="0" w:color="000000"/>
              <w:bottom w:val="single" w:sz="4" w:space="0" w:color="auto"/>
              <w:right w:val="single" w:sz="4" w:space="0" w:color="000000"/>
            </w:tcBorders>
            <w:shd w:val="clear" w:color="000000" w:fill="FFFFFF"/>
            <w:noWrap/>
            <w:vAlign w:val="center"/>
            <w:hideMark/>
          </w:tcPr>
          <w:p w14:paraId="6D1839E0" w14:textId="396A463C"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5571368B" w14:textId="77777777" w:rsidR="00E86450" w:rsidRPr="00320EA7" w:rsidRDefault="00E86450" w:rsidP="006F0CF3">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7346492F"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w:t>
            </w:r>
          </w:p>
        </w:tc>
        <w:tc>
          <w:tcPr>
            <w:tcW w:w="850" w:type="dxa"/>
            <w:tcBorders>
              <w:top w:val="nil"/>
              <w:left w:val="nil"/>
              <w:bottom w:val="single" w:sz="4" w:space="0" w:color="000000"/>
              <w:right w:val="single" w:sz="4" w:space="0" w:color="000000"/>
            </w:tcBorders>
            <w:shd w:val="clear" w:color="000000" w:fill="FFFFFF"/>
            <w:noWrap/>
            <w:vAlign w:val="bottom"/>
            <w:hideMark/>
          </w:tcPr>
          <w:p w14:paraId="6A729658"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48FE9AFD"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c>
          <w:tcPr>
            <w:tcW w:w="850" w:type="dxa"/>
            <w:tcBorders>
              <w:top w:val="nil"/>
              <w:left w:val="nil"/>
              <w:bottom w:val="single" w:sz="4" w:space="0" w:color="000000"/>
              <w:right w:val="single" w:sz="4" w:space="0" w:color="000000"/>
            </w:tcBorders>
            <w:shd w:val="clear" w:color="000000" w:fill="FFFFFF"/>
            <w:noWrap/>
            <w:vAlign w:val="bottom"/>
            <w:hideMark/>
          </w:tcPr>
          <w:p w14:paraId="6A8CC0C3"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c>
          <w:tcPr>
            <w:tcW w:w="709" w:type="dxa"/>
            <w:tcBorders>
              <w:top w:val="nil"/>
              <w:left w:val="nil"/>
              <w:bottom w:val="single" w:sz="4" w:space="0" w:color="000000"/>
              <w:right w:val="single" w:sz="4" w:space="0" w:color="000000"/>
            </w:tcBorders>
            <w:shd w:val="clear" w:color="000000" w:fill="FFFFFF"/>
            <w:noWrap/>
            <w:vAlign w:val="bottom"/>
            <w:hideMark/>
          </w:tcPr>
          <w:p w14:paraId="34CBE569"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c>
          <w:tcPr>
            <w:tcW w:w="709" w:type="dxa"/>
            <w:tcBorders>
              <w:top w:val="nil"/>
              <w:left w:val="nil"/>
              <w:bottom w:val="single" w:sz="4" w:space="0" w:color="000000"/>
              <w:right w:val="single" w:sz="4" w:space="0" w:color="auto"/>
            </w:tcBorders>
            <w:shd w:val="clear" w:color="000000" w:fill="FFFFFF"/>
            <w:noWrap/>
            <w:vAlign w:val="bottom"/>
            <w:hideMark/>
          </w:tcPr>
          <w:p w14:paraId="0D2CCE8E"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0AFCD629"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20B09BB1"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3251A301"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r>
      <w:tr w:rsidR="00E86450" w:rsidRPr="00320EA7" w14:paraId="281063A1" w14:textId="77777777" w:rsidTr="00D74C68">
        <w:trPr>
          <w:trHeight w:val="300"/>
        </w:trPr>
        <w:tc>
          <w:tcPr>
            <w:tcW w:w="709" w:type="dxa"/>
            <w:vMerge w:val="restart"/>
            <w:tcBorders>
              <w:top w:val="single" w:sz="4" w:space="0" w:color="auto"/>
              <w:left w:val="single" w:sz="4" w:space="0" w:color="000000"/>
              <w:right w:val="single" w:sz="4" w:space="0" w:color="000000"/>
            </w:tcBorders>
            <w:shd w:val="clear" w:color="000000" w:fill="FFFFFF"/>
            <w:noWrap/>
            <w:vAlign w:val="center"/>
            <w:hideMark/>
          </w:tcPr>
          <w:p w14:paraId="3D91A1DA" w14:textId="1C26C386" w:rsidR="00E86450" w:rsidRPr="00320EA7" w:rsidRDefault="00E86450" w:rsidP="00E86450">
            <w:pPr>
              <w:rPr>
                <w:rFonts w:ascii="Arial" w:hAnsi="Arial" w:cs="Arial"/>
                <w:b/>
                <w:bCs/>
                <w:color w:val="000000"/>
                <w:sz w:val="16"/>
                <w:szCs w:val="16"/>
              </w:rPr>
            </w:pPr>
            <w:r>
              <w:rPr>
                <w:rFonts w:ascii="Arial" w:hAnsi="Arial" w:cs="Arial"/>
                <w:b/>
                <w:bCs/>
                <w:color w:val="000000"/>
                <w:sz w:val="16"/>
                <w:szCs w:val="16"/>
              </w:rPr>
              <w:t>2015-16</w:t>
            </w:r>
          </w:p>
        </w:tc>
        <w:tc>
          <w:tcPr>
            <w:tcW w:w="1277" w:type="dxa"/>
            <w:tcBorders>
              <w:top w:val="nil"/>
              <w:left w:val="nil"/>
              <w:bottom w:val="single" w:sz="4" w:space="0" w:color="000000"/>
              <w:right w:val="single" w:sz="4" w:space="0" w:color="000000"/>
            </w:tcBorders>
            <w:shd w:val="clear" w:color="000000" w:fill="FFFFFF"/>
            <w:noWrap/>
            <w:vAlign w:val="center"/>
            <w:hideMark/>
          </w:tcPr>
          <w:p w14:paraId="16FB0676" w14:textId="66BFE5E2" w:rsidR="00E86450" w:rsidRPr="00320EA7" w:rsidRDefault="00E86450" w:rsidP="00E86450">
            <w:pPr>
              <w:rPr>
                <w:rFonts w:ascii="Arial" w:hAnsi="Arial" w:cs="Arial"/>
                <w:b/>
                <w:bCs/>
                <w:color w:val="000000"/>
                <w:sz w:val="16"/>
                <w:szCs w:val="16"/>
              </w:rPr>
            </w:pPr>
            <w:r w:rsidRPr="00320EA7">
              <w:rPr>
                <w:rFonts w:ascii="Arial" w:hAnsi="Arial" w:cs="Arial"/>
                <w:b/>
                <w:bCs/>
                <w:color w:val="000000"/>
                <w:sz w:val="16"/>
                <w:szCs w:val="16"/>
              </w:rPr>
              <w:t>Average Fee Charged</w:t>
            </w:r>
          </w:p>
        </w:tc>
        <w:tc>
          <w:tcPr>
            <w:tcW w:w="816" w:type="dxa"/>
            <w:tcBorders>
              <w:top w:val="nil"/>
              <w:left w:val="nil"/>
              <w:bottom w:val="single" w:sz="4" w:space="0" w:color="000000"/>
              <w:right w:val="single" w:sz="4" w:space="0" w:color="000000"/>
            </w:tcBorders>
            <w:shd w:val="clear" w:color="000000" w:fill="FFFFFF"/>
            <w:noWrap/>
            <w:vAlign w:val="bottom"/>
            <w:hideMark/>
          </w:tcPr>
          <w:p w14:paraId="373388C7"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$398</w:t>
            </w:r>
          </w:p>
        </w:tc>
        <w:tc>
          <w:tcPr>
            <w:tcW w:w="850" w:type="dxa"/>
            <w:tcBorders>
              <w:top w:val="nil"/>
              <w:left w:val="nil"/>
              <w:bottom w:val="single" w:sz="4" w:space="0" w:color="000000"/>
              <w:right w:val="single" w:sz="4" w:space="0" w:color="000000"/>
            </w:tcBorders>
            <w:shd w:val="clear" w:color="000000" w:fill="FFFFFF"/>
            <w:noWrap/>
            <w:vAlign w:val="bottom"/>
            <w:hideMark/>
          </w:tcPr>
          <w:p w14:paraId="4F12FEB4"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$365</w:t>
            </w:r>
          </w:p>
        </w:tc>
        <w:tc>
          <w:tcPr>
            <w:tcW w:w="851" w:type="dxa"/>
            <w:tcBorders>
              <w:top w:val="nil"/>
              <w:left w:val="nil"/>
              <w:bottom w:val="single" w:sz="4" w:space="0" w:color="000000"/>
              <w:right w:val="single" w:sz="4" w:space="0" w:color="000000"/>
            </w:tcBorders>
            <w:shd w:val="clear" w:color="000000" w:fill="FFFFFF"/>
            <w:noWrap/>
            <w:vAlign w:val="bottom"/>
            <w:hideMark/>
          </w:tcPr>
          <w:p w14:paraId="26C21303"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$446</w:t>
            </w:r>
          </w:p>
        </w:tc>
        <w:tc>
          <w:tcPr>
            <w:tcW w:w="850" w:type="dxa"/>
            <w:tcBorders>
              <w:top w:val="nil"/>
              <w:left w:val="nil"/>
              <w:bottom w:val="single" w:sz="4" w:space="0" w:color="000000"/>
              <w:right w:val="single" w:sz="4" w:space="0" w:color="000000"/>
            </w:tcBorders>
            <w:shd w:val="clear" w:color="000000" w:fill="FFFFFF"/>
            <w:noWrap/>
            <w:vAlign w:val="bottom"/>
            <w:hideMark/>
          </w:tcPr>
          <w:p w14:paraId="7E6028D6"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$552</w:t>
            </w:r>
          </w:p>
        </w:tc>
        <w:tc>
          <w:tcPr>
            <w:tcW w:w="709" w:type="dxa"/>
            <w:tcBorders>
              <w:top w:val="nil"/>
              <w:left w:val="nil"/>
              <w:bottom w:val="single" w:sz="4" w:space="0" w:color="000000"/>
              <w:right w:val="single" w:sz="4" w:space="0" w:color="000000"/>
            </w:tcBorders>
            <w:shd w:val="clear" w:color="000000" w:fill="FFFFFF"/>
            <w:noWrap/>
            <w:vAlign w:val="bottom"/>
            <w:hideMark/>
          </w:tcPr>
          <w:p w14:paraId="4A0B9646"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$339</w:t>
            </w:r>
          </w:p>
        </w:tc>
        <w:tc>
          <w:tcPr>
            <w:tcW w:w="709" w:type="dxa"/>
            <w:tcBorders>
              <w:top w:val="nil"/>
              <w:left w:val="nil"/>
              <w:bottom w:val="single" w:sz="4" w:space="0" w:color="000000"/>
              <w:right w:val="single" w:sz="4" w:space="0" w:color="auto"/>
            </w:tcBorders>
            <w:shd w:val="clear" w:color="000000" w:fill="FFFFFF"/>
            <w:noWrap/>
            <w:vAlign w:val="bottom"/>
            <w:hideMark/>
          </w:tcPr>
          <w:p w14:paraId="3990D0EC"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03ABD13E"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7186F363"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61342230"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$402</w:t>
            </w:r>
          </w:p>
        </w:tc>
      </w:tr>
      <w:tr w:rsidR="00E86450" w:rsidRPr="00320EA7" w14:paraId="0F7FA078" w14:textId="77777777" w:rsidTr="00D74C68">
        <w:trPr>
          <w:trHeight w:val="300"/>
        </w:trPr>
        <w:tc>
          <w:tcPr>
            <w:tcW w:w="709" w:type="dxa"/>
            <w:vMerge/>
            <w:tcBorders>
              <w:left w:val="single" w:sz="4" w:space="0" w:color="000000"/>
              <w:right w:val="single" w:sz="4" w:space="0" w:color="000000"/>
            </w:tcBorders>
            <w:shd w:val="clear" w:color="000000" w:fill="FFFFFF"/>
            <w:noWrap/>
            <w:vAlign w:val="center"/>
            <w:hideMark/>
          </w:tcPr>
          <w:p w14:paraId="17CAE950" w14:textId="28A55265"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5E656306" w14:textId="77777777" w:rsidR="00E86450" w:rsidRPr="00320EA7" w:rsidRDefault="00E86450" w:rsidP="006F0CF3">
            <w:pPr>
              <w:rPr>
                <w:rFonts w:ascii="Arial" w:hAnsi="Arial" w:cs="Arial"/>
                <w:b/>
                <w:bCs/>
                <w:color w:val="000000"/>
                <w:sz w:val="16"/>
                <w:szCs w:val="16"/>
              </w:rPr>
            </w:pPr>
            <w:proofErr w:type="spellStart"/>
            <w:r w:rsidRPr="00320EA7">
              <w:rPr>
                <w:rFonts w:ascii="Arial" w:hAnsi="Arial" w:cs="Arial"/>
                <w:b/>
                <w:bCs/>
                <w:color w:val="000000"/>
                <w:sz w:val="16"/>
                <w:szCs w:val="16"/>
              </w:rPr>
              <w:t>Std</w:t>
            </w:r>
            <w:proofErr w:type="spellEnd"/>
            <w:r w:rsidRPr="00320EA7">
              <w:rPr>
                <w:rFonts w:ascii="Arial" w:hAnsi="Arial" w:cs="Arial"/>
                <w:b/>
                <w:bCs/>
                <w:color w:val="000000"/>
                <w:sz w:val="16"/>
                <w:szCs w:val="16"/>
              </w:rPr>
              <w:t xml:space="preserve"> Deviation</w:t>
            </w:r>
          </w:p>
        </w:tc>
        <w:tc>
          <w:tcPr>
            <w:tcW w:w="816" w:type="dxa"/>
            <w:tcBorders>
              <w:top w:val="nil"/>
              <w:left w:val="nil"/>
              <w:bottom w:val="single" w:sz="4" w:space="0" w:color="000000"/>
              <w:right w:val="single" w:sz="4" w:space="0" w:color="000000"/>
            </w:tcBorders>
            <w:shd w:val="clear" w:color="000000" w:fill="FFFFFF"/>
            <w:noWrap/>
            <w:vAlign w:val="bottom"/>
            <w:hideMark/>
          </w:tcPr>
          <w:p w14:paraId="7294C986"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$73</w:t>
            </w:r>
          </w:p>
        </w:tc>
        <w:tc>
          <w:tcPr>
            <w:tcW w:w="850" w:type="dxa"/>
            <w:tcBorders>
              <w:top w:val="nil"/>
              <w:left w:val="nil"/>
              <w:bottom w:val="single" w:sz="4" w:space="0" w:color="000000"/>
              <w:right w:val="single" w:sz="4" w:space="0" w:color="000000"/>
            </w:tcBorders>
            <w:shd w:val="clear" w:color="000000" w:fill="FFFFFF"/>
            <w:noWrap/>
            <w:vAlign w:val="bottom"/>
            <w:hideMark/>
          </w:tcPr>
          <w:p w14:paraId="51040C8B"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$50</w:t>
            </w:r>
          </w:p>
        </w:tc>
        <w:tc>
          <w:tcPr>
            <w:tcW w:w="851" w:type="dxa"/>
            <w:tcBorders>
              <w:top w:val="nil"/>
              <w:left w:val="nil"/>
              <w:bottom w:val="single" w:sz="4" w:space="0" w:color="000000"/>
              <w:right w:val="single" w:sz="4" w:space="0" w:color="000000"/>
            </w:tcBorders>
            <w:shd w:val="clear" w:color="000000" w:fill="FFFFFF"/>
            <w:noWrap/>
            <w:vAlign w:val="bottom"/>
            <w:hideMark/>
          </w:tcPr>
          <w:p w14:paraId="23621BDF"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$112</w:t>
            </w:r>
          </w:p>
        </w:tc>
        <w:tc>
          <w:tcPr>
            <w:tcW w:w="850" w:type="dxa"/>
            <w:tcBorders>
              <w:top w:val="nil"/>
              <w:left w:val="nil"/>
              <w:bottom w:val="single" w:sz="4" w:space="0" w:color="000000"/>
              <w:right w:val="single" w:sz="4" w:space="0" w:color="000000"/>
            </w:tcBorders>
            <w:shd w:val="clear" w:color="000000" w:fill="FFFFFF"/>
            <w:noWrap/>
            <w:vAlign w:val="bottom"/>
            <w:hideMark/>
          </w:tcPr>
          <w:p w14:paraId="05D3F8A8"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$189</w:t>
            </w:r>
          </w:p>
        </w:tc>
        <w:tc>
          <w:tcPr>
            <w:tcW w:w="709" w:type="dxa"/>
            <w:tcBorders>
              <w:top w:val="nil"/>
              <w:left w:val="nil"/>
              <w:bottom w:val="single" w:sz="4" w:space="0" w:color="000000"/>
              <w:right w:val="single" w:sz="4" w:space="0" w:color="000000"/>
            </w:tcBorders>
            <w:shd w:val="clear" w:color="000000" w:fill="FFFFFF"/>
            <w:noWrap/>
            <w:vAlign w:val="bottom"/>
            <w:hideMark/>
          </w:tcPr>
          <w:p w14:paraId="2FF6F2D0"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$142</w:t>
            </w:r>
          </w:p>
        </w:tc>
        <w:tc>
          <w:tcPr>
            <w:tcW w:w="709" w:type="dxa"/>
            <w:tcBorders>
              <w:top w:val="nil"/>
              <w:left w:val="nil"/>
              <w:bottom w:val="single" w:sz="4" w:space="0" w:color="000000"/>
              <w:right w:val="single" w:sz="4" w:space="0" w:color="auto"/>
            </w:tcBorders>
            <w:shd w:val="clear" w:color="000000" w:fill="FFFFFF"/>
            <w:noWrap/>
            <w:vAlign w:val="bottom"/>
            <w:hideMark/>
          </w:tcPr>
          <w:p w14:paraId="2FCDEEBA"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0A4C3542"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28A3D6BB"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30718EC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$114</w:t>
            </w:r>
          </w:p>
        </w:tc>
      </w:tr>
      <w:tr w:rsidR="00E86450" w:rsidRPr="00320EA7" w14:paraId="3FCABF9F" w14:textId="77777777" w:rsidTr="00D74C68">
        <w:trPr>
          <w:trHeight w:val="300"/>
        </w:trPr>
        <w:tc>
          <w:tcPr>
            <w:tcW w:w="709" w:type="dxa"/>
            <w:vMerge/>
            <w:tcBorders>
              <w:left w:val="single" w:sz="4" w:space="0" w:color="000000"/>
              <w:right w:val="single" w:sz="4" w:space="0" w:color="000000"/>
            </w:tcBorders>
            <w:shd w:val="clear" w:color="000000" w:fill="FFFFFF"/>
            <w:noWrap/>
            <w:vAlign w:val="center"/>
            <w:hideMark/>
          </w:tcPr>
          <w:p w14:paraId="2E3BE134" w14:textId="422F83A2"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4A3B57EA" w14:textId="6AE2F5FA" w:rsidR="00E86450" w:rsidRPr="00320EA7" w:rsidRDefault="00E86450" w:rsidP="00E86450">
            <w:pPr>
              <w:rPr>
                <w:rFonts w:ascii="Arial" w:hAnsi="Arial" w:cs="Arial"/>
                <w:b/>
                <w:bCs/>
                <w:color w:val="000000"/>
                <w:sz w:val="16"/>
                <w:szCs w:val="16"/>
              </w:rPr>
            </w:pPr>
            <w:r w:rsidRPr="00320EA7">
              <w:rPr>
                <w:rFonts w:ascii="Arial" w:hAnsi="Arial" w:cs="Arial"/>
                <w:b/>
                <w:bCs/>
                <w:color w:val="000000"/>
                <w:sz w:val="16"/>
                <w:szCs w:val="16"/>
              </w:rPr>
              <w:t>Median Fee Charged</w:t>
            </w:r>
          </w:p>
        </w:tc>
        <w:tc>
          <w:tcPr>
            <w:tcW w:w="816" w:type="dxa"/>
            <w:tcBorders>
              <w:top w:val="nil"/>
              <w:left w:val="nil"/>
              <w:bottom w:val="single" w:sz="4" w:space="0" w:color="000000"/>
              <w:right w:val="single" w:sz="4" w:space="0" w:color="000000"/>
            </w:tcBorders>
            <w:shd w:val="clear" w:color="000000" w:fill="FFFFFF"/>
            <w:noWrap/>
            <w:vAlign w:val="bottom"/>
            <w:hideMark/>
          </w:tcPr>
          <w:p w14:paraId="61A8858C"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$365</w:t>
            </w:r>
          </w:p>
        </w:tc>
        <w:tc>
          <w:tcPr>
            <w:tcW w:w="850" w:type="dxa"/>
            <w:tcBorders>
              <w:top w:val="nil"/>
              <w:left w:val="nil"/>
              <w:bottom w:val="single" w:sz="4" w:space="0" w:color="000000"/>
              <w:right w:val="single" w:sz="4" w:space="0" w:color="000000"/>
            </w:tcBorders>
            <w:shd w:val="clear" w:color="000000" w:fill="FFFFFF"/>
            <w:noWrap/>
            <w:vAlign w:val="bottom"/>
            <w:hideMark/>
          </w:tcPr>
          <w:p w14:paraId="19182806"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$362</w:t>
            </w:r>
          </w:p>
        </w:tc>
        <w:tc>
          <w:tcPr>
            <w:tcW w:w="851" w:type="dxa"/>
            <w:tcBorders>
              <w:top w:val="nil"/>
              <w:left w:val="nil"/>
              <w:bottom w:val="single" w:sz="4" w:space="0" w:color="000000"/>
              <w:right w:val="single" w:sz="4" w:space="0" w:color="000000"/>
            </w:tcBorders>
            <w:shd w:val="clear" w:color="000000" w:fill="FFFFFF"/>
            <w:noWrap/>
            <w:vAlign w:val="bottom"/>
            <w:hideMark/>
          </w:tcPr>
          <w:p w14:paraId="4EC431B1"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$394</w:t>
            </w:r>
          </w:p>
        </w:tc>
        <w:tc>
          <w:tcPr>
            <w:tcW w:w="850" w:type="dxa"/>
            <w:tcBorders>
              <w:top w:val="nil"/>
              <w:left w:val="nil"/>
              <w:bottom w:val="single" w:sz="4" w:space="0" w:color="000000"/>
              <w:right w:val="single" w:sz="4" w:space="0" w:color="000000"/>
            </w:tcBorders>
            <w:shd w:val="clear" w:color="000000" w:fill="FFFFFF"/>
            <w:noWrap/>
            <w:vAlign w:val="bottom"/>
            <w:hideMark/>
          </w:tcPr>
          <w:p w14:paraId="57B32007"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$657</w:t>
            </w:r>
          </w:p>
        </w:tc>
        <w:tc>
          <w:tcPr>
            <w:tcW w:w="709" w:type="dxa"/>
            <w:tcBorders>
              <w:top w:val="nil"/>
              <w:left w:val="nil"/>
              <w:bottom w:val="single" w:sz="4" w:space="0" w:color="000000"/>
              <w:right w:val="single" w:sz="4" w:space="0" w:color="000000"/>
            </w:tcBorders>
            <w:shd w:val="clear" w:color="000000" w:fill="FFFFFF"/>
            <w:noWrap/>
            <w:vAlign w:val="bottom"/>
            <w:hideMark/>
          </w:tcPr>
          <w:p w14:paraId="0DE08663"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$282</w:t>
            </w:r>
          </w:p>
        </w:tc>
        <w:tc>
          <w:tcPr>
            <w:tcW w:w="709" w:type="dxa"/>
            <w:tcBorders>
              <w:top w:val="nil"/>
              <w:left w:val="nil"/>
              <w:bottom w:val="single" w:sz="4" w:space="0" w:color="000000"/>
              <w:right w:val="single" w:sz="4" w:space="0" w:color="auto"/>
            </w:tcBorders>
            <w:shd w:val="clear" w:color="000000" w:fill="FFFFFF"/>
            <w:noWrap/>
            <w:vAlign w:val="bottom"/>
            <w:hideMark/>
          </w:tcPr>
          <w:p w14:paraId="79902F45"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2B7269D2"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5F526B96"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77F65293"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$358</w:t>
            </w:r>
          </w:p>
        </w:tc>
      </w:tr>
      <w:tr w:rsidR="00E86450" w:rsidRPr="00320EA7" w14:paraId="0B718294" w14:textId="77777777" w:rsidTr="00D74C68">
        <w:trPr>
          <w:trHeight w:val="300"/>
        </w:trPr>
        <w:tc>
          <w:tcPr>
            <w:tcW w:w="709" w:type="dxa"/>
            <w:vMerge/>
            <w:tcBorders>
              <w:left w:val="single" w:sz="4" w:space="0" w:color="000000"/>
              <w:right w:val="single" w:sz="4" w:space="0" w:color="000000"/>
            </w:tcBorders>
            <w:shd w:val="clear" w:color="000000" w:fill="FFFFFF"/>
            <w:noWrap/>
            <w:vAlign w:val="center"/>
            <w:hideMark/>
          </w:tcPr>
          <w:p w14:paraId="60261818" w14:textId="3ACB07B1"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307728B0" w14:textId="77777777" w:rsidR="00E86450" w:rsidRPr="00320EA7" w:rsidRDefault="00E86450" w:rsidP="006F0CF3">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6660A4D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$394</w:t>
            </w:r>
          </w:p>
        </w:tc>
        <w:tc>
          <w:tcPr>
            <w:tcW w:w="850" w:type="dxa"/>
            <w:tcBorders>
              <w:top w:val="nil"/>
              <w:left w:val="nil"/>
              <w:bottom w:val="single" w:sz="4" w:space="0" w:color="000000"/>
              <w:right w:val="single" w:sz="4" w:space="0" w:color="000000"/>
            </w:tcBorders>
            <w:shd w:val="clear" w:color="000000" w:fill="FFFFFF"/>
            <w:noWrap/>
            <w:vAlign w:val="bottom"/>
            <w:hideMark/>
          </w:tcPr>
          <w:p w14:paraId="24A132E3"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$410</w:t>
            </w:r>
          </w:p>
        </w:tc>
        <w:tc>
          <w:tcPr>
            <w:tcW w:w="851" w:type="dxa"/>
            <w:tcBorders>
              <w:top w:val="nil"/>
              <w:left w:val="nil"/>
              <w:bottom w:val="single" w:sz="4" w:space="0" w:color="000000"/>
              <w:right w:val="single" w:sz="4" w:space="0" w:color="000000"/>
            </w:tcBorders>
            <w:shd w:val="clear" w:color="000000" w:fill="FFFFFF"/>
            <w:noWrap/>
            <w:vAlign w:val="bottom"/>
            <w:hideMark/>
          </w:tcPr>
          <w:p w14:paraId="5729F353"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$545</w:t>
            </w:r>
          </w:p>
        </w:tc>
        <w:tc>
          <w:tcPr>
            <w:tcW w:w="850" w:type="dxa"/>
            <w:tcBorders>
              <w:top w:val="nil"/>
              <w:left w:val="nil"/>
              <w:bottom w:val="single" w:sz="4" w:space="0" w:color="000000"/>
              <w:right w:val="single" w:sz="4" w:space="0" w:color="000000"/>
            </w:tcBorders>
            <w:shd w:val="clear" w:color="000000" w:fill="FFFFFF"/>
            <w:noWrap/>
            <w:vAlign w:val="bottom"/>
            <w:hideMark/>
          </w:tcPr>
          <w:p w14:paraId="7F688E37"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$658</w:t>
            </w:r>
          </w:p>
        </w:tc>
        <w:tc>
          <w:tcPr>
            <w:tcW w:w="709" w:type="dxa"/>
            <w:tcBorders>
              <w:top w:val="nil"/>
              <w:left w:val="nil"/>
              <w:bottom w:val="single" w:sz="4" w:space="0" w:color="000000"/>
              <w:right w:val="single" w:sz="4" w:space="0" w:color="000000"/>
            </w:tcBorders>
            <w:shd w:val="clear" w:color="000000" w:fill="FFFFFF"/>
            <w:noWrap/>
            <w:vAlign w:val="bottom"/>
            <w:hideMark/>
          </w:tcPr>
          <w:p w14:paraId="6924D6B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$363</w:t>
            </w:r>
          </w:p>
        </w:tc>
        <w:tc>
          <w:tcPr>
            <w:tcW w:w="709" w:type="dxa"/>
            <w:tcBorders>
              <w:top w:val="nil"/>
              <w:left w:val="nil"/>
              <w:bottom w:val="single" w:sz="4" w:space="0" w:color="000000"/>
              <w:right w:val="single" w:sz="4" w:space="0" w:color="auto"/>
            </w:tcBorders>
            <w:shd w:val="clear" w:color="000000" w:fill="FFFFFF"/>
            <w:noWrap/>
            <w:vAlign w:val="bottom"/>
            <w:hideMark/>
          </w:tcPr>
          <w:p w14:paraId="454E9C6D"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73D3C8ED"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1ED0294E"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32CD5CE5"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$365</w:t>
            </w:r>
          </w:p>
        </w:tc>
      </w:tr>
      <w:tr w:rsidR="00E86450" w:rsidRPr="00320EA7" w14:paraId="63484978" w14:textId="77777777" w:rsidTr="00D74C68">
        <w:trPr>
          <w:trHeight w:val="300"/>
        </w:trPr>
        <w:tc>
          <w:tcPr>
            <w:tcW w:w="709" w:type="dxa"/>
            <w:vMerge/>
            <w:tcBorders>
              <w:left w:val="single" w:sz="4" w:space="0" w:color="000000"/>
              <w:right w:val="single" w:sz="4" w:space="0" w:color="000000"/>
            </w:tcBorders>
            <w:shd w:val="clear" w:color="000000" w:fill="FFFFFF"/>
            <w:noWrap/>
            <w:vAlign w:val="center"/>
            <w:hideMark/>
          </w:tcPr>
          <w:p w14:paraId="1CAB22E3" w14:textId="365089FD"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000000"/>
              <w:right w:val="single" w:sz="4" w:space="0" w:color="000000"/>
            </w:tcBorders>
            <w:shd w:val="clear" w:color="000000" w:fill="FFFFFF"/>
            <w:noWrap/>
            <w:vAlign w:val="center"/>
            <w:hideMark/>
          </w:tcPr>
          <w:p w14:paraId="6C661E00" w14:textId="77777777" w:rsidR="00E86450" w:rsidRPr="00320EA7" w:rsidRDefault="00E86450" w:rsidP="006F0CF3">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16" w:type="dxa"/>
            <w:tcBorders>
              <w:top w:val="nil"/>
              <w:left w:val="nil"/>
              <w:bottom w:val="single" w:sz="4" w:space="0" w:color="000000"/>
              <w:right w:val="single" w:sz="4" w:space="0" w:color="000000"/>
            </w:tcBorders>
            <w:shd w:val="clear" w:color="000000" w:fill="FFFFFF"/>
            <w:noWrap/>
            <w:vAlign w:val="bottom"/>
            <w:hideMark/>
          </w:tcPr>
          <w:p w14:paraId="2499E767"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$600</w:t>
            </w:r>
          </w:p>
        </w:tc>
        <w:tc>
          <w:tcPr>
            <w:tcW w:w="850" w:type="dxa"/>
            <w:tcBorders>
              <w:top w:val="nil"/>
              <w:left w:val="nil"/>
              <w:bottom w:val="single" w:sz="4" w:space="0" w:color="000000"/>
              <w:right w:val="single" w:sz="4" w:space="0" w:color="000000"/>
            </w:tcBorders>
            <w:shd w:val="clear" w:color="000000" w:fill="FFFFFF"/>
            <w:noWrap/>
            <w:vAlign w:val="bottom"/>
            <w:hideMark/>
          </w:tcPr>
          <w:p w14:paraId="3F4F2892"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$532</w:t>
            </w:r>
          </w:p>
        </w:tc>
        <w:tc>
          <w:tcPr>
            <w:tcW w:w="851" w:type="dxa"/>
            <w:tcBorders>
              <w:top w:val="nil"/>
              <w:left w:val="nil"/>
              <w:bottom w:val="single" w:sz="4" w:space="0" w:color="000000"/>
              <w:right w:val="single" w:sz="4" w:space="0" w:color="000000"/>
            </w:tcBorders>
            <w:shd w:val="clear" w:color="000000" w:fill="FFFFFF"/>
            <w:noWrap/>
            <w:vAlign w:val="bottom"/>
            <w:hideMark/>
          </w:tcPr>
          <w:p w14:paraId="5AD42DD2"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$622</w:t>
            </w:r>
          </w:p>
        </w:tc>
        <w:tc>
          <w:tcPr>
            <w:tcW w:w="850" w:type="dxa"/>
            <w:tcBorders>
              <w:top w:val="nil"/>
              <w:left w:val="nil"/>
              <w:bottom w:val="single" w:sz="4" w:space="0" w:color="000000"/>
              <w:right w:val="single" w:sz="4" w:space="0" w:color="000000"/>
            </w:tcBorders>
            <w:shd w:val="clear" w:color="000000" w:fill="FFFFFF"/>
            <w:noWrap/>
            <w:vAlign w:val="bottom"/>
            <w:hideMark/>
          </w:tcPr>
          <w:p w14:paraId="18EEC7C1"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$658</w:t>
            </w:r>
          </w:p>
        </w:tc>
        <w:tc>
          <w:tcPr>
            <w:tcW w:w="709" w:type="dxa"/>
            <w:tcBorders>
              <w:top w:val="nil"/>
              <w:left w:val="nil"/>
              <w:bottom w:val="single" w:sz="4" w:space="0" w:color="000000"/>
              <w:right w:val="single" w:sz="4" w:space="0" w:color="000000"/>
            </w:tcBorders>
            <w:shd w:val="clear" w:color="000000" w:fill="FFFFFF"/>
            <w:noWrap/>
            <w:vAlign w:val="bottom"/>
            <w:hideMark/>
          </w:tcPr>
          <w:p w14:paraId="1B71F143"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$650</w:t>
            </w:r>
          </w:p>
        </w:tc>
        <w:tc>
          <w:tcPr>
            <w:tcW w:w="709" w:type="dxa"/>
            <w:tcBorders>
              <w:top w:val="nil"/>
              <w:left w:val="nil"/>
              <w:bottom w:val="single" w:sz="4" w:space="0" w:color="000000"/>
              <w:right w:val="single" w:sz="4" w:space="0" w:color="auto"/>
            </w:tcBorders>
            <w:shd w:val="clear" w:color="000000" w:fill="FFFFFF"/>
            <w:noWrap/>
            <w:vAlign w:val="bottom"/>
            <w:hideMark/>
          </w:tcPr>
          <w:p w14:paraId="7D414904"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4C9B08B3"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72A9AA98"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720274D0"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$410</w:t>
            </w:r>
          </w:p>
        </w:tc>
      </w:tr>
      <w:tr w:rsidR="00E86450" w:rsidRPr="00320EA7" w14:paraId="572298C4" w14:textId="77777777" w:rsidTr="00D74C68">
        <w:trPr>
          <w:trHeight w:val="300"/>
        </w:trPr>
        <w:tc>
          <w:tcPr>
            <w:tcW w:w="709" w:type="dxa"/>
            <w:vMerge/>
            <w:tcBorders>
              <w:left w:val="single" w:sz="4" w:space="0" w:color="000000"/>
              <w:bottom w:val="single" w:sz="4" w:space="0" w:color="auto"/>
              <w:right w:val="single" w:sz="4" w:space="0" w:color="000000"/>
            </w:tcBorders>
            <w:shd w:val="clear" w:color="000000" w:fill="FFFFFF"/>
            <w:noWrap/>
            <w:vAlign w:val="center"/>
            <w:hideMark/>
          </w:tcPr>
          <w:p w14:paraId="67376ED0" w14:textId="3CC9D81B" w:rsidR="00E86450" w:rsidRPr="00320EA7" w:rsidRDefault="00E86450" w:rsidP="006F0CF3">
            <w:pPr>
              <w:rPr>
                <w:rFonts w:ascii="Arial" w:hAnsi="Arial" w:cs="Arial"/>
                <w:b/>
                <w:bCs/>
                <w:color w:val="000000"/>
                <w:sz w:val="16"/>
                <w:szCs w:val="16"/>
              </w:rPr>
            </w:pPr>
          </w:p>
        </w:tc>
        <w:tc>
          <w:tcPr>
            <w:tcW w:w="1277" w:type="dxa"/>
            <w:tcBorders>
              <w:top w:val="nil"/>
              <w:left w:val="nil"/>
              <w:bottom w:val="single" w:sz="4" w:space="0" w:color="auto"/>
              <w:right w:val="single" w:sz="4" w:space="0" w:color="000000"/>
            </w:tcBorders>
            <w:shd w:val="clear" w:color="000000" w:fill="FFFFFF"/>
            <w:noWrap/>
            <w:vAlign w:val="center"/>
            <w:hideMark/>
          </w:tcPr>
          <w:p w14:paraId="54A302D2" w14:textId="77777777" w:rsidR="00E86450" w:rsidRPr="00320EA7" w:rsidRDefault="00E86450" w:rsidP="006F0CF3">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16" w:type="dxa"/>
            <w:tcBorders>
              <w:top w:val="nil"/>
              <w:left w:val="nil"/>
              <w:bottom w:val="single" w:sz="4" w:space="0" w:color="000000"/>
              <w:right w:val="single" w:sz="4" w:space="0" w:color="000000"/>
            </w:tcBorders>
            <w:shd w:val="clear" w:color="000000" w:fill="FFFFFF"/>
            <w:noWrap/>
            <w:vAlign w:val="bottom"/>
            <w:hideMark/>
          </w:tcPr>
          <w:p w14:paraId="0CB0034A"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10%</w:t>
            </w:r>
          </w:p>
        </w:tc>
        <w:tc>
          <w:tcPr>
            <w:tcW w:w="850" w:type="dxa"/>
            <w:tcBorders>
              <w:top w:val="nil"/>
              <w:left w:val="nil"/>
              <w:bottom w:val="single" w:sz="4" w:space="0" w:color="000000"/>
              <w:right w:val="single" w:sz="4" w:space="0" w:color="000000"/>
            </w:tcBorders>
            <w:shd w:val="clear" w:color="000000" w:fill="FFFFFF"/>
            <w:noWrap/>
            <w:vAlign w:val="bottom"/>
            <w:hideMark/>
          </w:tcPr>
          <w:p w14:paraId="577AEEEB"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c>
          <w:tcPr>
            <w:tcW w:w="851" w:type="dxa"/>
            <w:tcBorders>
              <w:top w:val="nil"/>
              <w:left w:val="nil"/>
              <w:bottom w:val="single" w:sz="4" w:space="0" w:color="000000"/>
              <w:right w:val="single" w:sz="4" w:space="0" w:color="000000"/>
            </w:tcBorders>
            <w:shd w:val="clear" w:color="000000" w:fill="FFFFFF"/>
            <w:noWrap/>
            <w:vAlign w:val="bottom"/>
            <w:hideMark/>
          </w:tcPr>
          <w:p w14:paraId="222CA0B0"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c>
          <w:tcPr>
            <w:tcW w:w="850" w:type="dxa"/>
            <w:tcBorders>
              <w:top w:val="nil"/>
              <w:left w:val="nil"/>
              <w:bottom w:val="single" w:sz="4" w:space="0" w:color="000000"/>
              <w:right w:val="single" w:sz="4" w:space="0" w:color="000000"/>
            </w:tcBorders>
            <w:shd w:val="clear" w:color="000000" w:fill="FFFFFF"/>
            <w:noWrap/>
            <w:vAlign w:val="bottom"/>
            <w:hideMark/>
          </w:tcPr>
          <w:p w14:paraId="251D4852"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c>
          <w:tcPr>
            <w:tcW w:w="709" w:type="dxa"/>
            <w:tcBorders>
              <w:top w:val="nil"/>
              <w:left w:val="nil"/>
              <w:bottom w:val="single" w:sz="4" w:space="0" w:color="000000"/>
              <w:right w:val="single" w:sz="4" w:space="0" w:color="000000"/>
            </w:tcBorders>
            <w:shd w:val="clear" w:color="000000" w:fill="FFFFFF"/>
            <w:noWrap/>
            <w:vAlign w:val="bottom"/>
            <w:hideMark/>
          </w:tcPr>
          <w:p w14:paraId="6F6C3718"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c>
          <w:tcPr>
            <w:tcW w:w="709" w:type="dxa"/>
            <w:tcBorders>
              <w:top w:val="nil"/>
              <w:left w:val="nil"/>
              <w:bottom w:val="single" w:sz="4" w:space="0" w:color="000000"/>
              <w:right w:val="single" w:sz="4" w:space="0" w:color="auto"/>
            </w:tcBorders>
            <w:shd w:val="clear" w:color="000000" w:fill="FFFFFF"/>
            <w:noWrap/>
            <w:vAlign w:val="bottom"/>
            <w:hideMark/>
          </w:tcPr>
          <w:p w14:paraId="258A9499" w14:textId="77777777" w:rsidR="00E86450" w:rsidRDefault="00E86450" w:rsidP="006F0CF3">
            <w:pPr>
              <w:jc w:val="right"/>
            </w:pPr>
            <w:proofErr w:type="spellStart"/>
            <w:r w:rsidRPr="003B1600">
              <w:rPr>
                <w:rFonts w:ascii="Arial" w:hAnsi="Arial" w:cs="Arial"/>
                <w:color w:val="000000"/>
                <w:sz w:val="18"/>
                <w:szCs w:val="18"/>
              </w:rPr>
              <w:t>np</w:t>
            </w:r>
            <w:proofErr w:type="spellEnd"/>
          </w:p>
        </w:tc>
        <w:tc>
          <w:tcPr>
            <w:tcW w:w="708" w:type="dxa"/>
            <w:tcBorders>
              <w:top w:val="nil"/>
              <w:left w:val="single" w:sz="4" w:space="0" w:color="auto"/>
              <w:bottom w:val="single" w:sz="4" w:space="0" w:color="000000"/>
              <w:right w:val="single" w:sz="4" w:space="0" w:color="auto"/>
            </w:tcBorders>
            <w:shd w:val="clear" w:color="000000" w:fill="FFFFFF"/>
            <w:vAlign w:val="bottom"/>
          </w:tcPr>
          <w:p w14:paraId="5073753E"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851" w:type="dxa"/>
            <w:tcBorders>
              <w:top w:val="nil"/>
              <w:left w:val="single" w:sz="4" w:space="0" w:color="auto"/>
              <w:bottom w:val="single" w:sz="4" w:space="0" w:color="000000"/>
              <w:right w:val="single" w:sz="4" w:space="0" w:color="auto"/>
            </w:tcBorders>
            <w:shd w:val="clear" w:color="000000" w:fill="FFFFFF"/>
            <w:vAlign w:val="bottom"/>
          </w:tcPr>
          <w:p w14:paraId="7865A62F" w14:textId="77777777" w:rsidR="00E86450" w:rsidRDefault="00E86450" w:rsidP="006F0CF3">
            <w:pPr>
              <w:jc w:val="right"/>
            </w:pPr>
            <w:proofErr w:type="spellStart"/>
            <w:r w:rsidRPr="00FA3816">
              <w:rPr>
                <w:rFonts w:ascii="Arial" w:hAnsi="Arial" w:cs="Arial"/>
                <w:color w:val="000000"/>
                <w:sz w:val="18"/>
                <w:szCs w:val="18"/>
              </w:rPr>
              <w:t>np</w:t>
            </w:r>
            <w:proofErr w:type="spellEnd"/>
          </w:p>
        </w:tc>
        <w:tc>
          <w:tcPr>
            <w:tcW w:w="992" w:type="dxa"/>
            <w:tcBorders>
              <w:top w:val="nil"/>
              <w:left w:val="single" w:sz="4" w:space="0" w:color="auto"/>
              <w:bottom w:val="single" w:sz="4" w:space="0" w:color="000000"/>
              <w:right w:val="single" w:sz="4" w:space="0" w:color="000000"/>
            </w:tcBorders>
            <w:shd w:val="clear" w:color="000000" w:fill="FFFFFF"/>
            <w:vAlign w:val="bottom"/>
          </w:tcPr>
          <w:p w14:paraId="6EA55108" w14:textId="77777777" w:rsidR="00E86450" w:rsidRDefault="00E86450" w:rsidP="006F0CF3">
            <w:pPr>
              <w:jc w:val="right"/>
              <w:rPr>
                <w:rFonts w:ascii="Arial" w:hAnsi="Arial" w:cs="Arial"/>
                <w:color w:val="000000"/>
                <w:sz w:val="18"/>
                <w:szCs w:val="18"/>
              </w:rPr>
            </w:pPr>
            <w:r>
              <w:rPr>
                <w:rFonts w:ascii="Arial" w:hAnsi="Arial" w:cs="Arial"/>
                <w:color w:val="000000"/>
                <w:sz w:val="18"/>
                <w:szCs w:val="18"/>
              </w:rPr>
              <w:t>0%</w:t>
            </w:r>
          </w:p>
        </w:tc>
      </w:tr>
    </w:tbl>
    <w:p w14:paraId="329A2038" w14:textId="77777777" w:rsidR="00A15C96" w:rsidRPr="000E7EA4" w:rsidRDefault="00A15C96" w:rsidP="00A15C96">
      <w:pPr>
        <w:rPr>
          <w:sz w:val="20"/>
        </w:rPr>
      </w:pPr>
      <w:r>
        <w:rPr>
          <w:sz w:val="20"/>
        </w:rPr>
        <w:t>NP</w:t>
      </w:r>
      <w:r w:rsidRPr="000E7EA4">
        <w:rPr>
          <w:sz w:val="20"/>
        </w:rPr>
        <w:t xml:space="preserve"> = not </w:t>
      </w:r>
      <w:r>
        <w:rPr>
          <w:sz w:val="20"/>
        </w:rPr>
        <w:t>published due to low volumes</w:t>
      </w:r>
    </w:p>
    <w:p w14:paraId="1A2B4572" w14:textId="3B1CB8F1" w:rsidR="00E70533" w:rsidRPr="00C14316" w:rsidRDefault="006F0CF3" w:rsidP="00E70533">
      <w:pPr>
        <w:rPr>
          <w:i/>
          <w:color w:val="000000" w:themeColor="text1"/>
          <w:sz w:val="20"/>
        </w:rPr>
      </w:pPr>
      <w:r>
        <w:rPr>
          <w:i/>
          <w:color w:val="000000" w:themeColor="text1"/>
          <w:sz w:val="20"/>
        </w:rPr>
        <w:t>Source: Department of Health</w:t>
      </w:r>
    </w:p>
    <w:p w14:paraId="7BB63DAF" w14:textId="3C04382D" w:rsidR="00BC1364" w:rsidRPr="00D90A38" w:rsidRDefault="00A91AFD" w:rsidP="00FC1420">
      <w:pPr>
        <w:pStyle w:val="Heading1"/>
        <w:numPr>
          <w:ilvl w:val="0"/>
          <w:numId w:val="23"/>
        </w:numPr>
        <w:tabs>
          <w:tab w:val="left" w:pos="720"/>
          <w:tab w:val="left" w:pos="1140"/>
        </w:tabs>
        <w:spacing w:before="360"/>
        <w:ind w:hanging="720"/>
      </w:pPr>
      <w:r>
        <w:t>Background</w:t>
      </w:r>
    </w:p>
    <w:p w14:paraId="4CEDFB66" w14:textId="349976B1" w:rsidR="00041E4A" w:rsidRDefault="00041E4A" w:rsidP="00041E4A">
      <w:r w:rsidRPr="009432FD">
        <w:t xml:space="preserve">In August 2011, an application to the </w:t>
      </w:r>
      <w:r>
        <w:t>MSAC</w:t>
      </w:r>
      <w:r w:rsidRPr="009432FD">
        <w:t xml:space="preserve"> was received from Allergan Australia Pty Ltd, requesting </w:t>
      </w:r>
      <w:r w:rsidR="00EF2364">
        <w:t>MBS</w:t>
      </w:r>
      <w:r>
        <w:t xml:space="preserve"> listing of </w:t>
      </w:r>
      <w:proofErr w:type="spellStart"/>
      <w:r>
        <w:t>intravesical</w:t>
      </w:r>
      <w:proofErr w:type="spellEnd"/>
      <w:r w:rsidRPr="009432FD">
        <w:t xml:space="preserve"> injection of B</w:t>
      </w:r>
      <w:r w:rsidR="00CB2942">
        <w:t>otox</w:t>
      </w:r>
      <w:r w:rsidRPr="00041E4A">
        <w:rPr>
          <w:vertAlign w:val="superscript"/>
        </w:rPr>
        <w:t>®</w:t>
      </w:r>
      <w:r w:rsidRPr="009432FD">
        <w:t xml:space="preserve"> for the treatment of urinary incontinence due to neurogenic detrusor overactivity (NDO). This MSAC application is co-dependent on an application to the Pharmaceutical Benefits Advisory Committee (PBAC) for Pharmaceutical Benefits Scheme (PBS) listing of the drug component of the service.</w:t>
      </w:r>
    </w:p>
    <w:p w14:paraId="01D5B643" w14:textId="7116B573" w:rsidR="00041E4A" w:rsidRDefault="00041E4A" w:rsidP="00FC1420">
      <w:pPr>
        <w:spacing w:before="240"/>
      </w:pPr>
      <w:r w:rsidRPr="009432FD">
        <w:t xml:space="preserve">Prior to the procedure, the patient is usually given a local anaesthetic, with light sedation administered by an anaesthetist, or may occasionally be provided </w:t>
      </w:r>
      <w:r>
        <w:t xml:space="preserve">under </w:t>
      </w:r>
      <w:r w:rsidRPr="009432FD">
        <w:t xml:space="preserve">general anaesthesia. A rigid or flexible </w:t>
      </w:r>
      <w:proofErr w:type="spellStart"/>
      <w:r w:rsidRPr="009432FD">
        <w:t>cystoscope</w:t>
      </w:r>
      <w:proofErr w:type="spellEnd"/>
      <w:r w:rsidRPr="009432FD">
        <w:t xml:space="preserve"> is inserted through the urethra and into the bladder to allow visualisation of the bladder wall. Reconstituted B</w:t>
      </w:r>
      <w:r w:rsidR="00CB2942">
        <w:t>otox</w:t>
      </w:r>
      <w:r w:rsidRPr="00041E4A">
        <w:rPr>
          <w:vertAlign w:val="superscript"/>
        </w:rPr>
        <w:t xml:space="preserve">® </w:t>
      </w:r>
      <w:r w:rsidRPr="009432FD">
        <w:t>(200 U in 30 mL) is injected into the inner muscular layer of the bladder wall (detrusor). Clinical improvement generally occurs within 2 weeks. Time to re-treatment is approximately nine months.</w:t>
      </w:r>
    </w:p>
    <w:p w14:paraId="5308C539" w14:textId="08909B86" w:rsidR="00041E4A" w:rsidRDefault="00041E4A" w:rsidP="00FC1420">
      <w:pPr>
        <w:spacing w:before="240"/>
      </w:pPr>
      <w:r w:rsidRPr="009432FD">
        <w:t>Injecting B</w:t>
      </w:r>
      <w:r w:rsidR="00CB2942">
        <w:t>otox</w:t>
      </w:r>
      <w:r w:rsidRPr="00041E4A">
        <w:rPr>
          <w:vertAlign w:val="superscript"/>
        </w:rPr>
        <w:t xml:space="preserve">® </w:t>
      </w:r>
      <w:r w:rsidRPr="009432FD">
        <w:t xml:space="preserve">into the bladder wall </w:t>
      </w:r>
      <w:r>
        <w:t>w</w:t>
      </w:r>
      <w:r w:rsidRPr="009432FD">
        <w:t>as not formally approved for funding via the MBS</w:t>
      </w:r>
      <w:r>
        <w:t xml:space="preserve"> prior to MSAC’s consideration in April 2013</w:t>
      </w:r>
      <w:r w:rsidRPr="009432FD">
        <w:t xml:space="preserve">. Expert clinical opinion confirmed that the service was being performed under MBS item 36851 (cystoscopy with injection into the bladder wall) and </w:t>
      </w:r>
      <w:r>
        <w:t xml:space="preserve">that </w:t>
      </w:r>
      <w:r w:rsidRPr="009432FD">
        <w:t xml:space="preserve">patients </w:t>
      </w:r>
      <w:r>
        <w:t xml:space="preserve">were </w:t>
      </w:r>
      <w:r w:rsidRPr="009432FD">
        <w:t>pay</w:t>
      </w:r>
      <w:r>
        <w:t>ing</w:t>
      </w:r>
      <w:r w:rsidRPr="009432FD">
        <w:t xml:space="preserve"> for the drug in the absence of PBS subsidy. Item 36851 was not originally listed for such use; it was mainly intended for bulking agent injections into the bladder.</w:t>
      </w:r>
    </w:p>
    <w:p w14:paraId="5E7E9FCF" w14:textId="753E7852" w:rsidR="00AC6433" w:rsidRPr="00EF2364" w:rsidRDefault="00041E4A" w:rsidP="00FC1420">
      <w:pPr>
        <w:spacing w:before="240"/>
      </w:pPr>
      <w:r w:rsidRPr="004562BC">
        <w:t>A re-application for PBS listing of B</w:t>
      </w:r>
      <w:r w:rsidR="00CB2942">
        <w:t>otox</w:t>
      </w:r>
      <w:r w:rsidRPr="004562BC">
        <w:t xml:space="preserve">® </w:t>
      </w:r>
      <w:r>
        <w:t>for</w:t>
      </w:r>
      <w:r w:rsidRPr="004562BC">
        <w:t xml:space="preserve"> this indication was considered at the March 2013 PBAC meeting. MSAC was advised that, as a subsequent out-of-session decision, PBAC recommended the listing of </w:t>
      </w:r>
      <w:proofErr w:type="spellStart"/>
      <w:r w:rsidRPr="004562BC">
        <w:t>botulinum</w:t>
      </w:r>
      <w:proofErr w:type="spellEnd"/>
      <w:r w:rsidRPr="004562BC">
        <w:t xml:space="preserve"> toxin type A (B</w:t>
      </w:r>
      <w:r w:rsidR="00CB2942">
        <w:t>otox</w:t>
      </w:r>
      <w:r w:rsidRPr="004562BC">
        <w:t>®) for this indication.</w:t>
      </w:r>
      <w:r w:rsidR="00EF2364">
        <w:t xml:space="preserve"> The MSAC supported the listing of a new item onto the MBS for this service at its April 2013 meeting where it also recommended that the existing item 36851 should be amended to exclude its use for the injection of any </w:t>
      </w:r>
      <w:proofErr w:type="spellStart"/>
      <w:r w:rsidR="00EF2364">
        <w:t>botulinum</w:t>
      </w:r>
      <w:proofErr w:type="spellEnd"/>
      <w:r w:rsidR="00EF2364">
        <w:t xml:space="preserve"> toxin product.</w:t>
      </w:r>
    </w:p>
    <w:p w14:paraId="766FAB28" w14:textId="5375FE3D" w:rsidR="00DE60F6" w:rsidRDefault="00E60FC1" w:rsidP="00FC1420">
      <w:pPr>
        <w:pStyle w:val="Heading1"/>
        <w:numPr>
          <w:ilvl w:val="0"/>
          <w:numId w:val="23"/>
        </w:numPr>
        <w:tabs>
          <w:tab w:val="left" w:pos="720"/>
          <w:tab w:val="left" w:pos="1140"/>
        </w:tabs>
        <w:spacing w:before="360"/>
        <w:ind w:hanging="720"/>
      </w:pPr>
      <w:r>
        <w:lastRenderedPageBreak/>
        <w:t>Item descriptor</w:t>
      </w:r>
    </w:p>
    <w:tbl>
      <w:tblPr>
        <w:tblStyle w:val="TableGrid"/>
        <w:tblW w:w="9180" w:type="dxa"/>
        <w:tblLayout w:type="fixed"/>
        <w:tblLook w:val="04A0" w:firstRow="1" w:lastRow="0" w:firstColumn="1" w:lastColumn="0" w:noHBand="0" w:noVBand="1"/>
        <w:tblDescription w:val="This table contains the item descriptor for MBS items 18375 and 36851. The table is split into two columns: 1) item number, 2) item descriptor text and fee information. There are two rows: 1) item descriptor for 18375, 2) item descriptor for 36851."/>
      </w:tblPr>
      <w:tblGrid>
        <w:gridCol w:w="817"/>
        <w:gridCol w:w="8363"/>
      </w:tblGrid>
      <w:tr w:rsidR="00041E4A" w:rsidRPr="007851E1" w14:paraId="6D4E5358" w14:textId="77777777" w:rsidTr="003E360A">
        <w:trPr>
          <w:tblHeader/>
        </w:trPr>
        <w:tc>
          <w:tcPr>
            <w:tcW w:w="817" w:type="dxa"/>
            <w:vAlign w:val="bottom"/>
          </w:tcPr>
          <w:p w14:paraId="747FE7F2" w14:textId="1BD763F3" w:rsidR="00041E4A" w:rsidRPr="00041E4A" w:rsidRDefault="00041E4A" w:rsidP="00041E4A">
            <w:pPr>
              <w:jc w:val="center"/>
              <w:rPr>
                <w:rStyle w:val="Strong"/>
              </w:rPr>
            </w:pPr>
            <w:r w:rsidRPr="00041E4A">
              <w:rPr>
                <w:bCs/>
                <w:color w:val="000000"/>
              </w:rPr>
              <w:t>18375</w:t>
            </w:r>
          </w:p>
        </w:tc>
        <w:tc>
          <w:tcPr>
            <w:tcW w:w="8363" w:type="dxa"/>
          </w:tcPr>
          <w:p w14:paraId="69F22C44" w14:textId="2FECDAC8" w:rsidR="00041E4A" w:rsidRPr="007851E1" w:rsidRDefault="00041E4A" w:rsidP="006F0CF3">
            <w:pPr>
              <w:autoSpaceDE w:val="0"/>
              <w:autoSpaceDN w:val="0"/>
              <w:adjustRightInd w:val="0"/>
              <w:jc w:val="both"/>
            </w:pPr>
            <w:proofErr w:type="spellStart"/>
            <w:r w:rsidRPr="007851E1">
              <w:t>Botulinum</w:t>
            </w:r>
            <w:proofErr w:type="spellEnd"/>
            <w:r w:rsidRPr="007851E1">
              <w:t xml:space="preserve"> Toxin Type A Purified Neurotoxin Complex (</w:t>
            </w:r>
            <w:r w:rsidR="00CB2942">
              <w:t>Botox®</w:t>
            </w:r>
            <w:r w:rsidRPr="007851E1">
              <w:t xml:space="preserve">), </w:t>
            </w:r>
            <w:proofErr w:type="spellStart"/>
            <w:r w:rsidRPr="007851E1">
              <w:t>intravesical</w:t>
            </w:r>
            <w:proofErr w:type="spellEnd"/>
            <w:r w:rsidRPr="007851E1">
              <w:t xml:space="preserve"> injection of, with cystoscopy, for the treatment of urinary incontinence, including all such injections on any one day, if: </w:t>
            </w:r>
          </w:p>
          <w:p w14:paraId="0A992890" w14:textId="77777777" w:rsidR="00041E4A" w:rsidRPr="007851E1" w:rsidRDefault="00041E4A" w:rsidP="006F0CF3">
            <w:pPr>
              <w:autoSpaceDE w:val="0"/>
              <w:autoSpaceDN w:val="0"/>
              <w:adjustRightInd w:val="0"/>
              <w:jc w:val="both"/>
            </w:pPr>
            <w:r w:rsidRPr="007851E1">
              <w:t xml:space="preserve">(a) the urinary incontinence is due to neurogenic detrusor overactivity as demonstrated by urodynamic study of a patient with: </w:t>
            </w:r>
          </w:p>
          <w:p w14:paraId="30B5D975" w14:textId="77777777" w:rsidR="00041E4A" w:rsidRPr="007851E1" w:rsidRDefault="00041E4A" w:rsidP="006F0CF3">
            <w:pPr>
              <w:autoSpaceDE w:val="0"/>
              <w:autoSpaceDN w:val="0"/>
              <w:adjustRightInd w:val="0"/>
              <w:ind w:left="1524" w:hanging="508"/>
              <w:jc w:val="both"/>
            </w:pPr>
            <w:r w:rsidRPr="007851E1">
              <w:t>(</w:t>
            </w:r>
            <w:proofErr w:type="spellStart"/>
            <w:r w:rsidRPr="007851E1">
              <w:t>i</w:t>
            </w:r>
            <w:proofErr w:type="spellEnd"/>
            <w:r w:rsidRPr="007851E1">
              <w:t xml:space="preserve">) multiple sclerosis; or </w:t>
            </w:r>
          </w:p>
          <w:p w14:paraId="4B64195F" w14:textId="77777777" w:rsidR="00041E4A" w:rsidRPr="007851E1" w:rsidRDefault="00041E4A" w:rsidP="006F0CF3">
            <w:pPr>
              <w:autoSpaceDE w:val="0"/>
              <w:autoSpaceDN w:val="0"/>
              <w:adjustRightInd w:val="0"/>
              <w:ind w:left="1524" w:hanging="508"/>
              <w:jc w:val="both"/>
            </w:pPr>
            <w:r w:rsidRPr="007851E1">
              <w:t xml:space="preserve">(ii) spinal cord injury; or </w:t>
            </w:r>
          </w:p>
          <w:p w14:paraId="5A2E305F" w14:textId="77777777" w:rsidR="00041E4A" w:rsidRPr="007851E1" w:rsidRDefault="00041E4A" w:rsidP="006F0CF3">
            <w:pPr>
              <w:autoSpaceDE w:val="0"/>
              <w:autoSpaceDN w:val="0"/>
              <w:adjustRightInd w:val="0"/>
              <w:ind w:left="1524" w:hanging="508"/>
              <w:jc w:val="both"/>
            </w:pPr>
            <w:r w:rsidRPr="007851E1">
              <w:t xml:space="preserve">(iii) </w:t>
            </w:r>
            <w:proofErr w:type="spellStart"/>
            <w:r w:rsidRPr="007851E1">
              <w:t>spina</w:t>
            </w:r>
            <w:proofErr w:type="spellEnd"/>
            <w:r w:rsidRPr="007851E1">
              <w:t xml:space="preserve"> bifida and who is at least 18 years of age; and </w:t>
            </w:r>
          </w:p>
          <w:p w14:paraId="390284B4" w14:textId="77777777" w:rsidR="00041E4A" w:rsidRDefault="00041E4A" w:rsidP="006F0CF3">
            <w:pPr>
              <w:autoSpaceDE w:val="0"/>
              <w:autoSpaceDN w:val="0"/>
              <w:adjustRightInd w:val="0"/>
              <w:jc w:val="both"/>
            </w:pPr>
            <w:r w:rsidRPr="007851E1">
              <w:t xml:space="preserve">(b) the patient has urinary incontinence that is inadequately controlled by anti-cholinergic therapy, as manifested by having experienced at least 14 episodes of urinary incontinence per week before commencement of treatment with </w:t>
            </w:r>
            <w:proofErr w:type="spellStart"/>
            <w:r w:rsidRPr="007851E1">
              <w:t>botulinum</w:t>
            </w:r>
            <w:proofErr w:type="spellEnd"/>
            <w:r w:rsidRPr="007851E1">
              <w:t xml:space="preserve"> toxin type A; and </w:t>
            </w:r>
          </w:p>
          <w:p w14:paraId="30A9BF37" w14:textId="77777777" w:rsidR="00041E4A" w:rsidRPr="007851E1" w:rsidRDefault="00041E4A" w:rsidP="006F0CF3">
            <w:pPr>
              <w:autoSpaceDE w:val="0"/>
              <w:autoSpaceDN w:val="0"/>
              <w:adjustRightInd w:val="0"/>
              <w:jc w:val="both"/>
            </w:pPr>
            <w:r w:rsidRPr="007851E1">
              <w:t xml:space="preserve">(c) the patient is willing and able to self-catheterise; and </w:t>
            </w:r>
          </w:p>
          <w:p w14:paraId="7B1961F1" w14:textId="77777777" w:rsidR="00041E4A" w:rsidRPr="007851E1" w:rsidRDefault="00041E4A" w:rsidP="006F0CF3">
            <w:pPr>
              <w:autoSpaceDE w:val="0"/>
              <w:autoSpaceDN w:val="0"/>
              <w:adjustRightInd w:val="0"/>
              <w:jc w:val="both"/>
            </w:pPr>
            <w:r w:rsidRPr="007851E1">
              <w:t xml:space="preserve">(d) the requirements relating to </w:t>
            </w:r>
            <w:proofErr w:type="spellStart"/>
            <w:r w:rsidRPr="007851E1">
              <w:t>botulinum</w:t>
            </w:r>
            <w:proofErr w:type="spellEnd"/>
            <w:r w:rsidRPr="007851E1">
              <w:t xml:space="preserve"> toxin type A under the Pharmaceutical Benefits Scheme are complied with; and </w:t>
            </w:r>
          </w:p>
          <w:p w14:paraId="17CF46E6" w14:textId="77777777" w:rsidR="00041E4A" w:rsidRPr="007851E1" w:rsidRDefault="00041E4A" w:rsidP="006F0CF3">
            <w:pPr>
              <w:autoSpaceDE w:val="0"/>
              <w:autoSpaceDN w:val="0"/>
              <w:adjustRightInd w:val="0"/>
              <w:jc w:val="both"/>
            </w:pPr>
            <w:r w:rsidRPr="007851E1">
              <w:t>(e) treatment is not provided on the same occasion as a service described in item 104, 105, 110, 116, 119, 11900 or 11919</w:t>
            </w:r>
          </w:p>
          <w:p w14:paraId="05DFB20F" w14:textId="77777777" w:rsidR="00041E4A" w:rsidRPr="007851E1" w:rsidRDefault="00041E4A" w:rsidP="006F0CF3">
            <w:pPr>
              <w:autoSpaceDE w:val="0"/>
              <w:autoSpaceDN w:val="0"/>
              <w:adjustRightInd w:val="0"/>
              <w:ind w:left="1016" w:hanging="508"/>
              <w:jc w:val="both"/>
            </w:pPr>
          </w:p>
          <w:p w14:paraId="71BEAE61" w14:textId="77777777" w:rsidR="00041E4A" w:rsidRPr="007851E1" w:rsidRDefault="00041E4A" w:rsidP="006F0CF3">
            <w:pPr>
              <w:autoSpaceDE w:val="0"/>
              <w:autoSpaceDN w:val="0"/>
              <w:adjustRightInd w:val="0"/>
              <w:jc w:val="both"/>
            </w:pPr>
            <w:r w:rsidRPr="007851E1">
              <w:t xml:space="preserve">For each patient - applicable not more than once except if the patient achieves at least a 50% reduction in urinary incontinence episodes from baseline at any time during the period of 6 to 12 weeks after first </w:t>
            </w:r>
            <w:proofErr w:type="gramStart"/>
            <w:r w:rsidRPr="007851E1">
              <w:t>treatment  (</w:t>
            </w:r>
            <w:proofErr w:type="spellStart"/>
            <w:proofErr w:type="gramEnd"/>
            <w:r w:rsidRPr="007851E1">
              <w:t>Anaes</w:t>
            </w:r>
            <w:proofErr w:type="spellEnd"/>
            <w:r w:rsidRPr="007851E1">
              <w:t>.)</w:t>
            </w:r>
          </w:p>
          <w:p w14:paraId="3B34C3A3" w14:textId="77777777" w:rsidR="00041E4A" w:rsidRPr="007851E1" w:rsidRDefault="00041E4A" w:rsidP="006F0CF3">
            <w:r w:rsidRPr="007851E1">
              <w:rPr>
                <w:i/>
              </w:rPr>
              <w:t xml:space="preserve">(See </w:t>
            </w:r>
            <w:proofErr w:type="spellStart"/>
            <w:r w:rsidRPr="007851E1">
              <w:rPr>
                <w:i/>
              </w:rPr>
              <w:t>para</w:t>
            </w:r>
            <w:proofErr w:type="spellEnd"/>
            <w:r w:rsidRPr="007851E1">
              <w:rPr>
                <w:i/>
              </w:rPr>
              <w:t xml:space="preserve"> T11.1 of explanatory notes to this Category)</w:t>
            </w:r>
          </w:p>
          <w:p w14:paraId="72421C8D" w14:textId="77777777" w:rsidR="00041E4A" w:rsidRPr="007851E1" w:rsidRDefault="00041E4A" w:rsidP="006F0CF3">
            <w:pPr>
              <w:rPr>
                <w:rStyle w:val="IntenseReference"/>
                <w:b w:val="0"/>
                <w:bCs w:val="0"/>
                <w:i w:val="0"/>
                <w:smallCaps w:val="0"/>
              </w:rPr>
            </w:pPr>
            <w:r w:rsidRPr="007851E1">
              <w:rPr>
                <w:b/>
              </w:rPr>
              <w:t xml:space="preserve">Fee: </w:t>
            </w:r>
            <w:r w:rsidRPr="007851E1">
              <w:t>$229.85</w:t>
            </w:r>
            <w:r w:rsidRPr="007851E1">
              <w:tab/>
            </w:r>
            <w:r w:rsidRPr="007851E1">
              <w:rPr>
                <w:b/>
              </w:rPr>
              <w:t xml:space="preserve">Benefit: </w:t>
            </w:r>
            <w:r w:rsidRPr="007851E1">
              <w:t>75% = $172.40</w:t>
            </w:r>
          </w:p>
        </w:tc>
        <w:bookmarkStart w:id="1" w:name="_GoBack"/>
        <w:bookmarkEnd w:id="1"/>
      </w:tr>
      <w:tr w:rsidR="00041E4A" w14:paraId="1006B1BD" w14:textId="77777777" w:rsidTr="00041E4A">
        <w:tc>
          <w:tcPr>
            <w:tcW w:w="817" w:type="dxa"/>
            <w:vAlign w:val="bottom"/>
          </w:tcPr>
          <w:p w14:paraId="74741F98" w14:textId="277D185A" w:rsidR="00041E4A" w:rsidRPr="00041E4A" w:rsidRDefault="00041E4A" w:rsidP="00041E4A">
            <w:pPr>
              <w:jc w:val="center"/>
              <w:rPr>
                <w:rStyle w:val="Strong"/>
              </w:rPr>
            </w:pPr>
            <w:r w:rsidRPr="00041E4A">
              <w:rPr>
                <w:bCs/>
                <w:color w:val="000000"/>
              </w:rPr>
              <w:t>36851</w:t>
            </w:r>
          </w:p>
        </w:tc>
        <w:tc>
          <w:tcPr>
            <w:tcW w:w="8363" w:type="dxa"/>
          </w:tcPr>
          <w:p w14:paraId="25ED0E9E" w14:textId="77777777" w:rsidR="00041E4A" w:rsidRPr="007851E1" w:rsidRDefault="00041E4A" w:rsidP="006F0CF3">
            <w:pPr>
              <w:jc w:val="both"/>
              <w:rPr>
                <w:color w:val="000000"/>
              </w:rPr>
            </w:pPr>
            <w:r w:rsidRPr="007851E1">
              <w:rPr>
                <w:color w:val="000000"/>
              </w:rPr>
              <w:t>Cystoscopy, with injection into bladder wall, other than a service associated with a service to which item 18375</w:t>
            </w:r>
          </w:p>
          <w:p w14:paraId="12569BBE" w14:textId="77777777" w:rsidR="00041E4A" w:rsidRPr="007851E1" w:rsidRDefault="00041E4A" w:rsidP="006F0CF3">
            <w:pPr>
              <w:jc w:val="both"/>
              <w:rPr>
                <w:color w:val="000000"/>
              </w:rPr>
            </w:pPr>
            <w:r w:rsidRPr="007851E1">
              <w:rPr>
                <w:color w:val="000000"/>
              </w:rPr>
              <w:t xml:space="preserve"> </w:t>
            </w:r>
            <w:proofErr w:type="gramStart"/>
            <w:r w:rsidRPr="007851E1">
              <w:rPr>
                <w:color w:val="000000"/>
              </w:rPr>
              <w:t>or</w:t>
            </w:r>
            <w:proofErr w:type="gramEnd"/>
            <w:r w:rsidRPr="007851E1">
              <w:rPr>
                <w:color w:val="000000"/>
              </w:rPr>
              <w:t xml:space="preserve"> 18379 applies (H) (</w:t>
            </w:r>
            <w:proofErr w:type="spellStart"/>
            <w:r w:rsidRPr="007851E1">
              <w:rPr>
                <w:color w:val="000000"/>
              </w:rPr>
              <w:t>Anaes</w:t>
            </w:r>
            <w:proofErr w:type="spellEnd"/>
            <w:r w:rsidRPr="007851E1">
              <w:rPr>
                <w:color w:val="000000"/>
              </w:rPr>
              <w:t>.)</w:t>
            </w:r>
          </w:p>
          <w:p w14:paraId="1FA1816C" w14:textId="77777777" w:rsidR="00041E4A" w:rsidRPr="007851E1" w:rsidRDefault="00041E4A" w:rsidP="006F0CF3">
            <w:r w:rsidRPr="007851E1">
              <w:rPr>
                <w:i/>
              </w:rPr>
              <w:t xml:space="preserve">(See </w:t>
            </w:r>
            <w:proofErr w:type="spellStart"/>
            <w:r w:rsidRPr="007851E1">
              <w:rPr>
                <w:i/>
              </w:rPr>
              <w:t>para</w:t>
            </w:r>
            <w:proofErr w:type="spellEnd"/>
            <w:r w:rsidRPr="007851E1">
              <w:rPr>
                <w:i/>
              </w:rPr>
              <w:t xml:space="preserve"> T8.2 of explanatory notes to this Category)</w:t>
            </w:r>
          </w:p>
          <w:p w14:paraId="11EEC4F5" w14:textId="77777777" w:rsidR="00041E4A" w:rsidRDefault="00041E4A" w:rsidP="006F0CF3">
            <w:pPr>
              <w:autoSpaceDE w:val="0"/>
              <w:autoSpaceDN w:val="0"/>
              <w:adjustRightInd w:val="0"/>
              <w:jc w:val="both"/>
              <w:rPr>
                <w:sz w:val="20"/>
              </w:rPr>
            </w:pPr>
            <w:r w:rsidRPr="007851E1">
              <w:rPr>
                <w:b/>
              </w:rPr>
              <w:t xml:space="preserve">Fee: </w:t>
            </w:r>
            <w:r w:rsidRPr="007851E1">
              <w:t>$229.85</w:t>
            </w:r>
            <w:r w:rsidRPr="007851E1">
              <w:tab/>
            </w:r>
            <w:r w:rsidRPr="007851E1">
              <w:rPr>
                <w:b/>
              </w:rPr>
              <w:t xml:space="preserve">Benefit: </w:t>
            </w:r>
            <w:r w:rsidRPr="007851E1">
              <w:t>75% = $172.40</w:t>
            </w:r>
          </w:p>
        </w:tc>
      </w:tr>
    </w:tbl>
    <w:p w14:paraId="4828918B" w14:textId="0F354ADB" w:rsidR="00C851AE" w:rsidRDefault="00C851AE" w:rsidP="00FC1420">
      <w:pPr>
        <w:pStyle w:val="Heading1"/>
        <w:numPr>
          <w:ilvl w:val="0"/>
          <w:numId w:val="23"/>
        </w:numPr>
        <w:tabs>
          <w:tab w:val="left" w:pos="720"/>
          <w:tab w:val="left" w:pos="1140"/>
        </w:tabs>
        <w:spacing w:before="360"/>
        <w:ind w:hanging="720"/>
      </w:pPr>
      <w:r>
        <w:t>Applicant’s comments on MSAC’s public summary document</w:t>
      </w:r>
    </w:p>
    <w:p w14:paraId="134DAFD3" w14:textId="15EBC1C4" w:rsidR="00FC1420" w:rsidRPr="00FC1420" w:rsidRDefault="00CE71EE" w:rsidP="00CE71EE">
      <w:pPr>
        <w:ind w:left="720"/>
      </w:pPr>
      <w:r>
        <w:t>Nil response</w:t>
      </w:r>
    </w:p>
    <w:p w14:paraId="06F15D02" w14:textId="77777777" w:rsidR="00BC1364" w:rsidRDefault="00271F18" w:rsidP="00FC1420">
      <w:pPr>
        <w:pStyle w:val="Heading1"/>
        <w:numPr>
          <w:ilvl w:val="0"/>
          <w:numId w:val="23"/>
        </w:numPr>
        <w:tabs>
          <w:tab w:val="left" w:pos="720"/>
          <w:tab w:val="left" w:pos="1140"/>
        </w:tabs>
        <w:spacing w:before="360"/>
        <w:ind w:hanging="720"/>
      </w:pPr>
      <w:r>
        <w:t>Further information on MSAC</w:t>
      </w:r>
    </w:p>
    <w:p w14:paraId="64D3433E" w14:textId="27432090"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w:t>
      </w:r>
      <w:r w:rsidR="00E86450">
        <w:rPr>
          <w:szCs w:val="24"/>
        </w:rPr>
        <w:t xml:space="preserve">vailable on the </w:t>
      </w:r>
      <w:hyperlink r:id="rId16" w:tooltip="This is a link to the MSAC website" w:history="1">
        <w:r w:rsidR="00E86450">
          <w:rPr>
            <w:rStyle w:val="Hyperlink"/>
            <w:color w:val="auto"/>
            <w:szCs w:val="24"/>
          </w:rPr>
          <w:t>MSAC Website</w:t>
        </w:r>
      </w:hyperlink>
      <w:r w:rsidR="00BC1364" w:rsidRPr="00DD2858">
        <w:rPr>
          <w:szCs w:val="24"/>
        </w:rPr>
        <w:t>.</w:t>
      </w:r>
    </w:p>
    <w:sectPr w:rsidR="00BC1364" w:rsidRPr="00DD2858" w:rsidSect="00271F18">
      <w:footerReference w:type="defaul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5491" w15:done="0"/>
  <w15:commentEx w15:paraId="3F5903D6" w15:done="0"/>
  <w15:commentEx w15:paraId="54F4F5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CF8C7" w14:textId="77777777" w:rsidR="007F7BFF" w:rsidRDefault="007F7BFF" w:rsidP="00065623">
      <w:r>
        <w:separator/>
      </w:r>
    </w:p>
  </w:endnote>
  <w:endnote w:type="continuationSeparator" w:id="0">
    <w:p w14:paraId="1B4C6799" w14:textId="77777777" w:rsidR="007F7BFF" w:rsidRDefault="007F7BF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8C3EDD" w14:textId="77777777" w:rsidR="00D74C68" w:rsidRDefault="00D74C68" w:rsidP="008F72AA">
        <w:pPr>
          <w:pStyle w:val="Footer"/>
          <w:spacing w:after="240"/>
          <w:jc w:val="right"/>
        </w:pPr>
        <w:r>
          <w:fldChar w:fldCharType="begin"/>
        </w:r>
        <w:r>
          <w:instrText xml:space="preserve"> PAGE   \* MERGEFORMAT </w:instrText>
        </w:r>
        <w:r>
          <w:fldChar w:fldCharType="separate"/>
        </w:r>
        <w:r w:rsidR="00CE71EE">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D19EE" w14:textId="77777777" w:rsidR="007F7BFF" w:rsidRDefault="007F7BFF" w:rsidP="00065623">
      <w:r>
        <w:separator/>
      </w:r>
    </w:p>
  </w:footnote>
  <w:footnote w:type="continuationSeparator" w:id="0">
    <w:p w14:paraId="11D9B699" w14:textId="77777777" w:rsidR="007F7BFF" w:rsidRDefault="007F7BFF" w:rsidP="00065623">
      <w:r>
        <w:continuationSeparator/>
      </w:r>
    </w:p>
  </w:footnote>
  <w:footnote w:id="1">
    <w:p w14:paraId="0913F22C" w14:textId="3C33183A" w:rsidR="00D74C68" w:rsidRDefault="00D74C68" w:rsidP="00E70533">
      <w:pPr>
        <w:pStyle w:val="FootnoteText"/>
      </w:pPr>
      <w:r>
        <w:rPr>
          <w:rStyle w:val="FootnoteReference"/>
        </w:rPr>
        <w:footnoteRef/>
      </w:r>
      <w:r>
        <w:t xml:space="preserve"> The 95</w:t>
      </w:r>
      <w:r w:rsidRPr="007D0C48">
        <w:rPr>
          <w:vertAlign w:val="superscript"/>
        </w:rPr>
        <w:t>th</w:t>
      </w:r>
      <w:r>
        <w:t xml:space="preserve"> percentile fee charged represents that 95% of the time the fee is below this amount but in 5% of cases, the fee is higher than this.</w:t>
      </w:r>
    </w:p>
    <w:p w14:paraId="5D3E2799" w14:textId="77777777" w:rsidR="00D74C68" w:rsidRDefault="00D74C68" w:rsidP="00E7053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F83C5D"/>
    <w:multiLevelType w:val="multilevel"/>
    <w:tmpl w:val="8E82874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787896"/>
    <w:multiLevelType w:val="multilevel"/>
    <w:tmpl w:val="567ADE74"/>
    <w:numStyleLink w:val="TableListBullets"/>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
  </w:num>
  <w:num w:numId="4">
    <w:abstractNumId w:val="27"/>
  </w:num>
  <w:num w:numId="5">
    <w:abstractNumId w:val="14"/>
  </w:num>
  <w:num w:numId="6">
    <w:abstractNumId w:val="25"/>
  </w:num>
  <w:num w:numId="7">
    <w:abstractNumId w:val="30"/>
  </w:num>
  <w:num w:numId="8">
    <w:abstractNumId w:val="20"/>
  </w:num>
  <w:num w:numId="9">
    <w:abstractNumId w:val="41"/>
  </w:num>
  <w:num w:numId="10">
    <w:abstractNumId w:val="1"/>
  </w:num>
  <w:num w:numId="11">
    <w:abstractNumId w:val="29"/>
  </w:num>
  <w:num w:numId="12">
    <w:abstractNumId w:val="31"/>
  </w:num>
  <w:num w:numId="13">
    <w:abstractNumId w:val="6"/>
  </w:num>
  <w:num w:numId="14">
    <w:abstractNumId w:val="36"/>
  </w:num>
  <w:num w:numId="15">
    <w:abstractNumId w:val="28"/>
  </w:num>
  <w:num w:numId="16">
    <w:abstractNumId w:val="32"/>
  </w:num>
  <w:num w:numId="17">
    <w:abstractNumId w:val="21"/>
  </w:num>
  <w:num w:numId="18">
    <w:abstractNumId w:val="22"/>
  </w:num>
  <w:num w:numId="19">
    <w:abstractNumId w:val="34"/>
  </w:num>
  <w:num w:numId="20">
    <w:abstractNumId w:val="33"/>
  </w:num>
  <w:num w:numId="21">
    <w:abstractNumId w:val="4"/>
  </w:num>
  <w:num w:numId="22">
    <w:abstractNumId w:val="12"/>
  </w:num>
  <w:num w:numId="23">
    <w:abstractNumId w:val="3"/>
  </w:num>
  <w:num w:numId="24">
    <w:abstractNumId w:val="11"/>
  </w:num>
  <w:num w:numId="25">
    <w:abstractNumId w:val="8"/>
  </w:num>
  <w:num w:numId="26">
    <w:abstractNumId w:val="0"/>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6"/>
  </w:num>
  <w:num w:numId="31">
    <w:abstractNumId w:val="24"/>
  </w:num>
  <w:num w:numId="32">
    <w:abstractNumId w:val="26"/>
  </w:num>
  <w:num w:numId="33">
    <w:abstractNumId w:val="38"/>
  </w:num>
  <w:num w:numId="34">
    <w:abstractNumId w:val="5"/>
  </w:num>
  <w:num w:numId="35">
    <w:abstractNumId w:val="17"/>
  </w:num>
  <w:num w:numId="36">
    <w:abstractNumId w:val="18"/>
  </w:num>
  <w:num w:numId="37">
    <w:abstractNumId w:val="35"/>
  </w:num>
  <w:num w:numId="38">
    <w:abstractNumId w:val="39"/>
  </w:num>
  <w:num w:numId="39">
    <w:abstractNumId w:val="15"/>
  </w:num>
  <w:num w:numId="40">
    <w:abstractNumId w:val="9"/>
  </w:num>
  <w:num w:numId="41">
    <w:abstractNumId w:val="19"/>
  </w:num>
  <w:num w:numId="42">
    <w:abstractNumId w:val="7"/>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739B"/>
    <w:rsid w:val="00041E4A"/>
    <w:rsid w:val="00042F11"/>
    <w:rsid w:val="00047606"/>
    <w:rsid w:val="00065623"/>
    <w:rsid w:val="000756B9"/>
    <w:rsid w:val="00096B67"/>
    <w:rsid w:val="00096DAF"/>
    <w:rsid w:val="000A11F9"/>
    <w:rsid w:val="000A51E4"/>
    <w:rsid w:val="000A5B70"/>
    <w:rsid w:val="000A6F24"/>
    <w:rsid w:val="000B6956"/>
    <w:rsid w:val="000C2F47"/>
    <w:rsid w:val="000C4BBA"/>
    <w:rsid w:val="000C6B40"/>
    <w:rsid w:val="000D6C00"/>
    <w:rsid w:val="000E3B33"/>
    <w:rsid w:val="000E4E04"/>
    <w:rsid w:val="000F14B4"/>
    <w:rsid w:val="000F391E"/>
    <w:rsid w:val="000F600C"/>
    <w:rsid w:val="000F75DF"/>
    <w:rsid w:val="00115C4F"/>
    <w:rsid w:val="001328FA"/>
    <w:rsid w:val="00147AAF"/>
    <w:rsid w:val="001552C0"/>
    <w:rsid w:val="001640B1"/>
    <w:rsid w:val="0016792F"/>
    <w:rsid w:val="00182148"/>
    <w:rsid w:val="0018435E"/>
    <w:rsid w:val="001C1BE6"/>
    <w:rsid w:val="001D726F"/>
    <w:rsid w:val="002041A1"/>
    <w:rsid w:val="002054F0"/>
    <w:rsid w:val="00230604"/>
    <w:rsid w:val="00230D6B"/>
    <w:rsid w:val="00232068"/>
    <w:rsid w:val="002330F2"/>
    <w:rsid w:val="0023433F"/>
    <w:rsid w:val="00243D9E"/>
    <w:rsid w:val="00253B66"/>
    <w:rsid w:val="00261DF1"/>
    <w:rsid w:val="00271F18"/>
    <w:rsid w:val="00282779"/>
    <w:rsid w:val="0028334D"/>
    <w:rsid w:val="002B7FFA"/>
    <w:rsid w:val="002C2135"/>
    <w:rsid w:val="002C2BCF"/>
    <w:rsid w:val="002D568B"/>
    <w:rsid w:val="002E4AF9"/>
    <w:rsid w:val="002F279D"/>
    <w:rsid w:val="002F43B8"/>
    <w:rsid w:val="00320D06"/>
    <w:rsid w:val="00336856"/>
    <w:rsid w:val="0034554D"/>
    <w:rsid w:val="00352224"/>
    <w:rsid w:val="003671E6"/>
    <w:rsid w:val="00376575"/>
    <w:rsid w:val="00384272"/>
    <w:rsid w:val="00386D67"/>
    <w:rsid w:val="003945B8"/>
    <w:rsid w:val="003C2E12"/>
    <w:rsid w:val="003D7F29"/>
    <w:rsid w:val="003E360A"/>
    <w:rsid w:val="003F36DA"/>
    <w:rsid w:val="003F5DD6"/>
    <w:rsid w:val="00402FA7"/>
    <w:rsid w:val="00405A6B"/>
    <w:rsid w:val="00407B1F"/>
    <w:rsid w:val="00414C57"/>
    <w:rsid w:val="0041758C"/>
    <w:rsid w:val="00420DE9"/>
    <w:rsid w:val="004372A7"/>
    <w:rsid w:val="00442254"/>
    <w:rsid w:val="004539DE"/>
    <w:rsid w:val="0045582A"/>
    <w:rsid w:val="00455E04"/>
    <w:rsid w:val="00471DF6"/>
    <w:rsid w:val="004A2CF1"/>
    <w:rsid w:val="004B2B03"/>
    <w:rsid w:val="004C3035"/>
    <w:rsid w:val="004C307F"/>
    <w:rsid w:val="004E015F"/>
    <w:rsid w:val="004E4BA8"/>
    <w:rsid w:val="004F340F"/>
    <w:rsid w:val="004F7B7C"/>
    <w:rsid w:val="0052243D"/>
    <w:rsid w:val="00531C81"/>
    <w:rsid w:val="00532435"/>
    <w:rsid w:val="0053288F"/>
    <w:rsid w:val="00550354"/>
    <w:rsid w:val="00564662"/>
    <w:rsid w:val="00571236"/>
    <w:rsid w:val="005840D3"/>
    <w:rsid w:val="0058426A"/>
    <w:rsid w:val="005953A1"/>
    <w:rsid w:val="005A5929"/>
    <w:rsid w:val="005B52E3"/>
    <w:rsid w:val="005D0332"/>
    <w:rsid w:val="005D0D8C"/>
    <w:rsid w:val="005D244F"/>
    <w:rsid w:val="00613AC3"/>
    <w:rsid w:val="006263B1"/>
    <w:rsid w:val="00650089"/>
    <w:rsid w:val="00671CB6"/>
    <w:rsid w:val="006776AE"/>
    <w:rsid w:val="006A0D97"/>
    <w:rsid w:val="006B1F86"/>
    <w:rsid w:val="006C0A91"/>
    <w:rsid w:val="006F0CF3"/>
    <w:rsid w:val="007054BB"/>
    <w:rsid w:val="00707064"/>
    <w:rsid w:val="00722938"/>
    <w:rsid w:val="00730683"/>
    <w:rsid w:val="00732856"/>
    <w:rsid w:val="007462A3"/>
    <w:rsid w:val="0075261F"/>
    <w:rsid w:val="0075468E"/>
    <w:rsid w:val="007656A8"/>
    <w:rsid w:val="00765E44"/>
    <w:rsid w:val="007665D8"/>
    <w:rsid w:val="00766E36"/>
    <w:rsid w:val="007722BF"/>
    <w:rsid w:val="007765F4"/>
    <w:rsid w:val="00776633"/>
    <w:rsid w:val="00784D53"/>
    <w:rsid w:val="00796478"/>
    <w:rsid w:val="00797797"/>
    <w:rsid w:val="007A215B"/>
    <w:rsid w:val="007A63C9"/>
    <w:rsid w:val="007B32D1"/>
    <w:rsid w:val="007B7095"/>
    <w:rsid w:val="007D24E1"/>
    <w:rsid w:val="007F4CE9"/>
    <w:rsid w:val="007F4E20"/>
    <w:rsid w:val="007F66B0"/>
    <w:rsid w:val="007F7BFF"/>
    <w:rsid w:val="00804D1D"/>
    <w:rsid w:val="008156EC"/>
    <w:rsid w:val="00822C7E"/>
    <w:rsid w:val="00823C8D"/>
    <w:rsid w:val="00833EA2"/>
    <w:rsid w:val="00847060"/>
    <w:rsid w:val="00856A33"/>
    <w:rsid w:val="00860499"/>
    <w:rsid w:val="00875B33"/>
    <w:rsid w:val="008761CF"/>
    <w:rsid w:val="00892620"/>
    <w:rsid w:val="008C7D37"/>
    <w:rsid w:val="008D5885"/>
    <w:rsid w:val="008E4FE5"/>
    <w:rsid w:val="008F72AA"/>
    <w:rsid w:val="00916EBC"/>
    <w:rsid w:val="00923FA2"/>
    <w:rsid w:val="009461B5"/>
    <w:rsid w:val="0096060D"/>
    <w:rsid w:val="00974A50"/>
    <w:rsid w:val="0097585A"/>
    <w:rsid w:val="009924B0"/>
    <w:rsid w:val="009942C9"/>
    <w:rsid w:val="009B35C4"/>
    <w:rsid w:val="009C630A"/>
    <w:rsid w:val="009D5A48"/>
    <w:rsid w:val="009E0D98"/>
    <w:rsid w:val="009F4192"/>
    <w:rsid w:val="00A068A1"/>
    <w:rsid w:val="00A1207D"/>
    <w:rsid w:val="00A12FD8"/>
    <w:rsid w:val="00A15C96"/>
    <w:rsid w:val="00A346FC"/>
    <w:rsid w:val="00A44FBD"/>
    <w:rsid w:val="00A74D4C"/>
    <w:rsid w:val="00A800D6"/>
    <w:rsid w:val="00A84F93"/>
    <w:rsid w:val="00A91AFD"/>
    <w:rsid w:val="00AA5785"/>
    <w:rsid w:val="00AB1AC5"/>
    <w:rsid w:val="00AB3BFC"/>
    <w:rsid w:val="00AC4F2E"/>
    <w:rsid w:val="00AC58CB"/>
    <w:rsid w:val="00AC6433"/>
    <w:rsid w:val="00AC657D"/>
    <w:rsid w:val="00AD0C37"/>
    <w:rsid w:val="00AD385F"/>
    <w:rsid w:val="00AE6E2A"/>
    <w:rsid w:val="00B11472"/>
    <w:rsid w:val="00B16BD9"/>
    <w:rsid w:val="00B30E56"/>
    <w:rsid w:val="00B31E9C"/>
    <w:rsid w:val="00B35595"/>
    <w:rsid w:val="00B37344"/>
    <w:rsid w:val="00B51C6D"/>
    <w:rsid w:val="00B55B8A"/>
    <w:rsid w:val="00B86D64"/>
    <w:rsid w:val="00B87E74"/>
    <w:rsid w:val="00B9099B"/>
    <w:rsid w:val="00B915E6"/>
    <w:rsid w:val="00B91882"/>
    <w:rsid w:val="00BA4AC5"/>
    <w:rsid w:val="00BB19D5"/>
    <w:rsid w:val="00BC1364"/>
    <w:rsid w:val="00BC7DE9"/>
    <w:rsid w:val="00BF253B"/>
    <w:rsid w:val="00BF479B"/>
    <w:rsid w:val="00C00794"/>
    <w:rsid w:val="00C02577"/>
    <w:rsid w:val="00C14480"/>
    <w:rsid w:val="00C204FB"/>
    <w:rsid w:val="00C20BEE"/>
    <w:rsid w:val="00C2158D"/>
    <w:rsid w:val="00C238C8"/>
    <w:rsid w:val="00C321FC"/>
    <w:rsid w:val="00C65C25"/>
    <w:rsid w:val="00C67DD2"/>
    <w:rsid w:val="00C725CB"/>
    <w:rsid w:val="00C76F5C"/>
    <w:rsid w:val="00C851AE"/>
    <w:rsid w:val="00C90F65"/>
    <w:rsid w:val="00C96BAD"/>
    <w:rsid w:val="00CA6944"/>
    <w:rsid w:val="00CB0F8E"/>
    <w:rsid w:val="00CB2942"/>
    <w:rsid w:val="00CB7E7D"/>
    <w:rsid w:val="00CC2911"/>
    <w:rsid w:val="00CE71EE"/>
    <w:rsid w:val="00CF0C6D"/>
    <w:rsid w:val="00CF7307"/>
    <w:rsid w:val="00CF7C68"/>
    <w:rsid w:val="00D01A07"/>
    <w:rsid w:val="00D070B4"/>
    <w:rsid w:val="00D07239"/>
    <w:rsid w:val="00D124FA"/>
    <w:rsid w:val="00D14EAB"/>
    <w:rsid w:val="00D154DA"/>
    <w:rsid w:val="00D20B37"/>
    <w:rsid w:val="00D26292"/>
    <w:rsid w:val="00D340DE"/>
    <w:rsid w:val="00D55723"/>
    <w:rsid w:val="00D62FAD"/>
    <w:rsid w:val="00D70450"/>
    <w:rsid w:val="00D74C68"/>
    <w:rsid w:val="00D83BFD"/>
    <w:rsid w:val="00D90A38"/>
    <w:rsid w:val="00DA0515"/>
    <w:rsid w:val="00DA171E"/>
    <w:rsid w:val="00DA558E"/>
    <w:rsid w:val="00DA56AA"/>
    <w:rsid w:val="00DA5F7B"/>
    <w:rsid w:val="00DB5833"/>
    <w:rsid w:val="00DB66AD"/>
    <w:rsid w:val="00DC3933"/>
    <w:rsid w:val="00DD2858"/>
    <w:rsid w:val="00DE60F6"/>
    <w:rsid w:val="00DE7D9A"/>
    <w:rsid w:val="00E03E33"/>
    <w:rsid w:val="00E23A30"/>
    <w:rsid w:val="00E3642A"/>
    <w:rsid w:val="00E415C4"/>
    <w:rsid w:val="00E50016"/>
    <w:rsid w:val="00E50EAA"/>
    <w:rsid w:val="00E523B1"/>
    <w:rsid w:val="00E60FC1"/>
    <w:rsid w:val="00E656D6"/>
    <w:rsid w:val="00E70533"/>
    <w:rsid w:val="00E86450"/>
    <w:rsid w:val="00E93E4B"/>
    <w:rsid w:val="00E977EE"/>
    <w:rsid w:val="00EA67A2"/>
    <w:rsid w:val="00EB6B6F"/>
    <w:rsid w:val="00EC4F98"/>
    <w:rsid w:val="00ED3D0C"/>
    <w:rsid w:val="00ED556D"/>
    <w:rsid w:val="00EF2364"/>
    <w:rsid w:val="00EF60DD"/>
    <w:rsid w:val="00F03659"/>
    <w:rsid w:val="00F06FF9"/>
    <w:rsid w:val="00F12F02"/>
    <w:rsid w:val="00F21117"/>
    <w:rsid w:val="00F269F3"/>
    <w:rsid w:val="00F32E0D"/>
    <w:rsid w:val="00F35134"/>
    <w:rsid w:val="00F375CA"/>
    <w:rsid w:val="00F41812"/>
    <w:rsid w:val="00F479DE"/>
    <w:rsid w:val="00F523B5"/>
    <w:rsid w:val="00F637F5"/>
    <w:rsid w:val="00F73333"/>
    <w:rsid w:val="00F85270"/>
    <w:rsid w:val="00F93545"/>
    <w:rsid w:val="00F95D8F"/>
    <w:rsid w:val="00FA5AC7"/>
    <w:rsid w:val="00FB0D81"/>
    <w:rsid w:val="00FB350A"/>
    <w:rsid w:val="00FC1420"/>
    <w:rsid w:val="00FE1007"/>
    <w:rsid w:val="00FE731D"/>
    <w:rsid w:val="00FF3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FC1420"/>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styleId="Strong">
    <w:name w:val="Strong"/>
    <w:basedOn w:val="DefaultParagraphFont"/>
    <w:qFormat/>
    <w:locked/>
    <w:rsid w:val="00041E4A"/>
    <w:rPr>
      <w:b/>
      <w:bCs/>
    </w:rPr>
  </w:style>
  <w:style w:type="character" w:customStyle="1" w:styleId="Heading3Char">
    <w:name w:val="Heading 3 Char"/>
    <w:basedOn w:val="DefaultParagraphFont"/>
    <w:link w:val="Heading3"/>
    <w:rsid w:val="00FC1420"/>
    <w:rPr>
      <w:rFonts w:eastAsiaTheme="majorEastAsia" w:cstheme="majorBidi"/>
      <w:b/>
      <w:bCs/>
      <w:sz w:val="18"/>
      <w:szCs w:val="20"/>
    </w:rPr>
  </w:style>
  <w:style w:type="paragraph" w:customStyle="1" w:styleId="ListBullet1">
    <w:name w:val="List Bullet1"/>
    <w:basedOn w:val="Normal"/>
    <w:uiPriority w:val="5"/>
    <w:qFormat/>
    <w:rsid w:val="005D244F"/>
    <w:pPr>
      <w:numPr>
        <w:numId w:val="43"/>
      </w:numPr>
      <w:shd w:val="clear" w:color="auto" w:fill="FFFFFF" w:themeFill="background1"/>
      <w:spacing w:before="120" w:after="120" w:line="260" w:lineRule="exact"/>
      <w:contextualSpacing/>
    </w:pPr>
    <w:rPr>
      <w:rFonts w:ascii="Arial" w:hAnsi="Arial" w:cs="Arial"/>
      <w:sz w:val="20"/>
      <w:szCs w:val="24"/>
    </w:rPr>
  </w:style>
  <w:style w:type="character" w:styleId="FollowedHyperlink">
    <w:name w:val="FollowedHyperlink"/>
    <w:basedOn w:val="DefaultParagraphFont"/>
    <w:uiPriority w:val="99"/>
    <w:semiHidden/>
    <w:unhideWhenUsed/>
    <w:rsid w:val="001679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FC1420"/>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character" w:styleId="Strong">
    <w:name w:val="Strong"/>
    <w:basedOn w:val="DefaultParagraphFont"/>
    <w:qFormat/>
    <w:locked/>
    <w:rsid w:val="00041E4A"/>
    <w:rPr>
      <w:b/>
      <w:bCs/>
    </w:rPr>
  </w:style>
  <w:style w:type="character" w:customStyle="1" w:styleId="Heading3Char">
    <w:name w:val="Heading 3 Char"/>
    <w:basedOn w:val="DefaultParagraphFont"/>
    <w:link w:val="Heading3"/>
    <w:rsid w:val="00FC1420"/>
    <w:rPr>
      <w:rFonts w:eastAsiaTheme="majorEastAsia" w:cstheme="majorBidi"/>
      <w:b/>
      <w:bCs/>
      <w:sz w:val="18"/>
      <w:szCs w:val="20"/>
    </w:rPr>
  </w:style>
  <w:style w:type="paragraph" w:customStyle="1" w:styleId="ListBullet1">
    <w:name w:val="List Bullet1"/>
    <w:basedOn w:val="Normal"/>
    <w:uiPriority w:val="5"/>
    <w:qFormat/>
    <w:rsid w:val="005D244F"/>
    <w:pPr>
      <w:numPr>
        <w:numId w:val="43"/>
      </w:numPr>
      <w:shd w:val="clear" w:color="auto" w:fill="FFFFFF" w:themeFill="background1"/>
      <w:spacing w:before="120" w:after="120" w:line="260" w:lineRule="exact"/>
      <w:contextualSpacing/>
    </w:pPr>
    <w:rPr>
      <w:rFonts w:ascii="Arial" w:hAnsi="Arial" w:cs="Arial"/>
      <w:sz w:val="20"/>
      <w:szCs w:val="24"/>
    </w:rPr>
  </w:style>
  <w:style w:type="character" w:styleId="FollowedHyperlink">
    <w:name w:val="FollowedHyperlink"/>
    <w:basedOn w:val="DefaultParagraphFont"/>
    <w:uiPriority w:val="99"/>
    <w:semiHidden/>
    <w:unhideWhenUsed/>
    <w:rsid w:val="001679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gif"/><Relationship Id="rId23" Type="http://schemas.microsoft.com/office/2011/relationships/people" Target="people.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5B3FA-CE10-483C-A913-E00CD913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B4556C75.dotm</Template>
  <TotalTime>0</TotalTime>
  <Pages>9</Pages>
  <Words>2569</Words>
  <Characters>13059</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2017-06-05T05:55:00Z</dcterms:created>
  <dcterms:modified xsi:type="dcterms:W3CDTF">2017-06-05T05:55:00Z</dcterms:modified>
</cp:coreProperties>
</file>