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282F" w:rsidRPr="00EB0F2A" w:rsidRDefault="00B3282F" w:rsidP="000901A8">
      <w:bookmarkStart w:id="0" w:name="_Toc279153756"/>
      <w:bookmarkStart w:id="1" w:name="_GoBack"/>
      <w:bookmarkEnd w:id="1"/>
    </w:p>
    <w:tbl>
      <w:tblPr>
        <w:tblpPr w:leftFromText="187" w:rightFromText="187" w:horzAnchor="margin" w:tblpXSpec="right" w:tblpYSpec="center"/>
        <w:tblW w:w="2431" w:type="pct"/>
        <w:tblBorders>
          <w:top w:val="single" w:sz="36" w:space="0" w:color="215868"/>
          <w:bottom w:val="single" w:sz="36" w:space="0" w:color="215868"/>
          <w:insideH w:val="single" w:sz="36" w:space="0" w:color="215868"/>
        </w:tblBorders>
        <w:tblCellMar>
          <w:top w:w="360" w:type="dxa"/>
          <w:left w:w="115" w:type="dxa"/>
          <w:bottom w:w="360" w:type="dxa"/>
          <w:right w:w="115" w:type="dxa"/>
        </w:tblCellMar>
        <w:tblLook w:val="00A0" w:firstRow="1" w:lastRow="0" w:firstColumn="1" w:lastColumn="0" w:noHBand="0" w:noVBand="0"/>
      </w:tblPr>
      <w:tblGrid>
        <w:gridCol w:w="4522"/>
      </w:tblGrid>
      <w:tr w:rsidR="00ED0820" w:rsidRPr="00EB0F2A" w:rsidTr="00D61C4E">
        <w:tc>
          <w:tcPr>
            <w:tcW w:w="5000" w:type="pct"/>
          </w:tcPr>
          <w:p w:rsidR="00ED0820" w:rsidRPr="00EB0F2A" w:rsidRDefault="00ED0820" w:rsidP="00FD14B6">
            <w:pPr>
              <w:pStyle w:val="NoSpacing"/>
              <w:rPr>
                <w:rFonts w:ascii="Tahoma" w:hAnsi="Tahoma" w:cs="Tahoma"/>
                <w:sz w:val="44"/>
                <w:szCs w:val="56"/>
                <w:lang w:val="en-AU"/>
              </w:rPr>
            </w:pPr>
            <w:r w:rsidRPr="00EB0F2A">
              <w:rPr>
                <w:rFonts w:ascii="Tahoma" w:hAnsi="Tahoma" w:cs="Tahoma"/>
                <w:sz w:val="44"/>
                <w:szCs w:val="56"/>
                <w:lang w:val="en-AU"/>
              </w:rPr>
              <w:t>1222</w:t>
            </w:r>
          </w:p>
          <w:p w:rsidR="00ED0820" w:rsidRPr="00EB0F2A" w:rsidRDefault="00ED0820" w:rsidP="00613603">
            <w:pPr>
              <w:pStyle w:val="NoSpacing"/>
              <w:rPr>
                <w:rFonts w:ascii="Tahoma" w:hAnsi="Tahoma" w:cs="Tahoma"/>
                <w:sz w:val="44"/>
                <w:szCs w:val="56"/>
                <w:lang w:val="en-AU"/>
              </w:rPr>
            </w:pPr>
          </w:p>
          <w:p w:rsidR="00ED0820" w:rsidRPr="00EB0F2A" w:rsidRDefault="00741BE6" w:rsidP="009B16E7">
            <w:pPr>
              <w:pStyle w:val="NoSpacing"/>
              <w:rPr>
                <w:rFonts w:ascii="Tahoma" w:hAnsi="Tahoma" w:cs="Tahoma"/>
                <w:sz w:val="48"/>
                <w:szCs w:val="56"/>
                <w:lang w:val="en-AU"/>
              </w:rPr>
            </w:pPr>
            <w:r>
              <w:rPr>
                <w:rFonts w:ascii="Tahoma" w:hAnsi="Tahoma" w:cs="Tahoma"/>
                <w:sz w:val="44"/>
                <w:szCs w:val="56"/>
                <w:lang w:val="en-AU"/>
              </w:rPr>
              <w:t>Final</w:t>
            </w:r>
            <w:r w:rsidR="00ED0820" w:rsidRPr="00EB0F2A">
              <w:rPr>
                <w:rFonts w:ascii="Tahoma" w:hAnsi="Tahoma" w:cs="Tahoma"/>
                <w:sz w:val="44"/>
                <w:szCs w:val="56"/>
                <w:lang w:val="en-AU"/>
              </w:rPr>
              <w:t xml:space="preserve"> </w:t>
            </w:r>
            <w:r w:rsidR="00CD4577">
              <w:rPr>
                <w:rFonts w:ascii="Tahoma" w:hAnsi="Tahoma" w:cs="Tahoma"/>
                <w:sz w:val="44"/>
                <w:szCs w:val="56"/>
                <w:lang w:val="en-AU"/>
              </w:rPr>
              <w:t>Decision Analytic P</w:t>
            </w:r>
            <w:r w:rsidR="00ED0820" w:rsidRPr="00EB0F2A">
              <w:rPr>
                <w:rFonts w:ascii="Tahoma" w:hAnsi="Tahoma" w:cs="Tahoma"/>
                <w:sz w:val="44"/>
                <w:szCs w:val="56"/>
                <w:lang w:val="en-AU"/>
              </w:rPr>
              <w:t xml:space="preserve">rotocol </w:t>
            </w:r>
            <w:r w:rsidR="00CD4577">
              <w:rPr>
                <w:rFonts w:ascii="Tahoma" w:hAnsi="Tahoma" w:cs="Tahoma"/>
                <w:sz w:val="44"/>
                <w:szCs w:val="56"/>
                <w:lang w:val="en-AU"/>
              </w:rPr>
              <w:t xml:space="preserve">(DAP) </w:t>
            </w:r>
            <w:r w:rsidR="00ED0820" w:rsidRPr="00EB0F2A">
              <w:rPr>
                <w:rFonts w:ascii="Tahoma" w:hAnsi="Tahoma" w:cs="Tahoma"/>
                <w:sz w:val="44"/>
                <w:szCs w:val="56"/>
                <w:lang w:val="en-AU"/>
              </w:rPr>
              <w:t>to guide the assessment of transthyretin (TTR) genetic testing to establish the diagnosis of transthyretin familial amyloid polyneuropathy (TTR-FAP) for access to tafamidis meglumine.</w:t>
            </w:r>
            <w:r w:rsidR="009B16E7" w:rsidRPr="00EB0F2A">
              <w:rPr>
                <w:rFonts w:ascii="Tahoma" w:hAnsi="Tahoma" w:cs="Tahoma"/>
                <w:sz w:val="48"/>
                <w:szCs w:val="56"/>
                <w:lang w:val="en-AU"/>
              </w:rPr>
              <w:t xml:space="preserve"> </w:t>
            </w:r>
          </w:p>
        </w:tc>
      </w:tr>
      <w:tr w:rsidR="00ED0820" w:rsidRPr="00EB0F2A" w:rsidTr="00D61C4E">
        <w:tc>
          <w:tcPr>
            <w:tcW w:w="5000" w:type="pct"/>
          </w:tcPr>
          <w:p w:rsidR="00ED0820" w:rsidRPr="00A84F90" w:rsidRDefault="00741BE6" w:rsidP="00905DD4">
            <w:pPr>
              <w:pStyle w:val="NoSpacing"/>
              <w:rPr>
                <w:rFonts w:ascii="Tahoma" w:hAnsi="Tahoma" w:cs="Tahoma"/>
                <w:sz w:val="32"/>
                <w:szCs w:val="40"/>
                <w:lang w:val="en-AU"/>
              </w:rPr>
            </w:pPr>
            <w:r>
              <w:rPr>
                <w:rFonts w:ascii="Tahoma" w:hAnsi="Tahoma" w:cs="Tahoma"/>
                <w:sz w:val="32"/>
                <w:szCs w:val="40"/>
                <w:lang w:val="en-AU"/>
              </w:rPr>
              <w:t>September</w:t>
            </w:r>
            <w:r w:rsidR="00ED0820" w:rsidRPr="00A84F90">
              <w:rPr>
                <w:rFonts w:ascii="Tahoma" w:hAnsi="Tahoma" w:cs="Tahoma"/>
                <w:sz w:val="32"/>
                <w:szCs w:val="40"/>
                <w:lang w:val="en-AU"/>
              </w:rPr>
              <w:t xml:space="preserve"> 2012</w:t>
            </w:r>
          </w:p>
        </w:tc>
      </w:tr>
    </w:tbl>
    <w:p w:rsidR="00ED0820" w:rsidRPr="00EB0F2A" w:rsidRDefault="00ED0820" w:rsidP="000901A8"/>
    <w:p w:rsidR="00ED0820" w:rsidRPr="00EB0F2A" w:rsidRDefault="00ED0820" w:rsidP="001A32D2">
      <w:pPr>
        <w:pStyle w:val="TOCHeading0"/>
        <w:spacing w:before="0" w:after="0"/>
      </w:pPr>
      <w:r w:rsidRPr="00EB0F2A">
        <w:br w:type="page"/>
      </w:r>
      <w:r w:rsidRPr="00EB0F2A">
        <w:lastRenderedPageBreak/>
        <w:t>Table of Contents</w:t>
      </w:r>
    </w:p>
    <w:p w:rsidR="00B107F8" w:rsidRDefault="0064572E">
      <w:pPr>
        <w:pStyle w:val="TOC1"/>
        <w:rPr>
          <w:rFonts w:asciiTheme="minorHAnsi" w:eastAsiaTheme="minorEastAsia" w:hAnsiTheme="minorHAnsi" w:cstheme="minorBidi"/>
          <w:b w:val="0"/>
          <w:sz w:val="22"/>
          <w:szCs w:val="22"/>
          <w:lang w:eastAsia="en-AU"/>
        </w:rPr>
      </w:pPr>
      <w:r w:rsidRPr="00EB0F2A">
        <w:fldChar w:fldCharType="begin"/>
      </w:r>
      <w:r w:rsidR="00ED0820" w:rsidRPr="00EB0F2A">
        <w:instrText xml:space="preserve"> TOC \o "1-3" \h \z \u </w:instrText>
      </w:r>
      <w:r w:rsidRPr="00EB0F2A">
        <w:fldChar w:fldCharType="separate"/>
      </w:r>
      <w:hyperlink w:anchor="_Toc335389096" w:history="1">
        <w:r w:rsidR="00B107F8" w:rsidRPr="00613755">
          <w:rPr>
            <w:rStyle w:val="Hyperlink"/>
          </w:rPr>
          <w:t>MSAC and PASC</w:t>
        </w:r>
        <w:r w:rsidR="00B107F8">
          <w:rPr>
            <w:webHidden/>
          </w:rPr>
          <w:tab/>
        </w:r>
        <w:r w:rsidR="00B107F8">
          <w:rPr>
            <w:webHidden/>
          </w:rPr>
          <w:fldChar w:fldCharType="begin"/>
        </w:r>
        <w:r w:rsidR="00B107F8">
          <w:rPr>
            <w:webHidden/>
          </w:rPr>
          <w:instrText xml:space="preserve"> PAGEREF _Toc335389096 \h </w:instrText>
        </w:r>
        <w:r w:rsidR="00B107F8">
          <w:rPr>
            <w:webHidden/>
          </w:rPr>
        </w:r>
        <w:r w:rsidR="00B107F8">
          <w:rPr>
            <w:webHidden/>
          </w:rPr>
          <w:fldChar w:fldCharType="separate"/>
        </w:r>
        <w:r w:rsidR="001C3EAF">
          <w:rPr>
            <w:webHidden/>
          </w:rPr>
          <w:t>3</w:t>
        </w:r>
        <w:r w:rsidR="00B107F8">
          <w:rPr>
            <w:webHidden/>
          </w:rPr>
          <w:fldChar w:fldCharType="end"/>
        </w:r>
      </w:hyperlink>
    </w:p>
    <w:p w:rsidR="00B107F8" w:rsidRDefault="00B3282F">
      <w:pPr>
        <w:pStyle w:val="TOC2"/>
        <w:rPr>
          <w:rFonts w:asciiTheme="minorHAnsi" w:eastAsiaTheme="minorEastAsia" w:hAnsiTheme="minorHAnsi" w:cstheme="minorBidi"/>
          <w:sz w:val="22"/>
          <w:szCs w:val="22"/>
          <w:lang w:val="en-AU" w:eastAsia="en-AU"/>
        </w:rPr>
      </w:pPr>
      <w:hyperlink w:anchor="_Toc335389097" w:history="1">
        <w:r w:rsidR="00B107F8" w:rsidRPr="00613755">
          <w:rPr>
            <w:rStyle w:val="Hyperlink"/>
            <w:lang w:val="en-AU"/>
          </w:rPr>
          <w:t>Purpose of this document</w:t>
        </w:r>
        <w:r w:rsidR="00B107F8">
          <w:rPr>
            <w:webHidden/>
          </w:rPr>
          <w:tab/>
        </w:r>
        <w:r w:rsidR="00B107F8">
          <w:rPr>
            <w:webHidden/>
          </w:rPr>
          <w:fldChar w:fldCharType="begin"/>
        </w:r>
        <w:r w:rsidR="00B107F8">
          <w:rPr>
            <w:webHidden/>
          </w:rPr>
          <w:instrText xml:space="preserve"> PAGEREF _Toc335389097 \h </w:instrText>
        </w:r>
        <w:r w:rsidR="00B107F8">
          <w:rPr>
            <w:webHidden/>
          </w:rPr>
        </w:r>
        <w:r w:rsidR="00B107F8">
          <w:rPr>
            <w:webHidden/>
          </w:rPr>
          <w:fldChar w:fldCharType="separate"/>
        </w:r>
        <w:r w:rsidR="001C3EAF">
          <w:rPr>
            <w:webHidden/>
          </w:rPr>
          <w:t>3</w:t>
        </w:r>
        <w:r w:rsidR="00B107F8">
          <w:rPr>
            <w:webHidden/>
          </w:rPr>
          <w:fldChar w:fldCharType="end"/>
        </w:r>
      </w:hyperlink>
    </w:p>
    <w:p w:rsidR="00B107F8" w:rsidRDefault="00B3282F">
      <w:pPr>
        <w:pStyle w:val="TOC1"/>
        <w:rPr>
          <w:rFonts w:asciiTheme="minorHAnsi" w:eastAsiaTheme="minorEastAsia" w:hAnsiTheme="minorHAnsi" w:cstheme="minorBidi"/>
          <w:b w:val="0"/>
          <w:sz w:val="22"/>
          <w:szCs w:val="22"/>
          <w:lang w:eastAsia="en-AU"/>
        </w:rPr>
      </w:pPr>
      <w:hyperlink w:anchor="_Toc335389098" w:history="1">
        <w:r w:rsidR="00B107F8" w:rsidRPr="00613755">
          <w:rPr>
            <w:rStyle w:val="Hyperlink"/>
          </w:rPr>
          <w:t>Purpose of application</w:t>
        </w:r>
        <w:r w:rsidR="00B107F8">
          <w:rPr>
            <w:webHidden/>
          </w:rPr>
          <w:tab/>
        </w:r>
        <w:r w:rsidR="00B107F8">
          <w:rPr>
            <w:webHidden/>
          </w:rPr>
          <w:fldChar w:fldCharType="begin"/>
        </w:r>
        <w:r w:rsidR="00B107F8">
          <w:rPr>
            <w:webHidden/>
          </w:rPr>
          <w:instrText xml:space="preserve"> PAGEREF _Toc335389098 \h </w:instrText>
        </w:r>
        <w:r w:rsidR="00B107F8">
          <w:rPr>
            <w:webHidden/>
          </w:rPr>
        </w:r>
        <w:r w:rsidR="00B107F8">
          <w:rPr>
            <w:webHidden/>
          </w:rPr>
          <w:fldChar w:fldCharType="separate"/>
        </w:r>
        <w:r w:rsidR="001C3EAF">
          <w:rPr>
            <w:webHidden/>
          </w:rPr>
          <w:t>4</w:t>
        </w:r>
        <w:r w:rsidR="00B107F8">
          <w:rPr>
            <w:webHidden/>
          </w:rPr>
          <w:fldChar w:fldCharType="end"/>
        </w:r>
      </w:hyperlink>
    </w:p>
    <w:p w:rsidR="00B107F8" w:rsidRDefault="00B3282F">
      <w:pPr>
        <w:pStyle w:val="TOC1"/>
        <w:rPr>
          <w:rFonts w:asciiTheme="minorHAnsi" w:eastAsiaTheme="minorEastAsia" w:hAnsiTheme="minorHAnsi" w:cstheme="minorBidi"/>
          <w:b w:val="0"/>
          <w:sz w:val="22"/>
          <w:szCs w:val="22"/>
          <w:lang w:eastAsia="en-AU"/>
        </w:rPr>
      </w:pPr>
      <w:hyperlink w:anchor="_Toc335389099" w:history="1">
        <w:r w:rsidR="00B107F8" w:rsidRPr="00613755">
          <w:rPr>
            <w:rStyle w:val="Hyperlink"/>
          </w:rPr>
          <w:t>Background</w:t>
        </w:r>
        <w:r w:rsidR="00B107F8">
          <w:rPr>
            <w:webHidden/>
          </w:rPr>
          <w:tab/>
        </w:r>
        <w:r w:rsidR="00B107F8">
          <w:rPr>
            <w:webHidden/>
          </w:rPr>
          <w:fldChar w:fldCharType="begin"/>
        </w:r>
        <w:r w:rsidR="00B107F8">
          <w:rPr>
            <w:webHidden/>
          </w:rPr>
          <w:instrText xml:space="preserve"> PAGEREF _Toc335389099 \h </w:instrText>
        </w:r>
        <w:r w:rsidR="00B107F8">
          <w:rPr>
            <w:webHidden/>
          </w:rPr>
        </w:r>
        <w:r w:rsidR="00B107F8">
          <w:rPr>
            <w:webHidden/>
          </w:rPr>
          <w:fldChar w:fldCharType="separate"/>
        </w:r>
        <w:r w:rsidR="001C3EAF">
          <w:rPr>
            <w:webHidden/>
          </w:rPr>
          <w:t>4</w:t>
        </w:r>
        <w:r w:rsidR="00B107F8">
          <w:rPr>
            <w:webHidden/>
          </w:rPr>
          <w:fldChar w:fldCharType="end"/>
        </w:r>
      </w:hyperlink>
    </w:p>
    <w:p w:rsidR="00B107F8" w:rsidRDefault="00B3282F">
      <w:pPr>
        <w:pStyle w:val="TOC2"/>
        <w:rPr>
          <w:rFonts w:asciiTheme="minorHAnsi" w:eastAsiaTheme="minorEastAsia" w:hAnsiTheme="minorHAnsi" w:cstheme="minorBidi"/>
          <w:sz w:val="22"/>
          <w:szCs w:val="22"/>
          <w:lang w:val="en-AU" w:eastAsia="en-AU"/>
        </w:rPr>
      </w:pPr>
      <w:hyperlink w:anchor="_Toc335389100" w:history="1">
        <w:r w:rsidR="00B107F8" w:rsidRPr="00613755">
          <w:rPr>
            <w:rStyle w:val="Hyperlink"/>
            <w:lang w:val="en-AU"/>
          </w:rPr>
          <w:t>Current arrangements for public reimbursement</w:t>
        </w:r>
        <w:r w:rsidR="00B107F8">
          <w:rPr>
            <w:webHidden/>
          </w:rPr>
          <w:tab/>
        </w:r>
        <w:r w:rsidR="00B107F8">
          <w:rPr>
            <w:webHidden/>
          </w:rPr>
          <w:fldChar w:fldCharType="begin"/>
        </w:r>
        <w:r w:rsidR="00B107F8">
          <w:rPr>
            <w:webHidden/>
          </w:rPr>
          <w:instrText xml:space="preserve"> PAGEREF _Toc335389100 \h </w:instrText>
        </w:r>
        <w:r w:rsidR="00B107F8">
          <w:rPr>
            <w:webHidden/>
          </w:rPr>
        </w:r>
        <w:r w:rsidR="00B107F8">
          <w:rPr>
            <w:webHidden/>
          </w:rPr>
          <w:fldChar w:fldCharType="separate"/>
        </w:r>
        <w:r w:rsidR="001C3EAF">
          <w:rPr>
            <w:webHidden/>
          </w:rPr>
          <w:t>4</w:t>
        </w:r>
        <w:r w:rsidR="00B107F8">
          <w:rPr>
            <w:webHidden/>
          </w:rPr>
          <w:fldChar w:fldCharType="end"/>
        </w:r>
      </w:hyperlink>
    </w:p>
    <w:p w:rsidR="00B107F8" w:rsidRDefault="00B3282F">
      <w:pPr>
        <w:pStyle w:val="TOC2"/>
        <w:rPr>
          <w:rFonts w:asciiTheme="minorHAnsi" w:eastAsiaTheme="minorEastAsia" w:hAnsiTheme="minorHAnsi" w:cstheme="minorBidi"/>
          <w:sz w:val="22"/>
          <w:szCs w:val="22"/>
          <w:lang w:val="en-AU" w:eastAsia="en-AU"/>
        </w:rPr>
      </w:pPr>
      <w:hyperlink w:anchor="_Toc335389101" w:history="1">
        <w:r w:rsidR="00B107F8" w:rsidRPr="00613755">
          <w:rPr>
            <w:rStyle w:val="Hyperlink"/>
            <w:lang w:val="en-AU"/>
          </w:rPr>
          <w:t>Regulatory status</w:t>
        </w:r>
        <w:r w:rsidR="00B107F8">
          <w:rPr>
            <w:webHidden/>
          </w:rPr>
          <w:tab/>
        </w:r>
        <w:r w:rsidR="00B107F8">
          <w:rPr>
            <w:webHidden/>
          </w:rPr>
          <w:fldChar w:fldCharType="begin"/>
        </w:r>
        <w:r w:rsidR="00B107F8">
          <w:rPr>
            <w:webHidden/>
          </w:rPr>
          <w:instrText xml:space="preserve"> PAGEREF _Toc335389101 \h </w:instrText>
        </w:r>
        <w:r w:rsidR="00B107F8">
          <w:rPr>
            <w:webHidden/>
          </w:rPr>
        </w:r>
        <w:r w:rsidR="00B107F8">
          <w:rPr>
            <w:webHidden/>
          </w:rPr>
          <w:fldChar w:fldCharType="separate"/>
        </w:r>
        <w:r w:rsidR="001C3EAF">
          <w:rPr>
            <w:webHidden/>
          </w:rPr>
          <w:t>4</w:t>
        </w:r>
        <w:r w:rsidR="00B107F8">
          <w:rPr>
            <w:webHidden/>
          </w:rPr>
          <w:fldChar w:fldCharType="end"/>
        </w:r>
      </w:hyperlink>
    </w:p>
    <w:p w:rsidR="00B107F8" w:rsidRDefault="00B3282F">
      <w:pPr>
        <w:pStyle w:val="TOC1"/>
        <w:rPr>
          <w:rFonts w:asciiTheme="minorHAnsi" w:eastAsiaTheme="minorEastAsia" w:hAnsiTheme="minorHAnsi" w:cstheme="minorBidi"/>
          <w:b w:val="0"/>
          <w:sz w:val="22"/>
          <w:szCs w:val="22"/>
          <w:lang w:eastAsia="en-AU"/>
        </w:rPr>
      </w:pPr>
      <w:hyperlink w:anchor="_Toc335389102" w:history="1">
        <w:r w:rsidR="00B107F8" w:rsidRPr="00613755">
          <w:rPr>
            <w:rStyle w:val="Hyperlink"/>
          </w:rPr>
          <w:t>Intervention</w:t>
        </w:r>
        <w:r w:rsidR="00B107F8">
          <w:rPr>
            <w:webHidden/>
          </w:rPr>
          <w:tab/>
        </w:r>
        <w:r w:rsidR="00B107F8">
          <w:rPr>
            <w:webHidden/>
          </w:rPr>
          <w:fldChar w:fldCharType="begin"/>
        </w:r>
        <w:r w:rsidR="00B107F8">
          <w:rPr>
            <w:webHidden/>
          </w:rPr>
          <w:instrText xml:space="preserve"> PAGEREF _Toc335389102 \h </w:instrText>
        </w:r>
        <w:r w:rsidR="00B107F8">
          <w:rPr>
            <w:webHidden/>
          </w:rPr>
        </w:r>
        <w:r w:rsidR="00B107F8">
          <w:rPr>
            <w:webHidden/>
          </w:rPr>
          <w:fldChar w:fldCharType="separate"/>
        </w:r>
        <w:r w:rsidR="001C3EAF">
          <w:rPr>
            <w:webHidden/>
          </w:rPr>
          <w:t>5</w:t>
        </w:r>
        <w:r w:rsidR="00B107F8">
          <w:rPr>
            <w:webHidden/>
          </w:rPr>
          <w:fldChar w:fldCharType="end"/>
        </w:r>
      </w:hyperlink>
    </w:p>
    <w:p w:rsidR="00B107F8" w:rsidRDefault="00B3282F">
      <w:pPr>
        <w:pStyle w:val="TOC2"/>
        <w:rPr>
          <w:rFonts w:asciiTheme="minorHAnsi" w:eastAsiaTheme="minorEastAsia" w:hAnsiTheme="minorHAnsi" w:cstheme="minorBidi"/>
          <w:sz w:val="22"/>
          <w:szCs w:val="22"/>
          <w:lang w:val="en-AU" w:eastAsia="en-AU"/>
        </w:rPr>
      </w:pPr>
      <w:hyperlink w:anchor="_Toc335389103" w:history="1">
        <w:r w:rsidR="00B107F8" w:rsidRPr="00613755">
          <w:rPr>
            <w:rStyle w:val="Hyperlink"/>
            <w:lang w:val="en-AU"/>
          </w:rPr>
          <w:t>Description</w:t>
        </w:r>
        <w:r w:rsidR="00B107F8">
          <w:rPr>
            <w:webHidden/>
          </w:rPr>
          <w:tab/>
        </w:r>
        <w:r w:rsidR="00B107F8">
          <w:rPr>
            <w:webHidden/>
          </w:rPr>
          <w:fldChar w:fldCharType="begin"/>
        </w:r>
        <w:r w:rsidR="00B107F8">
          <w:rPr>
            <w:webHidden/>
          </w:rPr>
          <w:instrText xml:space="preserve"> PAGEREF _Toc335389103 \h </w:instrText>
        </w:r>
        <w:r w:rsidR="00B107F8">
          <w:rPr>
            <w:webHidden/>
          </w:rPr>
        </w:r>
        <w:r w:rsidR="00B107F8">
          <w:rPr>
            <w:webHidden/>
          </w:rPr>
          <w:fldChar w:fldCharType="separate"/>
        </w:r>
        <w:r w:rsidR="001C3EAF">
          <w:rPr>
            <w:webHidden/>
          </w:rPr>
          <w:t>5</w:t>
        </w:r>
        <w:r w:rsidR="00B107F8">
          <w:rPr>
            <w:webHidden/>
          </w:rPr>
          <w:fldChar w:fldCharType="end"/>
        </w:r>
      </w:hyperlink>
    </w:p>
    <w:p w:rsidR="00B107F8" w:rsidRDefault="00B3282F">
      <w:pPr>
        <w:pStyle w:val="TOC3"/>
        <w:rPr>
          <w:rFonts w:asciiTheme="minorHAnsi" w:eastAsiaTheme="minorEastAsia" w:hAnsiTheme="minorHAnsi" w:cstheme="minorBidi"/>
          <w:szCs w:val="22"/>
          <w:lang w:val="en-AU" w:eastAsia="en-AU"/>
        </w:rPr>
      </w:pPr>
      <w:hyperlink w:anchor="_Toc335389104" w:history="1">
        <w:r w:rsidR="00B107F8" w:rsidRPr="00613755">
          <w:rPr>
            <w:rStyle w:val="Hyperlink"/>
          </w:rPr>
          <w:t>Description of the medical condition</w:t>
        </w:r>
        <w:r w:rsidR="00B107F8">
          <w:rPr>
            <w:webHidden/>
          </w:rPr>
          <w:tab/>
        </w:r>
        <w:r w:rsidR="00B107F8">
          <w:rPr>
            <w:webHidden/>
          </w:rPr>
          <w:fldChar w:fldCharType="begin"/>
        </w:r>
        <w:r w:rsidR="00B107F8">
          <w:rPr>
            <w:webHidden/>
          </w:rPr>
          <w:instrText xml:space="preserve"> PAGEREF _Toc335389104 \h </w:instrText>
        </w:r>
        <w:r w:rsidR="00B107F8">
          <w:rPr>
            <w:webHidden/>
          </w:rPr>
        </w:r>
        <w:r w:rsidR="00B107F8">
          <w:rPr>
            <w:webHidden/>
          </w:rPr>
          <w:fldChar w:fldCharType="separate"/>
        </w:r>
        <w:r w:rsidR="001C3EAF">
          <w:rPr>
            <w:webHidden/>
          </w:rPr>
          <w:t>5</w:t>
        </w:r>
        <w:r w:rsidR="00B107F8">
          <w:rPr>
            <w:webHidden/>
          </w:rPr>
          <w:fldChar w:fldCharType="end"/>
        </w:r>
      </w:hyperlink>
    </w:p>
    <w:p w:rsidR="00B107F8" w:rsidRDefault="00B3282F">
      <w:pPr>
        <w:pStyle w:val="TOC3"/>
        <w:rPr>
          <w:rFonts w:asciiTheme="minorHAnsi" w:eastAsiaTheme="minorEastAsia" w:hAnsiTheme="minorHAnsi" w:cstheme="minorBidi"/>
          <w:szCs w:val="22"/>
          <w:lang w:val="en-AU" w:eastAsia="en-AU"/>
        </w:rPr>
      </w:pPr>
      <w:hyperlink w:anchor="_Toc335389105" w:history="1">
        <w:r w:rsidR="00B107F8" w:rsidRPr="00613755">
          <w:rPr>
            <w:rStyle w:val="Hyperlink"/>
          </w:rPr>
          <w:t>Description of the intervention</w:t>
        </w:r>
        <w:r w:rsidR="00B107F8">
          <w:rPr>
            <w:webHidden/>
          </w:rPr>
          <w:tab/>
        </w:r>
        <w:r w:rsidR="00B107F8">
          <w:rPr>
            <w:webHidden/>
          </w:rPr>
          <w:fldChar w:fldCharType="begin"/>
        </w:r>
        <w:r w:rsidR="00B107F8">
          <w:rPr>
            <w:webHidden/>
          </w:rPr>
          <w:instrText xml:space="preserve"> PAGEREF _Toc335389105 \h </w:instrText>
        </w:r>
        <w:r w:rsidR="00B107F8">
          <w:rPr>
            <w:webHidden/>
          </w:rPr>
        </w:r>
        <w:r w:rsidR="00B107F8">
          <w:rPr>
            <w:webHidden/>
          </w:rPr>
          <w:fldChar w:fldCharType="separate"/>
        </w:r>
        <w:r w:rsidR="001C3EAF">
          <w:rPr>
            <w:webHidden/>
          </w:rPr>
          <w:t>6</w:t>
        </w:r>
        <w:r w:rsidR="00B107F8">
          <w:rPr>
            <w:webHidden/>
          </w:rPr>
          <w:fldChar w:fldCharType="end"/>
        </w:r>
      </w:hyperlink>
    </w:p>
    <w:p w:rsidR="00B107F8" w:rsidRDefault="00B3282F">
      <w:pPr>
        <w:pStyle w:val="TOC2"/>
        <w:rPr>
          <w:rFonts w:asciiTheme="minorHAnsi" w:eastAsiaTheme="minorEastAsia" w:hAnsiTheme="minorHAnsi" w:cstheme="minorBidi"/>
          <w:sz w:val="22"/>
          <w:szCs w:val="22"/>
          <w:lang w:val="en-AU" w:eastAsia="en-AU"/>
        </w:rPr>
      </w:pPr>
      <w:hyperlink w:anchor="_Toc335389106" w:history="1">
        <w:r w:rsidR="00B107F8" w:rsidRPr="00613755">
          <w:rPr>
            <w:rStyle w:val="Hyperlink"/>
            <w:lang w:val="en-AU"/>
          </w:rPr>
          <w:t>Prerequisites</w:t>
        </w:r>
        <w:r w:rsidR="00B107F8">
          <w:rPr>
            <w:webHidden/>
          </w:rPr>
          <w:tab/>
        </w:r>
        <w:r w:rsidR="00B107F8">
          <w:rPr>
            <w:webHidden/>
          </w:rPr>
          <w:fldChar w:fldCharType="begin"/>
        </w:r>
        <w:r w:rsidR="00B107F8">
          <w:rPr>
            <w:webHidden/>
          </w:rPr>
          <w:instrText xml:space="preserve"> PAGEREF _Toc335389106 \h </w:instrText>
        </w:r>
        <w:r w:rsidR="00B107F8">
          <w:rPr>
            <w:webHidden/>
          </w:rPr>
        </w:r>
        <w:r w:rsidR="00B107F8">
          <w:rPr>
            <w:webHidden/>
          </w:rPr>
          <w:fldChar w:fldCharType="separate"/>
        </w:r>
        <w:r w:rsidR="001C3EAF">
          <w:rPr>
            <w:webHidden/>
          </w:rPr>
          <w:t>6</w:t>
        </w:r>
        <w:r w:rsidR="00B107F8">
          <w:rPr>
            <w:webHidden/>
          </w:rPr>
          <w:fldChar w:fldCharType="end"/>
        </w:r>
      </w:hyperlink>
    </w:p>
    <w:p w:rsidR="00B107F8" w:rsidRDefault="00B3282F">
      <w:pPr>
        <w:pStyle w:val="TOC3"/>
        <w:rPr>
          <w:rFonts w:asciiTheme="minorHAnsi" w:eastAsiaTheme="minorEastAsia" w:hAnsiTheme="minorHAnsi" w:cstheme="minorBidi"/>
          <w:szCs w:val="22"/>
          <w:lang w:val="en-AU" w:eastAsia="en-AU"/>
        </w:rPr>
      </w:pPr>
      <w:hyperlink w:anchor="_Toc335389107" w:history="1">
        <w:r w:rsidR="00B107F8" w:rsidRPr="00613755">
          <w:rPr>
            <w:rStyle w:val="Hyperlink"/>
          </w:rPr>
          <w:t>Professional restrictions on the request for and delivery of the intervention</w:t>
        </w:r>
        <w:r w:rsidR="00B107F8">
          <w:rPr>
            <w:webHidden/>
          </w:rPr>
          <w:tab/>
        </w:r>
        <w:r w:rsidR="00B107F8">
          <w:rPr>
            <w:webHidden/>
          </w:rPr>
          <w:fldChar w:fldCharType="begin"/>
        </w:r>
        <w:r w:rsidR="00B107F8">
          <w:rPr>
            <w:webHidden/>
          </w:rPr>
          <w:instrText xml:space="preserve"> PAGEREF _Toc335389107 \h </w:instrText>
        </w:r>
        <w:r w:rsidR="00B107F8">
          <w:rPr>
            <w:webHidden/>
          </w:rPr>
        </w:r>
        <w:r w:rsidR="00B107F8">
          <w:rPr>
            <w:webHidden/>
          </w:rPr>
          <w:fldChar w:fldCharType="separate"/>
        </w:r>
        <w:r w:rsidR="001C3EAF">
          <w:rPr>
            <w:webHidden/>
          </w:rPr>
          <w:t>6</w:t>
        </w:r>
        <w:r w:rsidR="00B107F8">
          <w:rPr>
            <w:webHidden/>
          </w:rPr>
          <w:fldChar w:fldCharType="end"/>
        </w:r>
      </w:hyperlink>
    </w:p>
    <w:p w:rsidR="00B107F8" w:rsidRDefault="00B3282F">
      <w:pPr>
        <w:pStyle w:val="TOC3"/>
        <w:rPr>
          <w:rFonts w:asciiTheme="minorHAnsi" w:eastAsiaTheme="minorEastAsia" w:hAnsiTheme="minorHAnsi" w:cstheme="minorBidi"/>
          <w:szCs w:val="22"/>
          <w:lang w:val="en-AU" w:eastAsia="en-AU"/>
        </w:rPr>
      </w:pPr>
      <w:hyperlink w:anchor="_Toc335389108" w:history="1">
        <w:r w:rsidR="00B107F8" w:rsidRPr="00613755">
          <w:rPr>
            <w:rStyle w:val="Hyperlink"/>
          </w:rPr>
          <w:t>Geographic restrictions on the delivery of service</w:t>
        </w:r>
        <w:r w:rsidR="00B107F8">
          <w:rPr>
            <w:webHidden/>
          </w:rPr>
          <w:tab/>
        </w:r>
        <w:r w:rsidR="00B107F8">
          <w:rPr>
            <w:webHidden/>
          </w:rPr>
          <w:fldChar w:fldCharType="begin"/>
        </w:r>
        <w:r w:rsidR="00B107F8">
          <w:rPr>
            <w:webHidden/>
          </w:rPr>
          <w:instrText xml:space="preserve"> PAGEREF _Toc335389108 \h </w:instrText>
        </w:r>
        <w:r w:rsidR="00B107F8">
          <w:rPr>
            <w:webHidden/>
          </w:rPr>
        </w:r>
        <w:r w:rsidR="00B107F8">
          <w:rPr>
            <w:webHidden/>
          </w:rPr>
          <w:fldChar w:fldCharType="separate"/>
        </w:r>
        <w:r w:rsidR="001C3EAF">
          <w:rPr>
            <w:webHidden/>
          </w:rPr>
          <w:t>7</w:t>
        </w:r>
        <w:r w:rsidR="00B107F8">
          <w:rPr>
            <w:webHidden/>
          </w:rPr>
          <w:fldChar w:fldCharType="end"/>
        </w:r>
      </w:hyperlink>
    </w:p>
    <w:p w:rsidR="00B107F8" w:rsidRDefault="00B3282F">
      <w:pPr>
        <w:pStyle w:val="TOC2"/>
        <w:rPr>
          <w:rFonts w:asciiTheme="minorHAnsi" w:eastAsiaTheme="minorEastAsia" w:hAnsiTheme="minorHAnsi" w:cstheme="minorBidi"/>
          <w:sz w:val="22"/>
          <w:szCs w:val="22"/>
          <w:lang w:val="en-AU" w:eastAsia="en-AU"/>
        </w:rPr>
      </w:pPr>
      <w:hyperlink w:anchor="_Toc335389109" w:history="1">
        <w:r w:rsidR="00B107F8" w:rsidRPr="00613755">
          <w:rPr>
            <w:rStyle w:val="Hyperlink"/>
            <w:lang w:val="en-AU"/>
          </w:rPr>
          <w:t>Co-administered and associated interventions</w:t>
        </w:r>
        <w:r w:rsidR="00B107F8">
          <w:rPr>
            <w:webHidden/>
          </w:rPr>
          <w:tab/>
        </w:r>
        <w:r w:rsidR="00B107F8">
          <w:rPr>
            <w:webHidden/>
          </w:rPr>
          <w:fldChar w:fldCharType="begin"/>
        </w:r>
        <w:r w:rsidR="00B107F8">
          <w:rPr>
            <w:webHidden/>
          </w:rPr>
          <w:instrText xml:space="preserve"> PAGEREF _Toc335389109 \h </w:instrText>
        </w:r>
        <w:r w:rsidR="00B107F8">
          <w:rPr>
            <w:webHidden/>
          </w:rPr>
        </w:r>
        <w:r w:rsidR="00B107F8">
          <w:rPr>
            <w:webHidden/>
          </w:rPr>
          <w:fldChar w:fldCharType="separate"/>
        </w:r>
        <w:r w:rsidR="001C3EAF">
          <w:rPr>
            <w:webHidden/>
          </w:rPr>
          <w:t>7</w:t>
        </w:r>
        <w:r w:rsidR="00B107F8">
          <w:rPr>
            <w:webHidden/>
          </w:rPr>
          <w:fldChar w:fldCharType="end"/>
        </w:r>
      </w:hyperlink>
    </w:p>
    <w:p w:rsidR="00B107F8" w:rsidRDefault="00B3282F">
      <w:pPr>
        <w:pStyle w:val="TOC3"/>
        <w:rPr>
          <w:rFonts w:asciiTheme="minorHAnsi" w:eastAsiaTheme="minorEastAsia" w:hAnsiTheme="minorHAnsi" w:cstheme="minorBidi"/>
          <w:szCs w:val="22"/>
          <w:lang w:val="en-AU" w:eastAsia="en-AU"/>
        </w:rPr>
      </w:pPr>
      <w:hyperlink w:anchor="_Toc335389110" w:history="1">
        <w:r w:rsidR="00B107F8" w:rsidRPr="00613755">
          <w:rPr>
            <w:rStyle w:val="Hyperlink"/>
          </w:rPr>
          <w:t>Prerequisite interventions</w:t>
        </w:r>
        <w:r w:rsidR="00B107F8">
          <w:rPr>
            <w:webHidden/>
          </w:rPr>
          <w:tab/>
        </w:r>
        <w:r w:rsidR="00B107F8">
          <w:rPr>
            <w:webHidden/>
          </w:rPr>
          <w:fldChar w:fldCharType="begin"/>
        </w:r>
        <w:r w:rsidR="00B107F8">
          <w:rPr>
            <w:webHidden/>
          </w:rPr>
          <w:instrText xml:space="preserve"> PAGEREF _Toc335389110 \h </w:instrText>
        </w:r>
        <w:r w:rsidR="00B107F8">
          <w:rPr>
            <w:webHidden/>
          </w:rPr>
        </w:r>
        <w:r w:rsidR="00B107F8">
          <w:rPr>
            <w:webHidden/>
          </w:rPr>
          <w:fldChar w:fldCharType="separate"/>
        </w:r>
        <w:r w:rsidR="001C3EAF">
          <w:rPr>
            <w:webHidden/>
          </w:rPr>
          <w:t>7</w:t>
        </w:r>
        <w:r w:rsidR="00B107F8">
          <w:rPr>
            <w:webHidden/>
          </w:rPr>
          <w:fldChar w:fldCharType="end"/>
        </w:r>
      </w:hyperlink>
    </w:p>
    <w:p w:rsidR="00B107F8" w:rsidRDefault="00B3282F">
      <w:pPr>
        <w:pStyle w:val="TOC3"/>
        <w:rPr>
          <w:rFonts w:asciiTheme="minorHAnsi" w:eastAsiaTheme="minorEastAsia" w:hAnsiTheme="minorHAnsi" w:cstheme="minorBidi"/>
          <w:szCs w:val="22"/>
          <w:lang w:val="en-AU" w:eastAsia="en-AU"/>
        </w:rPr>
      </w:pPr>
      <w:hyperlink w:anchor="_Toc335389111" w:history="1">
        <w:r w:rsidR="00B107F8" w:rsidRPr="00613755">
          <w:rPr>
            <w:rStyle w:val="Hyperlink"/>
          </w:rPr>
          <w:t>Co-dependent interventions</w:t>
        </w:r>
        <w:r w:rsidR="00B107F8">
          <w:rPr>
            <w:webHidden/>
          </w:rPr>
          <w:tab/>
        </w:r>
        <w:r w:rsidR="00B107F8">
          <w:rPr>
            <w:webHidden/>
          </w:rPr>
          <w:fldChar w:fldCharType="begin"/>
        </w:r>
        <w:r w:rsidR="00B107F8">
          <w:rPr>
            <w:webHidden/>
          </w:rPr>
          <w:instrText xml:space="preserve"> PAGEREF _Toc335389111 \h </w:instrText>
        </w:r>
        <w:r w:rsidR="00B107F8">
          <w:rPr>
            <w:webHidden/>
          </w:rPr>
        </w:r>
        <w:r w:rsidR="00B107F8">
          <w:rPr>
            <w:webHidden/>
          </w:rPr>
          <w:fldChar w:fldCharType="separate"/>
        </w:r>
        <w:r w:rsidR="001C3EAF">
          <w:rPr>
            <w:webHidden/>
          </w:rPr>
          <w:t>7</w:t>
        </w:r>
        <w:r w:rsidR="00B107F8">
          <w:rPr>
            <w:webHidden/>
          </w:rPr>
          <w:fldChar w:fldCharType="end"/>
        </w:r>
      </w:hyperlink>
    </w:p>
    <w:p w:rsidR="00B107F8" w:rsidRDefault="00B3282F">
      <w:pPr>
        <w:pStyle w:val="TOC1"/>
        <w:rPr>
          <w:rFonts w:asciiTheme="minorHAnsi" w:eastAsiaTheme="minorEastAsia" w:hAnsiTheme="minorHAnsi" w:cstheme="minorBidi"/>
          <w:b w:val="0"/>
          <w:sz w:val="22"/>
          <w:szCs w:val="22"/>
          <w:lang w:eastAsia="en-AU"/>
        </w:rPr>
      </w:pPr>
      <w:hyperlink w:anchor="_Toc335389112" w:history="1">
        <w:r w:rsidR="00B107F8" w:rsidRPr="00613755">
          <w:rPr>
            <w:rStyle w:val="Hyperlink"/>
          </w:rPr>
          <w:t>Listing proposed and options for MSAC consideration</w:t>
        </w:r>
        <w:r w:rsidR="00B107F8">
          <w:rPr>
            <w:webHidden/>
          </w:rPr>
          <w:tab/>
        </w:r>
        <w:r w:rsidR="00B107F8">
          <w:rPr>
            <w:webHidden/>
          </w:rPr>
          <w:fldChar w:fldCharType="begin"/>
        </w:r>
        <w:r w:rsidR="00B107F8">
          <w:rPr>
            <w:webHidden/>
          </w:rPr>
          <w:instrText xml:space="preserve"> PAGEREF _Toc335389112 \h </w:instrText>
        </w:r>
        <w:r w:rsidR="00B107F8">
          <w:rPr>
            <w:webHidden/>
          </w:rPr>
        </w:r>
        <w:r w:rsidR="00B107F8">
          <w:rPr>
            <w:webHidden/>
          </w:rPr>
          <w:fldChar w:fldCharType="separate"/>
        </w:r>
        <w:r w:rsidR="001C3EAF">
          <w:rPr>
            <w:webHidden/>
          </w:rPr>
          <w:t>8</w:t>
        </w:r>
        <w:r w:rsidR="00B107F8">
          <w:rPr>
            <w:webHidden/>
          </w:rPr>
          <w:fldChar w:fldCharType="end"/>
        </w:r>
      </w:hyperlink>
    </w:p>
    <w:p w:rsidR="00B107F8" w:rsidRDefault="00B3282F">
      <w:pPr>
        <w:pStyle w:val="TOC2"/>
        <w:rPr>
          <w:rFonts w:asciiTheme="minorHAnsi" w:eastAsiaTheme="minorEastAsia" w:hAnsiTheme="minorHAnsi" w:cstheme="minorBidi"/>
          <w:sz w:val="22"/>
          <w:szCs w:val="22"/>
          <w:lang w:val="en-AU" w:eastAsia="en-AU"/>
        </w:rPr>
      </w:pPr>
      <w:hyperlink w:anchor="_Toc335389113" w:history="1">
        <w:r w:rsidR="00B107F8" w:rsidRPr="00613755">
          <w:rPr>
            <w:rStyle w:val="Hyperlink"/>
            <w:lang w:val="en-AU"/>
          </w:rPr>
          <w:t>Proposed MBS listing</w:t>
        </w:r>
        <w:r w:rsidR="00B107F8">
          <w:rPr>
            <w:webHidden/>
          </w:rPr>
          <w:tab/>
        </w:r>
        <w:r w:rsidR="00B107F8">
          <w:rPr>
            <w:webHidden/>
          </w:rPr>
          <w:fldChar w:fldCharType="begin"/>
        </w:r>
        <w:r w:rsidR="00B107F8">
          <w:rPr>
            <w:webHidden/>
          </w:rPr>
          <w:instrText xml:space="preserve"> PAGEREF _Toc335389113 \h </w:instrText>
        </w:r>
        <w:r w:rsidR="00B107F8">
          <w:rPr>
            <w:webHidden/>
          </w:rPr>
        </w:r>
        <w:r w:rsidR="00B107F8">
          <w:rPr>
            <w:webHidden/>
          </w:rPr>
          <w:fldChar w:fldCharType="separate"/>
        </w:r>
        <w:r w:rsidR="001C3EAF">
          <w:rPr>
            <w:webHidden/>
          </w:rPr>
          <w:t>8</w:t>
        </w:r>
        <w:r w:rsidR="00B107F8">
          <w:rPr>
            <w:webHidden/>
          </w:rPr>
          <w:fldChar w:fldCharType="end"/>
        </w:r>
      </w:hyperlink>
    </w:p>
    <w:p w:rsidR="00B107F8" w:rsidRDefault="00B3282F">
      <w:pPr>
        <w:pStyle w:val="TOC2"/>
        <w:rPr>
          <w:rFonts w:asciiTheme="minorHAnsi" w:eastAsiaTheme="minorEastAsia" w:hAnsiTheme="minorHAnsi" w:cstheme="minorBidi"/>
          <w:sz w:val="22"/>
          <w:szCs w:val="22"/>
          <w:lang w:val="en-AU" w:eastAsia="en-AU"/>
        </w:rPr>
      </w:pPr>
      <w:hyperlink w:anchor="_Toc335389114" w:history="1">
        <w:r w:rsidR="00B107F8" w:rsidRPr="00613755">
          <w:rPr>
            <w:rStyle w:val="Hyperlink"/>
            <w:lang w:val="en-AU"/>
          </w:rPr>
          <w:t>Clinical place for proposed intervention</w:t>
        </w:r>
        <w:r w:rsidR="00B107F8">
          <w:rPr>
            <w:webHidden/>
          </w:rPr>
          <w:tab/>
        </w:r>
        <w:r w:rsidR="00B107F8">
          <w:rPr>
            <w:webHidden/>
          </w:rPr>
          <w:fldChar w:fldCharType="begin"/>
        </w:r>
        <w:r w:rsidR="00B107F8">
          <w:rPr>
            <w:webHidden/>
          </w:rPr>
          <w:instrText xml:space="preserve"> PAGEREF _Toc335389114 \h </w:instrText>
        </w:r>
        <w:r w:rsidR="00B107F8">
          <w:rPr>
            <w:webHidden/>
          </w:rPr>
        </w:r>
        <w:r w:rsidR="00B107F8">
          <w:rPr>
            <w:webHidden/>
          </w:rPr>
          <w:fldChar w:fldCharType="separate"/>
        </w:r>
        <w:r w:rsidR="001C3EAF">
          <w:rPr>
            <w:webHidden/>
          </w:rPr>
          <w:t>8</w:t>
        </w:r>
        <w:r w:rsidR="00B107F8">
          <w:rPr>
            <w:webHidden/>
          </w:rPr>
          <w:fldChar w:fldCharType="end"/>
        </w:r>
      </w:hyperlink>
    </w:p>
    <w:p w:rsidR="00B107F8" w:rsidRDefault="00B3282F">
      <w:pPr>
        <w:pStyle w:val="TOC3"/>
        <w:rPr>
          <w:rFonts w:asciiTheme="minorHAnsi" w:eastAsiaTheme="minorEastAsia" w:hAnsiTheme="minorHAnsi" w:cstheme="minorBidi"/>
          <w:szCs w:val="22"/>
          <w:lang w:val="en-AU" w:eastAsia="en-AU"/>
        </w:rPr>
      </w:pPr>
      <w:hyperlink w:anchor="_Toc335389115" w:history="1">
        <w:r w:rsidR="00B107F8" w:rsidRPr="00613755">
          <w:rPr>
            <w:rStyle w:val="Hyperlink"/>
          </w:rPr>
          <w:t>Current diagnostic pathway</w:t>
        </w:r>
        <w:r w:rsidR="00B107F8">
          <w:rPr>
            <w:webHidden/>
          </w:rPr>
          <w:tab/>
        </w:r>
        <w:r w:rsidR="00B107F8">
          <w:rPr>
            <w:webHidden/>
          </w:rPr>
          <w:fldChar w:fldCharType="begin"/>
        </w:r>
        <w:r w:rsidR="00B107F8">
          <w:rPr>
            <w:webHidden/>
          </w:rPr>
          <w:instrText xml:space="preserve"> PAGEREF _Toc335389115 \h </w:instrText>
        </w:r>
        <w:r w:rsidR="00B107F8">
          <w:rPr>
            <w:webHidden/>
          </w:rPr>
        </w:r>
        <w:r w:rsidR="00B107F8">
          <w:rPr>
            <w:webHidden/>
          </w:rPr>
          <w:fldChar w:fldCharType="separate"/>
        </w:r>
        <w:r w:rsidR="001C3EAF">
          <w:rPr>
            <w:webHidden/>
          </w:rPr>
          <w:t>8</w:t>
        </w:r>
        <w:r w:rsidR="00B107F8">
          <w:rPr>
            <w:webHidden/>
          </w:rPr>
          <w:fldChar w:fldCharType="end"/>
        </w:r>
      </w:hyperlink>
    </w:p>
    <w:p w:rsidR="00B107F8" w:rsidRDefault="00B3282F">
      <w:pPr>
        <w:pStyle w:val="TOC3"/>
        <w:rPr>
          <w:rFonts w:asciiTheme="minorHAnsi" w:eastAsiaTheme="minorEastAsia" w:hAnsiTheme="minorHAnsi" w:cstheme="minorBidi"/>
          <w:szCs w:val="22"/>
          <w:lang w:val="en-AU" w:eastAsia="en-AU"/>
        </w:rPr>
      </w:pPr>
      <w:hyperlink w:anchor="_Toc335389116" w:history="1">
        <w:r w:rsidR="00B107F8" w:rsidRPr="00613755">
          <w:rPr>
            <w:rStyle w:val="Hyperlink"/>
          </w:rPr>
          <w:t>Proposed diagnostic pathway</w:t>
        </w:r>
        <w:r w:rsidR="00B107F8">
          <w:rPr>
            <w:webHidden/>
          </w:rPr>
          <w:tab/>
        </w:r>
        <w:r w:rsidR="00B107F8">
          <w:rPr>
            <w:webHidden/>
          </w:rPr>
          <w:fldChar w:fldCharType="begin"/>
        </w:r>
        <w:r w:rsidR="00B107F8">
          <w:rPr>
            <w:webHidden/>
          </w:rPr>
          <w:instrText xml:space="preserve"> PAGEREF _Toc335389116 \h </w:instrText>
        </w:r>
        <w:r w:rsidR="00B107F8">
          <w:rPr>
            <w:webHidden/>
          </w:rPr>
        </w:r>
        <w:r w:rsidR="00B107F8">
          <w:rPr>
            <w:webHidden/>
          </w:rPr>
          <w:fldChar w:fldCharType="separate"/>
        </w:r>
        <w:r w:rsidR="001C3EAF">
          <w:rPr>
            <w:webHidden/>
          </w:rPr>
          <w:t>10</w:t>
        </w:r>
        <w:r w:rsidR="00B107F8">
          <w:rPr>
            <w:webHidden/>
          </w:rPr>
          <w:fldChar w:fldCharType="end"/>
        </w:r>
      </w:hyperlink>
    </w:p>
    <w:p w:rsidR="00B107F8" w:rsidRDefault="00B3282F">
      <w:pPr>
        <w:pStyle w:val="TOC1"/>
        <w:rPr>
          <w:rFonts w:asciiTheme="minorHAnsi" w:eastAsiaTheme="minorEastAsia" w:hAnsiTheme="minorHAnsi" w:cstheme="minorBidi"/>
          <w:b w:val="0"/>
          <w:sz w:val="22"/>
          <w:szCs w:val="22"/>
          <w:lang w:eastAsia="en-AU"/>
        </w:rPr>
      </w:pPr>
      <w:hyperlink w:anchor="_Toc335389117" w:history="1">
        <w:r w:rsidR="00B107F8" w:rsidRPr="00613755">
          <w:rPr>
            <w:rStyle w:val="Hyperlink"/>
          </w:rPr>
          <w:t>Comparator</w:t>
        </w:r>
        <w:r w:rsidR="00B107F8">
          <w:rPr>
            <w:webHidden/>
          </w:rPr>
          <w:tab/>
        </w:r>
        <w:r w:rsidR="00B107F8">
          <w:rPr>
            <w:webHidden/>
          </w:rPr>
          <w:fldChar w:fldCharType="begin"/>
        </w:r>
        <w:r w:rsidR="00B107F8">
          <w:rPr>
            <w:webHidden/>
          </w:rPr>
          <w:instrText xml:space="preserve"> PAGEREF _Toc335389117 \h </w:instrText>
        </w:r>
        <w:r w:rsidR="00B107F8">
          <w:rPr>
            <w:webHidden/>
          </w:rPr>
        </w:r>
        <w:r w:rsidR="00B107F8">
          <w:rPr>
            <w:webHidden/>
          </w:rPr>
          <w:fldChar w:fldCharType="separate"/>
        </w:r>
        <w:r w:rsidR="001C3EAF">
          <w:rPr>
            <w:webHidden/>
          </w:rPr>
          <w:t>11</w:t>
        </w:r>
        <w:r w:rsidR="00B107F8">
          <w:rPr>
            <w:webHidden/>
          </w:rPr>
          <w:fldChar w:fldCharType="end"/>
        </w:r>
      </w:hyperlink>
    </w:p>
    <w:p w:rsidR="00B107F8" w:rsidRDefault="00B3282F">
      <w:pPr>
        <w:pStyle w:val="TOC1"/>
        <w:rPr>
          <w:rFonts w:asciiTheme="minorHAnsi" w:eastAsiaTheme="minorEastAsia" w:hAnsiTheme="minorHAnsi" w:cstheme="minorBidi"/>
          <w:b w:val="0"/>
          <w:sz w:val="22"/>
          <w:szCs w:val="22"/>
          <w:lang w:eastAsia="en-AU"/>
        </w:rPr>
      </w:pPr>
      <w:hyperlink w:anchor="_Toc335389118" w:history="1">
        <w:r w:rsidR="00B107F8" w:rsidRPr="00613755">
          <w:rPr>
            <w:rStyle w:val="Hyperlink"/>
          </w:rPr>
          <w:t>Clinical claim</w:t>
        </w:r>
        <w:r w:rsidR="00B107F8">
          <w:rPr>
            <w:webHidden/>
          </w:rPr>
          <w:tab/>
        </w:r>
        <w:r w:rsidR="00B107F8">
          <w:rPr>
            <w:webHidden/>
          </w:rPr>
          <w:fldChar w:fldCharType="begin"/>
        </w:r>
        <w:r w:rsidR="00B107F8">
          <w:rPr>
            <w:webHidden/>
          </w:rPr>
          <w:instrText xml:space="preserve"> PAGEREF _Toc335389118 \h </w:instrText>
        </w:r>
        <w:r w:rsidR="00B107F8">
          <w:rPr>
            <w:webHidden/>
          </w:rPr>
        </w:r>
        <w:r w:rsidR="00B107F8">
          <w:rPr>
            <w:webHidden/>
          </w:rPr>
          <w:fldChar w:fldCharType="separate"/>
        </w:r>
        <w:r w:rsidR="001C3EAF">
          <w:rPr>
            <w:webHidden/>
          </w:rPr>
          <w:t>11</w:t>
        </w:r>
        <w:r w:rsidR="00B107F8">
          <w:rPr>
            <w:webHidden/>
          </w:rPr>
          <w:fldChar w:fldCharType="end"/>
        </w:r>
      </w:hyperlink>
    </w:p>
    <w:p w:rsidR="00B107F8" w:rsidRDefault="00B3282F">
      <w:pPr>
        <w:pStyle w:val="TOC1"/>
        <w:rPr>
          <w:rFonts w:asciiTheme="minorHAnsi" w:eastAsiaTheme="minorEastAsia" w:hAnsiTheme="minorHAnsi" w:cstheme="minorBidi"/>
          <w:b w:val="0"/>
          <w:sz w:val="22"/>
          <w:szCs w:val="22"/>
          <w:lang w:eastAsia="en-AU"/>
        </w:rPr>
      </w:pPr>
      <w:hyperlink w:anchor="_Toc335389119" w:history="1">
        <w:r w:rsidR="00B107F8" w:rsidRPr="00613755">
          <w:rPr>
            <w:rStyle w:val="Hyperlink"/>
          </w:rPr>
          <w:t>Outcomes and health care resources affected by introduction of proposed intervention</w:t>
        </w:r>
        <w:r w:rsidR="00B107F8">
          <w:rPr>
            <w:webHidden/>
          </w:rPr>
          <w:tab/>
        </w:r>
        <w:r w:rsidR="00B107F8">
          <w:rPr>
            <w:webHidden/>
          </w:rPr>
          <w:fldChar w:fldCharType="begin"/>
        </w:r>
        <w:r w:rsidR="00B107F8">
          <w:rPr>
            <w:webHidden/>
          </w:rPr>
          <w:instrText xml:space="preserve"> PAGEREF _Toc335389119 \h </w:instrText>
        </w:r>
        <w:r w:rsidR="00B107F8">
          <w:rPr>
            <w:webHidden/>
          </w:rPr>
        </w:r>
        <w:r w:rsidR="00B107F8">
          <w:rPr>
            <w:webHidden/>
          </w:rPr>
          <w:fldChar w:fldCharType="separate"/>
        </w:r>
        <w:r w:rsidR="001C3EAF">
          <w:rPr>
            <w:webHidden/>
          </w:rPr>
          <w:t>11</w:t>
        </w:r>
        <w:r w:rsidR="00B107F8">
          <w:rPr>
            <w:webHidden/>
          </w:rPr>
          <w:fldChar w:fldCharType="end"/>
        </w:r>
      </w:hyperlink>
    </w:p>
    <w:p w:rsidR="00B107F8" w:rsidRDefault="00B3282F">
      <w:pPr>
        <w:pStyle w:val="TOC2"/>
        <w:rPr>
          <w:rFonts w:asciiTheme="minorHAnsi" w:eastAsiaTheme="minorEastAsia" w:hAnsiTheme="minorHAnsi" w:cstheme="minorBidi"/>
          <w:sz w:val="22"/>
          <w:szCs w:val="22"/>
          <w:lang w:val="en-AU" w:eastAsia="en-AU"/>
        </w:rPr>
      </w:pPr>
      <w:hyperlink w:anchor="_Toc335389120" w:history="1">
        <w:r w:rsidR="00B107F8" w:rsidRPr="00613755">
          <w:rPr>
            <w:rStyle w:val="Hyperlink"/>
            <w:lang w:val="en-AU"/>
          </w:rPr>
          <w:t>Clinical outcomes</w:t>
        </w:r>
        <w:r w:rsidR="00B107F8">
          <w:rPr>
            <w:webHidden/>
          </w:rPr>
          <w:tab/>
        </w:r>
        <w:r w:rsidR="00B107F8">
          <w:rPr>
            <w:webHidden/>
          </w:rPr>
          <w:fldChar w:fldCharType="begin"/>
        </w:r>
        <w:r w:rsidR="00B107F8">
          <w:rPr>
            <w:webHidden/>
          </w:rPr>
          <w:instrText xml:space="preserve"> PAGEREF _Toc335389120 \h </w:instrText>
        </w:r>
        <w:r w:rsidR="00B107F8">
          <w:rPr>
            <w:webHidden/>
          </w:rPr>
        </w:r>
        <w:r w:rsidR="00B107F8">
          <w:rPr>
            <w:webHidden/>
          </w:rPr>
          <w:fldChar w:fldCharType="separate"/>
        </w:r>
        <w:r w:rsidR="001C3EAF">
          <w:rPr>
            <w:webHidden/>
          </w:rPr>
          <w:t>11</w:t>
        </w:r>
        <w:r w:rsidR="00B107F8">
          <w:rPr>
            <w:webHidden/>
          </w:rPr>
          <w:fldChar w:fldCharType="end"/>
        </w:r>
      </w:hyperlink>
    </w:p>
    <w:p w:rsidR="00B107F8" w:rsidRDefault="00B3282F">
      <w:pPr>
        <w:pStyle w:val="TOC2"/>
        <w:rPr>
          <w:rFonts w:asciiTheme="minorHAnsi" w:eastAsiaTheme="minorEastAsia" w:hAnsiTheme="minorHAnsi" w:cstheme="minorBidi"/>
          <w:sz w:val="22"/>
          <w:szCs w:val="22"/>
          <w:lang w:val="en-AU" w:eastAsia="en-AU"/>
        </w:rPr>
      </w:pPr>
      <w:hyperlink w:anchor="_Toc335389121" w:history="1">
        <w:r w:rsidR="00B107F8" w:rsidRPr="00613755">
          <w:rPr>
            <w:rStyle w:val="Hyperlink"/>
            <w:lang w:val="en-AU"/>
          </w:rPr>
          <w:t>Health care resources</w:t>
        </w:r>
        <w:r w:rsidR="00B107F8">
          <w:rPr>
            <w:webHidden/>
          </w:rPr>
          <w:tab/>
        </w:r>
        <w:r w:rsidR="00B107F8">
          <w:rPr>
            <w:webHidden/>
          </w:rPr>
          <w:fldChar w:fldCharType="begin"/>
        </w:r>
        <w:r w:rsidR="00B107F8">
          <w:rPr>
            <w:webHidden/>
          </w:rPr>
          <w:instrText xml:space="preserve"> PAGEREF _Toc335389121 \h </w:instrText>
        </w:r>
        <w:r w:rsidR="00B107F8">
          <w:rPr>
            <w:webHidden/>
          </w:rPr>
        </w:r>
        <w:r w:rsidR="00B107F8">
          <w:rPr>
            <w:webHidden/>
          </w:rPr>
          <w:fldChar w:fldCharType="separate"/>
        </w:r>
        <w:r w:rsidR="001C3EAF">
          <w:rPr>
            <w:webHidden/>
          </w:rPr>
          <w:t>12</w:t>
        </w:r>
        <w:r w:rsidR="00B107F8">
          <w:rPr>
            <w:webHidden/>
          </w:rPr>
          <w:fldChar w:fldCharType="end"/>
        </w:r>
      </w:hyperlink>
    </w:p>
    <w:p w:rsidR="00B107F8" w:rsidRDefault="00B3282F">
      <w:pPr>
        <w:pStyle w:val="TOC1"/>
        <w:rPr>
          <w:rFonts w:asciiTheme="minorHAnsi" w:eastAsiaTheme="minorEastAsia" w:hAnsiTheme="minorHAnsi" w:cstheme="minorBidi"/>
          <w:b w:val="0"/>
          <w:sz w:val="22"/>
          <w:szCs w:val="22"/>
          <w:lang w:eastAsia="en-AU"/>
        </w:rPr>
      </w:pPr>
      <w:hyperlink w:anchor="_Toc335389122" w:history="1">
        <w:r w:rsidR="00B107F8" w:rsidRPr="00613755">
          <w:rPr>
            <w:rStyle w:val="Hyperlink"/>
          </w:rPr>
          <w:t>Proposed structure of economic evaluation (decision-analytic)</w:t>
        </w:r>
        <w:r w:rsidR="00B107F8">
          <w:rPr>
            <w:webHidden/>
          </w:rPr>
          <w:tab/>
        </w:r>
        <w:r w:rsidR="00B107F8">
          <w:rPr>
            <w:webHidden/>
          </w:rPr>
          <w:fldChar w:fldCharType="begin"/>
        </w:r>
        <w:r w:rsidR="00B107F8">
          <w:rPr>
            <w:webHidden/>
          </w:rPr>
          <w:instrText xml:space="preserve"> PAGEREF _Toc335389122 \h </w:instrText>
        </w:r>
        <w:r w:rsidR="00B107F8">
          <w:rPr>
            <w:webHidden/>
          </w:rPr>
        </w:r>
        <w:r w:rsidR="00B107F8">
          <w:rPr>
            <w:webHidden/>
          </w:rPr>
          <w:fldChar w:fldCharType="separate"/>
        </w:r>
        <w:r w:rsidR="001C3EAF">
          <w:rPr>
            <w:webHidden/>
          </w:rPr>
          <w:t>14</w:t>
        </w:r>
        <w:r w:rsidR="00B107F8">
          <w:rPr>
            <w:webHidden/>
          </w:rPr>
          <w:fldChar w:fldCharType="end"/>
        </w:r>
      </w:hyperlink>
    </w:p>
    <w:p w:rsidR="00B107F8" w:rsidRDefault="00B3282F">
      <w:pPr>
        <w:pStyle w:val="TOC1"/>
        <w:rPr>
          <w:rFonts w:asciiTheme="minorHAnsi" w:eastAsiaTheme="minorEastAsia" w:hAnsiTheme="minorHAnsi" w:cstheme="minorBidi"/>
          <w:b w:val="0"/>
          <w:sz w:val="22"/>
          <w:szCs w:val="22"/>
          <w:lang w:eastAsia="en-AU"/>
        </w:rPr>
      </w:pPr>
      <w:hyperlink w:anchor="_Toc335389123" w:history="1">
        <w:r w:rsidR="00B107F8" w:rsidRPr="00613755">
          <w:rPr>
            <w:rStyle w:val="Hyperlink"/>
          </w:rPr>
          <w:t>Decision analytic tree</w:t>
        </w:r>
        <w:r w:rsidR="00B107F8">
          <w:rPr>
            <w:webHidden/>
          </w:rPr>
          <w:tab/>
        </w:r>
        <w:r w:rsidR="00B107F8">
          <w:rPr>
            <w:webHidden/>
          </w:rPr>
          <w:fldChar w:fldCharType="begin"/>
        </w:r>
        <w:r w:rsidR="00B107F8">
          <w:rPr>
            <w:webHidden/>
          </w:rPr>
          <w:instrText xml:space="preserve"> PAGEREF _Toc335389123 \h </w:instrText>
        </w:r>
        <w:r w:rsidR="00B107F8">
          <w:rPr>
            <w:webHidden/>
          </w:rPr>
        </w:r>
        <w:r w:rsidR="00B107F8">
          <w:rPr>
            <w:webHidden/>
          </w:rPr>
          <w:fldChar w:fldCharType="separate"/>
        </w:r>
        <w:r w:rsidR="001C3EAF">
          <w:rPr>
            <w:webHidden/>
          </w:rPr>
          <w:t>15</w:t>
        </w:r>
        <w:r w:rsidR="00B107F8">
          <w:rPr>
            <w:webHidden/>
          </w:rPr>
          <w:fldChar w:fldCharType="end"/>
        </w:r>
      </w:hyperlink>
    </w:p>
    <w:p w:rsidR="00B107F8" w:rsidRDefault="00B3282F">
      <w:pPr>
        <w:pStyle w:val="TOC1"/>
        <w:rPr>
          <w:rFonts w:asciiTheme="minorHAnsi" w:eastAsiaTheme="minorEastAsia" w:hAnsiTheme="minorHAnsi" w:cstheme="minorBidi"/>
          <w:b w:val="0"/>
          <w:sz w:val="22"/>
          <w:szCs w:val="22"/>
          <w:lang w:eastAsia="en-AU"/>
        </w:rPr>
      </w:pPr>
      <w:hyperlink w:anchor="_Toc335389124" w:history="1">
        <w:r w:rsidR="00B107F8" w:rsidRPr="00613755">
          <w:rPr>
            <w:rStyle w:val="Hyperlink"/>
          </w:rPr>
          <w:t>References</w:t>
        </w:r>
        <w:r w:rsidR="00B107F8">
          <w:rPr>
            <w:webHidden/>
          </w:rPr>
          <w:tab/>
        </w:r>
        <w:r w:rsidR="00B107F8">
          <w:rPr>
            <w:webHidden/>
          </w:rPr>
          <w:fldChar w:fldCharType="begin"/>
        </w:r>
        <w:r w:rsidR="00B107F8">
          <w:rPr>
            <w:webHidden/>
          </w:rPr>
          <w:instrText xml:space="preserve"> PAGEREF _Toc335389124 \h </w:instrText>
        </w:r>
        <w:r w:rsidR="00B107F8">
          <w:rPr>
            <w:webHidden/>
          </w:rPr>
        </w:r>
        <w:r w:rsidR="00B107F8">
          <w:rPr>
            <w:webHidden/>
          </w:rPr>
          <w:fldChar w:fldCharType="separate"/>
        </w:r>
        <w:r w:rsidR="001C3EAF">
          <w:rPr>
            <w:webHidden/>
          </w:rPr>
          <w:t>16</w:t>
        </w:r>
        <w:r w:rsidR="00B107F8">
          <w:rPr>
            <w:webHidden/>
          </w:rPr>
          <w:fldChar w:fldCharType="end"/>
        </w:r>
      </w:hyperlink>
    </w:p>
    <w:p w:rsidR="00ED0820" w:rsidRPr="00EB0F2A" w:rsidDel="001A7BFD" w:rsidRDefault="0064572E" w:rsidP="001A32D2">
      <w:pPr>
        <w:pStyle w:val="Heading1"/>
      </w:pPr>
      <w:r w:rsidRPr="00EB0F2A">
        <w:lastRenderedPageBreak/>
        <w:fldChar w:fldCharType="end"/>
      </w:r>
      <w:bookmarkStart w:id="2" w:name="_Toc335389096"/>
      <w:bookmarkEnd w:id="0"/>
      <w:r w:rsidR="00ED0820">
        <w:t>MSAC and PASC</w:t>
      </w:r>
      <w:bookmarkEnd w:id="2"/>
    </w:p>
    <w:p w:rsidR="00ED0820" w:rsidRPr="00EB0F2A" w:rsidRDefault="00ED0820" w:rsidP="001A7BFD"/>
    <w:p w:rsidR="00ED0820" w:rsidRPr="00EB0F2A" w:rsidRDefault="00ED0820" w:rsidP="000901A8">
      <w:r w:rsidRPr="00EB0F2A">
        <w:t xml:space="preserve">The Medical Services Advisory Committee (MSAC) is an independent expert committee appointed by the Minister for Health and Ageing (the Minister) to strengthen the role of evidence in health financing decisions in </w:t>
      </w:r>
      <w:smartTag w:uri="urn:schemas-microsoft-com:office:smarttags" w:element="country-region">
        <w:smartTag w:uri="urn:schemas-microsoft-com:office:smarttags" w:element="place">
          <w:r w:rsidRPr="00EB0F2A">
            <w:t>Australia</w:t>
          </w:r>
        </w:smartTag>
      </w:smartTag>
      <w:r w:rsidRPr="00EB0F2A">
        <w:t>. MSAC advises the Minister on the evidence relating to the safety, effectiveness, and cost-effectiveness of new and existing medical technologies and procedures and under what circumstances public funding should be supported.</w:t>
      </w:r>
    </w:p>
    <w:p w:rsidR="00ED0820" w:rsidRPr="00EB0F2A" w:rsidRDefault="00ED0820" w:rsidP="000901A8">
      <w:r w:rsidRPr="00EB0F2A">
        <w:t>The Protocol Advisory Sub-Committee (PASC) is a standing sub-committee of MSAC. Its primary objective is the determination of protocols to guide clinical and economic assessments of medical interventions proposed for public funding.</w:t>
      </w:r>
    </w:p>
    <w:p w:rsidR="00ED0820" w:rsidRPr="00EB0F2A" w:rsidRDefault="00ED0820" w:rsidP="000901A8">
      <w:pPr>
        <w:pStyle w:val="Heading2"/>
        <w:rPr>
          <w:lang w:val="en-AU"/>
        </w:rPr>
      </w:pPr>
      <w:bookmarkStart w:id="3" w:name="_Toc335389097"/>
      <w:r w:rsidRPr="00EB0F2A">
        <w:rPr>
          <w:lang w:val="en-AU"/>
        </w:rPr>
        <w:t>Purpose of this document</w:t>
      </w:r>
      <w:bookmarkEnd w:id="3"/>
    </w:p>
    <w:p w:rsidR="00ED0820" w:rsidRPr="00EB0F2A" w:rsidRDefault="00ED0820" w:rsidP="000901A8">
      <w:r w:rsidRPr="00EB0F2A">
        <w:t>This document is intended to provide a draft decision analytic protocol that will be used to guide the assessment of an intervention for a particular population of patients. The draft protocol will be finalised after inviting relevant stakeholders to provide input to the protocol. The final protocol will provide the basis for the assessment of the intervention.</w:t>
      </w:r>
    </w:p>
    <w:p w:rsidR="00ED0820" w:rsidRPr="00EB0F2A" w:rsidRDefault="00ED0820" w:rsidP="000901A8">
      <w:r w:rsidRPr="00EB0F2A">
        <w:t>The protocol guiding the assessment of the health intervention has been developed using the widely accepted “PICO” approach. The PICO approach involves a clear articulation of the following aspects of the research question that the assessment is intended to answer:</w:t>
      </w:r>
    </w:p>
    <w:p w:rsidR="00ED0820" w:rsidRPr="00EB0F2A" w:rsidRDefault="00ED0820" w:rsidP="00DB3780">
      <w:pPr>
        <w:pStyle w:val="ListParagraph"/>
        <w:ind w:left="2127" w:hanging="1407"/>
      </w:pPr>
      <w:r w:rsidRPr="00EB0F2A">
        <w:rPr>
          <w:b/>
          <w:u w:val="single"/>
        </w:rPr>
        <w:t>P</w:t>
      </w:r>
      <w:r w:rsidRPr="00EB0F2A">
        <w:t xml:space="preserve">atients – </w:t>
      </w:r>
      <w:r w:rsidRPr="00EB0F2A">
        <w:tab/>
        <w:t>specification of the characteristics of the patients in whom the intervention is to be considered for use</w:t>
      </w:r>
    </w:p>
    <w:p w:rsidR="00ED0820" w:rsidRPr="00EB0F2A" w:rsidRDefault="00ED0820" w:rsidP="00DB3780">
      <w:pPr>
        <w:pStyle w:val="ListParagraph"/>
        <w:ind w:left="2127" w:hanging="1407"/>
      </w:pPr>
      <w:r w:rsidRPr="00EB0F2A">
        <w:rPr>
          <w:b/>
          <w:u w:val="single"/>
        </w:rPr>
        <w:t>I</w:t>
      </w:r>
      <w:r w:rsidRPr="00EB0F2A">
        <w:t>ntervention –</w:t>
      </w:r>
      <w:r w:rsidRPr="00EB0F2A">
        <w:tab/>
        <w:t>specification of the proposed intervention and how it is delivered</w:t>
      </w:r>
    </w:p>
    <w:p w:rsidR="00ED0820" w:rsidRPr="00EB0F2A" w:rsidRDefault="00ED0820" w:rsidP="00DB3780">
      <w:pPr>
        <w:pStyle w:val="ListParagraph"/>
        <w:ind w:left="2127" w:hanging="1407"/>
      </w:pPr>
      <w:r w:rsidRPr="00EB0F2A">
        <w:rPr>
          <w:b/>
          <w:u w:val="single"/>
        </w:rPr>
        <w:t>C</w:t>
      </w:r>
      <w:r w:rsidRPr="00EB0F2A">
        <w:t>omparator –</w:t>
      </w:r>
      <w:r w:rsidRPr="00EB0F2A">
        <w:tab/>
        <w:t>specification of the therapy most likely to be replaced by the proposed intervention</w:t>
      </w:r>
    </w:p>
    <w:p w:rsidR="00ED0820" w:rsidRPr="00EB0F2A" w:rsidRDefault="00ED0820" w:rsidP="00DB3780">
      <w:pPr>
        <w:pStyle w:val="ListParagraph"/>
        <w:ind w:left="2127" w:hanging="1407"/>
      </w:pPr>
      <w:r w:rsidRPr="00EB0F2A">
        <w:rPr>
          <w:b/>
          <w:u w:val="single"/>
        </w:rPr>
        <w:t>O</w:t>
      </w:r>
      <w:r w:rsidRPr="00EB0F2A">
        <w:t>utcomes –</w:t>
      </w:r>
      <w:r w:rsidRPr="00EB0F2A">
        <w:tab/>
        <w:t>specification of the health outcomes and the healthcare resources likely to be affected by the introduction of the proposed intervention</w:t>
      </w:r>
    </w:p>
    <w:p w:rsidR="00ED0820" w:rsidRPr="00EB0F2A" w:rsidRDefault="00ED0820">
      <w:pPr>
        <w:spacing w:after="200" w:line="276" w:lineRule="auto"/>
        <w:jc w:val="left"/>
      </w:pPr>
      <w:r w:rsidRPr="00EB0F2A">
        <w:br w:type="page"/>
      </w:r>
    </w:p>
    <w:p w:rsidR="00880200" w:rsidRPr="00EB0F2A" w:rsidRDefault="00880200" w:rsidP="00880200">
      <w:pPr>
        <w:pStyle w:val="Heading1"/>
      </w:pPr>
      <w:bookmarkStart w:id="4" w:name="_Toc335389098"/>
      <w:r w:rsidRPr="00EB0F2A">
        <w:lastRenderedPageBreak/>
        <w:t>Purpose of application</w:t>
      </w:r>
      <w:bookmarkEnd w:id="4"/>
    </w:p>
    <w:p w:rsidR="00880200" w:rsidRPr="00EB0F2A" w:rsidRDefault="00880200" w:rsidP="00880200">
      <w:r w:rsidRPr="00EB0F2A">
        <w:t>A proposal for an application requesting MBS listing of transthyretin (TTR) genetic testing to establish the diagnosis of transthyretin familial amyloid polyneuropathy (TTR-FAP) for access to tafamidis meglumine</w:t>
      </w:r>
      <w:r>
        <w:t xml:space="preserve"> (hereafter, tafamidis)</w:t>
      </w:r>
      <w:r w:rsidRPr="00EB0F2A">
        <w:t xml:space="preserve"> was received from  Pfizer Australia Pty Limited by the Department of Health and Ageing in December 2011. </w:t>
      </w:r>
    </w:p>
    <w:p w:rsidR="00880200" w:rsidRPr="00EB0F2A" w:rsidRDefault="00880200" w:rsidP="00880200">
      <w:pPr>
        <w:pStyle w:val="Heading1"/>
      </w:pPr>
      <w:bookmarkStart w:id="5" w:name="_Toc335389099"/>
      <w:r w:rsidRPr="00EB0F2A">
        <w:t>Background</w:t>
      </w:r>
      <w:bookmarkEnd w:id="5"/>
    </w:p>
    <w:p w:rsidR="00880200" w:rsidRPr="00EB0F2A" w:rsidRDefault="00880200" w:rsidP="00880200">
      <w:pPr>
        <w:pStyle w:val="Heading2"/>
        <w:rPr>
          <w:lang w:val="en-AU"/>
        </w:rPr>
      </w:pPr>
      <w:bookmarkStart w:id="6" w:name="_Toc335389100"/>
      <w:r w:rsidRPr="00EB0F2A">
        <w:rPr>
          <w:lang w:val="en-AU"/>
        </w:rPr>
        <w:t>Current arrangements for public reimbursement</w:t>
      </w:r>
      <w:bookmarkEnd w:id="6"/>
    </w:p>
    <w:p w:rsidR="00880200" w:rsidRDefault="00880200" w:rsidP="004665FC">
      <w:r>
        <w:t>Transthyretin (TTR) genetic testing is not currently available on the MBS. However, TTR genetic testing is presently accessible to Australian patients</w:t>
      </w:r>
      <w:r w:rsidR="004665FC">
        <w:t xml:space="preserve"> in commercial laboratories (via self-pay) or funded, in some cases (e.g. patients who physically attend the Westmead Amyloidosis Clinic). </w:t>
      </w:r>
      <w:r>
        <w:t>Laboratories that currently provide TTR testing service include: Applied Genetic Diagnostics (University of Melbourne)</w:t>
      </w:r>
      <w:r w:rsidR="004665FC">
        <w:t xml:space="preserve"> and</w:t>
      </w:r>
      <w:r>
        <w:t xml:space="preserve"> Amyloid Clinic (Westmead Hospital, Sydney). </w:t>
      </w:r>
    </w:p>
    <w:p w:rsidR="00880200" w:rsidRPr="00EB0F2A" w:rsidRDefault="00880200" w:rsidP="00880200">
      <w:pPr>
        <w:pStyle w:val="Heading2"/>
        <w:rPr>
          <w:lang w:val="en-AU"/>
        </w:rPr>
      </w:pPr>
      <w:bookmarkStart w:id="7" w:name="_Toc335389101"/>
      <w:r w:rsidRPr="00EB0F2A">
        <w:rPr>
          <w:lang w:val="en-AU"/>
        </w:rPr>
        <w:t>Regulatory status</w:t>
      </w:r>
      <w:bookmarkEnd w:id="7"/>
    </w:p>
    <w:p w:rsidR="00880200" w:rsidRDefault="00880200" w:rsidP="00880200">
      <w:pPr>
        <w:rPr>
          <w:lang w:eastAsia="ja-JP"/>
        </w:rPr>
      </w:pPr>
      <w:r>
        <w:rPr>
          <w:lang w:eastAsia="ja-JP"/>
        </w:rPr>
        <w:t xml:space="preserve">Under Therapeutic Goods Administration’s (TGA) rules, human genetic tests are classified as Class 3 in-vitro diagnostic tests (IVDs) (TGA, 2011).  TGA is currently in the process of developing a regulatory framework for in-vitro diagnostic devices. Under this framework, any IVDs that are currently listed, registered or exempt, will be required to undergo a review for inclusion on the Australian Register of Therapeutic Goods (ARTG) prior to </w:t>
      </w:r>
      <w:r w:rsidR="00741BE6">
        <w:rPr>
          <w:lang w:eastAsia="ja-JP"/>
        </w:rPr>
        <w:t xml:space="preserve">1 </w:t>
      </w:r>
      <w:r>
        <w:rPr>
          <w:lang w:eastAsia="ja-JP"/>
        </w:rPr>
        <w:t xml:space="preserve">July 2014. Any new IVDs introduced in the Australian market after </w:t>
      </w:r>
      <w:r w:rsidR="00741BE6">
        <w:rPr>
          <w:lang w:eastAsia="ja-JP"/>
        </w:rPr>
        <w:t xml:space="preserve">1 </w:t>
      </w:r>
      <w:r w:rsidR="001A6A6F">
        <w:rPr>
          <w:lang w:eastAsia="ja-JP"/>
        </w:rPr>
        <w:t>July 2010</w:t>
      </w:r>
      <w:r>
        <w:rPr>
          <w:lang w:eastAsia="ja-JP"/>
        </w:rPr>
        <w:t xml:space="preserve"> must be included on the ARTG prior to legal supply.</w:t>
      </w:r>
      <w:r w:rsidR="00B107F8">
        <w:rPr>
          <w:lang w:eastAsia="ja-JP"/>
        </w:rPr>
        <w:t xml:space="preserve"> </w:t>
      </w:r>
      <w:r w:rsidR="00741BE6">
        <w:rPr>
          <w:lang w:eastAsia="ja-JP"/>
        </w:rPr>
        <w:t xml:space="preserve">As the TTR-FAP genetic test was first offered in Australia in 2008, it </w:t>
      </w:r>
      <w:r w:rsidR="001A6A6F">
        <w:rPr>
          <w:lang w:eastAsia="ja-JP"/>
        </w:rPr>
        <w:t>is therefore</w:t>
      </w:r>
      <w:r w:rsidR="00741BE6">
        <w:rPr>
          <w:lang w:eastAsia="ja-JP"/>
        </w:rPr>
        <w:t xml:space="preserve"> required to undergo a review for inclusion on the ARTG prior to 1 July 2014.</w:t>
      </w:r>
    </w:p>
    <w:p w:rsidR="00880200" w:rsidRDefault="00880200" w:rsidP="00880200">
      <w:pPr>
        <w:rPr>
          <w:lang w:eastAsia="ja-JP"/>
        </w:rPr>
      </w:pPr>
      <w:r>
        <w:rPr>
          <w:lang w:eastAsia="ja-JP"/>
        </w:rPr>
        <w:t>The Applicant proposes that access to tafamidis be contingent on the results of the genetic test. Tafamidis has been granted orphan drug status by the TGA</w:t>
      </w:r>
      <w:r>
        <w:rPr>
          <w:rStyle w:val="FootnoteReference"/>
          <w:lang w:eastAsia="ja-JP"/>
        </w:rPr>
        <w:footnoteReference w:id="1"/>
      </w:r>
      <w:r>
        <w:rPr>
          <w:lang w:eastAsia="ja-JP"/>
        </w:rPr>
        <w:t xml:space="preserve">, and the Applicant advises that a submission is planned </w:t>
      </w:r>
      <w:r w:rsidRPr="00EB0F2A">
        <w:rPr>
          <w:lang w:eastAsia="ja-JP"/>
        </w:rPr>
        <w:t>to the Pharmaceutical Benefits Advisory Committee for funding of tafamidis under the Life Saving Drugs Programme (</w:t>
      </w:r>
      <w:r>
        <w:rPr>
          <w:lang w:eastAsia="ja-JP"/>
        </w:rPr>
        <w:t>LSDP) for adult patients with TTR-FAP.</w:t>
      </w:r>
      <w:r>
        <w:rPr>
          <w:lang w:eastAsia="ja-JP"/>
        </w:rPr>
        <w:br w:type="page"/>
      </w:r>
    </w:p>
    <w:p w:rsidR="00ED0820" w:rsidRPr="00EB0F2A" w:rsidRDefault="00ED0820" w:rsidP="000901A8">
      <w:pPr>
        <w:pStyle w:val="Heading1"/>
      </w:pPr>
      <w:bookmarkStart w:id="8" w:name="_Toc335389102"/>
      <w:r w:rsidRPr="00EB0F2A">
        <w:lastRenderedPageBreak/>
        <w:t>Intervention</w:t>
      </w:r>
      <w:bookmarkEnd w:id="8"/>
    </w:p>
    <w:p w:rsidR="00ED0820" w:rsidRPr="00EB0F2A" w:rsidRDefault="00ED0820" w:rsidP="000901A8">
      <w:pPr>
        <w:pStyle w:val="Heading2"/>
        <w:rPr>
          <w:lang w:val="en-AU"/>
        </w:rPr>
      </w:pPr>
      <w:bookmarkStart w:id="9" w:name="_Toc335389103"/>
      <w:r w:rsidRPr="00EB0F2A">
        <w:rPr>
          <w:lang w:val="en-AU"/>
        </w:rPr>
        <w:t>Description</w:t>
      </w:r>
      <w:bookmarkEnd w:id="9"/>
    </w:p>
    <w:p w:rsidR="00ED0820" w:rsidRPr="00A17BAF" w:rsidRDefault="00ED0820" w:rsidP="00E26F89">
      <w:pPr>
        <w:pStyle w:val="Heading3"/>
        <w:rPr>
          <w:color w:val="auto"/>
          <w:u w:val="single"/>
        </w:rPr>
      </w:pPr>
      <w:bookmarkStart w:id="10" w:name="_Toc335389104"/>
      <w:r w:rsidRPr="00A17BAF">
        <w:rPr>
          <w:color w:val="auto"/>
          <w:u w:val="single"/>
        </w:rPr>
        <w:t>Description of the medical condition</w:t>
      </w:r>
      <w:bookmarkEnd w:id="10"/>
    </w:p>
    <w:p w:rsidR="00ED0820" w:rsidRDefault="00ED0820" w:rsidP="00362C7C">
      <w:r>
        <w:t xml:space="preserve">Transthyretin familial amyloid polyneuropathy (TTR-FAP) was first identified in 1952, in Portugal; cases were subsequently reported in Japan (1968), Sweden (1976), and worldwide (Plante-Bordeneuve &amp; Said, 2011). </w:t>
      </w:r>
      <w:r w:rsidRPr="00634A40">
        <w:t>The disease is extremely rare</w:t>
      </w:r>
      <w:r>
        <w:t xml:space="preserve"> – t</w:t>
      </w:r>
      <w:r w:rsidRPr="00634A40">
        <w:t>he European Medicines Agency</w:t>
      </w:r>
      <w:r>
        <w:t xml:space="preserve"> (EMA)</w:t>
      </w:r>
      <w:r w:rsidRPr="00634A40">
        <w:t xml:space="preserve"> estimates the overall population of TTR-FAP patients in Europe at 2,700-3,500, and the worldwide population of patients at 5,000-10,000 (European Medicines Ag</w:t>
      </w:r>
      <w:r>
        <w:t>ency, 2011). The prevalence in Australia is not presently known. The EMA numbers would suggest a patient population in Australia of between 81-105 persons</w:t>
      </w:r>
      <w:r w:rsidR="008801DC">
        <w:t>, h</w:t>
      </w:r>
      <w:r>
        <w:t xml:space="preserve">owever, as Europe includes several populations with high mutation prevalence (e.g. Portugal, Sweden), this estimate is too high. The Applicant estimates that Australian patient population may consist of approximately 30 persons. This is in line with the opinions of the Clinical Experts, who estimate that the Australian </w:t>
      </w:r>
      <w:r w:rsidR="00EB7FF8">
        <w:t xml:space="preserve">patient </w:t>
      </w:r>
      <w:r>
        <w:t xml:space="preserve">population would be no more than 50, most likely somewhere between 30-50 persons.  </w:t>
      </w:r>
      <w:r w:rsidRPr="00634A40">
        <w:t>Penetrance rate</w:t>
      </w:r>
      <w:r>
        <w:t xml:space="preserve"> of the disease</w:t>
      </w:r>
      <w:r w:rsidRPr="00634A40">
        <w:t xml:space="preserve"> is less than 100%</w:t>
      </w:r>
      <w:r>
        <w:t>, although</w:t>
      </w:r>
      <w:r w:rsidRPr="00634A40">
        <w:t xml:space="preserve"> the precise rate varies by mutation, geographic region and/or ethnic group. Pagon et al (2012), for example, note that penetrance rate in Sweden is 1.7% by age 30, 11% by 50, 36% by 70, and 69% by 90. Elsewhere, it has been reported that at 50 years of age, penetrance was 60% in Portuguese patients and 18% in French patients (Plante-Bordeneuve &amp; Norgren, 2011).</w:t>
      </w:r>
    </w:p>
    <w:p w:rsidR="00ED0820" w:rsidRDefault="00ED0820" w:rsidP="00A413AF">
      <w:r w:rsidRPr="00C97135">
        <w:t xml:space="preserve">TTR-FAP is transmitted </w:t>
      </w:r>
      <w:r>
        <w:t xml:space="preserve">in an </w:t>
      </w:r>
      <w:r w:rsidRPr="00C97135">
        <w:t xml:space="preserve">autosomal dominant </w:t>
      </w:r>
      <w:r>
        <w:t>manner</w:t>
      </w:r>
      <w:r w:rsidRPr="00C97135">
        <w:t xml:space="preserve"> (i.e.</w:t>
      </w:r>
      <w:r>
        <w:t>,</w:t>
      </w:r>
      <w:r w:rsidRPr="00C97135">
        <w:t xml:space="preserve"> </w:t>
      </w:r>
      <w:r>
        <w:t xml:space="preserve">first degree relatives have a 50% chance of inheriting the same mutation). </w:t>
      </w:r>
      <w:r w:rsidRPr="00C97135">
        <w:t>The disease is caused by mutations in the transthyretin (TTR) gene</w:t>
      </w:r>
      <w:r>
        <w:t xml:space="preserve"> – over </w:t>
      </w:r>
      <w:r w:rsidRPr="00C97135">
        <w:t>a hundred disease-causing mutations have been identified in the TTR gene</w:t>
      </w:r>
      <w:r>
        <w:t xml:space="preserve"> so far, with </w:t>
      </w:r>
      <w:r w:rsidRPr="00C97135">
        <w:t xml:space="preserve"> Val30Met </w:t>
      </w:r>
      <w:r>
        <w:t xml:space="preserve">and Ile84Se being the most common mutations (Plante-Bordeneuve 2011; NHSC 2010). TTR protein </w:t>
      </w:r>
      <w:r w:rsidRPr="00C97135">
        <w:t>is synthesised mainly by the liver</w:t>
      </w:r>
      <w:r>
        <w:t xml:space="preserve">; it is </w:t>
      </w:r>
      <w:r w:rsidRPr="00C97135">
        <w:t>a transport protein that normally circulates in the plasma as a tetramer (i.e.</w:t>
      </w:r>
      <w:r>
        <w:t>,</w:t>
      </w:r>
      <w:r w:rsidRPr="00C97135">
        <w:t xml:space="preserve"> a protein with four sub-units). In patients with the TTR gene mutation, </w:t>
      </w:r>
      <w:r>
        <w:t xml:space="preserve">however, </w:t>
      </w:r>
      <w:r w:rsidRPr="00C97135">
        <w:t xml:space="preserve">this protein becomes structurally unstable, </w:t>
      </w:r>
      <w:r>
        <w:t xml:space="preserve">dissociating into monomers, and accumulating </w:t>
      </w:r>
      <w:r w:rsidRPr="00C97135">
        <w:t xml:space="preserve">on nerves and in organs </w:t>
      </w:r>
      <w:r>
        <w:t>(Plante-Bordeneuve 2011; NHSC 2010).</w:t>
      </w:r>
    </w:p>
    <w:p w:rsidR="00ED0820" w:rsidRDefault="00ED0820" w:rsidP="00634A40">
      <w:r w:rsidRPr="00C97135">
        <w:t>Early-onset and late-onset versions of the disease have been identified</w:t>
      </w:r>
      <w:r>
        <w:t>. I</w:t>
      </w:r>
      <w:r w:rsidRPr="00C97135">
        <w:t>n early-onset patients, the fir</w:t>
      </w:r>
      <w:r>
        <w:t>st signs of the disease begin in the second or third decade of life</w:t>
      </w:r>
      <w:r w:rsidR="007D13FE">
        <w:t>, while l</w:t>
      </w:r>
      <w:r>
        <w:t xml:space="preserve">ate-onset patients begin to display symptoms past the age of 50 (Koike, 2004). </w:t>
      </w:r>
      <w:r w:rsidRPr="00C97135">
        <w:t>Typically, death occurs within 10 years of onset (Plante-Bordeneuve</w:t>
      </w:r>
      <w:r>
        <w:t xml:space="preserve"> &amp; Said</w:t>
      </w:r>
      <w:r w:rsidRPr="00C97135">
        <w:t>, 2011)</w:t>
      </w:r>
      <w:r>
        <w:t xml:space="preserve">. </w:t>
      </w:r>
      <w:r w:rsidRPr="00C97135">
        <w:t>The primary symptoms of TTR-FAP are the progressive loss of nerve functions (including sensory, autonomic and motor)</w:t>
      </w:r>
      <w:r w:rsidR="007D13FE">
        <w:t>, h</w:t>
      </w:r>
      <w:r w:rsidRPr="00C97135">
        <w:t xml:space="preserve">owever, </w:t>
      </w:r>
      <w:r>
        <w:t xml:space="preserve">differences exist in the clinical presentation of early-onset and late-onset patients. Early-onset clinical presentation is characterised by high penetrance rate, high autonomic dysfunction, sensory dissociation (e.g., loss of nociception, thermal sensation), cardiac involvement (requiring pacemaker implantation), and anticipation of age at onset. Sensory-motor deficit progresses rapidly. The late-onset presentation is characterised by low penetrance rate, relatively low autonomic dysfunction, loss of all sensory modalities (rather than a sensory dissociation), cardiomegaly (heart enlargement), extreme male preponderance, and absence of anticipation of age at onset. Polyneuropathy also progresses more slowly, with less autonomic dysfunction (Koike et al 2004; Plante-Bordeneuve &amp; Said, 2011).  </w:t>
      </w:r>
    </w:p>
    <w:p w:rsidR="00ED0820" w:rsidRDefault="00ED0820" w:rsidP="00634A40">
      <w:r w:rsidRPr="00634A40">
        <w:lastRenderedPageBreak/>
        <w:t xml:space="preserve">As liver is the site of TTR synthesis, liver transplantation has been utilised as treatment for TTR-FAP. Over 1900 transplants have taken place </w:t>
      </w:r>
      <w:r>
        <w:t>worldwide</w:t>
      </w:r>
      <w:r w:rsidRPr="00634A40">
        <w:t xml:space="preserve"> (FAP World Transplant Registry</w:t>
      </w:r>
      <w:r>
        <w:t>,</w:t>
      </w:r>
      <w:r>
        <w:rPr>
          <w:rStyle w:val="FootnoteReference"/>
        </w:rPr>
        <w:t>,</w:t>
      </w:r>
      <w:r>
        <w:t>2010</w:t>
      </w:r>
      <w:r w:rsidRPr="00634A40">
        <w:t>)</w:t>
      </w:r>
      <w:r w:rsidR="00F92205">
        <w:t xml:space="preserve"> and t</w:t>
      </w:r>
      <w:r w:rsidRPr="00634A40">
        <w:t xml:space="preserve">here is some evidence of improvement post-transplant (e.g. the Swedish survival </w:t>
      </w:r>
      <w:r>
        <w:t>rate</w:t>
      </w:r>
      <w:r w:rsidRPr="00634A40">
        <w:t xml:space="preserve"> is now reported to be 92%)</w:t>
      </w:r>
      <w:r>
        <w:t>. However, t</w:t>
      </w:r>
      <w:r w:rsidRPr="00634A40">
        <w:t>he transplant does not</w:t>
      </w:r>
      <w:r>
        <w:t xml:space="preserve"> </w:t>
      </w:r>
      <w:r w:rsidRPr="00634A40">
        <w:t>prevent cardiac dysfunctions from developing, must be carried out early in the course of TTR-FAP, and requires patients to remain on immunosuppressants for the rest of their lives (Plante-Bordeneuve</w:t>
      </w:r>
      <w:r>
        <w:t xml:space="preserve"> &amp; Said,</w:t>
      </w:r>
      <w:r w:rsidRPr="00634A40">
        <w:t xml:space="preserve"> 2011). </w:t>
      </w:r>
      <w:r>
        <w:t>Other care currently provided to patients includes: treatment of pain with pharmaceuticals, surgical decompression for carpal tunnel syndrome, therapeutic measures for orthostatic hypotention, correction of hydration, and insertion of a pacemaker to correct cardiac dysfunction (Plante-Bordeneuve &amp; Said, 2011; Bittencourt et al 2002).</w:t>
      </w:r>
    </w:p>
    <w:p w:rsidR="00ED0820" w:rsidRPr="00A17BAF" w:rsidRDefault="00ED0820" w:rsidP="00323C50">
      <w:pPr>
        <w:pStyle w:val="Heading3"/>
        <w:rPr>
          <w:color w:val="auto"/>
          <w:u w:val="single"/>
        </w:rPr>
      </w:pPr>
      <w:bookmarkStart w:id="11" w:name="_Toc335389105"/>
      <w:r w:rsidRPr="00A17BAF">
        <w:rPr>
          <w:color w:val="auto"/>
          <w:u w:val="single"/>
        </w:rPr>
        <w:t>Description of the intervention</w:t>
      </w:r>
      <w:bookmarkEnd w:id="11"/>
    </w:p>
    <w:p w:rsidR="00FF57EA" w:rsidRDefault="00ED0820" w:rsidP="00596BC3">
      <w:r>
        <w:t xml:space="preserve">The Applicant proposes that the patient be typically referred for the test by a specialist physician. Blood samples would be collected and sent to a specialist testing laboratory. The analysis and interpretation of results would be performed by a specialist pathologist.  </w:t>
      </w:r>
    </w:p>
    <w:p w:rsidR="00ED0820" w:rsidRPr="00A43511" w:rsidRDefault="00ED0820" w:rsidP="00596BC3">
      <w:r>
        <w:t xml:space="preserve">TTR genetic testing is not a trademarked technology. Testing is currently performed using Polymerase Chain Reaction (PCR) to amplify the sample, and </w:t>
      </w:r>
      <w:r w:rsidR="00FF57EA">
        <w:t>DNA sequencing</w:t>
      </w:r>
      <w:r>
        <w:t xml:space="preserve">. The Applicant proposes that the method for determination of the TTR mutation need not be limited to this approach and requests that other appropriate methods be permitted. Other appropriate methods here could include tandem mass spectrometry analysis and restriction fragment polymorphism. However, the Clinical Experts advise that tandem mass spectrometry is typically confirmed by sequencing in practice, and fragment length polymorphism may not be able to detect less common mutations. The approach of using PCR and </w:t>
      </w:r>
      <w:r w:rsidR="00F81A62">
        <w:t>DNA sequencing</w:t>
      </w:r>
      <w:r>
        <w:t xml:space="preserve"> is therefore the simplest and cheapest approach, and it is the one in routine use.</w:t>
      </w:r>
      <w:r w:rsidR="00EB7FF8">
        <w:t xml:space="preserve"> However, PASC </w:t>
      </w:r>
      <w:r w:rsidR="00B107F8">
        <w:t>agreed</w:t>
      </w:r>
      <w:r w:rsidR="00EB7FF8">
        <w:t xml:space="preserve"> not to specify the testing methodology in the MBS item descriptor, as the technology is rapidly </w:t>
      </w:r>
      <w:r w:rsidR="00B107F8">
        <w:t>evolving</w:t>
      </w:r>
      <w:r w:rsidR="00EB7FF8">
        <w:t xml:space="preserve">. </w:t>
      </w:r>
    </w:p>
    <w:p w:rsidR="00ED0820" w:rsidRPr="00A43511" w:rsidRDefault="00ED0820" w:rsidP="00323C50">
      <w:pPr>
        <w:tabs>
          <w:tab w:val="left" w:pos="0"/>
          <w:tab w:val="left" w:pos="540"/>
        </w:tabs>
        <w:spacing w:after="120"/>
        <w:ind w:right="58"/>
      </w:pPr>
      <w:r w:rsidRPr="00A43511">
        <w:t xml:space="preserve">The patient population that would benefit from the TTR genetic test includes: </w:t>
      </w:r>
    </w:p>
    <w:p w:rsidR="00ED0820" w:rsidRPr="00A43511" w:rsidRDefault="00ED0820" w:rsidP="00323C50">
      <w:pPr>
        <w:tabs>
          <w:tab w:val="left" w:pos="0"/>
          <w:tab w:val="left" w:pos="540"/>
        </w:tabs>
        <w:spacing w:after="120"/>
        <w:ind w:right="58"/>
      </w:pPr>
      <w:r w:rsidRPr="00A43511">
        <w:t>(1) patients with symptoms of TTR-FAP, who have family history of TTR-FAP</w:t>
      </w:r>
    </w:p>
    <w:p w:rsidR="00EB7FF8" w:rsidRDefault="00ED0820" w:rsidP="00323C50">
      <w:pPr>
        <w:tabs>
          <w:tab w:val="left" w:pos="0"/>
          <w:tab w:val="left" w:pos="540"/>
        </w:tabs>
        <w:spacing w:after="120"/>
        <w:ind w:right="58"/>
      </w:pPr>
      <w:r w:rsidRPr="00A43511">
        <w:t xml:space="preserve">(2) patients with symptoms of TTR-FAP, </w:t>
      </w:r>
      <w:r w:rsidR="00572B65">
        <w:t xml:space="preserve">and biopsy-proven amyloid, </w:t>
      </w:r>
      <w:r w:rsidRPr="00A43511">
        <w:t xml:space="preserve">who lack family history of TTR-FAP </w:t>
      </w:r>
    </w:p>
    <w:p w:rsidR="00ED0820" w:rsidRPr="00EB0F2A" w:rsidRDefault="00ED0820" w:rsidP="0004489D">
      <w:pPr>
        <w:pStyle w:val="Heading2"/>
        <w:rPr>
          <w:lang w:val="en-AU"/>
        </w:rPr>
      </w:pPr>
      <w:bookmarkStart w:id="12" w:name="_Toc335389106"/>
      <w:r w:rsidRPr="00EB0F2A">
        <w:rPr>
          <w:lang w:val="en-AU"/>
        </w:rPr>
        <w:t>Prerequisites</w:t>
      </w:r>
      <w:bookmarkEnd w:id="12"/>
    </w:p>
    <w:p w:rsidR="00ED0820" w:rsidRPr="00A17BAF" w:rsidRDefault="00ED0820" w:rsidP="00307418">
      <w:pPr>
        <w:pStyle w:val="Heading3"/>
        <w:rPr>
          <w:color w:val="auto"/>
          <w:u w:val="single"/>
        </w:rPr>
      </w:pPr>
      <w:bookmarkStart w:id="13" w:name="_Toc335389107"/>
      <w:r w:rsidRPr="00A17BAF">
        <w:rPr>
          <w:color w:val="auto"/>
          <w:u w:val="single"/>
        </w:rPr>
        <w:t xml:space="preserve">Professional restrictions on the </w:t>
      </w:r>
      <w:r>
        <w:rPr>
          <w:color w:val="auto"/>
          <w:u w:val="single"/>
        </w:rPr>
        <w:t xml:space="preserve">request for and </w:t>
      </w:r>
      <w:r w:rsidRPr="00A17BAF">
        <w:rPr>
          <w:color w:val="auto"/>
          <w:u w:val="single"/>
        </w:rPr>
        <w:t>delivery of the intervention</w:t>
      </w:r>
      <w:bookmarkEnd w:id="13"/>
    </w:p>
    <w:p w:rsidR="00ED0820" w:rsidRDefault="00ED0820" w:rsidP="0004489D">
      <w:r>
        <w:t>The testing would typically be requested by specialist physicians, who would likely include: neurologists, haematologists, immunologists and/or cardiologists. The specialist physician would provide a referral for the genetic test, whilst a specialist pathologist would both perform the test and interpret its results. Restrictions around the provision of genetic tests are addressed through National Pathology Accreditation Advisory Council (NPAAC) standards</w:t>
      </w:r>
      <w:r>
        <w:rPr>
          <w:rStyle w:val="FootnoteReference"/>
        </w:rPr>
        <w:footnoteReference w:id="2"/>
      </w:r>
      <w:r>
        <w:t xml:space="preserve"> and the National Association of Testing Authorities (NATA) laboratory accreditation.</w:t>
      </w:r>
      <w:r>
        <w:rPr>
          <w:rStyle w:val="FootnoteReference"/>
        </w:rPr>
        <w:footnoteReference w:id="3"/>
      </w:r>
    </w:p>
    <w:p w:rsidR="00ED0820" w:rsidRPr="00A17BAF" w:rsidRDefault="00ED0820" w:rsidP="00307418">
      <w:pPr>
        <w:pStyle w:val="Heading3"/>
        <w:rPr>
          <w:color w:val="auto"/>
          <w:u w:val="single"/>
        </w:rPr>
      </w:pPr>
      <w:bookmarkStart w:id="14" w:name="_Toc335389108"/>
      <w:r w:rsidRPr="00A17BAF">
        <w:rPr>
          <w:color w:val="auto"/>
          <w:u w:val="single"/>
        </w:rPr>
        <w:lastRenderedPageBreak/>
        <w:t>Geographic restrictions on the delivery of service</w:t>
      </w:r>
      <w:bookmarkEnd w:id="14"/>
      <w:r w:rsidRPr="00A17BAF">
        <w:rPr>
          <w:color w:val="auto"/>
          <w:u w:val="single"/>
        </w:rPr>
        <w:t xml:space="preserve"> </w:t>
      </w:r>
    </w:p>
    <w:p w:rsidR="00ED0820" w:rsidRPr="00307418" w:rsidRDefault="00ED0820" w:rsidP="0004489D">
      <w:r w:rsidRPr="00307418">
        <w:t>T</w:t>
      </w:r>
      <w:r w:rsidR="00C04A40">
        <w:t xml:space="preserve">wo </w:t>
      </w:r>
      <w:r>
        <w:t xml:space="preserve">Australian laboratories currently provide TTR genetic testing services – </w:t>
      </w:r>
      <w:r w:rsidR="00C04A40">
        <w:t>one</w:t>
      </w:r>
      <w:r>
        <w:t xml:space="preserve"> in Sydney (Westmead Hospital) and one in Melbourne (Applied Genetic Diagnostics, University of Melbourne). There are no known laboratories that provide this service in other areas of Australia. Therefore, samples need to be sent to one of those laboratories. </w:t>
      </w:r>
    </w:p>
    <w:p w:rsidR="00ED0820" w:rsidRPr="00EB0F2A" w:rsidRDefault="00ED0820" w:rsidP="000901A8">
      <w:pPr>
        <w:pStyle w:val="Heading2"/>
        <w:rPr>
          <w:lang w:val="en-AU"/>
        </w:rPr>
      </w:pPr>
      <w:bookmarkStart w:id="15" w:name="_Toc335389109"/>
      <w:r w:rsidRPr="00EB0F2A">
        <w:rPr>
          <w:lang w:val="en-AU"/>
        </w:rPr>
        <w:t>Co-administered and associated interventions</w:t>
      </w:r>
      <w:bookmarkEnd w:id="15"/>
    </w:p>
    <w:p w:rsidR="00ED0820" w:rsidRPr="00E55193" w:rsidRDefault="00ED0820" w:rsidP="00261EEE">
      <w:pPr>
        <w:pStyle w:val="Heading3"/>
        <w:rPr>
          <w:color w:val="auto"/>
          <w:u w:val="single"/>
        </w:rPr>
      </w:pPr>
      <w:bookmarkStart w:id="16" w:name="_Toc335389110"/>
      <w:r w:rsidRPr="00E55193">
        <w:rPr>
          <w:color w:val="auto"/>
          <w:u w:val="single"/>
        </w:rPr>
        <w:t>Prerequisite interventions</w:t>
      </w:r>
      <w:bookmarkEnd w:id="16"/>
    </w:p>
    <w:p w:rsidR="00ED0820" w:rsidRDefault="00ED0820" w:rsidP="00A2506D">
      <w:r>
        <w:t xml:space="preserve">The diagnosis of TTR-FAP has traditionally involved detection of protein deposits in tissues and on nerves (via biopsy), and the identification of the </w:t>
      </w:r>
      <w:r w:rsidR="00227FD7">
        <w:t xml:space="preserve">amyloid deposits by histology </w:t>
      </w:r>
      <w:r>
        <w:t xml:space="preserve"> (Hund et al 2001). </w:t>
      </w:r>
      <w:r w:rsidR="00A2506D">
        <w:t xml:space="preserve">Immunohistochemistry (IHC) may be used to identify the responsible protein, although Clinical Experts advised that IHC is not carried out in all hospitals because it is both difficult to carry out and inaccurate. </w:t>
      </w:r>
    </w:p>
    <w:p w:rsidR="00ED0820" w:rsidRPr="004F4023" w:rsidRDefault="00ED0820">
      <w:pPr>
        <w:rPr>
          <w:highlight w:val="yellow"/>
        </w:rPr>
      </w:pPr>
      <w:r>
        <w:t xml:space="preserve">The Clinical Experts consulted during the development of this protocol have advised that the interventions described above no longer represent routine clinical practice, particularly since the evolution of TTR-FAP genetic testing. The use of the genetic testing, although not presently funded through MBS, is </w:t>
      </w:r>
      <w:r w:rsidR="007C0058">
        <w:t xml:space="preserve">now </w:t>
      </w:r>
      <w:r>
        <w:t xml:space="preserve">common in patients with symptoms suggestive of TTR-FAP disease (whether </w:t>
      </w:r>
      <w:r w:rsidR="00D24C07">
        <w:t xml:space="preserve">these patients have </w:t>
      </w:r>
      <w:r>
        <w:t>a family history or not)</w:t>
      </w:r>
      <w:r w:rsidR="004F4023">
        <w:t xml:space="preserve">. </w:t>
      </w:r>
      <w:r>
        <w:t>The costs of these genetic tests are met by the patients themselves</w:t>
      </w:r>
      <w:r w:rsidR="004F4023">
        <w:t>, or, in some cases, are funded.</w:t>
      </w:r>
    </w:p>
    <w:p w:rsidR="00ED0820" w:rsidRPr="00CC4164" w:rsidRDefault="00ED0820" w:rsidP="00261EEE">
      <w:pPr>
        <w:pStyle w:val="Heading3"/>
        <w:rPr>
          <w:color w:val="auto"/>
          <w:u w:val="single"/>
        </w:rPr>
      </w:pPr>
      <w:bookmarkStart w:id="17" w:name="_Toc335389111"/>
      <w:r w:rsidRPr="00CC4164">
        <w:rPr>
          <w:color w:val="auto"/>
          <w:u w:val="single"/>
        </w:rPr>
        <w:t>Co-dependent interventions</w:t>
      </w:r>
      <w:bookmarkEnd w:id="17"/>
      <w:r w:rsidRPr="00CC4164">
        <w:rPr>
          <w:color w:val="auto"/>
          <w:u w:val="single"/>
        </w:rPr>
        <w:t xml:space="preserve"> </w:t>
      </w:r>
    </w:p>
    <w:p w:rsidR="00ED0820" w:rsidRDefault="00ED0820" w:rsidP="00634A40">
      <w:r>
        <w:t xml:space="preserve">The Applicant proposes that TTR genetic testing be co-dependent with treatment with tafamidis. </w:t>
      </w:r>
    </w:p>
    <w:p w:rsidR="00ED0820" w:rsidRPr="00E634E8" w:rsidRDefault="00ED0820" w:rsidP="00682A67">
      <w:pPr>
        <w:rPr>
          <w:sz w:val="24"/>
          <w:szCs w:val="24"/>
        </w:rPr>
      </w:pPr>
      <w:r>
        <w:t>Co-dependent technologies have been defined by the Department of Health and Ageing as those whose “</w:t>
      </w:r>
      <w:r>
        <w:rPr>
          <w:szCs w:val="24"/>
        </w:rPr>
        <w:t>use needs to be combined (either sequentially or simultaneously) to achieve or enhance the intended clinical effect of either technology. For example, a drug/test combination where a new medicine seeking listing on the PBS may have a related pathology test that helps to determine the population group for that medicine</w:t>
      </w:r>
      <w:r w:rsidRPr="00574EC2">
        <w:rPr>
          <w:szCs w:val="24"/>
        </w:rPr>
        <w:t>”</w:t>
      </w:r>
      <w:r>
        <w:rPr>
          <w:szCs w:val="24"/>
        </w:rPr>
        <w:t xml:space="preserve"> (Dept. of Health and Ageing, undated).</w:t>
      </w:r>
    </w:p>
    <w:p w:rsidR="00ED0820" w:rsidRDefault="00ED0820" w:rsidP="00682A67">
      <w:r>
        <w:t xml:space="preserve">A precise determination of patient population is highly desirable here, given the high cost of tafamidis, as well as the major consequences around undertaking of therapy (e.g. liver transplantation, palliation, etc). Insofar as the genetic test helps to determine the patient group for tafamidis, it is a co-dependent technology according to the Department’s definition. </w:t>
      </w:r>
    </w:p>
    <w:p w:rsidR="00ED0820" w:rsidRDefault="00ED0820" w:rsidP="00634A40">
      <w:r>
        <w:t>Tafamidis was developed as a stabiliser of the TTR tetramer. By binding to the tetrametric form of TTR (i.e. the ‘normal’ form, which consists of 4 monomers), tafamidis prevents TTR’s dissociation into monomers (and its subsequent accumulation on nerves and organs) (European Medicines Agency, 2011). The Applicant intends to submit an application to PBAC for funding of tafamidis under the Life Saving Drugs Programme.</w:t>
      </w:r>
      <w:r w:rsidR="00EB4F8D">
        <w:t xml:space="preserve"> Tafamidis would be available to symptomatic patients with all TTR mutations.</w:t>
      </w:r>
    </w:p>
    <w:p w:rsidR="00ED0820" w:rsidRPr="00EB0F2A" w:rsidRDefault="00ED0820" w:rsidP="000901A8">
      <w:pPr>
        <w:pStyle w:val="Heading1"/>
      </w:pPr>
      <w:bookmarkStart w:id="18" w:name="_Toc335389112"/>
      <w:r w:rsidRPr="00EB0F2A">
        <w:lastRenderedPageBreak/>
        <w:t>Listing proposed and options for MSAC consideration</w:t>
      </w:r>
      <w:bookmarkEnd w:id="18"/>
    </w:p>
    <w:p w:rsidR="00ED0820" w:rsidRPr="00EB0F2A" w:rsidRDefault="00ED0820" w:rsidP="000901A8">
      <w:pPr>
        <w:pStyle w:val="Heading2"/>
        <w:rPr>
          <w:lang w:val="en-AU"/>
        </w:rPr>
      </w:pPr>
      <w:bookmarkStart w:id="19" w:name="_Toc335389113"/>
      <w:r w:rsidRPr="00EB0F2A">
        <w:rPr>
          <w:lang w:val="en-AU"/>
        </w:rPr>
        <w:t>Proposed MBS listing</w:t>
      </w:r>
      <w:bookmarkEnd w:id="19"/>
    </w:p>
    <w:p w:rsidR="00ED0820" w:rsidRPr="00B37A88" w:rsidRDefault="00ED0820" w:rsidP="007F4D56">
      <w:pPr>
        <w:autoSpaceDE w:val="0"/>
        <w:autoSpaceDN w:val="0"/>
        <w:adjustRightInd w:val="0"/>
        <w:spacing w:after="0" w:line="240" w:lineRule="auto"/>
        <w:jc w:val="left"/>
        <w:rPr>
          <w:rFonts w:eastAsia="Times New Roman"/>
          <w:color w:val="000000"/>
          <w:lang w:eastAsia="en-US"/>
        </w:rPr>
      </w:pPr>
      <w:r w:rsidRPr="00B37A88">
        <w:rPr>
          <w:rFonts w:eastAsia="Times New Roman"/>
          <w:color w:val="000000"/>
          <w:lang w:eastAsia="en-US"/>
        </w:rPr>
        <w:t xml:space="preserve">The details of the proposed MBS listing for TTR genetic testing are shown in Table 1, below. </w:t>
      </w:r>
    </w:p>
    <w:p w:rsidR="00ED0820" w:rsidRPr="001E4959" w:rsidRDefault="00ED0820" w:rsidP="007F4D56">
      <w:pPr>
        <w:autoSpaceDE w:val="0"/>
        <w:autoSpaceDN w:val="0"/>
        <w:adjustRightInd w:val="0"/>
        <w:spacing w:after="0" w:line="240" w:lineRule="auto"/>
        <w:jc w:val="left"/>
        <w:rPr>
          <w:sz w:val="12"/>
          <w:szCs w:val="12"/>
          <w:highlight w:val="yellow"/>
        </w:rPr>
      </w:pPr>
    </w:p>
    <w:p w:rsidR="00ED0820" w:rsidRPr="00EB0F2A" w:rsidRDefault="00ED0820" w:rsidP="008476B9">
      <w:pPr>
        <w:pStyle w:val="Caption"/>
        <w:rPr>
          <w:lang w:val="en-AU"/>
        </w:rPr>
      </w:pPr>
      <w:bookmarkStart w:id="20" w:name="_Ref283284346"/>
      <w:r w:rsidRPr="00EB0F2A">
        <w:rPr>
          <w:lang w:val="en-AU"/>
        </w:rPr>
        <w:t xml:space="preserve">Table </w:t>
      </w:r>
      <w:r w:rsidR="0064572E" w:rsidRPr="00EB0F2A">
        <w:rPr>
          <w:lang w:val="en-AU"/>
        </w:rPr>
        <w:fldChar w:fldCharType="begin"/>
      </w:r>
      <w:r w:rsidRPr="00EB0F2A">
        <w:rPr>
          <w:lang w:val="en-AU"/>
        </w:rPr>
        <w:instrText xml:space="preserve"> SEQ Table \* ARABIC </w:instrText>
      </w:r>
      <w:r w:rsidR="0064572E" w:rsidRPr="00EB0F2A">
        <w:rPr>
          <w:lang w:val="en-AU"/>
        </w:rPr>
        <w:fldChar w:fldCharType="separate"/>
      </w:r>
      <w:r w:rsidR="001C3EAF">
        <w:rPr>
          <w:noProof/>
          <w:lang w:val="en-AU"/>
        </w:rPr>
        <w:t>1</w:t>
      </w:r>
      <w:r w:rsidR="0064572E" w:rsidRPr="00EB0F2A">
        <w:rPr>
          <w:lang w:val="en-AU"/>
        </w:rPr>
        <w:fldChar w:fldCharType="end"/>
      </w:r>
      <w:bookmarkEnd w:id="20"/>
      <w:r w:rsidRPr="00EB0F2A">
        <w:rPr>
          <w:lang w:val="en-AU"/>
        </w:rPr>
        <w:t>:</w:t>
      </w:r>
      <w:r w:rsidRPr="00EB0F2A">
        <w:rPr>
          <w:lang w:val="en-AU"/>
        </w:rPr>
        <w:tab/>
        <w:t xml:space="preserve">Proposed MBS item descriptor for </w:t>
      </w:r>
      <w:r w:rsidRPr="00EB0F2A">
        <w:rPr>
          <w:highlight w:val="yellow"/>
          <w:lang w:val="en-AU"/>
        </w:rPr>
        <w:t>[item]</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134"/>
      </w:tblGrid>
      <w:tr w:rsidR="00ED0820" w:rsidRPr="00EB0F2A" w:rsidTr="009B59B7">
        <w:tc>
          <w:tcPr>
            <w:tcW w:w="9134" w:type="dxa"/>
          </w:tcPr>
          <w:p w:rsidR="00ED0820" w:rsidRPr="00EB0F2A" w:rsidRDefault="00ED0820" w:rsidP="000C5639">
            <w:pPr>
              <w:spacing w:after="120" w:line="240" w:lineRule="auto"/>
              <w:jc w:val="right"/>
              <w:rPr>
                <w:rFonts w:ascii="Arial Narrow" w:hAnsi="Arial Narrow"/>
                <w:lang w:eastAsia="ja-JP"/>
              </w:rPr>
            </w:pPr>
            <w:r w:rsidRPr="00EB0F2A">
              <w:rPr>
                <w:rFonts w:ascii="Arial Narrow" w:hAnsi="Arial Narrow"/>
                <w:lang w:eastAsia="ja-JP"/>
              </w:rPr>
              <w:t xml:space="preserve">Category </w:t>
            </w:r>
            <w:r>
              <w:rPr>
                <w:rFonts w:ascii="Arial Narrow" w:hAnsi="Arial Narrow"/>
                <w:lang w:eastAsia="ja-JP"/>
              </w:rPr>
              <w:t>6</w:t>
            </w:r>
            <w:r w:rsidRPr="00EB0F2A">
              <w:rPr>
                <w:rFonts w:ascii="Arial Narrow" w:hAnsi="Arial Narrow"/>
                <w:lang w:eastAsia="ja-JP"/>
              </w:rPr>
              <w:t xml:space="preserve"> – </w:t>
            </w:r>
            <w:r>
              <w:rPr>
                <w:rFonts w:ascii="Arial Narrow" w:hAnsi="Arial Narrow"/>
                <w:lang w:eastAsia="ja-JP"/>
              </w:rPr>
              <w:t>Pathology Services</w:t>
            </w:r>
          </w:p>
        </w:tc>
      </w:tr>
      <w:tr w:rsidR="00ED0820" w:rsidRPr="00EB0F2A" w:rsidTr="009B59B7">
        <w:tc>
          <w:tcPr>
            <w:tcW w:w="9134" w:type="dxa"/>
          </w:tcPr>
          <w:p w:rsidR="00ED0820" w:rsidRPr="00EB0F2A" w:rsidRDefault="00ED0820" w:rsidP="00931C28">
            <w:pPr>
              <w:spacing w:after="120" w:line="240" w:lineRule="auto"/>
              <w:jc w:val="right"/>
              <w:rPr>
                <w:rFonts w:ascii="Arial Narrow" w:hAnsi="Arial Narrow"/>
                <w:lang w:eastAsia="ja-JP"/>
              </w:rPr>
            </w:pPr>
            <w:r>
              <w:rPr>
                <w:rFonts w:ascii="Arial Narrow" w:hAnsi="Arial Narrow"/>
                <w:lang w:eastAsia="ja-JP"/>
              </w:rPr>
              <w:t>Group P7 - Genetics</w:t>
            </w:r>
          </w:p>
        </w:tc>
      </w:tr>
      <w:tr w:rsidR="00ED0820" w:rsidRPr="00EB0F2A" w:rsidTr="009B59B7">
        <w:tc>
          <w:tcPr>
            <w:tcW w:w="9134" w:type="dxa"/>
          </w:tcPr>
          <w:p w:rsidR="00ED0820" w:rsidRPr="00B37A88" w:rsidRDefault="00ED0820" w:rsidP="00892FA0">
            <w:pPr>
              <w:spacing w:after="0" w:line="240" w:lineRule="auto"/>
              <w:rPr>
                <w:lang w:eastAsia="ja-JP"/>
              </w:rPr>
            </w:pPr>
            <w:r w:rsidRPr="00B37A88">
              <w:rPr>
                <w:lang w:eastAsia="ja-JP"/>
              </w:rPr>
              <w:t xml:space="preserve">MBS </w:t>
            </w:r>
            <w:r w:rsidRPr="00B37A88">
              <w:rPr>
                <w:highlight w:val="yellow"/>
                <w:lang w:eastAsia="ja-JP"/>
              </w:rPr>
              <w:t>[item number]</w:t>
            </w:r>
          </w:p>
          <w:p w:rsidR="00ED0820" w:rsidRPr="00B37A88" w:rsidRDefault="00ED0820" w:rsidP="00892FA0">
            <w:pPr>
              <w:keepNext/>
              <w:spacing w:after="0"/>
              <w:rPr>
                <w:lang w:eastAsia="ja-JP"/>
              </w:rPr>
            </w:pPr>
            <w:r w:rsidRPr="00B37A88">
              <w:rPr>
                <w:lang w:eastAsia="ja-JP"/>
              </w:rPr>
              <w:t xml:space="preserve">A test </w:t>
            </w:r>
            <w:r w:rsidRPr="00B37A88">
              <w:t xml:space="preserve">on behalf of a specialist or consultant physician </w:t>
            </w:r>
            <w:r w:rsidRPr="00B37A88">
              <w:rPr>
                <w:lang w:eastAsia="ja-JP"/>
              </w:rPr>
              <w:t>to determine mutation in the transthyretin (TTR) gene for the following patient populations:</w:t>
            </w:r>
          </w:p>
          <w:p w:rsidR="00ED0820" w:rsidRPr="00B37A88" w:rsidRDefault="00ED0820" w:rsidP="00892FA0">
            <w:pPr>
              <w:tabs>
                <w:tab w:val="left" w:pos="0"/>
                <w:tab w:val="left" w:pos="540"/>
              </w:tabs>
              <w:spacing w:after="0"/>
              <w:ind w:right="58"/>
            </w:pPr>
          </w:p>
          <w:p w:rsidR="00ED0820" w:rsidRPr="00B37A88" w:rsidRDefault="00ED0820" w:rsidP="00892FA0">
            <w:pPr>
              <w:tabs>
                <w:tab w:val="left" w:pos="0"/>
                <w:tab w:val="left" w:pos="540"/>
              </w:tabs>
              <w:spacing w:after="0"/>
              <w:ind w:right="58"/>
            </w:pPr>
            <w:r w:rsidRPr="00B37A88">
              <w:t xml:space="preserve">(1) patients with symptoms of TTR-FAP, who have family history of TTR-FAP </w:t>
            </w:r>
          </w:p>
          <w:p w:rsidR="00ED0820" w:rsidRPr="00B37A88" w:rsidRDefault="00ED0820" w:rsidP="00892FA0">
            <w:pPr>
              <w:tabs>
                <w:tab w:val="left" w:pos="0"/>
                <w:tab w:val="left" w:pos="540"/>
              </w:tabs>
              <w:spacing w:after="0"/>
              <w:ind w:right="58"/>
            </w:pPr>
            <w:r w:rsidRPr="00B37A88">
              <w:t xml:space="preserve">(2) patients with symptoms of TTR-FAP, </w:t>
            </w:r>
            <w:r w:rsidR="00E9194A" w:rsidRPr="00B37A88">
              <w:t xml:space="preserve">and biopsy-proven amyloid, </w:t>
            </w:r>
            <w:r w:rsidRPr="00B37A88">
              <w:t xml:space="preserve">who lack family history of TTR-FAP </w:t>
            </w:r>
          </w:p>
          <w:p w:rsidR="00ED0820" w:rsidRPr="00B37A88" w:rsidRDefault="00ED0820" w:rsidP="00892FA0">
            <w:pPr>
              <w:spacing w:after="0" w:line="240" w:lineRule="auto"/>
            </w:pPr>
          </w:p>
          <w:p w:rsidR="00ED0820" w:rsidRPr="00B37A88" w:rsidRDefault="00ED0820" w:rsidP="00892FA0">
            <w:pPr>
              <w:spacing w:after="0" w:line="240" w:lineRule="auto"/>
            </w:pPr>
            <w:r w:rsidRPr="00B37A88">
              <w:t xml:space="preserve">to determine if the requirements relating to TTR gene status for access to </w:t>
            </w:r>
            <w:r w:rsidR="00651C08" w:rsidRPr="00B37A88">
              <w:t>tafamidis</w:t>
            </w:r>
            <w:r w:rsidRPr="00B37A88">
              <w:t xml:space="preserve"> under the Pharmaceutical Benefits Scheme (PBS) are fulfilled.</w:t>
            </w:r>
          </w:p>
          <w:p w:rsidR="00ED0820" w:rsidRPr="00B37A88" w:rsidRDefault="00ED0820" w:rsidP="00892FA0">
            <w:pPr>
              <w:spacing w:after="0" w:line="240" w:lineRule="auto"/>
              <w:rPr>
                <w:lang w:eastAsia="ja-JP"/>
              </w:rPr>
            </w:pPr>
          </w:p>
          <w:p w:rsidR="00ED0820" w:rsidRPr="00EB0F2A" w:rsidRDefault="00ED0820" w:rsidP="00E9194A">
            <w:pPr>
              <w:spacing w:after="0" w:line="240" w:lineRule="auto"/>
              <w:rPr>
                <w:rFonts w:ascii="Arial Narrow" w:hAnsi="Arial Narrow"/>
                <w:lang w:eastAsia="ja-JP"/>
              </w:rPr>
            </w:pPr>
            <w:r w:rsidRPr="00B37A88">
              <w:rPr>
                <w:lang w:eastAsia="ja-JP"/>
              </w:rPr>
              <w:t>Fee: $350</w:t>
            </w:r>
            <w:r w:rsidR="00B51942">
              <w:rPr>
                <w:rStyle w:val="FootnoteReference"/>
                <w:lang w:eastAsia="ja-JP"/>
              </w:rPr>
              <w:footnoteReference w:id="4"/>
            </w:r>
            <w:r w:rsidRPr="00C64DF4">
              <w:rPr>
                <w:rFonts w:ascii="Arial" w:hAnsi="Arial" w:cs="Arial"/>
                <w:lang w:eastAsia="ja-JP"/>
              </w:rPr>
              <w:t xml:space="preserve"> </w:t>
            </w:r>
          </w:p>
        </w:tc>
      </w:tr>
    </w:tbl>
    <w:p w:rsidR="00ED0820" w:rsidRPr="00317169" w:rsidRDefault="00ED0820" w:rsidP="00892FA0">
      <w:pPr>
        <w:spacing w:after="0"/>
        <w:rPr>
          <w:rFonts w:ascii="Arial" w:hAnsi="Arial" w:cs="Arial"/>
          <w:sz w:val="12"/>
          <w:szCs w:val="12"/>
          <w:lang w:eastAsia="ja-JP"/>
        </w:rPr>
      </w:pPr>
    </w:p>
    <w:p w:rsidR="00ED0820" w:rsidRDefault="00ED0820" w:rsidP="007C0058">
      <w:pPr>
        <w:spacing w:after="0"/>
        <w:rPr>
          <w:rFonts w:ascii="Arial" w:hAnsi="Arial" w:cs="Arial"/>
          <w:lang w:eastAsia="ja-JP"/>
        </w:rPr>
      </w:pPr>
      <w:r w:rsidRPr="00C64DF4">
        <w:rPr>
          <w:rFonts w:ascii="Arial" w:hAnsi="Arial" w:cs="Arial"/>
          <w:lang w:eastAsia="ja-JP"/>
        </w:rPr>
        <w:t>Th</w:t>
      </w:r>
      <w:r>
        <w:rPr>
          <w:rFonts w:ascii="Arial" w:hAnsi="Arial" w:cs="Arial"/>
          <w:lang w:eastAsia="ja-JP"/>
        </w:rPr>
        <w:t xml:space="preserve">ese tests are intended to </w:t>
      </w:r>
      <w:r w:rsidRPr="00C64DF4">
        <w:rPr>
          <w:rFonts w:ascii="Arial" w:hAnsi="Arial" w:cs="Arial"/>
          <w:lang w:eastAsia="ja-JP"/>
        </w:rPr>
        <w:t>serve patients</w:t>
      </w:r>
      <w:r>
        <w:rPr>
          <w:rFonts w:ascii="Arial" w:hAnsi="Arial" w:cs="Arial"/>
          <w:lang w:eastAsia="ja-JP"/>
        </w:rPr>
        <w:t xml:space="preserve"> identified by the Applicant as being eligible for access to tafamidis, for which it will be seeking approval under PBS arrangements within its planned submission</w:t>
      </w:r>
      <w:r w:rsidRPr="00C64DF4">
        <w:rPr>
          <w:rFonts w:ascii="Arial" w:hAnsi="Arial" w:cs="Arial"/>
          <w:lang w:eastAsia="ja-JP"/>
        </w:rPr>
        <w:t xml:space="preserve">. </w:t>
      </w:r>
    </w:p>
    <w:p w:rsidR="00406521" w:rsidRDefault="00406521" w:rsidP="0060049A">
      <w:pPr>
        <w:tabs>
          <w:tab w:val="left" w:pos="0"/>
          <w:tab w:val="left" w:pos="540"/>
        </w:tabs>
        <w:spacing w:after="120"/>
        <w:ind w:right="58"/>
      </w:pPr>
    </w:p>
    <w:p w:rsidR="00ED0820" w:rsidRPr="00EB0F2A" w:rsidRDefault="00ED0820" w:rsidP="002C4478">
      <w:pPr>
        <w:pStyle w:val="Heading2"/>
        <w:spacing w:before="0"/>
        <w:rPr>
          <w:lang w:val="en-AU"/>
        </w:rPr>
      </w:pPr>
      <w:bookmarkStart w:id="21" w:name="_Toc335389114"/>
      <w:r w:rsidRPr="00EB0F2A">
        <w:rPr>
          <w:lang w:val="en-AU"/>
        </w:rPr>
        <w:t>Clinical place for proposed intervention</w:t>
      </w:r>
      <w:bookmarkEnd w:id="21"/>
    </w:p>
    <w:p w:rsidR="00ED0820" w:rsidRPr="0071188C" w:rsidRDefault="00ED0820" w:rsidP="00091ED7">
      <w:pPr>
        <w:pStyle w:val="Heading3"/>
        <w:rPr>
          <w:color w:val="auto"/>
          <w:u w:val="single"/>
        </w:rPr>
      </w:pPr>
      <w:bookmarkStart w:id="22" w:name="_Toc335389115"/>
      <w:r w:rsidRPr="0071188C">
        <w:rPr>
          <w:color w:val="auto"/>
          <w:u w:val="single"/>
        </w:rPr>
        <w:t xml:space="preserve">Current </w:t>
      </w:r>
      <w:r>
        <w:rPr>
          <w:color w:val="auto"/>
          <w:u w:val="single"/>
        </w:rPr>
        <w:t>diagnostic</w:t>
      </w:r>
      <w:r w:rsidRPr="0071188C">
        <w:rPr>
          <w:color w:val="auto"/>
          <w:u w:val="single"/>
        </w:rPr>
        <w:t xml:space="preserve"> pathway</w:t>
      </w:r>
      <w:bookmarkEnd w:id="22"/>
      <w:r w:rsidRPr="0071188C">
        <w:rPr>
          <w:color w:val="auto"/>
          <w:u w:val="single"/>
        </w:rPr>
        <w:t xml:space="preserve"> </w:t>
      </w:r>
    </w:p>
    <w:p w:rsidR="00651C08" w:rsidRDefault="00ED0820" w:rsidP="00F77FF5">
      <w:r>
        <w:t xml:space="preserve">Under the </w:t>
      </w:r>
      <w:r w:rsidR="00651C08">
        <w:t>current diagnostic pathway, t</w:t>
      </w:r>
      <w:r>
        <w:t xml:space="preserve">issue biopsy is typically obtained either from a clinically-affected organ (e.g. nerves, kidney) or from a non-specific site (e.g. rectal mucosa, abdominal fat). Collection from the non-specific sites is more common, as the procedure is less invasive. </w:t>
      </w:r>
      <w:r w:rsidR="00651C08">
        <w:t xml:space="preserve">Amyloid deposits are identified by histology, and as noted above, in some hospitals immunohistochemistry </w:t>
      </w:r>
      <w:r w:rsidR="00D84217">
        <w:t>i</w:t>
      </w:r>
      <w:r w:rsidR="00651C08">
        <w:t xml:space="preserve">s carried out to identify the responsible protein. </w:t>
      </w:r>
    </w:p>
    <w:p w:rsidR="00ED0820" w:rsidRDefault="00ED0820" w:rsidP="00F77FF5">
      <w:r>
        <w:t>Patients who</w:t>
      </w:r>
      <w:r w:rsidR="00651C08">
        <w:t xml:space="preserve"> are diagnosed with TTR-FAP </w:t>
      </w:r>
      <w:r>
        <w:t>then go on to receive usual care, which includes some or all of the following: treatment of neuropathic pain with pharmaceuticals, alleviation of carpal tunnel syndrome with surgical decompression, therapeutic measures for orthostatic hypotension, correction of dehydration, insertion of a pacemaker to correct cardiac dysfunction. Eligible patients may also undergo liver transplantation, in order to prevent the formation of further amyloid deposits; those patients remain on lifelong immunosuppressants (Plante-Bordeneuve &amp; Said, 2011; Bittencourt et al 2002).</w:t>
      </w:r>
    </w:p>
    <w:p w:rsidR="00ED0820" w:rsidRDefault="00ED0820" w:rsidP="009B16E7">
      <w:pPr>
        <w:pStyle w:val="Caption"/>
      </w:pPr>
      <w:r>
        <w:rPr>
          <w:lang w:val="en-AU"/>
        </w:rPr>
        <w:lastRenderedPageBreak/>
        <w:t>Figure</w:t>
      </w:r>
      <w:r w:rsidRPr="00EB0F2A">
        <w:rPr>
          <w:lang w:val="en-AU"/>
        </w:rPr>
        <w:t xml:space="preserve"> </w:t>
      </w:r>
      <w:r>
        <w:rPr>
          <w:lang w:val="en-AU"/>
        </w:rPr>
        <w:t>1</w:t>
      </w:r>
      <w:r w:rsidRPr="00EB0F2A">
        <w:rPr>
          <w:lang w:val="en-AU"/>
        </w:rPr>
        <w:t>:</w:t>
      </w:r>
      <w:r w:rsidRPr="00EB0F2A">
        <w:rPr>
          <w:lang w:val="en-AU"/>
        </w:rPr>
        <w:tab/>
      </w:r>
      <w:r>
        <w:rPr>
          <w:lang w:val="en-AU"/>
        </w:rPr>
        <w:t xml:space="preserve">  Traditional diagnostic pathway (funded by MBS)</w:t>
      </w:r>
    </w:p>
    <w:p w:rsidR="001A709A" w:rsidRDefault="001A709A" w:rsidP="00EF4D48">
      <w:pPr>
        <w:jc w:val="left"/>
      </w:pPr>
      <w:r>
        <w:rPr>
          <w:noProof/>
          <w:lang w:eastAsia="en-AU"/>
        </w:rPr>
        <w:drawing>
          <wp:inline distT="0" distB="0" distL="0" distR="0">
            <wp:extent cx="4794490" cy="3104710"/>
            <wp:effectExtent l="0" t="0" r="6350" b="635"/>
            <wp:docPr id="1" name="Picture 1" title="Traditional diagnostic pathway (funded by MB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l="23607" t="34264" r="21713" b="22034"/>
                    <a:stretch>
                      <a:fillRect/>
                    </a:stretch>
                  </pic:blipFill>
                  <pic:spPr bwMode="auto">
                    <a:xfrm>
                      <a:off x="0" y="0"/>
                      <a:ext cx="4790867" cy="3102364"/>
                    </a:xfrm>
                    <a:prstGeom prst="rect">
                      <a:avLst/>
                    </a:prstGeom>
                    <a:noFill/>
                    <a:ln w="9525">
                      <a:noFill/>
                      <a:miter lim="800000"/>
                      <a:headEnd/>
                      <a:tailEnd/>
                    </a:ln>
                  </pic:spPr>
                </pic:pic>
              </a:graphicData>
            </a:graphic>
          </wp:inline>
        </w:drawing>
      </w:r>
    </w:p>
    <w:p w:rsidR="001A709A" w:rsidRPr="001A709A" w:rsidRDefault="001A709A" w:rsidP="001A709A">
      <w:pPr>
        <w:jc w:val="left"/>
        <w:rPr>
          <w:sz w:val="18"/>
          <w:szCs w:val="18"/>
        </w:rPr>
      </w:pPr>
      <w:r w:rsidRPr="001A709A">
        <w:rPr>
          <w:sz w:val="18"/>
          <w:szCs w:val="18"/>
        </w:rPr>
        <w:t xml:space="preserve">NB: Clinical Experts advised that IHC is not carried out in all hospitals on account of its difficulty and inaccuracy. Consequently, it was omitted here. </w:t>
      </w:r>
    </w:p>
    <w:p w:rsidR="00ED0820" w:rsidRDefault="00ED0820" w:rsidP="00066CDE">
      <w:r>
        <w:t>Current diagnostic practice differs from the funded strategy (illustrated above)</w:t>
      </w:r>
      <w:r w:rsidR="00395553">
        <w:t>,</w:t>
      </w:r>
      <w:r>
        <w:t xml:space="preserve"> as a result of the advent of TTR-FAP genetic testing. The current clinical practice is depicted in Figure 2, below. </w:t>
      </w:r>
    </w:p>
    <w:p w:rsidR="00ED0820" w:rsidRPr="00066CDE" w:rsidDel="00420B62" w:rsidRDefault="00ED0820" w:rsidP="00420B62">
      <w:pPr>
        <w:pStyle w:val="Caption"/>
      </w:pPr>
      <w:r>
        <w:rPr>
          <w:lang w:val="en-AU"/>
        </w:rPr>
        <w:t>Figure</w:t>
      </w:r>
      <w:r w:rsidRPr="00EB0F2A">
        <w:rPr>
          <w:lang w:val="en-AU"/>
        </w:rPr>
        <w:t xml:space="preserve"> </w:t>
      </w:r>
      <w:r>
        <w:rPr>
          <w:lang w:val="en-AU"/>
        </w:rPr>
        <w:t>2</w:t>
      </w:r>
      <w:r w:rsidRPr="00EB0F2A">
        <w:rPr>
          <w:lang w:val="en-AU"/>
        </w:rPr>
        <w:t>:</w:t>
      </w:r>
      <w:r w:rsidRPr="00EB0F2A">
        <w:rPr>
          <w:lang w:val="en-AU"/>
        </w:rPr>
        <w:tab/>
      </w:r>
      <w:r>
        <w:rPr>
          <w:lang w:val="en-AU"/>
        </w:rPr>
        <w:t xml:space="preserve">  Current diagnostic pathway (in practice)</w:t>
      </w:r>
    </w:p>
    <w:p w:rsidR="00ED0820" w:rsidRDefault="00EF4D48" w:rsidP="00EF4D48">
      <w:pPr>
        <w:jc w:val="left"/>
      </w:pPr>
      <w:r>
        <w:rPr>
          <w:noProof/>
          <w:lang w:eastAsia="en-AU"/>
        </w:rPr>
        <w:drawing>
          <wp:inline distT="0" distB="0" distL="0" distR="0">
            <wp:extent cx="5605373" cy="3519577"/>
            <wp:effectExtent l="0" t="0" r="0" b="5080"/>
            <wp:docPr id="11" name="Picture 7" title="Current diagnostic pathway (in pract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srcRect l="23618" t="38202" r="21312" b="21536"/>
                    <a:stretch>
                      <a:fillRect/>
                    </a:stretch>
                  </pic:blipFill>
                  <pic:spPr bwMode="auto">
                    <a:xfrm>
                      <a:off x="0" y="0"/>
                      <a:ext cx="5605373" cy="3519577"/>
                    </a:xfrm>
                    <a:prstGeom prst="rect">
                      <a:avLst/>
                    </a:prstGeom>
                    <a:noFill/>
                    <a:ln w="9525">
                      <a:noFill/>
                      <a:miter lim="800000"/>
                      <a:headEnd/>
                      <a:tailEnd/>
                    </a:ln>
                  </pic:spPr>
                </pic:pic>
              </a:graphicData>
            </a:graphic>
          </wp:inline>
        </w:drawing>
      </w:r>
    </w:p>
    <w:p w:rsidR="00ED0820" w:rsidRDefault="00ED0820" w:rsidP="00C4412D">
      <w:r>
        <w:t xml:space="preserve">As illustrated above, in current practice, the symptomatic patients who have family history of TTR-FAP undergo genetic testing. Biopsy is bypassed, given the invasive nature of the test, the high likelihood </w:t>
      </w:r>
      <w:r>
        <w:lastRenderedPageBreak/>
        <w:t>that the symptoms are due to TTR-FAP, and the need for clinical certainty (in light of the clinical consequences of the diagnosis).</w:t>
      </w:r>
    </w:p>
    <w:p w:rsidR="00ED0820" w:rsidRDefault="00ED0820" w:rsidP="00F77FF5">
      <w:r>
        <w:t>Symptomatic patients without family history of TTR-FAP,</w:t>
      </w:r>
      <w:r w:rsidR="000A5C8C">
        <w:t xml:space="preserve"> and</w:t>
      </w:r>
      <w:r>
        <w:t xml:space="preserve"> whose biopsy results are negative, currently do not undergo further testing. Symptomatic patients without family history, </w:t>
      </w:r>
      <w:r w:rsidR="000A5C8C">
        <w:t xml:space="preserve">and </w:t>
      </w:r>
      <w:r>
        <w:t xml:space="preserve">whose biopsy results are positive, undergo genetic testing. </w:t>
      </w:r>
    </w:p>
    <w:p w:rsidR="00ED0820" w:rsidRPr="00066CDE" w:rsidRDefault="00ED0820" w:rsidP="002F5780">
      <w:pPr>
        <w:pStyle w:val="Heading3"/>
        <w:rPr>
          <w:color w:val="auto"/>
          <w:u w:val="single"/>
        </w:rPr>
      </w:pPr>
      <w:bookmarkStart w:id="23" w:name="_Toc335389116"/>
      <w:r>
        <w:rPr>
          <w:color w:val="auto"/>
          <w:u w:val="single"/>
        </w:rPr>
        <w:t>Proposed diagnostic p</w:t>
      </w:r>
      <w:r w:rsidRPr="00066CDE">
        <w:rPr>
          <w:color w:val="auto"/>
          <w:u w:val="single"/>
        </w:rPr>
        <w:t>athway</w:t>
      </w:r>
      <w:bookmarkEnd w:id="23"/>
    </w:p>
    <w:p w:rsidR="00ED0820" w:rsidRDefault="00ED0820" w:rsidP="00F77FF5">
      <w:r w:rsidRPr="00066CDE">
        <w:t>The clinical diagnostic pathway with the proposed intervention</w:t>
      </w:r>
      <w:r>
        <w:t xml:space="preserve"> is</w:t>
      </w:r>
      <w:r w:rsidRPr="00066CDE">
        <w:t xml:space="preserve"> </w:t>
      </w:r>
      <w:r>
        <w:t xml:space="preserve">depicted in Figure 3, below. It is identical to the </w:t>
      </w:r>
      <w:r w:rsidRPr="00066CDE">
        <w:t xml:space="preserve">current </w:t>
      </w:r>
      <w:r>
        <w:t xml:space="preserve">actual </w:t>
      </w:r>
      <w:r w:rsidRPr="00066CDE">
        <w:t>management of symptomatic patients</w:t>
      </w:r>
      <w:r>
        <w:t>. However, in the proposed scenario</w:t>
      </w:r>
      <w:r w:rsidR="000A5C8C">
        <w:t>,</w:t>
      </w:r>
      <w:r>
        <w:t xml:space="preserve"> the TTR-FAP genetic test would be publicly funded</w:t>
      </w:r>
      <w:r w:rsidR="005F2BF1">
        <w:t xml:space="preserve"> and the patients would be treated with tafamidis.</w:t>
      </w:r>
    </w:p>
    <w:p w:rsidR="00ED0820" w:rsidRDefault="00ED0820" w:rsidP="00F7706D">
      <w:r>
        <w:t xml:space="preserve">Under the proposed pathway, symptomatic patients with family history would undergo genetic testing, bypassing the biopsy (as described above). </w:t>
      </w:r>
    </w:p>
    <w:p w:rsidR="00ED0820" w:rsidRDefault="00ED0820" w:rsidP="00F7706D">
      <w:r>
        <w:t xml:space="preserve">Symptomatic patients without family history of TTR-FAP would undergo biopsy. If the biopsy results are negative, these patients would not undergo further testing. If the biopsy results are positive, the patients would undergo further genetic testing, in order to confirm the results. </w:t>
      </w:r>
    </w:p>
    <w:p w:rsidR="00ED0820" w:rsidRPr="00066CDE" w:rsidDel="00420B62" w:rsidRDefault="00ED0820" w:rsidP="00420B62">
      <w:pPr>
        <w:pStyle w:val="Caption"/>
      </w:pPr>
      <w:r>
        <w:rPr>
          <w:lang w:val="en-AU"/>
        </w:rPr>
        <w:t>Figure</w:t>
      </w:r>
      <w:r w:rsidRPr="00EB0F2A">
        <w:rPr>
          <w:lang w:val="en-AU"/>
        </w:rPr>
        <w:t xml:space="preserve"> </w:t>
      </w:r>
      <w:r>
        <w:rPr>
          <w:lang w:val="en-AU"/>
        </w:rPr>
        <w:t>3</w:t>
      </w:r>
      <w:r w:rsidRPr="00EB0F2A">
        <w:rPr>
          <w:lang w:val="en-AU"/>
        </w:rPr>
        <w:t>:</w:t>
      </w:r>
      <w:r w:rsidRPr="00EB0F2A">
        <w:rPr>
          <w:lang w:val="en-AU"/>
        </w:rPr>
        <w:tab/>
      </w:r>
      <w:r>
        <w:rPr>
          <w:lang w:val="en-AU"/>
        </w:rPr>
        <w:t xml:space="preserve">  Proposed diagnostic pathway </w:t>
      </w:r>
    </w:p>
    <w:p w:rsidR="00ED0820" w:rsidRDefault="00ED0820" w:rsidP="00892FA0">
      <w:pPr>
        <w:spacing w:after="0"/>
      </w:pPr>
    </w:p>
    <w:p w:rsidR="001A709A" w:rsidRDefault="001A709A" w:rsidP="00892FA0">
      <w:pPr>
        <w:spacing w:after="0"/>
      </w:pPr>
      <w:r>
        <w:rPr>
          <w:noProof/>
          <w:lang w:eastAsia="en-AU"/>
        </w:rPr>
        <w:drawing>
          <wp:inline distT="0" distB="0" distL="0" distR="0">
            <wp:extent cx="5096414" cy="3899115"/>
            <wp:effectExtent l="0" t="0" r="9525" b="6350"/>
            <wp:docPr id="4" name="Picture 4" title="Proposed diagnostic pathwa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l="22869" t="28864" r="21414" b="18512"/>
                    <a:stretch>
                      <a:fillRect/>
                    </a:stretch>
                  </pic:blipFill>
                  <pic:spPr bwMode="auto">
                    <a:xfrm>
                      <a:off x="0" y="0"/>
                      <a:ext cx="5105361" cy="3905960"/>
                    </a:xfrm>
                    <a:prstGeom prst="rect">
                      <a:avLst/>
                    </a:prstGeom>
                    <a:noFill/>
                    <a:ln w="9525">
                      <a:noFill/>
                      <a:miter lim="800000"/>
                      <a:headEnd/>
                      <a:tailEnd/>
                    </a:ln>
                  </pic:spPr>
                </pic:pic>
              </a:graphicData>
            </a:graphic>
          </wp:inline>
        </w:drawing>
      </w:r>
    </w:p>
    <w:p w:rsidR="00ED0820" w:rsidRDefault="00ED0820" w:rsidP="00A439EA">
      <w:pPr>
        <w:spacing w:after="0"/>
        <w:rPr>
          <w:noProof/>
          <w:lang w:eastAsia="en-AU"/>
        </w:rPr>
      </w:pPr>
    </w:p>
    <w:p w:rsidR="00ED0820" w:rsidRPr="00EB0F2A" w:rsidRDefault="00ED0820" w:rsidP="006E2D9B">
      <w:pPr>
        <w:pStyle w:val="Heading1"/>
        <w:spacing w:before="0"/>
      </w:pPr>
      <w:bookmarkStart w:id="24" w:name="_Toc335389117"/>
      <w:r w:rsidRPr="00EB0F2A">
        <w:lastRenderedPageBreak/>
        <w:t>Comparator</w:t>
      </w:r>
      <w:bookmarkEnd w:id="24"/>
    </w:p>
    <w:p w:rsidR="00ED0820" w:rsidRPr="001A7BFD" w:rsidRDefault="00ED0820" w:rsidP="00646E1E">
      <w:pPr>
        <w:tabs>
          <w:tab w:val="left" w:pos="0"/>
          <w:tab w:val="left" w:pos="540"/>
        </w:tabs>
        <w:spacing w:after="120"/>
        <w:ind w:right="58"/>
        <w:rPr>
          <w:rFonts w:ascii="Arial" w:hAnsi="Arial" w:cs="Arial"/>
        </w:rPr>
      </w:pPr>
      <w:r w:rsidRPr="001A7BFD">
        <w:rPr>
          <w:rFonts w:ascii="Arial" w:hAnsi="Arial" w:cs="Arial"/>
        </w:rPr>
        <w:t>TTR genetic testing is being proposed for access to tafamidis</w:t>
      </w:r>
      <w:r>
        <w:rPr>
          <w:rFonts w:ascii="Arial" w:hAnsi="Arial" w:cs="Arial"/>
        </w:rPr>
        <w:t xml:space="preserve"> (the Applicant intends to submit an application to PBAC for the funding of tafamidis). </w:t>
      </w:r>
      <w:r w:rsidRPr="001A7BFD">
        <w:rPr>
          <w:rFonts w:ascii="Arial" w:hAnsi="Arial" w:cs="Arial"/>
        </w:rPr>
        <w:t xml:space="preserve">Although </w:t>
      </w:r>
      <w:r>
        <w:rPr>
          <w:rFonts w:ascii="Arial" w:hAnsi="Arial" w:cs="Arial"/>
        </w:rPr>
        <w:t xml:space="preserve">TTR </w:t>
      </w:r>
      <w:r w:rsidRPr="001A7BFD">
        <w:rPr>
          <w:rFonts w:ascii="Arial" w:hAnsi="Arial" w:cs="Arial"/>
        </w:rPr>
        <w:t xml:space="preserve">genetic testing is currently accessible in Australia through research laboratories, it is not listed on the MBS. Therefore, the appropriate comparators </w:t>
      </w:r>
      <w:r>
        <w:rPr>
          <w:rFonts w:ascii="Arial" w:hAnsi="Arial" w:cs="Arial"/>
        </w:rPr>
        <w:t>here are</w:t>
      </w:r>
      <w:r w:rsidRPr="001A7BFD">
        <w:rPr>
          <w:rFonts w:ascii="Arial" w:hAnsi="Arial" w:cs="Arial"/>
        </w:rPr>
        <w:t>: genetic testing and treatment with tafamidis versus no genetic te</w:t>
      </w:r>
      <w:r>
        <w:rPr>
          <w:rFonts w:ascii="Arial" w:hAnsi="Arial" w:cs="Arial"/>
        </w:rPr>
        <w:t xml:space="preserve">sting and standard care (that is, the proposed diagnosis and treatment vs. the diagnosis and treatment as they are currently funded by the MBS). </w:t>
      </w:r>
    </w:p>
    <w:p w:rsidR="00ED0820" w:rsidRPr="00EB0F2A" w:rsidRDefault="00ED0820" w:rsidP="000901A8">
      <w:pPr>
        <w:pStyle w:val="Heading1"/>
      </w:pPr>
      <w:bookmarkStart w:id="25" w:name="_Toc335389118"/>
      <w:r w:rsidRPr="00EB0F2A">
        <w:t>Clinical claim</w:t>
      </w:r>
      <w:bookmarkEnd w:id="25"/>
    </w:p>
    <w:p w:rsidR="00ED0820" w:rsidRDefault="00ED0820" w:rsidP="002815AE">
      <w:r>
        <w:t xml:space="preserve">The clinical claim is that patients who test positive for TTR mutation via genetic testing and undergo subsequent treatment with tafamidis will have superior health outcomes and non-inferior safety outcomes in comparison to patients who do not undergo genetic testing and receive standard care. </w:t>
      </w:r>
    </w:p>
    <w:p w:rsidR="00ED0820" w:rsidRPr="00EB0F2A" w:rsidRDefault="00ED0820" w:rsidP="00A96F9C">
      <w:pPr>
        <w:pStyle w:val="Caption"/>
        <w:rPr>
          <w:lang w:val="en-AU"/>
        </w:rPr>
      </w:pPr>
      <w:bookmarkStart w:id="26" w:name="_Ref283288109"/>
      <w:r w:rsidRPr="00EB0F2A">
        <w:rPr>
          <w:lang w:val="en-AU"/>
        </w:rPr>
        <w:t xml:space="preserve">Table </w:t>
      </w:r>
      <w:bookmarkEnd w:id="26"/>
      <w:r>
        <w:rPr>
          <w:lang w:val="en-AU"/>
        </w:rPr>
        <w:t>2</w:t>
      </w:r>
      <w:r w:rsidRPr="00EB0F2A">
        <w:rPr>
          <w:lang w:val="en-AU"/>
        </w:rPr>
        <w:t>:</w:t>
      </w:r>
      <w:r w:rsidRPr="00EB0F2A">
        <w:rPr>
          <w:lang w:val="en-AU"/>
        </w:rPr>
        <w:tab/>
        <w:t>Classification of an intervention for determination of economic evaluation to be presented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A0" w:firstRow="1" w:lastRow="0" w:firstColumn="1" w:lastColumn="0" w:noHBand="0" w:noVBand="0"/>
      </w:tblPr>
      <w:tblGrid>
        <w:gridCol w:w="671"/>
        <w:gridCol w:w="1085"/>
        <w:gridCol w:w="1583"/>
        <w:gridCol w:w="977"/>
        <w:gridCol w:w="2369"/>
        <w:gridCol w:w="1548"/>
        <w:gridCol w:w="907"/>
      </w:tblGrid>
      <w:tr w:rsidR="00ED0820" w:rsidRPr="00EB0F2A" w:rsidTr="00A84F90">
        <w:tc>
          <w:tcPr>
            <w:tcW w:w="1756" w:type="dxa"/>
            <w:gridSpan w:val="2"/>
            <w:vMerge w:val="restart"/>
          </w:tcPr>
          <w:p w:rsidR="00ED0820" w:rsidRPr="00A84F90" w:rsidRDefault="00ED0820" w:rsidP="00A84F90">
            <w:pPr>
              <w:keepNext/>
              <w:tabs>
                <w:tab w:val="left" w:pos="2835"/>
              </w:tabs>
              <w:spacing w:after="0" w:line="240" w:lineRule="auto"/>
              <w:rPr>
                <w:rFonts w:ascii="Arial Narrow" w:hAnsi="Arial Narrow"/>
                <w:lang w:eastAsia="ja-JP"/>
              </w:rPr>
            </w:pPr>
          </w:p>
        </w:tc>
        <w:tc>
          <w:tcPr>
            <w:tcW w:w="7384" w:type="dxa"/>
            <w:gridSpan w:val="5"/>
          </w:tcPr>
          <w:p w:rsidR="00ED0820" w:rsidRPr="00A84F90" w:rsidRDefault="00ED0820" w:rsidP="00A84F90">
            <w:pPr>
              <w:keepNext/>
              <w:tabs>
                <w:tab w:val="left" w:pos="2835"/>
              </w:tabs>
              <w:spacing w:after="0" w:line="240" w:lineRule="auto"/>
              <w:jc w:val="center"/>
              <w:rPr>
                <w:rFonts w:ascii="Arial Narrow" w:hAnsi="Arial Narrow"/>
                <w:b/>
                <w:lang w:eastAsia="ja-JP"/>
              </w:rPr>
            </w:pPr>
            <w:r w:rsidRPr="00A84F90">
              <w:rPr>
                <w:rFonts w:ascii="Arial Narrow" w:hAnsi="Arial Narrow"/>
                <w:b/>
                <w:lang w:eastAsia="ja-JP"/>
              </w:rPr>
              <w:t>Comparative effectiveness versus comparator</w:t>
            </w:r>
          </w:p>
        </w:tc>
      </w:tr>
      <w:tr w:rsidR="00ED0820" w:rsidRPr="00EB0F2A" w:rsidTr="00A84F90">
        <w:tc>
          <w:tcPr>
            <w:tcW w:w="1756" w:type="dxa"/>
            <w:gridSpan w:val="2"/>
            <w:vMerge/>
          </w:tcPr>
          <w:p w:rsidR="00ED0820" w:rsidRPr="00A84F90" w:rsidRDefault="00ED0820" w:rsidP="00A84F90">
            <w:pPr>
              <w:keepNext/>
              <w:tabs>
                <w:tab w:val="left" w:pos="2835"/>
              </w:tabs>
              <w:spacing w:after="0" w:line="240" w:lineRule="auto"/>
              <w:rPr>
                <w:rFonts w:ascii="Arial Narrow" w:hAnsi="Arial Narrow"/>
                <w:lang w:eastAsia="ja-JP"/>
              </w:rPr>
            </w:pPr>
          </w:p>
        </w:tc>
        <w:tc>
          <w:tcPr>
            <w:tcW w:w="2560" w:type="dxa"/>
            <w:gridSpan w:val="2"/>
            <w:vAlign w:val="center"/>
          </w:tcPr>
          <w:p w:rsidR="00ED0820" w:rsidRPr="00A84F90" w:rsidRDefault="00ED0820" w:rsidP="00A84F90">
            <w:pPr>
              <w:keepNext/>
              <w:tabs>
                <w:tab w:val="left" w:pos="2835"/>
              </w:tabs>
              <w:spacing w:after="0" w:line="240" w:lineRule="auto"/>
              <w:jc w:val="center"/>
              <w:rPr>
                <w:rFonts w:ascii="Arial Narrow" w:hAnsi="Arial Narrow"/>
                <w:u w:val="single"/>
                <w:lang w:eastAsia="ja-JP"/>
              </w:rPr>
            </w:pPr>
            <w:r w:rsidRPr="00A84F90">
              <w:rPr>
                <w:rFonts w:ascii="Arial Narrow" w:hAnsi="Arial Narrow"/>
                <w:u w:val="single"/>
                <w:lang w:eastAsia="ja-JP"/>
              </w:rPr>
              <w:t>Superior</w:t>
            </w:r>
          </w:p>
        </w:tc>
        <w:tc>
          <w:tcPr>
            <w:tcW w:w="2369" w:type="dxa"/>
            <w:vAlign w:val="center"/>
          </w:tcPr>
          <w:p w:rsidR="00ED0820" w:rsidRPr="00A84F90" w:rsidRDefault="00ED0820" w:rsidP="00A84F90">
            <w:pPr>
              <w:keepNext/>
              <w:tabs>
                <w:tab w:val="left" w:pos="2835"/>
              </w:tabs>
              <w:spacing w:after="0" w:line="240" w:lineRule="auto"/>
              <w:jc w:val="center"/>
              <w:rPr>
                <w:rFonts w:ascii="Arial Narrow" w:hAnsi="Arial Narrow"/>
                <w:u w:val="single"/>
                <w:lang w:eastAsia="ja-JP"/>
              </w:rPr>
            </w:pPr>
            <w:r w:rsidRPr="00A84F90">
              <w:rPr>
                <w:rFonts w:ascii="Arial Narrow" w:hAnsi="Arial Narrow"/>
                <w:u w:val="single"/>
                <w:lang w:eastAsia="ja-JP"/>
              </w:rPr>
              <w:t>Non-inferior</w:t>
            </w:r>
          </w:p>
        </w:tc>
        <w:tc>
          <w:tcPr>
            <w:tcW w:w="2455" w:type="dxa"/>
            <w:gridSpan w:val="2"/>
            <w:vAlign w:val="center"/>
          </w:tcPr>
          <w:p w:rsidR="00ED0820" w:rsidRPr="00A84F90" w:rsidRDefault="00ED0820" w:rsidP="00A84F90">
            <w:pPr>
              <w:keepNext/>
              <w:tabs>
                <w:tab w:val="left" w:pos="2835"/>
              </w:tabs>
              <w:spacing w:after="0" w:line="240" w:lineRule="auto"/>
              <w:jc w:val="center"/>
              <w:rPr>
                <w:rFonts w:ascii="Arial Narrow" w:hAnsi="Arial Narrow"/>
                <w:u w:val="single"/>
                <w:lang w:eastAsia="ja-JP"/>
              </w:rPr>
            </w:pPr>
            <w:r w:rsidRPr="00A84F90">
              <w:rPr>
                <w:rFonts w:ascii="Arial Narrow" w:hAnsi="Arial Narrow"/>
                <w:u w:val="single"/>
                <w:lang w:eastAsia="ja-JP"/>
              </w:rPr>
              <w:t>Inferior</w:t>
            </w:r>
          </w:p>
        </w:tc>
      </w:tr>
      <w:tr w:rsidR="00ED0820" w:rsidRPr="00EB0F2A" w:rsidTr="00A84F90">
        <w:trPr>
          <w:cantSplit/>
          <w:trHeight w:val="20"/>
        </w:trPr>
        <w:tc>
          <w:tcPr>
            <w:tcW w:w="671" w:type="dxa"/>
            <w:vMerge w:val="restart"/>
            <w:textDirection w:val="btLr"/>
            <w:vAlign w:val="center"/>
          </w:tcPr>
          <w:p w:rsidR="00ED0820" w:rsidRPr="00A84F90" w:rsidRDefault="00ED0820" w:rsidP="00A84F90">
            <w:pPr>
              <w:keepNext/>
              <w:tabs>
                <w:tab w:val="left" w:pos="2835"/>
              </w:tabs>
              <w:spacing w:after="0" w:line="240" w:lineRule="auto"/>
              <w:ind w:left="113" w:right="113"/>
              <w:jc w:val="center"/>
              <w:rPr>
                <w:rFonts w:ascii="Arial Narrow" w:hAnsi="Arial Narrow"/>
                <w:b/>
                <w:lang w:eastAsia="ja-JP"/>
              </w:rPr>
            </w:pPr>
            <w:r w:rsidRPr="00A84F90">
              <w:rPr>
                <w:rFonts w:ascii="Arial Narrow" w:hAnsi="Arial Narrow"/>
                <w:b/>
                <w:lang w:eastAsia="ja-JP"/>
              </w:rPr>
              <w:t>Comparative safety versus comparator</w:t>
            </w:r>
          </w:p>
        </w:tc>
        <w:tc>
          <w:tcPr>
            <w:tcW w:w="1085" w:type="dxa"/>
            <w:vMerge w:val="restart"/>
            <w:vAlign w:val="center"/>
          </w:tcPr>
          <w:p w:rsidR="00ED0820" w:rsidRPr="00A84F90" w:rsidRDefault="00ED0820" w:rsidP="00A84F90">
            <w:pPr>
              <w:keepNext/>
              <w:tabs>
                <w:tab w:val="left" w:pos="2835"/>
              </w:tabs>
              <w:spacing w:after="0" w:line="240" w:lineRule="auto"/>
              <w:jc w:val="left"/>
              <w:rPr>
                <w:rFonts w:ascii="Arial Narrow" w:hAnsi="Arial Narrow"/>
                <w:u w:val="single"/>
                <w:lang w:eastAsia="ja-JP"/>
              </w:rPr>
            </w:pPr>
            <w:r w:rsidRPr="00A84F90">
              <w:rPr>
                <w:rFonts w:ascii="Arial Narrow" w:hAnsi="Arial Narrow"/>
                <w:u w:val="single"/>
                <w:lang w:eastAsia="ja-JP"/>
              </w:rPr>
              <w:t>Superior</w:t>
            </w:r>
          </w:p>
        </w:tc>
        <w:tc>
          <w:tcPr>
            <w:tcW w:w="2560" w:type="dxa"/>
            <w:gridSpan w:val="2"/>
            <w:vMerge w:val="restart"/>
            <w:vAlign w:val="center"/>
          </w:tcPr>
          <w:p w:rsidR="00ED0820" w:rsidRPr="00A84F90" w:rsidRDefault="00ED0820" w:rsidP="00A84F90">
            <w:pPr>
              <w:keepNext/>
              <w:tabs>
                <w:tab w:val="left" w:pos="2835"/>
              </w:tabs>
              <w:spacing w:after="0" w:line="240" w:lineRule="auto"/>
              <w:jc w:val="center"/>
              <w:rPr>
                <w:rFonts w:ascii="Arial Narrow" w:hAnsi="Arial Narrow"/>
                <w:lang w:eastAsia="ja-JP"/>
              </w:rPr>
            </w:pPr>
            <w:r w:rsidRPr="00A84F90">
              <w:rPr>
                <w:rFonts w:ascii="Arial Narrow" w:hAnsi="Arial Narrow"/>
                <w:lang w:eastAsia="ja-JP"/>
              </w:rPr>
              <w:t>CEA/CUA</w:t>
            </w:r>
          </w:p>
        </w:tc>
        <w:tc>
          <w:tcPr>
            <w:tcW w:w="2369" w:type="dxa"/>
            <w:vMerge w:val="restart"/>
            <w:vAlign w:val="center"/>
          </w:tcPr>
          <w:p w:rsidR="00ED0820" w:rsidRPr="00A84F90" w:rsidRDefault="00ED0820" w:rsidP="00A84F90">
            <w:pPr>
              <w:keepNext/>
              <w:tabs>
                <w:tab w:val="left" w:pos="2835"/>
              </w:tabs>
              <w:spacing w:after="0" w:line="240" w:lineRule="auto"/>
              <w:jc w:val="center"/>
              <w:rPr>
                <w:rFonts w:ascii="Arial Narrow" w:hAnsi="Arial Narrow"/>
                <w:lang w:eastAsia="ja-JP"/>
              </w:rPr>
            </w:pPr>
            <w:r w:rsidRPr="00A84F90">
              <w:rPr>
                <w:rFonts w:ascii="Arial Narrow" w:hAnsi="Arial Narrow"/>
                <w:lang w:eastAsia="ja-JP"/>
              </w:rPr>
              <w:t>CEA/CUA</w:t>
            </w:r>
          </w:p>
        </w:tc>
        <w:tc>
          <w:tcPr>
            <w:tcW w:w="1548" w:type="dxa"/>
          </w:tcPr>
          <w:p w:rsidR="00ED0820" w:rsidRPr="00A84F90" w:rsidRDefault="00ED0820" w:rsidP="00A84F90">
            <w:pPr>
              <w:keepNext/>
              <w:tabs>
                <w:tab w:val="left" w:pos="2835"/>
              </w:tabs>
              <w:spacing w:after="0" w:line="240" w:lineRule="auto"/>
              <w:rPr>
                <w:rFonts w:ascii="Arial Narrow" w:hAnsi="Arial Narrow"/>
                <w:u w:val="single"/>
                <w:lang w:eastAsia="ja-JP"/>
              </w:rPr>
            </w:pPr>
            <w:r w:rsidRPr="00A84F90">
              <w:rPr>
                <w:rFonts w:ascii="Arial Narrow" w:hAnsi="Arial Narrow"/>
                <w:u w:val="single"/>
                <w:lang w:eastAsia="ja-JP"/>
              </w:rPr>
              <w:t>Net clinical benefit</w:t>
            </w:r>
          </w:p>
        </w:tc>
        <w:tc>
          <w:tcPr>
            <w:tcW w:w="907" w:type="dxa"/>
            <w:vAlign w:val="center"/>
          </w:tcPr>
          <w:p w:rsidR="00ED0820" w:rsidRPr="00A84F90" w:rsidRDefault="00ED0820" w:rsidP="00A84F90">
            <w:pPr>
              <w:keepNext/>
              <w:tabs>
                <w:tab w:val="left" w:pos="2835"/>
              </w:tabs>
              <w:spacing w:after="0" w:line="240" w:lineRule="auto"/>
              <w:jc w:val="center"/>
              <w:rPr>
                <w:rFonts w:ascii="Arial Narrow" w:hAnsi="Arial Narrow"/>
                <w:lang w:eastAsia="ja-JP"/>
              </w:rPr>
            </w:pPr>
            <w:r w:rsidRPr="00A84F90">
              <w:rPr>
                <w:rFonts w:ascii="Arial Narrow" w:hAnsi="Arial Narrow"/>
                <w:lang w:eastAsia="ja-JP"/>
              </w:rPr>
              <w:t>CEA/CUA</w:t>
            </w:r>
          </w:p>
        </w:tc>
      </w:tr>
      <w:tr w:rsidR="00ED0820" w:rsidRPr="00EB0F2A" w:rsidTr="00A84F90">
        <w:trPr>
          <w:cantSplit/>
          <w:trHeight w:val="20"/>
        </w:trPr>
        <w:tc>
          <w:tcPr>
            <w:tcW w:w="671" w:type="dxa"/>
            <w:vMerge/>
          </w:tcPr>
          <w:p w:rsidR="00ED0820" w:rsidRPr="00A84F90" w:rsidRDefault="00ED0820" w:rsidP="00A84F90">
            <w:pPr>
              <w:tabs>
                <w:tab w:val="left" w:pos="2835"/>
              </w:tabs>
              <w:spacing w:after="0" w:line="240" w:lineRule="auto"/>
              <w:rPr>
                <w:rFonts w:ascii="Arial Narrow" w:hAnsi="Arial Narrow"/>
                <w:lang w:eastAsia="ja-JP"/>
              </w:rPr>
            </w:pPr>
          </w:p>
        </w:tc>
        <w:tc>
          <w:tcPr>
            <w:tcW w:w="1085" w:type="dxa"/>
            <w:vMerge/>
            <w:vAlign w:val="center"/>
          </w:tcPr>
          <w:p w:rsidR="00ED0820" w:rsidRPr="00A84F90" w:rsidRDefault="00ED0820" w:rsidP="00A84F90">
            <w:pPr>
              <w:tabs>
                <w:tab w:val="left" w:pos="2835"/>
              </w:tabs>
              <w:spacing w:after="0" w:line="240" w:lineRule="auto"/>
              <w:jc w:val="left"/>
              <w:rPr>
                <w:rFonts w:ascii="Arial Narrow" w:hAnsi="Arial Narrow"/>
                <w:u w:val="single"/>
                <w:lang w:eastAsia="ja-JP"/>
              </w:rPr>
            </w:pPr>
          </w:p>
        </w:tc>
        <w:tc>
          <w:tcPr>
            <w:tcW w:w="2560" w:type="dxa"/>
            <w:gridSpan w:val="2"/>
            <w:vMerge/>
            <w:vAlign w:val="center"/>
          </w:tcPr>
          <w:p w:rsidR="00ED0820" w:rsidRPr="00A84F90" w:rsidRDefault="00ED0820" w:rsidP="00A84F90">
            <w:pPr>
              <w:tabs>
                <w:tab w:val="left" w:pos="2835"/>
              </w:tabs>
              <w:spacing w:after="0" w:line="240" w:lineRule="auto"/>
              <w:jc w:val="center"/>
              <w:rPr>
                <w:rFonts w:ascii="Arial Narrow" w:hAnsi="Arial Narrow"/>
                <w:lang w:eastAsia="ja-JP"/>
              </w:rPr>
            </w:pPr>
          </w:p>
        </w:tc>
        <w:tc>
          <w:tcPr>
            <w:tcW w:w="2369" w:type="dxa"/>
            <w:vMerge/>
            <w:vAlign w:val="center"/>
          </w:tcPr>
          <w:p w:rsidR="00ED0820" w:rsidRPr="00A84F90" w:rsidRDefault="00ED0820" w:rsidP="00A84F90">
            <w:pPr>
              <w:tabs>
                <w:tab w:val="left" w:pos="2835"/>
              </w:tabs>
              <w:spacing w:after="0" w:line="240" w:lineRule="auto"/>
              <w:jc w:val="center"/>
              <w:rPr>
                <w:rFonts w:ascii="Arial Narrow" w:hAnsi="Arial Narrow"/>
                <w:lang w:eastAsia="ja-JP"/>
              </w:rPr>
            </w:pPr>
          </w:p>
        </w:tc>
        <w:tc>
          <w:tcPr>
            <w:tcW w:w="1548" w:type="dxa"/>
          </w:tcPr>
          <w:p w:rsidR="00ED0820" w:rsidRPr="00A84F90" w:rsidRDefault="00ED0820" w:rsidP="00A84F90">
            <w:pPr>
              <w:tabs>
                <w:tab w:val="left" w:pos="2835"/>
              </w:tabs>
              <w:spacing w:after="0" w:line="240" w:lineRule="auto"/>
              <w:rPr>
                <w:rFonts w:ascii="Arial Narrow" w:hAnsi="Arial Narrow"/>
                <w:u w:val="single"/>
                <w:lang w:eastAsia="ja-JP"/>
              </w:rPr>
            </w:pPr>
            <w:r w:rsidRPr="00A84F90">
              <w:rPr>
                <w:rFonts w:ascii="Arial Narrow" w:hAnsi="Arial Narrow"/>
                <w:u w:val="single"/>
                <w:lang w:eastAsia="ja-JP"/>
              </w:rPr>
              <w:t>Neutral benefit</w:t>
            </w:r>
          </w:p>
        </w:tc>
        <w:tc>
          <w:tcPr>
            <w:tcW w:w="907" w:type="dxa"/>
            <w:vAlign w:val="center"/>
          </w:tcPr>
          <w:p w:rsidR="00ED0820" w:rsidRPr="00A84F90" w:rsidRDefault="00ED0820" w:rsidP="00A84F90">
            <w:pPr>
              <w:tabs>
                <w:tab w:val="left" w:pos="2835"/>
              </w:tabs>
              <w:spacing w:after="0" w:line="240" w:lineRule="auto"/>
              <w:jc w:val="center"/>
              <w:rPr>
                <w:rFonts w:ascii="Arial Narrow" w:hAnsi="Arial Narrow"/>
                <w:lang w:eastAsia="ja-JP"/>
              </w:rPr>
            </w:pPr>
            <w:r w:rsidRPr="00A84F90">
              <w:rPr>
                <w:rFonts w:ascii="Arial Narrow" w:hAnsi="Arial Narrow"/>
                <w:lang w:eastAsia="ja-JP"/>
              </w:rPr>
              <w:t>CEA/CUA*</w:t>
            </w:r>
          </w:p>
        </w:tc>
      </w:tr>
      <w:tr w:rsidR="00ED0820" w:rsidRPr="00EB0F2A" w:rsidTr="00A84F90">
        <w:trPr>
          <w:cantSplit/>
          <w:trHeight w:val="20"/>
        </w:trPr>
        <w:tc>
          <w:tcPr>
            <w:tcW w:w="671" w:type="dxa"/>
            <w:vMerge/>
          </w:tcPr>
          <w:p w:rsidR="00ED0820" w:rsidRPr="00A84F90" w:rsidRDefault="00ED0820" w:rsidP="00A84F90">
            <w:pPr>
              <w:tabs>
                <w:tab w:val="left" w:pos="2835"/>
              </w:tabs>
              <w:spacing w:after="0" w:line="240" w:lineRule="auto"/>
              <w:rPr>
                <w:rFonts w:ascii="Arial Narrow" w:hAnsi="Arial Narrow"/>
                <w:lang w:eastAsia="ja-JP"/>
              </w:rPr>
            </w:pPr>
          </w:p>
        </w:tc>
        <w:tc>
          <w:tcPr>
            <w:tcW w:w="1085" w:type="dxa"/>
            <w:vMerge/>
            <w:vAlign w:val="center"/>
          </w:tcPr>
          <w:p w:rsidR="00ED0820" w:rsidRPr="00A84F90" w:rsidRDefault="00ED0820" w:rsidP="00A84F90">
            <w:pPr>
              <w:tabs>
                <w:tab w:val="left" w:pos="2835"/>
              </w:tabs>
              <w:spacing w:after="0" w:line="240" w:lineRule="auto"/>
              <w:jc w:val="left"/>
              <w:rPr>
                <w:rFonts w:ascii="Arial Narrow" w:hAnsi="Arial Narrow"/>
                <w:u w:val="single"/>
                <w:lang w:eastAsia="ja-JP"/>
              </w:rPr>
            </w:pPr>
          </w:p>
        </w:tc>
        <w:tc>
          <w:tcPr>
            <w:tcW w:w="2560" w:type="dxa"/>
            <w:gridSpan w:val="2"/>
            <w:vMerge/>
            <w:vAlign w:val="center"/>
          </w:tcPr>
          <w:p w:rsidR="00ED0820" w:rsidRPr="00A84F90" w:rsidRDefault="00ED0820" w:rsidP="00A84F90">
            <w:pPr>
              <w:tabs>
                <w:tab w:val="left" w:pos="2835"/>
              </w:tabs>
              <w:spacing w:after="0" w:line="240" w:lineRule="auto"/>
              <w:jc w:val="center"/>
              <w:rPr>
                <w:rFonts w:ascii="Arial Narrow" w:hAnsi="Arial Narrow"/>
                <w:lang w:eastAsia="ja-JP"/>
              </w:rPr>
            </w:pPr>
          </w:p>
        </w:tc>
        <w:tc>
          <w:tcPr>
            <w:tcW w:w="2369" w:type="dxa"/>
            <w:vMerge/>
            <w:vAlign w:val="center"/>
          </w:tcPr>
          <w:p w:rsidR="00ED0820" w:rsidRPr="00A84F90" w:rsidRDefault="00ED0820" w:rsidP="00A84F90">
            <w:pPr>
              <w:tabs>
                <w:tab w:val="left" w:pos="2835"/>
              </w:tabs>
              <w:spacing w:after="0" w:line="240" w:lineRule="auto"/>
              <w:jc w:val="center"/>
              <w:rPr>
                <w:rFonts w:ascii="Arial Narrow" w:hAnsi="Arial Narrow"/>
                <w:lang w:eastAsia="ja-JP"/>
              </w:rPr>
            </w:pPr>
          </w:p>
        </w:tc>
        <w:tc>
          <w:tcPr>
            <w:tcW w:w="1548" w:type="dxa"/>
          </w:tcPr>
          <w:p w:rsidR="00ED0820" w:rsidRPr="00A84F90" w:rsidRDefault="00ED0820" w:rsidP="00A84F90">
            <w:pPr>
              <w:tabs>
                <w:tab w:val="left" w:pos="2835"/>
              </w:tabs>
              <w:spacing w:after="0" w:line="240" w:lineRule="auto"/>
              <w:rPr>
                <w:rFonts w:ascii="Arial Narrow" w:hAnsi="Arial Narrow"/>
                <w:u w:val="single"/>
                <w:lang w:eastAsia="ja-JP"/>
              </w:rPr>
            </w:pPr>
            <w:r w:rsidRPr="00A84F90">
              <w:rPr>
                <w:rFonts w:ascii="Arial Narrow" w:hAnsi="Arial Narrow"/>
                <w:u w:val="single"/>
                <w:lang w:eastAsia="ja-JP"/>
              </w:rPr>
              <w:t>Net harms</w:t>
            </w:r>
          </w:p>
        </w:tc>
        <w:tc>
          <w:tcPr>
            <w:tcW w:w="907" w:type="dxa"/>
            <w:vAlign w:val="center"/>
          </w:tcPr>
          <w:p w:rsidR="00ED0820" w:rsidRPr="00A84F90" w:rsidRDefault="00ED0820" w:rsidP="00A84F90">
            <w:pPr>
              <w:tabs>
                <w:tab w:val="left" w:pos="2835"/>
              </w:tabs>
              <w:spacing w:after="0" w:line="240" w:lineRule="auto"/>
              <w:jc w:val="center"/>
              <w:rPr>
                <w:rFonts w:ascii="Arial Narrow" w:hAnsi="Arial Narrow"/>
                <w:lang w:eastAsia="ja-JP"/>
              </w:rPr>
            </w:pPr>
            <w:r w:rsidRPr="00A84F90">
              <w:rPr>
                <w:rFonts w:ascii="Arial Narrow" w:hAnsi="Arial Narrow"/>
                <w:lang w:eastAsia="ja-JP"/>
              </w:rPr>
              <w:t>None^</w:t>
            </w:r>
          </w:p>
        </w:tc>
      </w:tr>
      <w:tr w:rsidR="00ED0820" w:rsidRPr="00EB0F2A" w:rsidTr="00A84F90">
        <w:trPr>
          <w:cantSplit/>
          <w:trHeight w:val="750"/>
        </w:trPr>
        <w:tc>
          <w:tcPr>
            <w:tcW w:w="671" w:type="dxa"/>
            <w:vMerge/>
          </w:tcPr>
          <w:p w:rsidR="00ED0820" w:rsidRPr="00A84F90" w:rsidRDefault="00ED0820" w:rsidP="00A84F90">
            <w:pPr>
              <w:tabs>
                <w:tab w:val="left" w:pos="2835"/>
              </w:tabs>
              <w:spacing w:after="0" w:line="240" w:lineRule="auto"/>
              <w:rPr>
                <w:rFonts w:ascii="Arial Narrow" w:hAnsi="Arial Narrow"/>
                <w:lang w:eastAsia="ja-JP"/>
              </w:rPr>
            </w:pPr>
          </w:p>
        </w:tc>
        <w:tc>
          <w:tcPr>
            <w:tcW w:w="1085" w:type="dxa"/>
            <w:vAlign w:val="center"/>
          </w:tcPr>
          <w:p w:rsidR="00ED0820" w:rsidRPr="00A84F90" w:rsidRDefault="00ED0820" w:rsidP="00A84F90">
            <w:pPr>
              <w:tabs>
                <w:tab w:val="left" w:pos="2835"/>
              </w:tabs>
              <w:spacing w:after="0" w:line="240" w:lineRule="auto"/>
              <w:jc w:val="left"/>
              <w:rPr>
                <w:rFonts w:ascii="Arial Narrow" w:hAnsi="Arial Narrow"/>
                <w:u w:val="single"/>
                <w:lang w:eastAsia="ja-JP"/>
              </w:rPr>
            </w:pPr>
            <w:r w:rsidRPr="00A84F90">
              <w:rPr>
                <w:rFonts w:ascii="Arial Narrow" w:hAnsi="Arial Narrow"/>
                <w:u w:val="single"/>
                <w:lang w:eastAsia="ja-JP"/>
              </w:rPr>
              <w:t>Non-inferior</w:t>
            </w:r>
          </w:p>
        </w:tc>
        <w:tc>
          <w:tcPr>
            <w:tcW w:w="2560" w:type="dxa"/>
            <w:gridSpan w:val="2"/>
            <w:vAlign w:val="center"/>
          </w:tcPr>
          <w:p w:rsidR="00ED0820" w:rsidRPr="00A84F90" w:rsidRDefault="00ED0820" w:rsidP="00A84F90">
            <w:pPr>
              <w:tabs>
                <w:tab w:val="left" w:pos="2835"/>
              </w:tabs>
              <w:spacing w:after="0" w:line="240" w:lineRule="auto"/>
              <w:jc w:val="center"/>
              <w:rPr>
                <w:rFonts w:ascii="Arial Narrow" w:hAnsi="Arial Narrow"/>
                <w:lang w:eastAsia="ja-JP"/>
              </w:rPr>
            </w:pPr>
            <w:r w:rsidRPr="00A84F90">
              <w:rPr>
                <w:rFonts w:ascii="Arial Narrow" w:hAnsi="Arial Narrow"/>
                <w:highlight w:val="cyan"/>
                <w:lang w:eastAsia="ja-JP"/>
              </w:rPr>
              <w:t>CEA/CUA</w:t>
            </w:r>
          </w:p>
        </w:tc>
        <w:tc>
          <w:tcPr>
            <w:tcW w:w="2369" w:type="dxa"/>
            <w:vAlign w:val="center"/>
          </w:tcPr>
          <w:p w:rsidR="00ED0820" w:rsidRPr="00A84F90" w:rsidRDefault="00ED0820" w:rsidP="00A84F90">
            <w:pPr>
              <w:tabs>
                <w:tab w:val="left" w:pos="2835"/>
              </w:tabs>
              <w:spacing w:after="0" w:line="240" w:lineRule="auto"/>
              <w:jc w:val="center"/>
              <w:rPr>
                <w:rFonts w:ascii="Arial Narrow" w:hAnsi="Arial Narrow"/>
                <w:lang w:eastAsia="ja-JP"/>
              </w:rPr>
            </w:pPr>
            <w:r w:rsidRPr="00A84F90">
              <w:rPr>
                <w:rFonts w:ascii="Arial Narrow" w:hAnsi="Arial Narrow"/>
                <w:lang w:eastAsia="ja-JP"/>
              </w:rPr>
              <w:t>CEA/CUA*</w:t>
            </w:r>
          </w:p>
        </w:tc>
        <w:tc>
          <w:tcPr>
            <w:tcW w:w="2455" w:type="dxa"/>
            <w:gridSpan w:val="2"/>
            <w:vAlign w:val="center"/>
          </w:tcPr>
          <w:p w:rsidR="00ED0820" w:rsidRPr="00A84F90" w:rsidRDefault="00ED0820" w:rsidP="00A84F90">
            <w:pPr>
              <w:tabs>
                <w:tab w:val="left" w:pos="2835"/>
              </w:tabs>
              <w:spacing w:after="0" w:line="240" w:lineRule="auto"/>
              <w:jc w:val="center"/>
              <w:rPr>
                <w:rFonts w:ascii="Arial Narrow" w:hAnsi="Arial Narrow"/>
                <w:lang w:eastAsia="ja-JP"/>
              </w:rPr>
            </w:pPr>
            <w:r w:rsidRPr="00A84F90">
              <w:rPr>
                <w:rFonts w:ascii="Arial Narrow" w:hAnsi="Arial Narrow"/>
                <w:lang w:eastAsia="ja-JP"/>
              </w:rPr>
              <w:t>None^</w:t>
            </w:r>
          </w:p>
        </w:tc>
      </w:tr>
      <w:tr w:rsidR="00ED0820" w:rsidRPr="00EB0F2A" w:rsidTr="00A84F90">
        <w:trPr>
          <w:cantSplit/>
          <w:trHeight w:val="20"/>
        </w:trPr>
        <w:tc>
          <w:tcPr>
            <w:tcW w:w="671" w:type="dxa"/>
            <w:vMerge/>
          </w:tcPr>
          <w:p w:rsidR="00ED0820" w:rsidRPr="00A84F90" w:rsidRDefault="00ED0820" w:rsidP="00A84F90">
            <w:pPr>
              <w:tabs>
                <w:tab w:val="left" w:pos="2835"/>
              </w:tabs>
              <w:spacing w:after="0" w:line="240" w:lineRule="auto"/>
              <w:rPr>
                <w:rFonts w:ascii="Arial Narrow" w:hAnsi="Arial Narrow"/>
                <w:lang w:eastAsia="ja-JP"/>
              </w:rPr>
            </w:pPr>
          </w:p>
        </w:tc>
        <w:tc>
          <w:tcPr>
            <w:tcW w:w="1085" w:type="dxa"/>
            <w:vMerge w:val="restart"/>
            <w:vAlign w:val="center"/>
          </w:tcPr>
          <w:p w:rsidR="00ED0820" w:rsidRPr="00A84F90" w:rsidRDefault="00ED0820" w:rsidP="00A84F90">
            <w:pPr>
              <w:tabs>
                <w:tab w:val="left" w:pos="2835"/>
              </w:tabs>
              <w:spacing w:after="0" w:line="240" w:lineRule="auto"/>
              <w:jc w:val="left"/>
              <w:rPr>
                <w:rFonts w:ascii="Arial Narrow" w:hAnsi="Arial Narrow"/>
                <w:u w:val="single"/>
                <w:lang w:eastAsia="ja-JP"/>
              </w:rPr>
            </w:pPr>
            <w:r w:rsidRPr="00A84F90">
              <w:rPr>
                <w:rFonts w:ascii="Arial Narrow" w:hAnsi="Arial Narrow"/>
                <w:u w:val="single"/>
                <w:lang w:eastAsia="ja-JP"/>
              </w:rPr>
              <w:t>Inferior</w:t>
            </w:r>
          </w:p>
        </w:tc>
        <w:tc>
          <w:tcPr>
            <w:tcW w:w="1583" w:type="dxa"/>
            <w:vAlign w:val="center"/>
          </w:tcPr>
          <w:p w:rsidR="00ED0820" w:rsidRPr="00A84F90" w:rsidRDefault="00ED0820" w:rsidP="00A84F90">
            <w:pPr>
              <w:tabs>
                <w:tab w:val="left" w:pos="2835"/>
              </w:tabs>
              <w:spacing w:after="0" w:line="240" w:lineRule="auto"/>
              <w:jc w:val="left"/>
              <w:rPr>
                <w:rFonts w:ascii="Arial Narrow" w:hAnsi="Arial Narrow"/>
                <w:u w:val="single"/>
                <w:lang w:eastAsia="ja-JP"/>
              </w:rPr>
            </w:pPr>
            <w:r w:rsidRPr="00A84F90">
              <w:rPr>
                <w:rFonts w:ascii="Arial Narrow" w:hAnsi="Arial Narrow"/>
                <w:u w:val="single"/>
                <w:lang w:eastAsia="ja-JP"/>
              </w:rPr>
              <w:t>Net clinical benefit</w:t>
            </w:r>
          </w:p>
        </w:tc>
        <w:tc>
          <w:tcPr>
            <w:tcW w:w="977" w:type="dxa"/>
            <w:vAlign w:val="center"/>
          </w:tcPr>
          <w:p w:rsidR="00ED0820" w:rsidRPr="00A84F90" w:rsidRDefault="00ED0820" w:rsidP="00A84F90">
            <w:pPr>
              <w:tabs>
                <w:tab w:val="left" w:pos="2835"/>
              </w:tabs>
              <w:spacing w:after="0" w:line="240" w:lineRule="auto"/>
              <w:jc w:val="center"/>
              <w:rPr>
                <w:rFonts w:ascii="Arial Narrow" w:hAnsi="Arial Narrow"/>
                <w:lang w:eastAsia="ja-JP"/>
              </w:rPr>
            </w:pPr>
            <w:r w:rsidRPr="00A84F90">
              <w:rPr>
                <w:rFonts w:ascii="Arial Narrow" w:hAnsi="Arial Narrow"/>
                <w:lang w:eastAsia="ja-JP"/>
              </w:rPr>
              <w:t>CEA/CUA</w:t>
            </w:r>
          </w:p>
        </w:tc>
        <w:tc>
          <w:tcPr>
            <w:tcW w:w="2369" w:type="dxa"/>
            <w:vMerge w:val="restart"/>
            <w:vAlign w:val="center"/>
          </w:tcPr>
          <w:p w:rsidR="00ED0820" w:rsidRPr="00A84F90" w:rsidRDefault="00ED0820" w:rsidP="00A84F90">
            <w:pPr>
              <w:tabs>
                <w:tab w:val="left" w:pos="2835"/>
              </w:tabs>
              <w:spacing w:after="0" w:line="240" w:lineRule="auto"/>
              <w:jc w:val="center"/>
              <w:rPr>
                <w:rFonts w:ascii="Arial Narrow" w:hAnsi="Arial Narrow"/>
                <w:lang w:eastAsia="ja-JP"/>
              </w:rPr>
            </w:pPr>
            <w:r w:rsidRPr="00A84F90">
              <w:rPr>
                <w:rFonts w:ascii="Arial Narrow" w:hAnsi="Arial Narrow"/>
                <w:lang w:eastAsia="ja-JP"/>
              </w:rPr>
              <w:t>None^</w:t>
            </w:r>
          </w:p>
        </w:tc>
        <w:tc>
          <w:tcPr>
            <w:tcW w:w="2455" w:type="dxa"/>
            <w:gridSpan w:val="2"/>
            <w:vMerge w:val="restart"/>
            <w:vAlign w:val="center"/>
          </w:tcPr>
          <w:p w:rsidR="00ED0820" w:rsidRPr="00A84F90" w:rsidRDefault="00ED0820" w:rsidP="00A84F90">
            <w:pPr>
              <w:tabs>
                <w:tab w:val="left" w:pos="2835"/>
              </w:tabs>
              <w:spacing w:after="0" w:line="240" w:lineRule="auto"/>
              <w:jc w:val="center"/>
              <w:rPr>
                <w:rFonts w:ascii="Arial Narrow" w:hAnsi="Arial Narrow"/>
                <w:lang w:eastAsia="ja-JP"/>
              </w:rPr>
            </w:pPr>
            <w:r w:rsidRPr="00A84F90">
              <w:rPr>
                <w:rFonts w:ascii="Arial Narrow" w:hAnsi="Arial Narrow"/>
                <w:lang w:eastAsia="ja-JP"/>
              </w:rPr>
              <w:t>None^</w:t>
            </w:r>
          </w:p>
        </w:tc>
      </w:tr>
      <w:tr w:rsidR="00ED0820" w:rsidRPr="00EB0F2A" w:rsidTr="00A84F90">
        <w:trPr>
          <w:trHeight w:val="20"/>
        </w:trPr>
        <w:tc>
          <w:tcPr>
            <w:tcW w:w="671" w:type="dxa"/>
            <w:vMerge/>
          </w:tcPr>
          <w:p w:rsidR="00ED0820" w:rsidRPr="00A84F90" w:rsidRDefault="00ED0820" w:rsidP="00A84F90">
            <w:pPr>
              <w:tabs>
                <w:tab w:val="left" w:pos="2835"/>
              </w:tabs>
              <w:spacing w:after="0" w:line="240" w:lineRule="auto"/>
              <w:rPr>
                <w:rFonts w:ascii="Arial Narrow" w:hAnsi="Arial Narrow"/>
                <w:lang w:eastAsia="ja-JP"/>
              </w:rPr>
            </w:pPr>
          </w:p>
        </w:tc>
        <w:tc>
          <w:tcPr>
            <w:tcW w:w="1085" w:type="dxa"/>
            <w:vMerge/>
          </w:tcPr>
          <w:p w:rsidR="00ED0820" w:rsidRPr="00A84F90" w:rsidRDefault="00ED0820" w:rsidP="00A84F90">
            <w:pPr>
              <w:tabs>
                <w:tab w:val="left" w:pos="2835"/>
              </w:tabs>
              <w:spacing w:after="0" w:line="240" w:lineRule="auto"/>
              <w:rPr>
                <w:rFonts w:ascii="Arial Narrow" w:hAnsi="Arial Narrow"/>
                <w:lang w:eastAsia="ja-JP"/>
              </w:rPr>
            </w:pPr>
          </w:p>
        </w:tc>
        <w:tc>
          <w:tcPr>
            <w:tcW w:w="1583" w:type="dxa"/>
            <w:vAlign w:val="center"/>
          </w:tcPr>
          <w:p w:rsidR="00ED0820" w:rsidRPr="00A84F90" w:rsidRDefault="00ED0820" w:rsidP="00A84F90">
            <w:pPr>
              <w:tabs>
                <w:tab w:val="left" w:pos="2835"/>
              </w:tabs>
              <w:spacing w:after="0" w:line="240" w:lineRule="auto"/>
              <w:jc w:val="left"/>
              <w:rPr>
                <w:rFonts w:ascii="Arial Narrow" w:hAnsi="Arial Narrow"/>
                <w:u w:val="single"/>
                <w:lang w:eastAsia="ja-JP"/>
              </w:rPr>
            </w:pPr>
            <w:r w:rsidRPr="00A84F90">
              <w:rPr>
                <w:rFonts w:ascii="Arial Narrow" w:hAnsi="Arial Narrow"/>
                <w:u w:val="single"/>
                <w:lang w:eastAsia="ja-JP"/>
              </w:rPr>
              <w:t>Neutral benefit</w:t>
            </w:r>
          </w:p>
        </w:tc>
        <w:tc>
          <w:tcPr>
            <w:tcW w:w="977" w:type="dxa"/>
            <w:vAlign w:val="center"/>
          </w:tcPr>
          <w:p w:rsidR="00ED0820" w:rsidRPr="00A84F90" w:rsidRDefault="00ED0820" w:rsidP="00A84F90">
            <w:pPr>
              <w:tabs>
                <w:tab w:val="left" w:pos="2835"/>
              </w:tabs>
              <w:spacing w:after="0" w:line="240" w:lineRule="auto"/>
              <w:jc w:val="center"/>
              <w:rPr>
                <w:rFonts w:ascii="Arial Narrow" w:hAnsi="Arial Narrow"/>
                <w:lang w:eastAsia="ja-JP"/>
              </w:rPr>
            </w:pPr>
            <w:r w:rsidRPr="00A84F90">
              <w:rPr>
                <w:rFonts w:ascii="Arial Narrow" w:hAnsi="Arial Narrow"/>
                <w:lang w:eastAsia="ja-JP"/>
              </w:rPr>
              <w:t>CEA/CUA*</w:t>
            </w:r>
          </w:p>
        </w:tc>
        <w:tc>
          <w:tcPr>
            <w:tcW w:w="2369" w:type="dxa"/>
            <w:vMerge/>
            <w:vAlign w:val="center"/>
          </w:tcPr>
          <w:p w:rsidR="00ED0820" w:rsidRPr="00A84F90" w:rsidRDefault="00ED0820" w:rsidP="00A84F90">
            <w:pPr>
              <w:tabs>
                <w:tab w:val="left" w:pos="2835"/>
              </w:tabs>
              <w:spacing w:after="0" w:line="240" w:lineRule="auto"/>
              <w:jc w:val="center"/>
              <w:rPr>
                <w:rFonts w:ascii="Arial Narrow" w:hAnsi="Arial Narrow"/>
                <w:lang w:eastAsia="ja-JP"/>
              </w:rPr>
            </w:pPr>
          </w:p>
        </w:tc>
        <w:tc>
          <w:tcPr>
            <w:tcW w:w="2455" w:type="dxa"/>
            <w:gridSpan w:val="2"/>
            <w:vMerge/>
          </w:tcPr>
          <w:p w:rsidR="00ED0820" w:rsidRPr="00A84F90" w:rsidRDefault="00ED0820" w:rsidP="00A84F90">
            <w:pPr>
              <w:tabs>
                <w:tab w:val="left" w:pos="2835"/>
              </w:tabs>
              <w:spacing w:after="0" w:line="240" w:lineRule="auto"/>
              <w:rPr>
                <w:rFonts w:ascii="Arial Narrow" w:hAnsi="Arial Narrow"/>
                <w:lang w:eastAsia="ja-JP"/>
              </w:rPr>
            </w:pPr>
          </w:p>
        </w:tc>
      </w:tr>
      <w:tr w:rsidR="00ED0820" w:rsidRPr="00EB0F2A" w:rsidTr="00A84F90">
        <w:trPr>
          <w:trHeight w:val="20"/>
        </w:trPr>
        <w:tc>
          <w:tcPr>
            <w:tcW w:w="671" w:type="dxa"/>
            <w:vMerge/>
          </w:tcPr>
          <w:p w:rsidR="00ED0820" w:rsidRPr="00A84F90" w:rsidRDefault="00ED0820" w:rsidP="00A84F90">
            <w:pPr>
              <w:tabs>
                <w:tab w:val="left" w:pos="2835"/>
              </w:tabs>
              <w:spacing w:after="0" w:line="240" w:lineRule="auto"/>
              <w:rPr>
                <w:rFonts w:ascii="Arial Narrow" w:hAnsi="Arial Narrow"/>
                <w:lang w:eastAsia="ja-JP"/>
              </w:rPr>
            </w:pPr>
          </w:p>
        </w:tc>
        <w:tc>
          <w:tcPr>
            <w:tcW w:w="1085" w:type="dxa"/>
            <w:vMerge/>
          </w:tcPr>
          <w:p w:rsidR="00ED0820" w:rsidRPr="00A84F90" w:rsidRDefault="00ED0820" w:rsidP="00A84F90">
            <w:pPr>
              <w:tabs>
                <w:tab w:val="left" w:pos="2835"/>
              </w:tabs>
              <w:spacing w:after="0" w:line="240" w:lineRule="auto"/>
              <w:rPr>
                <w:rFonts w:ascii="Arial Narrow" w:hAnsi="Arial Narrow"/>
                <w:lang w:eastAsia="ja-JP"/>
              </w:rPr>
            </w:pPr>
          </w:p>
        </w:tc>
        <w:tc>
          <w:tcPr>
            <w:tcW w:w="1583" w:type="dxa"/>
            <w:vAlign w:val="center"/>
          </w:tcPr>
          <w:p w:rsidR="00ED0820" w:rsidRPr="00A84F90" w:rsidRDefault="00ED0820" w:rsidP="00A84F90">
            <w:pPr>
              <w:tabs>
                <w:tab w:val="left" w:pos="2835"/>
              </w:tabs>
              <w:spacing w:after="0" w:line="240" w:lineRule="auto"/>
              <w:jc w:val="left"/>
              <w:rPr>
                <w:rFonts w:ascii="Arial Narrow" w:hAnsi="Arial Narrow"/>
                <w:u w:val="single"/>
                <w:lang w:eastAsia="ja-JP"/>
              </w:rPr>
            </w:pPr>
            <w:r w:rsidRPr="00A84F90">
              <w:rPr>
                <w:rFonts w:ascii="Arial Narrow" w:hAnsi="Arial Narrow"/>
                <w:u w:val="single"/>
                <w:lang w:eastAsia="ja-JP"/>
              </w:rPr>
              <w:t>Net harms</w:t>
            </w:r>
          </w:p>
        </w:tc>
        <w:tc>
          <w:tcPr>
            <w:tcW w:w="977" w:type="dxa"/>
            <w:vAlign w:val="center"/>
          </w:tcPr>
          <w:p w:rsidR="00ED0820" w:rsidRPr="00A84F90" w:rsidRDefault="00ED0820" w:rsidP="00A84F90">
            <w:pPr>
              <w:tabs>
                <w:tab w:val="left" w:pos="2835"/>
              </w:tabs>
              <w:spacing w:after="0" w:line="240" w:lineRule="auto"/>
              <w:jc w:val="center"/>
              <w:rPr>
                <w:rFonts w:ascii="Arial Narrow" w:hAnsi="Arial Narrow"/>
                <w:lang w:eastAsia="ja-JP"/>
              </w:rPr>
            </w:pPr>
            <w:r w:rsidRPr="00A84F90">
              <w:rPr>
                <w:rFonts w:ascii="Arial Narrow" w:hAnsi="Arial Narrow"/>
                <w:lang w:eastAsia="ja-JP"/>
              </w:rPr>
              <w:t>None^</w:t>
            </w:r>
          </w:p>
        </w:tc>
        <w:tc>
          <w:tcPr>
            <w:tcW w:w="2369" w:type="dxa"/>
            <w:vMerge/>
            <w:vAlign w:val="center"/>
          </w:tcPr>
          <w:p w:rsidR="00ED0820" w:rsidRPr="00A84F90" w:rsidRDefault="00ED0820" w:rsidP="00A84F90">
            <w:pPr>
              <w:tabs>
                <w:tab w:val="left" w:pos="2835"/>
              </w:tabs>
              <w:spacing w:after="0" w:line="240" w:lineRule="auto"/>
              <w:jc w:val="center"/>
              <w:rPr>
                <w:rFonts w:ascii="Arial Narrow" w:hAnsi="Arial Narrow"/>
                <w:lang w:eastAsia="ja-JP"/>
              </w:rPr>
            </w:pPr>
          </w:p>
        </w:tc>
        <w:tc>
          <w:tcPr>
            <w:tcW w:w="2455" w:type="dxa"/>
            <w:gridSpan w:val="2"/>
            <w:vMerge/>
          </w:tcPr>
          <w:p w:rsidR="00ED0820" w:rsidRPr="00A84F90" w:rsidRDefault="00ED0820" w:rsidP="00A84F90">
            <w:pPr>
              <w:tabs>
                <w:tab w:val="left" w:pos="2835"/>
              </w:tabs>
              <w:spacing w:after="0" w:line="240" w:lineRule="auto"/>
              <w:rPr>
                <w:rFonts w:ascii="Arial Narrow" w:hAnsi="Arial Narrow"/>
                <w:lang w:eastAsia="ja-JP"/>
              </w:rPr>
            </w:pPr>
          </w:p>
        </w:tc>
      </w:tr>
    </w:tbl>
    <w:p w:rsidR="00ED0820" w:rsidRPr="00EB0F2A" w:rsidRDefault="00ED0820" w:rsidP="00A96F9C">
      <w:pPr>
        <w:tabs>
          <w:tab w:val="left" w:pos="284"/>
        </w:tabs>
        <w:spacing w:after="0" w:line="240" w:lineRule="auto"/>
        <w:ind w:left="284" w:hanging="284"/>
        <w:rPr>
          <w:rFonts w:ascii="Arial Narrow" w:hAnsi="Arial Narrow"/>
          <w:lang w:eastAsia="ja-JP"/>
        </w:rPr>
      </w:pPr>
      <w:r w:rsidRPr="00EB0F2A">
        <w:rPr>
          <w:rFonts w:ascii="Arial Narrow" w:hAnsi="Arial Narrow"/>
          <w:lang w:eastAsia="ja-JP"/>
        </w:rPr>
        <w:t>Abbreviations:  CEA = cost-effectiveness analysis; CUA = cost-utility analysis</w:t>
      </w:r>
    </w:p>
    <w:p w:rsidR="00ED0820" w:rsidRPr="00EB0F2A" w:rsidRDefault="00ED0820" w:rsidP="00A96F9C">
      <w:pPr>
        <w:tabs>
          <w:tab w:val="left" w:pos="284"/>
        </w:tabs>
        <w:spacing w:after="0" w:line="240" w:lineRule="auto"/>
        <w:ind w:left="284" w:hanging="284"/>
        <w:rPr>
          <w:rFonts w:ascii="Arial Narrow" w:hAnsi="Arial Narrow"/>
          <w:lang w:eastAsia="ja-JP"/>
        </w:rPr>
      </w:pPr>
      <w:r w:rsidRPr="00EB0F2A">
        <w:rPr>
          <w:rFonts w:ascii="Arial Narrow" w:hAnsi="Arial Narrow"/>
          <w:lang w:eastAsia="ja-JP"/>
        </w:rPr>
        <w:t>*</w:t>
      </w:r>
      <w:r w:rsidRPr="00EB0F2A">
        <w:rPr>
          <w:rFonts w:ascii="Arial Narrow" w:hAnsi="Arial Narrow"/>
          <w:lang w:eastAsia="ja-JP"/>
        </w:rPr>
        <w:tab/>
        <w:t>May be reduced to cost-minimisation analysis. Cost-minimisation analysis should only be presented when the proposed service has been indisputably demonstrated to be no worse than its main comparator(s) in terms of both effectiveness and safety, so the difference between the service and the appropriate comparator can be reduced to a comparison of costs. In most cases, there will be some uncertainty around such a conclusion (i.e., the conclusion is often not indisputable). Therefore, when an assessment concludes that an intervention was no worse than a comparator, an assessment of the uncertainty around this conclusion should be provided by presentation of cost-effectiveness and/or cost-utility analyses.</w:t>
      </w:r>
    </w:p>
    <w:p w:rsidR="00ED0820" w:rsidRPr="00EB0F2A" w:rsidRDefault="00ED0820" w:rsidP="009B59B7">
      <w:pPr>
        <w:tabs>
          <w:tab w:val="left" w:pos="284"/>
        </w:tabs>
        <w:spacing w:line="240" w:lineRule="auto"/>
        <w:rPr>
          <w:rFonts w:ascii="Arial Narrow" w:hAnsi="Arial Narrow"/>
          <w:lang w:eastAsia="ja-JP"/>
        </w:rPr>
      </w:pPr>
      <w:r w:rsidRPr="00EB0F2A">
        <w:rPr>
          <w:rFonts w:ascii="Arial Narrow" w:hAnsi="Arial Narrow"/>
          <w:lang w:eastAsia="ja-JP"/>
        </w:rPr>
        <w:t>^</w:t>
      </w:r>
      <w:r w:rsidRPr="00EB0F2A">
        <w:rPr>
          <w:rFonts w:ascii="Arial Narrow" w:hAnsi="Arial Narrow"/>
          <w:lang w:eastAsia="ja-JP"/>
        </w:rPr>
        <w:tab/>
        <w:t>No economic evaluation needs to be presented; MSAC is unlikely to recommend government subsidy of this intervention</w:t>
      </w:r>
    </w:p>
    <w:p w:rsidR="00ED0820" w:rsidRPr="00EB0F2A" w:rsidRDefault="00ED0820" w:rsidP="000901A8">
      <w:pPr>
        <w:pStyle w:val="Heading1"/>
      </w:pPr>
      <w:bookmarkStart w:id="27" w:name="_Toc335389119"/>
      <w:r w:rsidRPr="00EB0F2A">
        <w:t>Outcomes and health care resources affected by introduction of proposed intervention</w:t>
      </w:r>
      <w:bookmarkEnd w:id="27"/>
    </w:p>
    <w:p w:rsidR="00ED0820" w:rsidRPr="00EB0F2A" w:rsidRDefault="00ED0820" w:rsidP="009B59B7">
      <w:pPr>
        <w:pStyle w:val="Heading2"/>
        <w:rPr>
          <w:lang w:val="en-AU"/>
        </w:rPr>
      </w:pPr>
      <w:bookmarkStart w:id="28" w:name="_Toc335389120"/>
      <w:r w:rsidRPr="00EB0F2A">
        <w:rPr>
          <w:lang w:val="en-AU"/>
        </w:rPr>
        <w:t>Clinical outcomes</w:t>
      </w:r>
      <w:bookmarkEnd w:id="28"/>
    </w:p>
    <w:p w:rsidR="00901D83" w:rsidRDefault="00ED0820" w:rsidP="00901D83">
      <w:r>
        <w:t xml:space="preserve">This assessment will consider the following outcomes: </w:t>
      </w:r>
    </w:p>
    <w:p w:rsidR="00901D83" w:rsidRDefault="00901D83" w:rsidP="00233042">
      <w:pPr>
        <w:spacing w:after="0"/>
        <w:rPr>
          <w:lang w:eastAsia="ja-JP"/>
        </w:rPr>
      </w:pPr>
      <w:r>
        <w:rPr>
          <w:lang w:eastAsia="ja-JP"/>
        </w:rPr>
        <w:t>Safety:</w:t>
      </w:r>
    </w:p>
    <w:p w:rsidR="00901D83" w:rsidRDefault="00901D83" w:rsidP="00233042">
      <w:pPr>
        <w:pStyle w:val="ListParagraph"/>
        <w:numPr>
          <w:ilvl w:val="0"/>
          <w:numId w:val="10"/>
        </w:numPr>
        <w:spacing w:after="0"/>
        <w:rPr>
          <w:lang w:eastAsia="ja-JP"/>
        </w:rPr>
      </w:pPr>
      <w:r>
        <w:rPr>
          <w:lang w:eastAsia="ja-JP"/>
        </w:rPr>
        <w:t>Any adverse events arising from the genetic test</w:t>
      </w:r>
    </w:p>
    <w:p w:rsidR="00233042" w:rsidRDefault="00233042" w:rsidP="00233042">
      <w:pPr>
        <w:spacing w:after="0"/>
        <w:rPr>
          <w:lang w:eastAsia="ja-JP"/>
        </w:rPr>
      </w:pPr>
    </w:p>
    <w:p w:rsidR="00B671F5" w:rsidRDefault="00B671F5" w:rsidP="00233042">
      <w:pPr>
        <w:spacing w:after="0"/>
        <w:rPr>
          <w:lang w:eastAsia="ja-JP"/>
        </w:rPr>
      </w:pPr>
      <w:r>
        <w:rPr>
          <w:lang w:eastAsia="ja-JP"/>
        </w:rPr>
        <w:t>Analytic performance of TTR genetic test</w:t>
      </w:r>
    </w:p>
    <w:p w:rsidR="00B671F5" w:rsidRDefault="00B671F5" w:rsidP="00233042">
      <w:pPr>
        <w:pStyle w:val="ListParagraph"/>
        <w:numPr>
          <w:ilvl w:val="0"/>
          <w:numId w:val="10"/>
        </w:numPr>
        <w:spacing w:after="0"/>
        <w:rPr>
          <w:lang w:eastAsia="ja-JP"/>
        </w:rPr>
      </w:pPr>
      <w:r>
        <w:rPr>
          <w:lang w:eastAsia="ja-JP"/>
        </w:rPr>
        <w:t>Specificity</w:t>
      </w:r>
    </w:p>
    <w:p w:rsidR="00B671F5" w:rsidRDefault="00B671F5" w:rsidP="00233042">
      <w:pPr>
        <w:pStyle w:val="ListParagraph"/>
        <w:numPr>
          <w:ilvl w:val="0"/>
          <w:numId w:val="10"/>
        </w:numPr>
        <w:spacing w:after="0"/>
        <w:rPr>
          <w:lang w:eastAsia="ja-JP"/>
        </w:rPr>
      </w:pPr>
      <w:r>
        <w:rPr>
          <w:lang w:eastAsia="ja-JP"/>
        </w:rPr>
        <w:t>Sensitivity</w:t>
      </w:r>
    </w:p>
    <w:p w:rsidR="00B671F5" w:rsidRDefault="00B671F5" w:rsidP="00233042">
      <w:pPr>
        <w:pStyle w:val="ListParagraph"/>
        <w:numPr>
          <w:ilvl w:val="0"/>
          <w:numId w:val="10"/>
        </w:numPr>
        <w:spacing w:after="0"/>
        <w:rPr>
          <w:lang w:eastAsia="ja-JP"/>
        </w:rPr>
      </w:pPr>
      <w:r>
        <w:rPr>
          <w:lang w:eastAsia="ja-JP"/>
        </w:rPr>
        <w:lastRenderedPageBreak/>
        <w:t>Positive predictive value</w:t>
      </w:r>
    </w:p>
    <w:p w:rsidR="00B671F5" w:rsidRDefault="00B671F5" w:rsidP="00233042">
      <w:pPr>
        <w:pStyle w:val="ListParagraph"/>
        <w:numPr>
          <w:ilvl w:val="0"/>
          <w:numId w:val="10"/>
        </w:numPr>
        <w:spacing w:after="0"/>
        <w:rPr>
          <w:lang w:eastAsia="ja-JP"/>
        </w:rPr>
      </w:pPr>
      <w:r>
        <w:rPr>
          <w:lang w:eastAsia="ja-JP"/>
        </w:rPr>
        <w:t>Negative predictive value</w:t>
      </w:r>
    </w:p>
    <w:p w:rsidR="000A5C8C" w:rsidRDefault="000A5C8C" w:rsidP="00233042">
      <w:pPr>
        <w:spacing w:after="0"/>
      </w:pPr>
    </w:p>
    <w:p w:rsidR="00ED0820" w:rsidRDefault="00ED0820" w:rsidP="00233042">
      <w:pPr>
        <w:spacing w:after="0"/>
      </w:pPr>
      <w:r>
        <w:t xml:space="preserve">Effectiveness (of Tafamidis) </w:t>
      </w:r>
    </w:p>
    <w:p w:rsidR="00ED0820" w:rsidRDefault="00ED0820" w:rsidP="00233042">
      <w:pPr>
        <w:pStyle w:val="ListParagraph"/>
        <w:numPr>
          <w:ilvl w:val="0"/>
          <w:numId w:val="10"/>
        </w:numPr>
        <w:spacing w:after="0"/>
      </w:pPr>
      <w:r>
        <w:t>Neuropathy Impairment Score changes</w:t>
      </w:r>
    </w:p>
    <w:p w:rsidR="00ED0820" w:rsidRDefault="00ED0820" w:rsidP="00233042">
      <w:pPr>
        <w:pStyle w:val="ListParagraph"/>
        <w:numPr>
          <w:ilvl w:val="0"/>
          <w:numId w:val="10"/>
        </w:numPr>
        <w:spacing w:after="0"/>
      </w:pPr>
      <w:r>
        <w:t>Norfolk Quality of Life changes</w:t>
      </w:r>
    </w:p>
    <w:p w:rsidR="00ED0820" w:rsidRDefault="00ED0820" w:rsidP="00233042">
      <w:pPr>
        <w:pStyle w:val="ListParagraph"/>
        <w:numPr>
          <w:ilvl w:val="0"/>
          <w:numId w:val="10"/>
        </w:numPr>
        <w:spacing w:after="0"/>
      </w:pPr>
      <w:r>
        <w:t>Modified BMI changes</w:t>
      </w:r>
    </w:p>
    <w:p w:rsidR="00ED0820" w:rsidRDefault="00ED0820" w:rsidP="00233042">
      <w:pPr>
        <w:pStyle w:val="ListParagraph"/>
        <w:numPr>
          <w:ilvl w:val="0"/>
          <w:numId w:val="10"/>
        </w:numPr>
        <w:spacing w:after="0"/>
      </w:pPr>
      <w:r>
        <w:t>Changes in composite endpoints, measuring small and large nerve fibre function</w:t>
      </w:r>
    </w:p>
    <w:p w:rsidR="00233042" w:rsidRDefault="00233042" w:rsidP="00233042">
      <w:pPr>
        <w:spacing w:after="0"/>
      </w:pPr>
    </w:p>
    <w:p w:rsidR="00B671F5" w:rsidRDefault="00B671F5" w:rsidP="00233042">
      <w:pPr>
        <w:spacing w:after="0"/>
        <w:rPr>
          <w:lang w:eastAsia="ja-JP"/>
        </w:rPr>
      </w:pPr>
      <w:r>
        <w:t xml:space="preserve">PASC also requests details on: </w:t>
      </w:r>
    </w:p>
    <w:p w:rsidR="00B671F5" w:rsidRDefault="00B671F5" w:rsidP="00233042">
      <w:pPr>
        <w:pStyle w:val="ListParagraph"/>
        <w:numPr>
          <w:ilvl w:val="0"/>
          <w:numId w:val="10"/>
        </w:numPr>
        <w:spacing w:after="0"/>
        <w:rPr>
          <w:lang w:eastAsia="ja-JP"/>
        </w:rPr>
      </w:pPr>
      <w:r>
        <w:rPr>
          <w:lang w:eastAsia="ja-JP"/>
        </w:rPr>
        <w:t>The number of patients being tested per case of TTR-FAP detected</w:t>
      </w:r>
    </w:p>
    <w:p w:rsidR="00B671F5" w:rsidRDefault="00B671F5" w:rsidP="00233042">
      <w:pPr>
        <w:pStyle w:val="ListParagraph"/>
        <w:numPr>
          <w:ilvl w:val="0"/>
          <w:numId w:val="10"/>
        </w:numPr>
        <w:spacing w:after="0"/>
        <w:rPr>
          <w:lang w:eastAsia="ja-JP"/>
        </w:rPr>
      </w:pPr>
      <w:r>
        <w:rPr>
          <w:lang w:eastAsia="ja-JP"/>
        </w:rPr>
        <w:t>The number of patients being tested per case of TTR-FAP treated</w:t>
      </w:r>
    </w:p>
    <w:p w:rsidR="00B671F5" w:rsidRDefault="00B671F5" w:rsidP="00233042">
      <w:pPr>
        <w:pStyle w:val="ListParagraph"/>
        <w:numPr>
          <w:ilvl w:val="0"/>
          <w:numId w:val="10"/>
        </w:numPr>
        <w:spacing w:after="0"/>
        <w:rPr>
          <w:lang w:eastAsia="ja-JP"/>
        </w:rPr>
      </w:pPr>
      <w:r>
        <w:rPr>
          <w:lang w:eastAsia="ja-JP"/>
        </w:rPr>
        <w:t>The cost of testing per case of TTR-FAP detected</w:t>
      </w:r>
    </w:p>
    <w:p w:rsidR="00B671F5" w:rsidRDefault="00B671F5" w:rsidP="00233042">
      <w:pPr>
        <w:pStyle w:val="ListParagraph"/>
        <w:numPr>
          <w:ilvl w:val="0"/>
          <w:numId w:val="10"/>
        </w:numPr>
        <w:spacing w:after="0"/>
        <w:rPr>
          <w:lang w:eastAsia="ja-JP"/>
        </w:rPr>
      </w:pPr>
      <w:r>
        <w:rPr>
          <w:lang w:eastAsia="ja-JP"/>
        </w:rPr>
        <w:t>The cost of testing per case of TTR-FAP treated</w:t>
      </w:r>
    </w:p>
    <w:p w:rsidR="00ED0820" w:rsidRPr="00EB0F2A" w:rsidRDefault="00ED0820" w:rsidP="0042242D">
      <w:pPr>
        <w:pStyle w:val="Heading2"/>
        <w:rPr>
          <w:lang w:val="en-AU"/>
        </w:rPr>
      </w:pPr>
      <w:bookmarkStart w:id="29" w:name="_Toc335389121"/>
      <w:r w:rsidRPr="00EB0F2A">
        <w:rPr>
          <w:lang w:val="en-AU"/>
        </w:rPr>
        <w:t>Health care resources</w:t>
      </w:r>
      <w:bookmarkEnd w:id="29"/>
    </w:p>
    <w:p w:rsidR="00ED0820" w:rsidRDefault="00ED0820" w:rsidP="00CF25C3">
      <w:r>
        <w:t xml:space="preserve">Should TTR genetic testing be listed on the MBS, the following resources would also be required in order to deliver the test: </w:t>
      </w:r>
      <w:r w:rsidRPr="00C6480E">
        <w:t xml:space="preserve">specialist physician consultation, genetic counselling, </w:t>
      </w:r>
      <w:r>
        <w:t xml:space="preserve">collection of the </w:t>
      </w:r>
      <w:r w:rsidRPr="00C6480E">
        <w:t xml:space="preserve">blood </w:t>
      </w:r>
      <w:r>
        <w:t>sample (patient episode initiation fee)</w:t>
      </w:r>
      <w:r w:rsidRPr="00C6480E">
        <w:t xml:space="preserve">, </w:t>
      </w:r>
      <w:r>
        <w:t xml:space="preserve">sample transfer fee (P11), </w:t>
      </w:r>
      <w:r w:rsidRPr="00C6480E">
        <w:t>delivery of the test</w:t>
      </w:r>
      <w:r>
        <w:t>,</w:t>
      </w:r>
      <w:r w:rsidRPr="00C6480E">
        <w:t xml:space="preserve"> and analysis and reporting of test results by a specialist pathologist.</w:t>
      </w:r>
      <w:r>
        <w:t xml:space="preserve"> </w:t>
      </w:r>
    </w:p>
    <w:p w:rsidR="00ED0820" w:rsidRDefault="00ED0820" w:rsidP="00CF25C3">
      <w:r>
        <w:t>The listing of TTR genetic testing on the MBS (and the availability of tafamadis treatment) would likely result in increased use of these healthcare resources.</w:t>
      </w:r>
    </w:p>
    <w:p w:rsidR="00ED0820" w:rsidRDefault="00ED0820" w:rsidP="0064683E">
      <w:r>
        <w:t xml:space="preserve">The health care resources are listed in table 3, below. </w:t>
      </w:r>
    </w:p>
    <w:p w:rsidR="00ED0820" w:rsidRPr="00EB0F2A" w:rsidRDefault="00ED0820" w:rsidP="00901D83">
      <w:pPr>
        <w:spacing w:after="200" w:line="276" w:lineRule="auto"/>
        <w:jc w:val="left"/>
      </w:pPr>
      <w:r>
        <w:br w:type="page"/>
      </w:r>
      <w:r w:rsidRPr="00EB0F2A">
        <w:lastRenderedPageBreak/>
        <w:t xml:space="preserve">Table </w:t>
      </w:r>
      <w:r>
        <w:t>3</w:t>
      </w:r>
      <w:r w:rsidRPr="00EB0F2A">
        <w:t>:</w:t>
      </w:r>
      <w:r w:rsidRPr="00EB0F2A">
        <w:tab/>
        <w:t>List of resources to be considered in the economic analysis</w:t>
      </w:r>
    </w:p>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607"/>
        <w:gridCol w:w="837"/>
        <w:gridCol w:w="837"/>
        <w:gridCol w:w="837"/>
        <w:gridCol w:w="835"/>
        <w:gridCol w:w="685"/>
        <w:gridCol w:w="686"/>
        <w:gridCol w:w="686"/>
        <w:gridCol w:w="686"/>
        <w:gridCol w:w="686"/>
        <w:gridCol w:w="686"/>
      </w:tblGrid>
      <w:tr w:rsidR="00ED0820" w:rsidRPr="00EB0F2A" w:rsidTr="005F456C">
        <w:trPr>
          <w:trHeight w:val="195"/>
          <w:tblHeader/>
        </w:trPr>
        <w:tc>
          <w:tcPr>
            <w:tcW w:w="1607" w:type="dxa"/>
            <w:vMerge w:val="restart"/>
          </w:tcPr>
          <w:p w:rsidR="00ED0820" w:rsidRPr="00EB0F2A" w:rsidRDefault="00ED0820" w:rsidP="00BB5D0E">
            <w:pPr>
              <w:keepNext/>
              <w:spacing w:after="0" w:line="240" w:lineRule="auto"/>
              <w:rPr>
                <w:rFonts w:ascii="Arial Narrow" w:hAnsi="Arial Narrow"/>
                <w:b/>
                <w:sz w:val="18"/>
              </w:rPr>
            </w:pPr>
          </w:p>
        </w:tc>
        <w:tc>
          <w:tcPr>
            <w:tcW w:w="837" w:type="dxa"/>
            <w:vMerge w:val="restart"/>
            <w:shd w:val="clear" w:color="auto" w:fill="E5B8B7"/>
            <w:vAlign w:val="center"/>
          </w:tcPr>
          <w:p w:rsidR="00ED0820" w:rsidRPr="00EB0F2A" w:rsidRDefault="00ED0820" w:rsidP="00BB5D0E">
            <w:pPr>
              <w:keepNext/>
              <w:spacing w:after="0" w:line="240" w:lineRule="auto"/>
              <w:jc w:val="center"/>
              <w:rPr>
                <w:rFonts w:ascii="Arial Narrow" w:hAnsi="Arial Narrow"/>
                <w:b/>
                <w:sz w:val="18"/>
              </w:rPr>
            </w:pPr>
            <w:r w:rsidRPr="00EB0F2A">
              <w:rPr>
                <w:rFonts w:ascii="Arial Narrow" w:hAnsi="Arial Narrow"/>
                <w:b/>
                <w:sz w:val="18"/>
              </w:rPr>
              <w:t>Provider of resource</w:t>
            </w:r>
          </w:p>
        </w:tc>
        <w:tc>
          <w:tcPr>
            <w:tcW w:w="837" w:type="dxa"/>
            <w:vMerge w:val="restart"/>
            <w:shd w:val="clear" w:color="auto" w:fill="E5B8B7"/>
            <w:vAlign w:val="center"/>
          </w:tcPr>
          <w:p w:rsidR="00ED0820" w:rsidRPr="00EB0F2A" w:rsidRDefault="00ED0820" w:rsidP="00BB5D0E">
            <w:pPr>
              <w:keepNext/>
              <w:spacing w:after="0" w:line="240" w:lineRule="auto"/>
              <w:jc w:val="center"/>
              <w:rPr>
                <w:rFonts w:ascii="Arial Narrow" w:hAnsi="Arial Narrow"/>
                <w:b/>
                <w:sz w:val="18"/>
              </w:rPr>
            </w:pPr>
            <w:r w:rsidRPr="00EB0F2A">
              <w:rPr>
                <w:rFonts w:ascii="Arial Narrow" w:hAnsi="Arial Narrow"/>
                <w:b/>
                <w:sz w:val="18"/>
              </w:rPr>
              <w:t>Setting in which resource is provided</w:t>
            </w:r>
          </w:p>
        </w:tc>
        <w:tc>
          <w:tcPr>
            <w:tcW w:w="837" w:type="dxa"/>
            <w:vMerge w:val="restart"/>
            <w:shd w:val="clear" w:color="auto" w:fill="D6E3BC"/>
            <w:vAlign w:val="center"/>
          </w:tcPr>
          <w:p w:rsidR="00ED0820" w:rsidRPr="00EB0F2A" w:rsidRDefault="00ED0820" w:rsidP="00BB5D0E">
            <w:pPr>
              <w:keepNext/>
              <w:spacing w:after="0" w:line="240" w:lineRule="auto"/>
              <w:jc w:val="center"/>
              <w:rPr>
                <w:rFonts w:ascii="Arial Narrow" w:hAnsi="Arial Narrow"/>
                <w:b/>
                <w:sz w:val="18"/>
              </w:rPr>
            </w:pPr>
            <w:r w:rsidRPr="00EB0F2A">
              <w:rPr>
                <w:rFonts w:ascii="Arial Narrow" w:hAnsi="Arial Narrow"/>
                <w:b/>
                <w:sz w:val="18"/>
              </w:rPr>
              <w:t>Proportion of patients receiving resource</w:t>
            </w:r>
          </w:p>
        </w:tc>
        <w:tc>
          <w:tcPr>
            <w:tcW w:w="835" w:type="dxa"/>
            <w:vMerge w:val="restart"/>
            <w:shd w:val="clear" w:color="auto" w:fill="D6E3BC"/>
            <w:vAlign w:val="center"/>
          </w:tcPr>
          <w:p w:rsidR="00ED0820" w:rsidRPr="00EB0F2A" w:rsidRDefault="00ED0820" w:rsidP="00BB5D0E">
            <w:pPr>
              <w:keepNext/>
              <w:spacing w:after="0" w:line="240" w:lineRule="auto"/>
              <w:jc w:val="center"/>
              <w:rPr>
                <w:rFonts w:ascii="Arial Narrow" w:hAnsi="Arial Narrow"/>
                <w:b/>
                <w:sz w:val="18"/>
              </w:rPr>
            </w:pPr>
            <w:r w:rsidRPr="00EB0F2A">
              <w:rPr>
                <w:rFonts w:ascii="Arial Narrow" w:hAnsi="Arial Narrow"/>
                <w:b/>
                <w:sz w:val="18"/>
              </w:rPr>
              <w:t>Number of units of resource per relevant time horizon per patient receiving resource</w:t>
            </w:r>
          </w:p>
        </w:tc>
        <w:tc>
          <w:tcPr>
            <w:tcW w:w="4112" w:type="dxa"/>
            <w:gridSpan w:val="6"/>
            <w:shd w:val="clear" w:color="auto" w:fill="FBD4B4"/>
          </w:tcPr>
          <w:p w:rsidR="00ED0820" w:rsidRPr="00EB0F2A" w:rsidRDefault="00ED0820" w:rsidP="00BB5D0E">
            <w:pPr>
              <w:keepNext/>
              <w:spacing w:after="0" w:line="240" w:lineRule="auto"/>
              <w:jc w:val="center"/>
              <w:rPr>
                <w:rFonts w:ascii="Arial Narrow" w:hAnsi="Arial Narrow"/>
                <w:b/>
                <w:sz w:val="18"/>
              </w:rPr>
            </w:pPr>
            <w:r w:rsidRPr="00EB0F2A">
              <w:rPr>
                <w:rFonts w:ascii="Arial Narrow" w:hAnsi="Arial Narrow"/>
                <w:b/>
                <w:sz w:val="18"/>
              </w:rPr>
              <w:t>Disaggregated unit cost</w:t>
            </w:r>
          </w:p>
        </w:tc>
      </w:tr>
      <w:tr w:rsidR="00ED0820" w:rsidRPr="00EB0F2A" w:rsidTr="005F456C">
        <w:trPr>
          <w:trHeight w:val="138"/>
          <w:tblHeader/>
        </w:trPr>
        <w:tc>
          <w:tcPr>
            <w:tcW w:w="1607" w:type="dxa"/>
            <w:vMerge/>
          </w:tcPr>
          <w:p w:rsidR="00ED0820" w:rsidRPr="00EB0F2A" w:rsidRDefault="00ED0820" w:rsidP="00BB5D0E">
            <w:pPr>
              <w:keepNext/>
              <w:spacing w:after="0" w:line="240" w:lineRule="auto"/>
              <w:rPr>
                <w:rFonts w:ascii="Arial Narrow" w:hAnsi="Arial Narrow"/>
                <w:sz w:val="18"/>
              </w:rPr>
            </w:pPr>
          </w:p>
        </w:tc>
        <w:tc>
          <w:tcPr>
            <w:tcW w:w="837" w:type="dxa"/>
            <w:vMerge/>
            <w:shd w:val="clear" w:color="auto" w:fill="E5B8B7"/>
          </w:tcPr>
          <w:p w:rsidR="00ED0820" w:rsidRPr="00EB0F2A" w:rsidRDefault="00ED0820" w:rsidP="00BB5D0E">
            <w:pPr>
              <w:keepNext/>
              <w:spacing w:after="0" w:line="240" w:lineRule="auto"/>
              <w:jc w:val="center"/>
              <w:rPr>
                <w:rFonts w:ascii="Arial Narrow" w:hAnsi="Arial Narrow"/>
                <w:sz w:val="18"/>
              </w:rPr>
            </w:pPr>
          </w:p>
        </w:tc>
        <w:tc>
          <w:tcPr>
            <w:tcW w:w="837" w:type="dxa"/>
            <w:vMerge/>
            <w:shd w:val="clear" w:color="auto" w:fill="E5B8B7"/>
          </w:tcPr>
          <w:p w:rsidR="00ED0820" w:rsidRPr="00EB0F2A" w:rsidRDefault="00ED0820" w:rsidP="00BB5D0E">
            <w:pPr>
              <w:keepNext/>
              <w:spacing w:after="0" w:line="240" w:lineRule="auto"/>
              <w:jc w:val="center"/>
              <w:rPr>
                <w:rFonts w:ascii="Arial Narrow" w:hAnsi="Arial Narrow"/>
                <w:sz w:val="18"/>
              </w:rPr>
            </w:pPr>
          </w:p>
        </w:tc>
        <w:tc>
          <w:tcPr>
            <w:tcW w:w="837" w:type="dxa"/>
            <w:vMerge/>
            <w:shd w:val="clear" w:color="auto" w:fill="D6E3BC"/>
          </w:tcPr>
          <w:p w:rsidR="00ED0820" w:rsidRPr="00EB0F2A" w:rsidRDefault="00ED0820" w:rsidP="00BB5D0E">
            <w:pPr>
              <w:keepNext/>
              <w:spacing w:after="0" w:line="240" w:lineRule="auto"/>
              <w:jc w:val="center"/>
              <w:rPr>
                <w:rFonts w:ascii="Arial Narrow" w:hAnsi="Arial Narrow"/>
                <w:sz w:val="18"/>
              </w:rPr>
            </w:pPr>
          </w:p>
        </w:tc>
        <w:tc>
          <w:tcPr>
            <w:tcW w:w="835" w:type="dxa"/>
            <w:vMerge/>
            <w:shd w:val="clear" w:color="auto" w:fill="D6E3BC"/>
          </w:tcPr>
          <w:p w:rsidR="00ED0820" w:rsidRPr="00EB0F2A" w:rsidRDefault="00ED0820" w:rsidP="00BB5D0E">
            <w:pPr>
              <w:keepNext/>
              <w:spacing w:after="0" w:line="240" w:lineRule="auto"/>
              <w:jc w:val="center"/>
              <w:rPr>
                <w:rFonts w:ascii="Arial Narrow" w:hAnsi="Arial Narrow"/>
                <w:sz w:val="18"/>
              </w:rPr>
            </w:pPr>
          </w:p>
        </w:tc>
        <w:tc>
          <w:tcPr>
            <w:tcW w:w="685" w:type="dxa"/>
            <w:shd w:val="clear" w:color="auto" w:fill="FBD4B4"/>
            <w:vAlign w:val="center"/>
          </w:tcPr>
          <w:p w:rsidR="00ED0820" w:rsidRPr="00EB0F2A" w:rsidRDefault="00ED0820" w:rsidP="00BB5D0E">
            <w:pPr>
              <w:keepNext/>
              <w:spacing w:after="0" w:line="240" w:lineRule="auto"/>
              <w:jc w:val="center"/>
              <w:rPr>
                <w:rFonts w:ascii="Arial Narrow" w:hAnsi="Arial Narrow"/>
                <w:b/>
                <w:sz w:val="18"/>
              </w:rPr>
            </w:pPr>
            <w:r w:rsidRPr="00EB0F2A">
              <w:rPr>
                <w:rFonts w:ascii="Arial Narrow" w:hAnsi="Arial Narrow"/>
                <w:b/>
                <w:sz w:val="18"/>
              </w:rPr>
              <w:t>MBS</w:t>
            </w:r>
          </w:p>
        </w:tc>
        <w:tc>
          <w:tcPr>
            <w:tcW w:w="686" w:type="dxa"/>
            <w:shd w:val="clear" w:color="auto" w:fill="FBD4B4"/>
            <w:vAlign w:val="center"/>
          </w:tcPr>
          <w:p w:rsidR="00ED0820" w:rsidRPr="00EB0F2A" w:rsidRDefault="00ED0820" w:rsidP="00BB5D0E">
            <w:pPr>
              <w:keepNext/>
              <w:spacing w:after="0" w:line="240" w:lineRule="auto"/>
              <w:jc w:val="center"/>
              <w:rPr>
                <w:rFonts w:ascii="Arial Narrow" w:hAnsi="Arial Narrow"/>
                <w:b/>
                <w:sz w:val="18"/>
              </w:rPr>
            </w:pPr>
            <w:r w:rsidRPr="00EB0F2A">
              <w:rPr>
                <w:rFonts w:ascii="Arial Narrow" w:hAnsi="Arial Narrow"/>
                <w:b/>
                <w:sz w:val="18"/>
              </w:rPr>
              <w:t>Safety nets*</w:t>
            </w:r>
          </w:p>
        </w:tc>
        <w:tc>
          <w:tcPr>
            <w:tcW w:w="686" w:type="dxa"/>
            <w:shd w:val="clear" w:color="auto" w:fill="FBD4B4"/>
            <w:vAlign w:val="center"/>
          </w:tcPr>
          <w:p w:rsidR="00ED0820" w:rsidRPr="00EB0F2A" w:rsidRDefault="00ED0820" w:rsidP="00BB5D0E">
            <w:pPr>
              <w:keepNext/>
              <w:spacing w:after="0" w:line="240" w:lineRule="auto"/>
              <w:jc w:val="center"/>
              <w:rPr>
                <w:rFonts w:ascii="Arial Narrow" w:hAnsi="Arial Narrow"/>
                <w:b/>
                <w:sz w:val="18"/>
              </w:rPr>
            </w:pPr>
            <w:r w:rsidRPr="00EB0F2A">
              <w:rPr>
                <w:rFonts w:ascii="Arial Narrow" w:hAnsi="Arial Narrow"/>
                <w:b/>
                <w:sz w:val="18"/>
              </w:rPr>
              <w:t>Other govt budget</w:t>
            </w:r>
          </w:p>
        </w:tc>
        <w:tc>
          <w:tcPr>
            <w:tcW w:w="686" w:type="dxa"/>
            <w:shd w:val="clear" w:color="auto" w:fill="FBD4B4"/>
            <w:vAlign w:val="center"/>
          </w:tcPr>
          <w:p w:rsidR="00ED0820" w:rsidRPr="00EB0F2A" w:rsidRDefault="00ED0820" w:rsidP="00BB5D0E">
            <w:pPr>
              <w:keepNext/>
              <w:spacing w:after="0" w:line="240" w:lineRule="auto"/>
              <w:jc w:val="center"/>
              <w:rPr>
                <w:rFonts w:ascii="Arial Narrow" w:hAnsi="Arial Narrow"/>
                <w:b/>
                <w:sz w:val="18"/>
              </w:rPr>
            </w:pPr>
            <w:r w:rsidRPr="00EB0F2A">
              <w:rPr>
                <w:rFonts w:ascii="Arial Narrow" w:hAnsi="Arial Narrow"/>
                <w:b/>
                <w:sz w:val="18"/>
              </w:rPr>
              <w:t>Private health insurer</w:t>
            </w:r>
          </w:p>
        </w:tc>
        <w:tc>
          <w:tcPr>
            <w:tcW w:w="686" w:type="dxa"/>
            <w:shd w:val="clear" w:color="auto" w:fill="FBD4B4"/>
            <w:vAlign w:val="center"/>
          </w:tcPr>
          <w:p w:rsidR="00ED0820" w:rsidRPr="00EB0F2A" w:rsidRDefault="00ED0820" w:rsidP="00BB5D0E">
            <w:pPr>
              <w:keepNext/>
              <w:spacing w:after="0" w:line="240" w:lineRule="auto"/>
              <w:jc w:val="center"/>
              <w:rPr>
                <w:rFonts w:ascii="Arial Narrow" w:hAnsi="Arial Narrow"/>
                <w:b/>
                <w:sz w:val="18"/>
              </w:rPr>
            </w:pPr>
            <w:r w:rsidRPr="00EB0F2A">
              <w:rPr>
                <w:rFonts w:ascii="Arial Narrow" w:hAnsi="Arial Narrow"/>
                <w:b/>
                <w:sz w:val="18"/>
              </w:rPr>
              <w:t>Patient</w:t>
            </w:r>
          </w:p>
        </w:tc>
        <w:tc>
          <w:tcPr>
            <w:tcW w:w="686" w:type="dxa"/>
            <w:shd w:val="clear" w:color="auto" w:fill="FBD4B4"/>
            <w:vAlign w:val="center"/>
          </w:tcPr>
          <w:p w:rsidR="00ED0820" w:rsidRPr="00EB0F2A" w:rsidRDefault="00ED0820" w:rsidP="00BB5D0E">
            <w:pPr>
              <w:keepNext/>
              <w:spacing w:after="0" w:line="240" w:lineRule="auto"/>
              <w:jc w:val="center"/>
              <w:rPr>
                <w:rFonts w:ascii="Arial Narrow" w:hAnsi="Arial Narrow"/>
                <w:b/>
                <w:sz w:val="18"/>
              </w:rPr>
            </w:pPr>
            <w:r w:rsidRPr="00EB0F2A">
              <w:rPr>
                <w:rFonts w:ascii="Arial Narrow" w:hAnsi="Arial Narrow"/>
                <w:b/>
                <w:sz w:val="18"/>
              </w:rPr>
              <w:t>Total cost</w:t>
            </w:r>
          </w:p>
        </w:tc>
      </w:tr>
      <w:tr w:rsidR="00ED0820" w:rsidRPr="00EB0F2A" w:rsidTr="005F456C">
        <w:trPr>
          <w:trHeight w:val="195"/>
        </w:trPr>
        <w:tc>
          <w:tcPr>
            <w:tcW w:w="9067" w:type="dxa"/>
            <w:gridSpan w:val="11"/>
            <w:vAlign w:val="center"/>
          </w:tcPr>
          <w:p w:rsidR="00ED0820" w:rsidRPr="00F56F90" w:rsidRDefault="00ED0820" w:rsidP="00BB5D0E">
            <w:pPr>
              <w:spacing w:after="0" w:line="240" w:lineRule="auto"/>
              <w:jc w:val="left"/>
              <w:rPr>
                <w:rFonts w:ascii="Arial Narrow" w:hAnsi="Arial Narrow"/>
                <w:b/>
                <w:sz w:val="18"/>
                <w:u w:val="single"/>
              </w:rPr>
            </w:pPr>
            <w:r w:rsidRPr="00F56F90">
              <w:rPr>
                <w:rFonts w:ascii="Arial Narrow" w:hAnsi="Arial Narrow"/>
                <w:b/>
                <w:sz w:val="18"/>
                <w:u w:val="single"/>
              </w:rPr>
              <w:t>Resources provided to deliver proposed intervention</w:t>
            </w:r>
          </w:p>
        </w:tc>
      </w:tr>
      <w:tr w:rsidR="00ED0820" w:rsidRPr="00EB0F2A" w:rsidTr="005F456C">
        <w:trPr>
          <w:trHeight w:val="390"/>
        </w:trPr>
        <w:tc>
          <w:tcPr>
            <w:tcW w:w="1607" w:type="dxa"/>
          </w:tcPr>
          <w:p w:rsidR="00ED0820" w:rsidRPr="00EB0F2A" w:rsidRDefault="00ED0820" w:rsidP="00DB28A8">
            <w:pPr>
              <w:pStyle w:val="ListParagraph"/>
              <w:numPr>
                <w:ilvl w:val="2"/>
                <w:numId w:val="5"/>
              </w:numPr>
              <w:spacing w:after="0" w:line="240" w:lineRule="auto"/>
              <w:ind w:left="360" w:hanging="218"/>
              <w:jc w:val="left"/>
              <w:rPr>
                <w:rFonts w:ascii="Arial Narrow" w:hAnsi="Arial Narrow"/>
                <w:sz w:val="18"/>
              </w:rPr>
            </w:pPr>
            <w:r>
              <w:rPr>
                <w:rFonts w:ascii="Arial Narrow" w:hAnsi="Arial Narrow"/>
                <w:sz w:val="18"/>
              </w:rPr>
              <w:t>Specialist consultations</w:t>
            </w:r>
          </w:p>
        </w:tc>
        <w:tc>
          <w:tcPr>
            <w:tcW w:w="837" w:type="dxa"/>
            <w:shd w:val="clear" w:color="auto" w:fill="E5B8B7"/>
          </w:tcPr>
          <w:p w:rsidR="00ED0820" w:rsidRPr="00EB0F2A" w:rsidRDefault="00ED0820" w:rsidP="00BB5D0E">
            <w:pPr>
              <w:spacing w:after="0" w:line="240" w:lineRule="auto"/>
              <w:jc w:val="center"/>
              <w:rPr>
                <w:rFonts w:ascii="Arial Narrow" w:hAnsi="Arial Narrow"/>
                <w:sz w:val="18"/>
              </w:rPr>
            </w:pPr>
            <w:r>
              <w:rPr>
                <w:rFonts w:ascii="Arial Narrow" w:hAnsi="Arial Narrow"/>
                <w:sz w:val="18"/>
              </w:rPr>
              <w:t>Specialist physician</w:t>
            </w:r>
          </w:p>
        </w:tc>
        <w:tc>
          <w:tcPr>
            <w:tcW w:w="837" w:type="dxa"/>
            <w:shd w:val="clear" w:color="auto" w:fill="E5B8B7"/>
          </w:tcPr>
          <w:p w:rsidR="00ED0820" w:rsidRPr="00EB0F2A" w:rsidRDefault="00ED0820" w:rsidP="00BB5D0E">
            <w:pPr>
              <w:spacing w:after="0" w:line="240" w:lineRule="auto"/>
              <w:jc w:val="center"/>
              <w:rPr>
                <w:rFonts w:ascii="Arial Narrow" w:hAnsi="Arial Narrow"/>
                <w:sz w:val="18"/>
              </w:rPr>
            </w:pPr>
            <w:r>
              <w:rPr>
                <w:rFonts w:ascii="Arial Narrow" w:hAnsi="Arial Narrow"/>
                <w:sz w:val="18"/>
              </w:rPr>
              <w:t>Outpatient</w:t>
            </w:r>
          </w:p>
        </w:tc>
        <w:tc>
          <w:tcPr>
            <w:tcW w:w="837" w:type="dxa"/>
            <w:shd w:val="clear" w:color="auto" w:fill="D6E3BC"/>
          </w:tcPr>
          <w:p w:rsidR="00ED0820" w:rsidRPr="00EB0F2A" w:rsidRDefault="00ED0820" w:rsidP="00BB5D0E">
            <w:pPr>
              <w:spacing w:after="0" w:line="240" w:lineRule="auto"/>
              <w:jc w:val="center"/>
              <w:rPr>
                <w:rFonts w:ascii="Arial Narrow" w:hAnsi="Arial Narrow"/>
                <w:sz w:val="18"/>
              </w:rPr>
            </w:pPr>
          </w:p>
        </w:tc>
        <w:tc>
          <w:tcPr>
            <w:tcW w:w="835" w:type="dxa"/>
            <w:shd w:val="clear" w:color="auto" w:fill="D6E3BC"/>
          </w:tcPr>
          <w:p w:rsidR="00ED0820" w:rsidRPr="00EB0F2A" w:rsidRDefault="00ED0820" w:rsidP="00BB5D0E">
            <w:pPr>
              <w:spacing w:after="0" w:line="240" w:lineRule="auto"/>
              <w:jc w:val="center"/>
              <w:rPr>
                <w:rFonts w:ascii="Arial Narrow" w:hAnsi="Arial Narrow"/>
                <w:sz w:val="18"/>
              </w:rPr>
            </w:pPr>
          </w:p>
        </w:tc>
        <w:tc>
          <w:tcPr>
            <w:tcW w:w="685" w:type="dxa"/>
            <w:shd w:val="clear" w:color="auto" w:fill="FBD4B4"/>
          </w:tcPr>
          <w:p w:rsidR="00ED0820" w:rsidRPr="00EB0F2A" w:rsidRDefault="00ED0820" w:rsidP="00BB5D0E">
            <w:pPr>
              <w:spacing w:after="0" w:line="240" w:lineRule="auto"/>
              <w:jc w:val="center"/>
              <w:rPr>
                <w:rFonts w:ascii="Arial Narrow" w:hAnsi="Arial Narrow"/>
                <w:sz w:val="18"/>
              </w:rPr>
            </w:pPr>
          </w:p>
        </w:tc>
        <w:tc>
          <w:tcPr>
            <w:tcW w:w="686" w:type="dxa"/>
            <w:shd w:val="clear" w:color="auto" w:fill="FBD4B4"/>
          </w:tcPr>
          <w:p w:rsidR="00ED0820" w:rsidRPr="00EB0F2A" w:rsidRDefault="00ED0820" w:rsidP="00BB5D0E">
            <w:pPr>
              <w:spacing w:after="0" w:line="240" w:lineRule="auto"/>
              <w:jc w:val="center"/>
              <w:rPr>
                <w:rFonts w:ascii="Arial Narrow" w:hAnsi="Arial Narrow"/>
                <w:sz w:val="18"/>
              </w:rPr>
            </w:pPr>
          </w:p>
        </w:tc>
        <w:tc>
          <w:tcPr>
            <w:tcW w:w="686" w:type="dxa"/>
            <w:shd w:val="clear" w:color="auto" w:fill="FBD4B4"/>
          </w:tcPr>
          <w:p w:rsidR="00ED0820" w:rsidRPr="00EB0F2A" w:rsidRDefault="00ED0820" w:rsidP="00BB5D0E">
            <w:pPr>
              <w:spacing w:after="0" w:line="240" w:lineRule="auto"/>
              <w:jc w:val="center"/>
              <w:rPr>
                <w:rFonts w:ascii="Arial Narrow" w:hAnsi="Arial Narrow"/>
                <w:sz w:val="18"/>
              </w:rPr>
            </w:pPr>
          </w:p>
        </w:tc>
        <w:tc>
          <w:tcPr>
            <w:tcW w:w="686" w:type="dxa"/>
            <w:shd w:val="clear" w:color="auto" w:fill="FBD4B4"/>
          </w:tcPr>
          <w:p w:rsidR="00ED0820" w:rsidRPr="00EB0F2A" w:rsidRDefault="00ED0820" w:rsidP="00BB5D0E">
            <w:pPr>
              <w:spacing w:after="0" w:line="240" w:lineRule="auto"/>
              <w:jc w:val="center"/>
              <w:rPr>
                <w:rFonts w:ascii="Arial Narrow" w:hAnsi="Arial Narrow"/>
                <w:sz w:val="18"/>
              </w:rPr>
            </w:pPr>
          </w:p>
        </w:tc>
        <w:tc>
          <w:tcPr>
            <w:tcW w:w="686" w:type="dxa"/>
            <w:shd w:val="clear" w:color="auto" w:fill="FBD4B4"/>
          </w:tcPr>
          <w:p w:rsidR="00ED0820" w:rsidRPr="00EB0F2A" w:rsidRDefault="00ED0820" w:rsidP="00BB5D0E">
            <w:pPr>
              <w:spacing w:after="0" w:line="240" w:lineRule="auto"/>
              <w:jc w:val="center"/>
              <w:rPr>
                <w:rFonts w:ascii="Arial Narrow" w:hAnsi="Arial Narrow"/>
                <w:sz w:val="18"/>
              </w:rPr>
            </w:pPr>
          </w:p>
        </w:tc>
        <w:tc>
          <w:tcPr>
            <w:tcW w:w="686" w:type="dxa"/>
            <w:shd w:val="clear" w:color="auto" w:fill="FBD4B4"/>
          </w:tcPr>
          <w:p w:rsidR="00ED0820" w:rsidRPr="00EB0F2A" w:rsidRDefault="00ED0820" w:rsidP="00BB5D0E">
            <w:pPr>
              <w:spacing w:after="0" w:line="240" w:lineRule="auto"/>
              <w:jc w:val="center"/>
              <w:rPr>
                <w:rFonts w:ascii="Arial Narrow" w:hAnsi="Arial Narrow"/>
                <w:sz w:val="18"/>
              </w:rPr>
            </w:pPr>
          </w:p>
        </w:tc>
      </w:tr>
      <w:tr w:rsidR="00ED0820" w:rsidRPr="00EB0F2A" w:rsidTr="005F456C">
        <w:trPr>
          <w:trHeight w:val="390"/>
        </w:trPr>
        <w:tc>
          <w:tcPr>
            <w:tcW w:w="1607" w:type="dxa"/>
          </w:tcPr>
          <w:p w:rsidR="00ED0820" w:rsidRPr="00EB0F2A" w:rsidRDefault="00ED0820" w:rsidP="00DB28A8">
            <w:pPr>
              <w:pStyle w:val="ListParagraph"/>
              <w:numPr>
                <w:ilvl w:val="2"/>
                <w:numId w:val="5"/>
              </w:numPr>
              <w:spacing w:after="0" w:line="240" w:lineRule="auto"/>
              <w:ind w:left="360" w:hanging="218"/>
              <w:jc w:val="left"/>
              <w:rPr>
                <w:rFonts w:ascii="Arial Narrow" w:hAnsi="Arial Narrow"/>
                <w:sz w:val="18"/>
              </w:rPr>
            </w:pPr>
            <w:r>
              <w:rPr>
                <w:rFonts w:ascii="Arial Narrow" w:hAnsi="Arial Narrow"/>
                <w:sz w:val="18"/>
              </w:rPr>
              <w:t>Genetic counselling</w:t>
            </w:r>
          </w:p>
        </w:tc>
        <w:tc>
          <w:tcPr>
            <w:tcW w:w="837" w:type="dxa"/>
            <w:shd w:val="clear" w:color="auto" w:fill="E5B8B7"/>
          </w:tcPr>
          <w:p w:rsidR="00ED0820" w:rsidRPr="00EB0F2A" w:rsidRDefault="00ED0820" w:rsidP="00331917">
            <w:pPr>
              <w:spacing w:after="0" w:line="240" w:lineRule="auto"/>
              <w:jc w:val="center"/>
              <w:rPr>
                <w:rFonts w:ascii="Arial Narrow" w:hAnsi="Arial Narrow"/>
                <w:sz w:val="18"/>
              </w:rPr>
            </w:pPr>
            <w:r>
              <w:rPr>
                <w:rFonts w:ascii="Arial Narrow" w:hAnsi="Arial Narrow"/>
                <w:sz w:val="18"/>
              </w:rPr>
              <w:t>Genetic counsellor</w:t>
            </w:r>
          </w:p>
        </w:tc>
        <w:tc>
          <w:tcPr>
            <w:tcW w:w="837" w:type="dxa"/>
            <w:shd w:val="clear" w:color="auto" w:fill="E5B8B7"/>
          </w:tcPr>
          <w:p w:rsidR="00ED0820" w:rsidRPr="00EB0F2A" w:rsidRDefault="00ED0820" w:rsidP="00BB5D0E">
            <w:pPr>
              <w:spacing w:after="0" w:line="240" w:lineRule="auto"/>
              <w:jc w:val="center"/>
              <w:rPr>
                <w:rFonts w:ascii="Arial Narrow" w:hAnsi="Arial Narrow"/>
                <w:sz w:val="18"/>
              </w:rPr>
            </w:pPr>
            <w:r>
              <w:rPr>
                <w:rFonts w:ascii="Arial Narrow" w:hAnsi="Arial Narrow"/>
                <w:sz w:val="18"/>
              </w:rPr>
              <w:t>Outpatient</w:t>
            </w:r>
          </w:p>
        </w:tc>
        <w:tc>
          <w:tcPr>
            <w:tcW w:w="837" w:type="dxa"/>
            <w:shd w:val="clear" w:color="auto" w:fill="D6E3BC"/>
          </w:tcPr>
          <w:p w:rsidR="00ED0820" w:rsidRPr="00EB0F2A" w:rsidRDefault="00ED0820" w:rsidP="00BB5D0E">
            <w:pPr>
              <w:spacing w:after="0" w:line="240" w:lineRule="auto"/>
              <w:jc w:val="center"/>
              <w:rPr>
                <w:rFonts w:ascii="Arial Narrow" w:hAnsi="Arial Narrow"/>
                <w:sz w:val="18"/>
              </w:rPr>
            </w:pPr>
          </w:p>
        </w:tc>
        <w:tc>
          <w:tcPr>
            <w:tcW w:w="835" w:type="dxa"/>
            <w:shd w:val="clear" w:color="auto" w:fill="D6E3BC"/>
          </w:tcPr>
          <w:p w:rsidR="00ED0820" w:rsidRPr="00EB0F2A" w:rsidRDefault="00ED0820" w:rsidP="00BB5D0E">
            <w:pPr>
              <w:spacing w:after="0" w:line="240" w:lineRule="auto"/>
              <w:jc w:val="center"/>
              <w:rPr>
                <w:rFonts w:ascii="Arial Narrow" w:hAnsi="Arial Narrow"/>
                <w:sz w:val="18"/>
              </w:rPr>
            </w:pPr>
          </w:p>
        </w:tc>
        <w:tc>
          <w:tcPr>
            <w:tcW w:w="685" w:type="dxa"/>
            <w:shd w:val="clear" w:color="auto" w:fill="FBD4B4"/>
          </w:tcPr>
          <w:p w:rsidR="00ED0820" w:rsidRPr="00EB0F2A" w:rsidRDefault="00ED0820" w:rsidP="00BB5D0E">
            <w:pPr>
              <w:spacing w:after="0" w:line="240" w:lineRule="auto"/>
              <w:jc w:val="center"/>
              <w:rPr>
                <w:rFonts w:ascii="Arial Narrow" w:hAnsi="Arial Narrow"/>
                <w:sz w:val="18"/>
              </w:rPr>
            </w:pPr>
          </w:p>
        </w:tc>
        <w:tc>
          <w:tcPr>
            <w:tcW w:w="686" w:type="dxa"/>
            <w:shd w:val="clear" w:color="auto" w:fill="FBD4B4"/>
          </w:tcPr>
          <w:p w:rsidR="00ED0820" w:rsidRPr="00EB0F2A" w:rsidRDefault="00ED0820" w:rsidP="00BB5D0E">
            <w:pPr>
              <w:spacing w:after="0" w:line="240" w:lineRule="auto"/>
              <w:jc w:val="center"/>
              <w:rPr>
                <w:rFonts w:ascii="Arial Narrow" w:hAnsi="Arial Narrow"/>
                <w:sz w:val="18"/>
              </w:rPr>
            </w:pPr>
          </w:p>
        </w:tc>
        <w:tc>
          <w:tcPr>
            <w:tcW w:w="686" w:type="dxa"/>
            <w:shd w:val="clear" w:color="auto" w:fill="FBD4B4"/>
          </w:tcPr>
          <w:p w:rsidR="00ED0820" w:rsidRPr="00EB0F2A" w:rsidRDefault="00ED0820" w:rsidP="00BB5D0E">
            <w:pPr>
              <w:spacing w:after="0" w:line="240" w:lineRule="auto"/>
              <w:jc w:val="center"/>
              <w:rPr>
                <w:rFonts w:ascii="Arial Narrow" w:hAnsi="Arial Narrow"/>
                <w:sz w:val="18"/>
              </w:rPr>
            </w:pPr>
          </w:p>
        </w:tc>
        <w:tc>
          <w:tcPr>
            <w:tcW w:w="686" w:type="dxa"/>
            <w:shd w:val="clear" w:color="auto" w:fill="FBD4B4"/>
          </w:tcPr>
          <w:p w:rsidR="00ED0820" w:rsidRPr="00EB0F2A" w:rsidRDefault="00ED0820" w:rsidP="00BB5D0E">
            <w:pPr>
              <w:spacing w:after="0" w:line="240" w:lineRule="auto"/>
              <w:jc w:val="center"/>
              <w:rPr>
                <w:rFonts w:ascii="Arial Narrow" w:hAnsi="Arial Narrow"/>
                <w:sz w:val="18"/>
              </w:rPr>
            </w:pPr>
          </w:p>
        </w:tc>
        <w:tc>
          <w:tcPr>
            <w:tcW w:w="686" w:type="dxa"/>
            <w:shd w:val="clear" w:color="auto" w:fill="FBD4B4"/>
          </w:tcPr>
          <w:p w:rsidR="00ED0820" w:rsidRPr="00EB0F2A" w:rsidRDefault="00ED0820" w:rsidP="00BB5D0E">
            <w:pPr>
              <w:spacing w:after="0" w:line="240" w:lineRule="auto"/>
              <w:jc w:val="center"/>
              <w:rPr>
                <w:rFonts w:ascii="Arial Narrow" w:hAnsi="Arial Narrow"/>
                <w:sz w:val="18"/>
              </w:rPr>
            </w:pPr>
          </w:p>
        </w:tc>
        <w:tc>
          <w:tcPr>
            <w:tcW w:w="686" w:type="dxa"/>
            <w:shd w:val="clear" w:color="auto" w:fill="FBD4B4"/>
          </w:tcPr>
          <w:p w:rsidR="00ED0820" w:rsidRPr="00EB0F2A" w:rsidRDefault="00ED0820" w:rsidP="00BB5D0E">
            <w:pPr>
              <w:spacing w:after="0" w:line="240" w:lineRule="auto"/>
              <w:jc w:val="center"/>
              <w:rPr>
                <w:rFonts w:ascii="Arial Narrow" w:hAnsi="Arial Narrow"/>
                <w:sz w:val="18"/>
              </w:rPr>
            </w:pPr>
          </w:p>
        </w:tc>
      </w:tr>
      <w:tr w:rsidR="00ED0820" w:rsidRPr="00EB0F2A" w:rsidTr="005F456C">
        <w:trPr>
          <w:trHeight w:val="584"/>
        </w:trPr>
        <w:tc>
          <w:tcPr>
            <w:tcW w:w="1607" w:type="dxa"/>
          </w:tcPr>
          <w:p w:rsidR="00ED0820" w:rsidRPr="00EB0F2A" w:rsidDel="00197CBD" w:rsidRDefault="00ED0820" w:rsidP="00DB28A8">
            <w:pPr>
              <w:pStyle w:val="ListParagraph"/>
              <w:numPr>
                <w:ilvl w:val="2"/>
                <w:numId w:val="5"/>
              </w:numPr>
              <w:spacing w:after="0" w:line="240" w:lineRule="auto"/>
              <w:ind w:left="360" w:hanging="218"/>
              <w:jc w:val="left"/>
              <w:rPr>
                <w:rFonts w:ascii="Arial Narrow" w:hAnsi="Arial Narrow"/>
                <w:sz w:val="18"/>
              </w:rPr>
            </w:pPr>
            <w:r>
              <w:rPr>
                <w:rFonts w:ascii="Arial Narrow" w:hAnsi="Arial Narrow"/>
                <w:sz w:val="18"/>
              </w:rPr>
              <w:t>Blood sample (and Patient Episode Initiation fee)</w:t>
            </w:r>
          </w:p>
        </w:tc>
        <w:tc>
          <w:tcPr>
            <w:tcW w:w="837" w:type="dxa"/>
            <w:shd w:val="clear" w:color="auto" w:fill="E5B8B7"/>
          </w:tcPr>
          <w:p w:rsidR="00ED0820" w:rsidRPr="00EB0F2A" w:rsidRDefault="00ED0820" w:rsidP="00BB5D0E">
            <w:pPr>
              <w:spacing w:after="0" w:line="240" w:lineRule="auto"/>
              <w:jc w:val="center"/>
              <w:rPr>
                <w:rFonts w:ascii="Arial Narrow" w:hAnsi="Arial Narrow"/>
                <w:sz w:val="18"/>
              </w:rPr>
            </w:pPr>
            <w:r>
              <w:rPr>
                <w:rFonts w:ascii="Arial Narrow" w:hAnsi="Arial Narrow"/>
                <w:sz w:val="18"/>
              </w:rPr>
              <w:t>Technician</w:t>
            </w:r>
          </w:p>
        </w:tc>
        <w:tc>
          <w:tcPr>
            <w:tcW w:w="837" w:type="dxa"/>
            <w:shd w:val="clear" w:color="auto" w:fill="E5B8B7"/>
          </w:tcPr>
          <w:p w:rsidR="00ED0820" w:rsidRPr="00EB0F2A" w:rsidRDefault="00ED0820" w:rsidP="00BB5D0E">
            <w:pPr>
              <w:spacing w:after="0" w:line="240" w:lineRule="auto"/>
              <w:jc w:val="center"/>
              <w:rPr>
                <w:rFonts w:ascii="Arial Narrow" w:hAnsi="Arial Narrow"/>
                <w:sz w:val="18"/>
              </w:rPr>
            </w:pPr>
            <w:r>
              <w:rPr>
                <w:rFonts w:ascii="Arial Narrow" w:hAnsi="Arial Narrow"/>
                <w:sz w:val="18"/>
              </w:rPr>
              <w:t>Outpatient</w:t>
            </w:r>
          </w:p>
        </w:tc>
        <w:tc>
          <w:tcPr>
            <w:tcW w:w="837" w:type="dxa"/>
            <w:shd w:val="clear" w:color="auto" w:fill="D6E3BC"/>
          </w:tcPr>
          <w:p w:rsidR="00ED0820" w:rsidRPr="00EB0F2A" w:rsidRDefault="00ED0820" w:rsidP="00BB5D0E">
            <w:pPr>
              <w:spacing w:after="0" w:line="240" w:lineRule="auto"/>
              <w:jc w:val="center"/>
              <w:rPr>
                <w:rFonts w:ascii="Arial Narrow" w:hAnsi="Arial Narrow"/>
                <w:sz w:val="18"/>
              </w:rPr>
            </w:pPr>
          </w:p>
        </w:tc>
        <w:tc>
          <w:tcPr>
            <w:tcW w:w="835" w:type="dxa"/>
            <w:shd w:val="clear" w:color="auto" w:fill="D6E3BC"/>
          </w:tcPr>
          <w:p w:rsidR="00ED0820" w:rsidRPr="00EB0F2A" w:rsidRDefault="00ED0820" w:rsidP="00BB5D0E">
            <w:pPr>
              <w:spacing w:after="0" w:line="240" w:lineRule="auto"/>
              <w:jc w:val="center"/>
              <w:rPr>
                <w:rFonts w:ascii="Arial Narrow" w:hAnsi="Arial Narrow"/>
                <w:sz w:val="18"/>
              </w:rPr>
            </w:pPr>
          </w:p>
        </w:tc>
        <w:tc>
          <w:tcPr>
            <w:tcW w:w="685" w:type="dxa"/>
            <w:shd w:val="clear" w:color="auto" w:fill="FBD4B4"/>
          </w:tcPr>
          <w:p w:rsidR="00ED0820" w:rsidRPr="00EB0F2A" w:rsidRDefault="00ED0820" w:rsidP="00BB5D0E">
            <w:pPr>
              <w:spacing w:after="0" w:line="240" w:lineRule="auto"/>
              <w:jc w:val="center"/>
              <w:rPr>
                <w:rFonts w:ascii="Arial Narrow" w:hAnsi="Arial Narrow"/>
                <w:sz w:val="18"/>
              </w:rPr>
            </w:pPr>
          </w:p>
        </w:tc>
        <w:tc>
          <w:tcPr>
            <w:tcW w:w="686" w:type="dxa"/>
            <w:shd w:val="clear" w:color="auto" w:fill="FBD4B4"/>
          </w:tcPr>
          <w:p w:rsidR="00ED0820" w:rsidRPr="00EB0F2A" w:rsidRDefault="00ED0820" w:rsidP="00BB5D0E">
            <w:pPr>
              <w:spacing w:after="0" w:line="240" w:lineRule="auto"/>
              <w:jc w:val="center"/>
              <w:rPr>
                <w:rFonts w:ascii="Arial Narrow" w:hAnsi="Arial Narrow"/>
                <w:sz w:val="18"/>
              </w:rPr>
            </w:pPr>
          </w:p>
        </w:tc>
        <w:tc>
          <w:tcPr>
            <w:tcW w:w="686" w:type="dxa"/>
            <w:shd w:val="clear" w:color="auto" w:fill="FBD4B4"/>
          </w:tcPr>
          <w:p w:rsidR="00ED0820" w:rsidRPr="00EB0F2A" w:rsidRDefault="00ED0820" w:rsidP="00BB5D0E">
            <w:pPr>
              <w:spacing w:after="0" w:line="240" w:lineRule="auto"/>
              <w:jc w:val="center"/>
              <w:rPr>
                <w:rFonts w:ascii="Arial Narrow" w:hAnsi="Arial Narrow"/>
                <w:sz w:val="18"/>
              </w:rPr>
            </w:pPr>
          </w:p>
        </w:tc>
        <w:tc>
          <w:tcPr>
            <w:tcW w:w="686" w:type="dxa"/>
            <w:shd w:val="clear" w:color="auto" w:fill="FBD4B4"/>
          </w:tcPr>
          <w:p w:rsidR="00ED0820" w:rsidRPr="00EB0F2A" w:rsidRDefault="00ED0820" w:rsidP="00BB5D0E">
            <w:pPr>
              <w:spacing w:after="0" w:line="240" w:lineRule="auto"/>
              <w:jc w:val="center"/>
              <w:rPr>
                <w:rFonts w:ascii="Arial Narrow" w:hAnsi="Arial Narrow"/>
                <w:sz w:val="18"/>
              </w:rPr>
            </w:pPr>
          </w:p>
        </w:tc>
        <w:tc>
          <w:tcPr>
            <w:tcW w:w="686" w:type="dxa"/>
            <w:shd w:val="clear" w:color="auto" w:fill="FBD4B4"/>
          </w:tcPr>
          <w:p w:rsidR="00ED0820" w:rsidRPr="00EB0F2A" w:rsidRDefault="00ED0820" w:rsidP="00BB5D0E">
            <w:pPr>
              <w:spacing w:after="0" w:line="240" w:lineRule="auto"/>
              <w:jc w:val="center"/>
              <w:rPr>
                <w:rFonts w:ascii="Arial Narrow" w:hAnsi="Arial Narrow"/>
                <w:sz w:val="18"/>
              </w:rPr>
            </w:pPr>
          </w:p>
        </w:tc>
        <w:tc>
          <w:tcPr>
            <w:tcW w:w="686" w:type="dxa"/>
            <w:shd w:val="clear" w:color="auto" w:fill="FBD4B4"/>
          </w:tcPr>
          <w:p w:rsidR="00ED0820" w:rsidRPr="00EB0F2A" w:rsidRDefault="00ED0820" w:rsidP="00BB5D0E">
            <w:pPr>
              <w:spacing w:after="0" w:line="240" w:lineRule="auto"/>
              <w:jc w:val="center"/>
              <w:rPr>
                <w:rFonts w:ascii="Arial Narrow" w:hAnsi="Arial Narrow"/>
                <w:sz w:val="18"/>
              </w:rPr>
            </w:pPr>
          </w:p>
        </w:tc>
      </w:tr>
      <w:tr w:rsidR="00ED0820" w:rsidRPr="00EB0F2A" w:rsidTr="005F456C">
        <w:trPr>
          <w:trHeight w:val="403"/>
        </w:trPr>
        <w:tc>
          <w:tcPr>
            <w:tcW w:w="1607" w:type="dxa"/>
          </w:tcPr>
          <w:p w:rsidR="00ED0820" w:rsidRDefault="00ED0820" w:rsidP="00DB28A8">
            <w:pPr>
              <w:pStyle w:val="ListParagraph"/>
              <w:numPr>
                <w:ilvl w:val="2"/>
                <w:numId w:val="5"/>
              </w:numPr>
              <w:spacing w:after="0" w:line="240" w:lineRule="auto"/>
              <w:ind w:left="360" w:hanging="218"/>
              <w:jc w:val="left"/>
              <w:rPr>
                <w:rFonts w:ascii="Arial Narrow" w:hAnsi="Arial Narrow"/>
                <w:sz w:val="18"/>
              </w:rPr>
            </w:pPr>
            <w:r>
              <w:rPr>
                <w:rFonts w:ascii="Arial Narrow" w:hAnsi="Arial Narrow"/>
                <w:sz w:val="18"/>
              </w:rPr>
              <w:t>Sample Transfer Fee (P11)</w:t>
            </w:r>
          </w:p>
        </w:tc>
        <w:tc>
          <w:tcPr>
            <w:tcW w:w="837" w:type="dxa"/>
            <w:shd w:val="clear" w:color="auto" w:fill="E5B8B7"/>
          </w:tcPr>
          <w:p w:rsidR="00ED0820" w:rsidRDefault="00ED0820" w:rsidP="00BB5D0E">
            <w:pPr>
              <w:spacing w:after="0" w:line="240" w:lineRule="auto"/>
              <w:jc w:val="center"/>
              <w:rPr>
                <w:rFonts w:ascii="Arial Narrow" w:hAnsi="Arial Narrow"/>
                <w:sz w:val="18"/>
              </w:rPr>
            </w:pPr>
          </w:p>
        </w:tc>
        <w:tc>
          <w:tcPr>
            <w:tcW w:w="837" w:type="dxa"/>
            <w:shd w:val="clear" w:color="auto" w:fill="E5B8B7"/>
          </w:tcPr>
          <w:p w:rsidR="00ED0820" w:rsidRPr="00EB0F2A" w:rsidRDefault="00ED0820" w:rsidP="00BB5D0E">
            <w:pPr>
              <w:spacing w:after="0" w:line="240" w:lineRule="auto"/>
              <w:jc w:val="center"/>
              <w:rPr>
                <w:rFonts w:ascii="Arial Narrow" w:hAnsi="Arial Narrow"/>
                <w:sz w:val="18"/>
              </w:rPr>
            </w:pPr>
          </w:p>
        </w:tc>
        <w:tc>
          <w:tcPr>
            <w:tcW w:w="837" w:type="dxa"/>
            <w:shd w:val="clear" w:color="auto" w:fill="D6E3BC"/>
          </w:tcPr>
          <w:p w:rsidR="00ED0820" w:rsidRPr="00EB0F2A" w:rsidRDefault="00ED0820" w:rsidP="00BB5D0E">
            <w:pPr>
              <w:spacing w:after="0" w:line="240" w:lineRule="auto"/>
              <w:jc w:val="center"/>
              <w:rPr>
                <w:rFonts w:ascii="Arial Narrow" w:hAnsi="Arial Narrow"/>
                <w:sz w:val="18"/>
              </w:rPr>
            </w:pPr>
          </w:p>
        </w:tc>
        <w:tc>
          <w:tcPr>
            <w:tcW w:w="835" w:type="dxa"/>
            <w:shd w:val="clear" w:color="auto" w:fill="D6E3BC"/>
          </w:tcPr>
          <w:p w:rsidR="00ED0820" w:rsidRPr="00EB0F2A" w:rsidRDefault="00ED0820" w:rsidP="00BB5D0E">
            <w:pPr>
              <w:spacing w:after="0" w:line="240" w:lineRule="auto"/>
              <w:jc w:val="center"/>
              <w:rPr>
                <w:rFonts w:ascii="Arial Narrow" w:hAnsi="Arial Narrow"/>
                <w:sz w:val="18"/>
              </w:rPr>
            </w:pPr>
          </w:p>
        </w:tc>
        <w:tc>
          <w:tcPr>
            <w:tcW w:w="685" w:type="dxa"/>
            <w:shd w:val="clear" w:color="auto" w:fill="FBD4B4"/>
          </w:tcPr>
          <w:p w:rsidR="00ED0820" w:rsidRPr="00EB0F2A" w:rsidRDefault="00ED0820" w:rsidP="00BB5D0E">
            <w:pPr>
              <w:spacing w:after="0" w:line="240" w:lineRule="auto"/>
              <w:jc w:val="center"/>
              <w:rPr>
                <w:rFonts w:ascii="Arial Narrow" w:hAnsi="Arial Narrow"/>
                <w:sz w:val="18"/>
              </w:rPr>
            </w:pPr>
          </w:p>
        </w:tc>
        <w:tc>
          <w:tcPr>
            <w:tcW w:w="686" w:type="dxa"/>
            <w:shd w:val="clear" w:color="auto" w:fill="FBD4B4"/>
          </w:tcPr>
          <w:p w:rsidR="00ED0820" w:rsidRPr="00EB0F2A" w:rsidRDefault="00ED0820" w:rsidP="00BB5D0E">
            <w:pPr>
              <w:spacing w:after="0" w:line="240" w:lineRule="auto"/>
              <w:jc w:val="center"/>
              <w:rPr>
                <w:rFonts w:ascii="Arial Narrow" w:hAnsi="Arial Narrow"/>
                <w:sz w:val="18"/>
              </w:rPr>
            </w:pPr>
          </w:p>
        </w:tc>
        <w:tc>
          <w:tcPr>
            <w:tcW w:w="686" w:type="dxa"/>
            <w:shd w:val="clear" w:color="auto" w:fill="FBD4B4"/>
          </w:tcPr>
          <w:p w:rsidR="00ED0820" w:rsidRPr="00EB0F2A" w:rsidRDefault="00ED0820" w:rsidP="00BB5D0E">
            <w:pPr>
              <w:spacing w:after="0" w:line="240" w:lineRule="auto"/>
              <w:jc w:val="center"/>
              <w:rPr>
                <w:rFonts w:ascii="Arial Narrow" w:hAnsi="Arial Narrow"/>
                <w:sz w:val="18"/>
              </w:rPr>
            </w:pPr>
          </w:p>
        </w:tc>
        <w:tc>
          <w:tcPr>
            <w:tcW w:w="686" w:type="dxa"/>
            <w:shd w:val="clear" w:color="auto" w:fill="FBD4B4"/>
          </w:tcPr>
          <w:p w:rsidR="00ED0820" w:rsidRPr="00EB0F2A" w:rsidRDefault="00ED0820" w:rsidP="00BB5D0E">
            <w:pPr>
              <w:spacing w:after="0" w:line="240" w:lineRule="auto"/>
              <w:jc w:val="center"/>
              <w:rPr>
                <w:rFonts w:ascii="Arial Narrow" w:hAnsi="Arial Narrow"/>
                <w:sz w:val="18"/>
              </w:rPr>
            </w:pPr>
          </w:p>
        </w:tc>
        <w:tc>
          <w:tcPr>
            <w:tcW w:w="686" w:type="dxa"/>
            <w:shd w:val="clear" w:color="auto" w:fill="FBD4B4"/>
          </w:tcPr>
          <w:p w:rsidR="00ED0820" w:rsidRPr="00EB0F2A" w:rsidRDefault="00ED0820" w:rsidP="00BB5D0E">
            <w:pPr>
              <w:spacing w:after="0" w:line="240" w:lineRule="auto"/>
              <w:jc w:val="center"/>
              <w:rPr>
                <w:rFonts w:ascii="Arial Narrow" w:hAnsi="Arial Narrow"/>
                <w:sz w:val="18"/>
              </w:rPr>
            </w:pPr>
          </w:p>
        </w:tc>
        <w:tc>
          <w:tcPr>
            <w:tcW w:w="686" w:type="dxa"/>
            <w:shd w:val="clear" w:color="auto" w:fill="FBD4B4"/>
          </w:tcPr>
          <w:p w:rsidR="00ED0820" w:rsidRPr="00EB0F2A" w:rsidRDefault="00ED0820" w:rsidP="00BB5D0E">
            <w:pPr>
              <w:spacing w:after="0" w:line="240" w:lineRule="auto"/>
              <w:jc w:val="center"/>
              <w:rPr>
                <w:rFonts w:ascii="Arial Narrow" w:hAnsi="Arial Narrow"/>
                <w:sz w:val="18"/>
              </w:rPr>
            </w:pPr>
          </w:p>
        </w:tc>
      </w:tr>
      <w:tr w:rsidR="00ED0820" w:rsidRPr="00EB0F2A" w:rsidTr="005F456C">
        <w:trPr>
          <w:trHeight w:val="390"/>
        </w:trPr>
        <w:tc>
          <w:tcPr>
            <w:tcW w:w="1607" w:type="dxa"/>
          </w:tcPr>
          <w:p w:rsidR="00ED0820" w:rsidRPr="00EB0F2A" w:rsidDel="00197CBD" w:rsidRDefault="00ED0820" w:rsidP="00DB28A8">
            <w:pPr>
              <w:pStyle w:val="ListParagraph"/>
              <w:numPr>
                <w:ilvl w:val="2"/>
                <w:numId w:val="5"/>
              </w:numPr>
              <w:spacing w:after="0" w:line="240" w:lineRule="auto"/>
              <w:ind w:left="360" w:hanging="218"/>
              <w:jc w:val="left"/>
              <w:rPr>
                <w:rFonts w:ascii="Arial Narrow" w:hAnsi="Arial Narrow"/>
                <w:sz w:val="18"/>
              </w:rPr>
            </w:pPr>
            <w:r>
              <w:rPr>
                <w:rFonts w:ascii="Arial Narrow" w:hAnsi="Arial Narrow"/>
                <w:sz w:val="18"/>
              </w:rPr>
              <w:t>Perform TTR genetic test</w:t>
            </w:r>
          </w:p>
        </w:tc>
        <w:tc>
          <w:tcPr>
            <w:tcW w:w="837" w:type="dxa"/>
            <w:shd w:val="clear" w:color="auto" w:fill="E5B8B7"/>
          </w:tcPr>
          <w:p w:rsidR="00ED0820" w:rsidRPr="00EB0F2A" w:rsidRDefault="00ED0820" w:rsidP="00BB5D0E">
            <w:pPr>
              <w:spacing w:after="0" w:line="240" w:lineRule="auto"/>
              <w:jc w:val="center"/>
              <w:rPr>
                <w:rFonts w:ascii="Arial Narrow" w:hAnsi="Arial Narrow"/>
                <w:sz w:val="18"/>
              </w:rPr>
            </w:pPr>
            <w:r>
              <w:rPr>
                <w:rFonts w:ascii="Arial Narrow" w:hAnsi="Arial Narrow"/>
                <w:sz w:val="18"/>
              </w:rPr>
              <w:t>Specialist pathologist</w:t>
            </w:r>
          </w:p>
        </w:tc>
        <w:tc>
          <w:tcPr>
            <w:tcW w:w="837" w:type="dxa"/>
            <w:shd w:val="clear" w:color="auto" w:fill="E5B8B7"/>
          </w:tcPr>
          <w:p w:rsidR="00ED0820" w:rsidRPr="00EB0F2A" w:rsidRDefault="00ED0820" w:rsidP="00BB5D0E">
            <w:pPr>
              <w:spacing w:after="0" w:line="240" w:lineRule="auto"/>
              <w:jc w:val="center"/>
              <w:rPr>
                <w:rFonts w:ascii="Arial Narrow" w:hAnsi="Arial Narrow"/>
                <w:sz w:val="18"/>
              </w:rPr>
            </w:pPr>
          </w:p>
        </w:tc>
        <w:tc>
          <w:tcPr>
            <w:tcW w:w="837" w:type="dxa"/>
            <w:shd w:val="clear" w:color="auto" w:fill="D6E3BC"/>
          </w:tcPr>
          <w:p w:rsidR="00ED0820" w:rsidRPr="00EB0F2A" w:rsidRDefault="00ED0820" w:rsidP="00BB5D0E">
            <w:pPr>
              <w:spacing w:after="0" w:line="240" w:lineRule="auto"/>
              <w:jc w:val="center"/>
              <w:rPr>
                <w:rFonts w:ascii="Arial Narrow" w:hAnsi="Arial Narrow"/>
                <w:sz w:val="18"/>
              </w:rPr>
            </w:pPr>
          </w:p>
        </w:tc>
        <w:tc>
          <w:tcPr>
            <w:tcW w:w="835" w:type="dxa"/>
            <w:shd w:val="clear" w:color="auto" w:fill="D6E3BC"/>
          </w:tcPr>
          <w:p w:rsidR="00ED0820" w:rsidRPr="00EB0F2A" w:rsidRDefault="00ED0820" w:rsidP="00BB5D0E">
            <w:pPr>
              <w:spacing w:after="0" w:line="240" w:lineRule="auto"/>
              <w:jc w:val="center"/>
              <w:rPr>
                <w:rFonts w:ascii="Arial Narrow" w:hAnsi="Arial Narrow"/>
                <w:sz w:val="18"/>
              </w:rPr>
            </w:pPr>
          </w:p>
        </w:tc>
        <w:tc>
          <w:tcPr>
            <w:tcW w:w="685" w:type="dxa"/>
            <w:shd w:val="clear" w:color="auto" w:fill="FBD4B4"/>
          </w:tcPr>
          <w:p w:rsidR="00ED0820" w:rsidRPr="00EB0F2A" w:rsidRDefault="00ED0820" w:rsidP="00BB5D0E">
            <w:pPr>
              <w:spacing w:after="0" w:line="240" w:lineRule="auto"/>
              <w:jc w:val="center"/>
              <w:rPr>
                <w:rFonts w:ascii="Arial Narrow" w:hAnsi="Arial Narrow"/>
                <w:sz w:val="18"/>
              </w:rPr>
            </w:pPr>
          </w:p>
        </w:tc>
        <w:tc>
          <w:tcPr>
            <w:tcW w:w="686" w:type="dxa"/>
            <w:shd w:val="clear" w:color="auto" w:fill="FBD4B4"/>
          </w:tcPr>
          <w:p w:rsidR="00ED0820" w:rsidRPr="00EB0F2A" w:rsidRDefault="00ED0820" w:rsidP="00BB5D0E">
            <w:pPr>
              <w:spacing w:after="0" w:line="240" w:lineRule="auto"/>
              <w:jc w:val="center"/>
              <w:rPr>
                <w:rFonts w:ascii="Arial Narrow" w:hAnsi="Arial Narrow"/>
                <w:sz w:val="18"/>
              </w:rPr>
            </w:pPr>
          </w:p>
        </w:tc>
        <w:tc>
          <w:tcPr>
            <w:tcW w:w="686" w:type="dxa"/>
            <w:shd w:val="clear" w:color="auto" w:fill="FBD4B4"/>
          </w:tcPr>
          <w:p w:rsidR="00ED0820" w:rsidRPr="00EB0F2A" w:rsidRDefault="00ED0820" w:rsidP="00BB5D0E">
            <w:pPr>
              <w:spacing w:after="0" w:line="240" w:lineRule="auto"/>
              <w:jc w:val="center"/>
              <w:rPr>
                <w:rFonts w:ascii="Arial Narrow" w:hAnsi="Arial Narrow"/>
                <w:sz w:val="18"/>
              </w:rPr>
            </w:pPr>
          </w:p>
        </w:tc>
        <w:tc>
          <w:tcPr>
            <w:tcW w:w="686" w:type="dxa"/>
            <w:shd w:val="clear" w:color="auto" w:fill="FBD4B4"/>
          </w:tcPr>
          <w:p w:rsidR="00ED0820" w:rsidRPr="00EB0F2A" w:rsidRDefault="00ED0820" w:rsidP="00BB5D0E">
            <w:pPr>
              <w:spacing w:after="0" w:line="240" w:lineRule="auto"/>
              <w:jc w:val="center"/>
              <w:rPr>
                <w:rFonts w:ascii="Arial Narrow" w:hAnsi="Arial Narrow"/>
                <w:sz w:val="18"/>
              </w:rPr>
            </w:pPr>
          </w:p>
        </w:tc>
        <w:tc>
          <w:tcPr>
            <w:tcW w:w="686" w:type="dxa"/>
            <w:shd w:val="clear" w:color="auto" w:fill="FBD4B4"/>
          </w:tcPr>
          <w:p w:rsidR="00ED0820" w:rsidRPr="00EB0F2A" w:rsidRDefault="00ED0820" w:rsidP="00BB5D0E">
            <w:pPr>
              <w:spacing w:after="0" w:line="240" w:lineRule="auto"/>
              <w:jc w:val="center"/>
              <w:rPr>
                <w:rFonts w:ascii="Arial Narrow" w:hAnsi="Arial Narrow"/>
                <w:sz w:val="18"/>
              </w:rPr>
            </w:pPr>
          </w:p>
        </w:tc>
        <w:tc>
          <w:tcPr>
            <w:tcW w:w="686" w:type="dxa"/>
            <w:shd w:val="clear" w:color="auto" w:fill="FBD4B4"/>
          </w:tcPr>
          <w:p w:rsidR="00ED0820" w:rsidRPr="00EB0F2A" w:rsidRDefault="00ED0820" w:rsidP="00BB5D0E">
            <w:pPr>
              <w:spacing w:after="0" w:line="240" w:lineRule="auto"/>
              <w:jc w:val="center"/>
              <w:rPr>
                <w:rFonts w:ascii="Arial Narrow" w:hAnsi="Arial Narrow"/>
                <w:sz w:val="18"/>
              </w:rPr>
            </w:pPr>
          </w:p>
        </w:tc>
      </w:tr>
      <w:tr w:rsidR="00ED0820" w:rsidRPr="00EB0F2A" w:rsidTr="005F456C">
        <w:trPr>
          <w:trHeight w:val="390"/>
        </w:trPr>
        <w:tc>
          <w:tcPr>
            <w:tcW w:w="1607" w:type="dxa"/>
          </w:tcPr>
          <w:p w:rsidR="00ED0820" w:rsidRPr="00EB0F2A" w:rsidDel="00197CBD" w:rsidRDefault="00ED0820" w:rsidP="00DB28A8">
            <w:pPr>
              <w:pStyle w:val="ListParagraph"/>
              <w:numPr>
                <w:ilvl w:val="2"/>
                <w:numId w:val="5"/>
              </w:numPr>
              <w:spacing w:after="0" w:line="240" w:lineRule="auto"/>
              <w:ind w:left="360" w:hanging="218"/>
              <w:jc w:val="left"/>
              <w:rPr>
                <w:rFonts w:ascii="Arial Narrow" w:hAnsi="Arial Narrow"/>
                <w:sz w:val="18"/>
              </w:rPr>
            </w:pPr>
            <w:r>
              <w:rPr>
                <w:rFonts w:ascii="Arial Narrow" w:hAnsi="Arial Narrow"/>
                <w:sz w:val="18"/>
              </w:rPr>
              <w:t>Analysis and reporting of result</w:t>
            </w:r>
          </w:p>
        </w:tc>
        <w:tc>
          <w:tcPr>
            <w:tcW w:w="837" w:type="dxa"/>
            <w:shd w:val="clear" w:color="auto" w:fill="E5B8B7"/>
          </w:tcPr>
          <w:p w:rsidR="00ED0820" w:rsidRPr="00EB0F2A" w:rsidRDefault="00ED0820" w:rsidP="00BB5D0E">
            <w:pPr>
              <w:spacing w:after="0" w:line="240" w:lineRule="auto"/>
              <w:jc w:val="center"/>
              <w:rPr>
                <w:rFonts w:ascii="Arial Narrow" w:hAnsi="Arial Narrow"/>
                <w:sz w:val="18"/>
              </w:rPr>
            </w:pPr>
            <w:r>
              <w:rPr>
                <w:rFonts w:ascii="Arial Narrow" w:hAnsi="Arial Narrow"/>
                <w:sz w:val="18"/>
              </w:rPr>
              <w:t>Specialist pathologist</w:t>
            </w:r>
          </w:p>
        </w:tc>
        <w:tc>
          <w:tcPr>
            <w:tcW w:w="837" w:type="dxa"/>
            <w:shd w:val="clear" w:color="auto" w:fill="E5B8B7"/>
          </w:tcPr>
          <w:p w:rsidR="00ED0820" w:rsidRPr="00EB0F2A" w:rsidRDefault="00ED0820" w:rsidP="00BB5D0E">
            <w:pPr>
              <w:spacing w:after="0" w:line="240" w:lineRule="auto"/>
              <w:jc w:val="center"/>
              <w:rPr>
                <w:rFonts w:ascii="Arial Narrow" w:hAnsi="Arial Narrow"/>
                <w:sz w:val="18"/>
              </w:rPr>
            </w:pPr>
          </w:p>
        </w:tc>
        <w:tc>
          <w:tcPr>
            <w:tcW w:w="837" w:type="dxa"/>
            <w:shd w:val="clear" w:color="auto" w:fill="D6E3BC"/>
          </w:tcPr>
          <w:p w:rsidR="00ED0820" w:rsidRPr="00EB0F2A" w:rsidRDefault="00ED0820" w:rsidP="00BB5D0E">
            <w:pPr>
              <w:spacing w:after="0" w:line="240" w:lineRule="auto"/>
              <w:jc w:val="center"/>
              <w:rPr>
                <w:rFonts w:ascii="Arial Narrow" w:hAnsi="Arial Narrow"/>
                <w:sz w:val="18"/>
              </w:rPr>
            </w:pPr>
          </w:p>
        </w:tc>
        <w:tc>
          <w:tcPr>
            <w:tcW w:w="835" w:type="dxa"/>
            <w:shd w:val="clear" w:color="auto" w:fill="D6E3BC"/>
          </w:tcPr>
          <w:p w:rsidR="00ED0820" w:rsidRPr="00EB0F2A" w:rsidRDefault="00ED0820" w:rsidP="00BB5D0E">
            <w:pPr>
              <w:spacing w:after="0" w:line="240" w:lineRule="auto"/>
              <w:jc w:val="center"/>
              <w:rPr>
                <w:rFonts w:ascii="Arial Narrow" w:hAnsi="Arial Narrow"/>
                <w:sz w:val="18"/>
              </w:rPr>
            </w:pPr>
          </w:p>
        </w:tc>
        <w:tc>
          <w:tcPr>
            <w:tcW w:w="685" w:type="dxa"/>
            <w:shd w:val="clear" w:color="auto" w:fill="FBD4B4"/>
          </w:tcPr>
          <w:p w:rsidR="00ED0820" w:rsidRPr="00EB0F2A" w:rsidRDefault="00ED0820" w:rsidP="00BB5D0E">
            <w:pPr>
              <w:spacing w:after="0" w:line="240" w:lineRule="auto"/>
              <w:jc w:val="center"/>
              <w:rPr>
                <w:rFonts w:ascii="Arial Narrow" w:hAnsi="Arial Narrow"/>
                <w:sz w:val="18"/>
              </w:rPr>
            </w:pPr>
          </w:p>
        </w:tc>
        <w:tc>
          <w:tcPr>
            <w:tcW w:w="686" w:type="dxa"/>
            <w:shd w:val="clear" w:color="auto" w:fill="FBD4B4"/>
          </w:tcPr>
          <w:p w:rsidR="00ED0820" w:rsidRPr="00EB0F2A" w:rsidRDefault="00ED0820" w:rsidP="00BB5D0E">
            <w:pPr>
              <w:spacing w:after="0" w:line="240" w:lineRule="auto"/>
              <w:jc w:val="center"/>
              <w:rPr>
                <w:rFonts w:ascii="Arial Narrow" w:hAnsi="Arial Narrow"/>
                <w:sz w:val="18"/>
              </w:rPr>
            </w:pPr>
          </w:p>
        </w:tc>
        <w:tc>
          <w:tcPr>
            <w:tcW w:w="686" w:type="dxa"/>
            <w:shd w:val="clear" w:color="auto" w:fill="FBD4B4"/>
          </w:tcPr>
          <w:p w:rsidR="00ED0820" w:rsidRPr="00EB0F2A" w:rsidRDefault="00ED0820" w:rsidP="00BB5D0E">
            <w:pPr>
              <w:spacing w:after="0" w:line="240" w:lineRule="auto"/>
              <w:jc w:val="center"/>
              <w:rPr>
                <w:rFonts w:ascii="Arial Narrow" w:hAnsi="Arial Narrow"/>
                <w:sz w:val="18"/>
              </w:rPr>
            </w:pPr>
          </w:p>
        </w:tc>
        <w:tc>
          <w:tcPr>
            <w:tcW w:w="686" w:type="dxa"/>
            <w:shd w:val="clear" w:color="auto" w:fill="FBD4B4"/>
          </w:tcPr>
          <w:p w:rsidR="00ED0820" w:rsidRPr="00EB0F2A" w:rsidRDefault="00ED0820" w:rsidP="00BB5D0E">
            <w:pPr>
              <w:spacing w:after="0" w:line="240" w:lineRule="auto"/>
              <w:jc w:val="center"/>
              <w:rPr>
                <w:rFonts w:ascii="Arial Narrow" w:hAnsi="Arial Narrow"/>
                <w:sz w:val="18"/>
              </w:rPr>
            </w:pPr>
          </w:p>
        </w:tc>
        <w:tc>
          <w:tcPr>
            <w:tcW w:w="686" w:type="dxa"/>
            <w:shd w:val="clear" w:color="auto" w:fill="FBD4B4"/>
          </w:tcPr>
          <w:p w:rsidR="00ED0820" w:rsidRPr="00EB0F2A" w:rsidRDefault="00ED0820" w:rsidP="00BB5D0E">
            <w:pPr>
              <w:spacing w:after="0" w:line="240" w:lineRule="auto"/>
              <w:jc w:val="center"/>
              <w:rPr>
                <w:rFonts w:ascii="Arial Narrow" w:hAnsi="Arial Narrow"/>
                <w:sz w:val="18"/>
              </w:rPr>
            </w:pPr>
          </w:p>
        </w:tc>
        <w:tc>
          <w:tcPr>
            <w:tcW w:w="686" w:type="dxa"/>
            <w:shd w:val="clear" w:color="auto" w:fill="FBD4B4"/>
          </w:tcPr>
          <w:p w:rsidR="00ED0820" w:rsidRPr="00EB0F2A" w:rsidRDefault="00ED0820" w:rsidP="00BB5D0E">
            <w:pPr>
              <w:spacing w:after="0" w:line="240" w:lineRule="auto"/>
              <w:jc w:val="center"/>
              <w:rPr>
                <w:rFonts w:ascii="Arial Narrow" w:hAnsi="Arial Narrow"/>
                <w:sz w:val="18"/>
              </w:rPr>
            </w:pPr>
          </w:p>
        </w:tc>
      </w:tr>
      <w:tr w:rsidR="00ED0820" w:rsidRPr="00EB0F2A" w:rsidTr="005F456C">
        <w:trPr>
          <w:trHeight w:val="195"/>
        </w:trPr>
        <w:tc>
          <w:tcPr>
            <w:tcW w:w="9067" w:type="dxa"/>
            <w:gridSpan w:val="11"/>
            <w:vAlign w:val="center"/>
          </w:tcPr>
          <w:p w:rsidR="00ED0820" w:rsidRPr="00F56F90" w:rsidRDefault="00ED0820" w:rsidP="00BB5D0E">
            <w:pPr>
              <w:spacing w:after="0" w:line="240" w:lineRule="auto"/>
              <w:jc w:val="left"/>
              <w:rPr>
                <w:rFonts w:ascii="Arial Narrow" w:hAnsi="Arial Narrow"/>
                <w:b/>
                <w:sz w:val="18"/>
                <w:u w:val="single"/>
              </w:rPr>
            </w:pPr>
            <w:r w:rsidRPr="00F56F90">
              <w:rPr>
                <w:rFonts w:ascii="Arial Narrow" w:hAnsi="Arial Narrow"/>
                <w:b/>
                <w:sz w:val="18"/>
                <w:u w:val="single"/>
              </w:rPr>
              <w:t>If TTR positive, patient is eligible for treatment with tafamidis</w:t>
            </w:r>
          </w:p>
        </w:tc>
      </w:tr>
      <w:tr w:rsidR="00ED0820" w:rsidRPr="00EB0F2A" w:rsidTr="005F456C">
        <w:trPr>
          <w:trHeight w:val="390"/>
        </w:trPr>
        <w:tc>
          <w:tcPr>
            <w:tcW w:w="1607" w:type="dxa"/>
          </w:tcPr>
          <w:p w:rsidR="00ED0820" w:rsidRPr="00EB0F2A" w:rsidRDefault="00ED0820" w:rsidP="00DB28A8">
            <w:pPr>
              <w:pStyle w:val="ListParagraph"/>
              <w:numPr>
                <w:ilvl w:val="2"/>
                <w:numId w:val="5"/>
              </w:numPr>
              <w:spacing w:after="0" w:line="240" w:lineRule="auto"/>
              <w:ind w:left="360" w:hanging="218"/>
              <w:jc w:val="left"/>
              <w:rPr>
                <w:rFonts w:ascii="Arial Narrow" w:hAnsi="Arial Narrow"/>
                <w:sz w:val="18"/>
              </w:rPr>
            </w:pPr>
            <w:r>
              <w:rPr>
                <w:rFonts w:ascii="Arial Narrow" w:hAnsi="Arial Narrow"/>
                <w:sz w:val="18"/>
              </w:rPr>
              <w:t>Specialist consultation</w:t>
            </w:r>
          </w:p>
        </w:tc>
        <w:tc>
          <w:tcPr>
            <w:tcW w:w="837" w:type="dxa"/>
            <w:shd w:val="clear" w:color="auto" w:fill="E5B8B7"/>
          </w:tcPr>
          <w:p w:rsidR="00ED0820" w:rsidRPr="00EB0F2A" w:rsidRDefault="00ED0820" w:rsidP="00BB5D0E">
            <w:pPr>
              <w:spacing w:after="0" w:line="240" w:lineRule="auto"/>
              <w:jc w:val="center"/>
              <w:rPr>
                <w:rFonts w:ascii="Arial Narrow" w:hAnsi="Arial Narrow"/>
                <w:sz w:val="18"/>
              </w:rPr>
            </w:pPr>
            <w:r>
              <w:rPr>
                <w:rFonts w:ascii="Arial Narrow" w:hAnsi="Arial Narrow"/>
                <w:sz w:val="18"/>
              </w:rPr>
              <w:t>Specialist physician</w:t>
            </w:r>
          </w:p>
        </w:tc>
        <w:tc>
          <w:tcPr>
            <w:tcW w:w="837" w:type="dxa"/>
            <w:shd w:val="clear" w:color="auto" w:fill="E5B8B7"/>
          </w:tcPr>
          <w:p w:rsidR="00ED0820" w:rsidRPr="00EB0F2A" w:rsidRDefault="00ED0820" w:rsidP="00BB5D0E">
            <w:pPr>
              <w:spacing w:after="0" w:line="240" w:lineRule="auto"/>
              <w:jc w:val="center"/>
              <w:rPr>
                <w:rFonts w:ascii="Arial Narrow" w:hAnsi="Arial Narrow"/>
                <w:sz w:val="18"/>
              </w:rPr>
            </w:pPr>
            <w:r>
              <w:rPr>
                <w:rFonts w:ascii="Arial Narrow" w:hAnsi="Arial Narrow"/>
                <w:sz w:val="18"/>
              </w:rPr>
              <w:t>Outpatient</w:t>
            </w:r>
          </w:p>
        </w:tc>
        <w:tc>
          <w:tcPr>
            <w:tcW w:w="837" w:type="dxa"/>
            <w:shd w:val="clear" w:color="auto" w:fill="D6E3BC"/>
          </w:tcPr>
          <w:p w:rsidR="00ED0820" w:rsidRPr="00EB0F2A" w:rsidRDefault="00ED0820" w:rsidP="00BB5D0E">
            <w:pPr>
              <w:spacing w:after="0" w:line="240" w:lineRule="auto"/>
              <w:jc w:val="center"/>
              <w:rPr>
                <w:rFonts w:ascii="Arial Narrow" w:hAnsi="Arial Narrow"/>
                <w:sz w:val="18"/>
              </w:rPr>
            </w:pPr>
          </w:p>
        </w:tc>
        <w:tc>
          <w:tcPr>
            <w:tcW w:w="835" w:type="dxa"/>
            <w:shd w:val="clear" w:color="auto" w:fill="D6E3BC"/>
          </w:tcPr>
          <w:p w:rsidR="00ED0820" w:rsidRPr="00EB0F2A" w:rsidRDefault="00ED0820" w:rsidP="00BB5D0E">
            <w:pPr>
              <w:spacing w:after="0" w:line="240" w:lineRule="auto"/>
              <w:jc w:val="center"/>
              <w:rPr>
                <w:rFonts w:ascii="Arial Narrow" w:hAnsi="Arial Narrow"/>
                <w:sz w:val="18"/>
              </w:rPr>
            </w:pPr>
          </w:p>
        </w:tc>
        <w:tc>
          <w:tcPr>
            <w:tcW w:w="685" w:type="dxa"/>
            <w:shd w:val="clear" w:color="auto" w:fill="FBD4B4"/>
          </w:tcPr>
          <w:p w:rsidR="00ED0820" w:rsidRPr="00EB0F2A" w:rsidRDefault="00ED0820" w:rsidP="00BB5D0E">
            <w:pPr>
              <w:spacing w:after="0" w:line="240" w:lineRule="auto"/>
              <w:jc w:val="center"/>
              <w:rPr>
                <w:rFonts w:ascii="Arial Narrow" w:hAnsi="Arial Narrow"/>
                <w:sz w:val="18"/>
              </w:rPr>
            </w:pPr>
          </w:p>
        </w:tc>
        <w:tc>
          <w:tcPr>
            <w:tcW w:w="686" w:type="dxa"/>
            <w:shd w:val="clear" w:color="auto" w:fill="FBD4B4"/>
          </w:tcPr>
          <w:p w:rsidR="00ED0820" w:rsidRPr="00EB0F2A" w:rsidRDefault="00ED0820" w:rsidP="00BB5D0E">
            <w:pPr>
              <w:spacing w:after="0" w:line="240" w:lineRule="auto"/>
              <w:jc w:val="center"/>
              <w:rPr>
                <w:rFonts w:ascii="Arial Narrow" w:hAnsi="Arial Narrow"/>
                <w:sz w:val="18"/>
              </w:rPr>
            </w:pPr>
          </w:p>
        </w:tc>
        <w:tc>
          <w:tcPr>
            <w:tcW w:w="686" w:type="dxa"/>
            <w:shd w:val="clear" w:color="auto" w:fill="FBD4B4"/>
          </w:tcPr>
          <w:p w:rsidR="00ED0820" w:rsidRPr="00EB0F2A" w:rsidRDefault="00ED0820" w:rsidP="00BB5D0E">
            <w:pPr>
              <w:spacing w:after="0" w:line="240" w:lineRule="auto"/>
              <w:jc w:val="center"/>
              <w:rPr>
                <w:rFonts w:ascii="Arial Narrow" w:hAnsi="Arial Narrow"/>
                <w:sz w:val="18"/>
              </w:rPr>
            </w:pPr>
          </w:p>
        </w:tc>
        <w:tc>
          <w:tcPr>
            <w:tcW w:w="686" w:type="dxa"/>
            <w:shd w:val="clear" w:color="auto" w:fill="FBD4B4"/>
          </w:tcPr>
          <w:p w:rsidR="00ED0820" w:rsidRPr="00EB0F2A" w:rsidRDefault="00ED0820" w:rsidP="00BB5D0E">
            <w:pPr>
              <w:spacing w:after="0" w:line="240" w:lineRule="auto"/>
              <w:jc w:val="center"/>
              <w:rPr>
                <w:rFonts w:ascii="Arial Narrow" w:hAnsi="Arial Narrow"/>
                <w:sz w:val="18"/>
              </w:rPr>
            </w:pPr>
          </w:p>
        </w:tc>
        <w:tc>
          <w:tcPr>
            <w:tcW w:w="686" w:type="dxa"/>
            <w:shd w:val="clear" w:color="auto" w:fill="FBD4B4"/>
          </w:tcPr>
          <w:p w:rsidR="00ED0820" w:rsidRPr="00EB0F2A" w:rsidRDefault="00ED0820" w:rsidP="00BB5D0E">
            <w:pPr>
              <w:spacing w:after="0" w:line="240" w:lineRule="auto"/>
              <w:jc w:val="center"/>
              <w:rPr>
                <w:rFonts w:ascii="Arial Narrow" w:hAnsi="Arial Narrow"/>
                <w:sz w:val="18"/>
              </w:rPr>
            </w:pPr>
          </w:p>
        </w:tc>
        <w:tc>
          <w:tcPr>
            <w:tcW w:w="686" w:type="dxa"/>
            <w:shd w:val="clear" w:color="auto" w:fill="FBD4B4"/>
          </w:tcPr>
          <w:p w:rsidR="00ED0820" w:rsidRPr="00EB0F2A" w:rsidRDefault="00ED0820" w:rsidP="00BB5D0E">
            <w:pPr>
              <w:spacing w:after="0" w:line="240" w:lineRule="auto"/>
              <w:jc w:val="center"/>
              <w:rPr>
                <w:rFonts w:ascii="Arial Narrow" w:hAnsi="Arial Narrow"/>
                <w:sz w:val="18"/>
              </w:rPr>
            </w:pPr>
          </w:p>
        </w:tc>
      </w:tr>
      <w:tr w:rsidR="00ED0820" w:rsidRPr="00EB0F2A" w:rsidTr="005F456C">
        <w:trPr>
          <w:trHeight w:val="182"/>
        </w:trPr>
        <w:tc>
          <w:tcPr>
            <w:tcW w:w="1607" w:type="dxa"/>
          </w:tcPr>
          <w:p w:rsidR="00ED0820" w:rsidRPr="00EB0F2A" w:rsidRDefault="00ED0820" w:rsidP="00DB28A8">
            <w:pPr>
              <w:pStyle w:val="ListParagraph"/>
              <w:numPr>
                <w:ilvl w:val="2"/>
                <w:numId w:val="5"/>
              </w:numPr>
              <w:spacing w:after="0" w:line="240" w:lineRule="auto"/>
              <w:ind w:left="360" w:hanging="218"/>
              <w:jc w:val="left"/>
              <w:rPr>
                <w:rFonts w:ascii="Arial Narrow" w:hAnsi="Arial Narrow"/>
                <w:sz w:val="18"/>
              </w:rPr>
            </w:pPr>
            <w:r>
              <w:rPr>
                <w:rFonts w:ascii="Arial Narrow" w:hAnsi="Arial Narrow"/>
                <w:sz w:val="18"/>
              </w:rPr>
              <w:t>Cost of tafamidis</w:t>
            </w:r>
          </w:p>
        </w:tc>
        <w:tc>
          <w:tcPr>
            <w:tcW w:w="837" w:type="dxa"/>
            <w:shd w:val="clear" w:color="auto" w:fill="E5B8B7"/>
          </w:tcPr>
          <w:p w:rsidR="00ED0820" w:rsidRPr="00EB0F2A" w:rsidRDefault="00ED0820" w:rsidP="00BB5D0E">
            <w:pPr>
              <w:spacing w:after="0" w:line="240" w:lineRule="auto"/>
              <w:jc w:val="center"/>
              <w:rPr>
                <w:rFonts w:ascii="Arial Narrow" w:hAnsi="Arial Narrow"/>
                <w:sz w:val="18"/>
              </w:rPr>
            </w:pPr>
          </w:p>
        </w:tc>
        <w:tc>
          <w:tcPr>
            <w:tcW w:w="837" w:type="dxa"/>
            <w:shd w:val="clear" w:color="auto" w:fill="E5B8B7"/>
          </w:tcPr>
          <w:p w:rsidR="00ED0820" w:rsidRPr="00EB0F2A" w:rsidRDefault="00ED0820" w:rsidP="00BB5D0E">
            <w:pPr>
              <w:spacing w:after="0" w:line="240" w:lineRule="auto"/>
              <w:jc w:val="center"/>
              <w:rPr>
                <w:rFonts w:ascii="Arial Narrow" w:hAnsi="Arial Narrow"/>
                <w:sz w:val="18"/>
              </w:rPr>
            </w:pPr>
          </w:p>
        </w:tc>
        <w:tc>
          <w:tcPr>
            <w:tcW w:w="837" w:type="dxa"/>
            <w:shd w:val="clear" w:color="auto" w:fill="D6E3BC"/>
          </w:tcPr>
          <w:p w:rsidR="00ED0820" w:rsidRPr="00EB0F2A" w:rsidRDefault="00ED0820" w:rsidP="00BB5D0E">
            <w:pPr>
              <w:spacing w:after="0" w:line="240" w:lineRule="auto"/>
              <w:jc w:val="center"/>
              <w:rPr>
                <w:rFonts w:ascii="Arial Narrow" w:hAnsi="Arial Narrow"/>
                <w:sz w:val="18"/>
              </w:rPr>
            </w:pPr>
          </w:p>
        </w:tc>
        <w:tc>
          <w:tcPr>
            <w:tcW w:w="835" w:type="dxa"/>
            <w:shd w:val="clear" w:color="auto" w:fill="D6E3BC"/>
          </w:tcPr>
          <w:p w:rsidR="00ED0820" w:rsidRPr="00EB0F2A" w:rsidRDefault="00ED0820" w:rsidP="00BB5D0E">
            <w:pPr>
              <w:spacing w:after="0" w:line="240" w:lineRule="auto"/>
              <w:jc w:val="center"/>
              <w:rPr>
                <w:rFonts w:ascii="Arial Narrow" w:hAnsi="Arial Narrow"/>
                <w:sz w:val="18"/>
              </w:rPr>
            </w:pPr>
          </w:p>
        </w:tc>
        <w:tc>
          <w:tcPr>
            <w:tcW w:w="685" w:type="dxa"/>
            <w:shd w:val="clear" w:color="auto" w:fill="FBD4B4"/>
          </w:tcPr>
          <w:p w:rsidR="00ED0820" w:rsidRPr="00EB0F2A" w:rsidRDefault="00ED0820" w:rsidP="00BB5D0E">
            <w:pPr>
              <w:spacing w:after="0" w:line="240" w:lineRule="auto"/>
              <w:jc w:val="center"/>
              <w:rPr>
                <w:rFonts w:ascii="Arial Narrow" w:hAnsi="Arial Narrow"/>
                <w:sz w:val="18"/>
              </w:rPr>
            </w:pPr>
          </w:p>
        </w:tc>
        <w:tc>
          <w:tcPr>
            <w:tcW w:w="686" w:type="dxa"/>
            <w:shd w:val="clear" w:color="auto" w:fill="FBD4B4"/>
          </w:tcPr>
          <w:p w:rsidR="00ED0820" w:rsidRPr="00EB0F2A" w:rsidRDefault="00ED0820" w:rsidP="00BB5D0E">
            <w:pPr>
              <w:spacing w:after="0" w:line="240" w:lineRule="auto"/>
              <w:jc w:val="center"/>
              <w:rPr>
                <w:rFonts w:ascii="Arial Narrow" w:hAnsi="Arial Narrow"/>
                <w:sz w:val="18"/>
              </w:rPr>
            </w:pPr>
          </w:p>
        </w:tc>
        <w:tc>
          <w:tcPr>
            <w:tcW w:w="686" w:type="dxa"/>
            <w:shd w:val="clear" w:color="auto" w:fill="FBD4B4"/>
          </w:tcPr>
          <w:p w:rsidR="00ED0820" w:rsidRPr="00EB0F2A" w:rsidRDefault="00ED0820" w:rsidP="00BB5D0E">
            <w:pPr>
              <w:spacing w:after="0" w:line="240" w:lineRule="auto"/>
              <w:jc w:val="center"/>
              <w:rPr>
                <w:rFonts w:ascii="Arial Narrow" w:hAnsi="Arial Narrow"/>
                <w:sz w:val="18"/>
              </w:rPr>
            </w:pPr>
          </w:p>
        </w:tc>
        <w:tc>
          <w:tcPr>
            <w:tcW w:w="686" w:type="dxa"/>
            <w:shd w:val="clear" w:color="auto" w:fill="FBD4B4"/>
          </w:tcPr>
          <w:p w:rsidR="00ED0820" w:rsidRPr="00EB0F2A" w:rsidRDefault="00ED0820" w:rsidP="00BB5D0E">
            <w:pPr>
              <w:spacing w:after="0" w:line="240" w:lineRule="auto"/>
              <w:jc w:val="center"/>
              <w:rPr>
                <w:rFonts w:ascii="Arial Narrow" w:hAnsi="Arial Narrow"/>
                <w:sz w:val="18"/>
              </w:rPr>
            </w:pPr>
          </w:p>
        </w:tc>
        <w:tc>
          <w:tcPr>
            <w:tcW w:w="686" w:type="dxa"/>
            <w:shd w:val="clear" w:color="auto" w:fill="FBD4B4"/>
          </w:tcPr>
          <w:p w:rsidR="00ED0820" w:rsidRPr="00EB0F2A" w:rsidRDefault="00ED0820" w:rsidP="00BB5D0E">
            <w:pPr>
              <w:spacing w:after="0" w:line="240" w:lineRule="auto"/>
              <w:jc w:val="center"/>
              <w:rPr>
                <w:rFonts w:ascii="Arial Narrow" w:hAnsi="Arial Narrow"/>
                <w:sz w:val="18"/>
              </w:rPr>
            </w:pPr>
          </w:p>
        </w:tc>
        <w:tc>
          <w:tcPr>
            <w:tcW w:w="686" w:type="dxa"/>
            <w:shd w:val="clear" w:color="auto" w:fill="FBD4B4"/>
          </w:tcPr>
          <w:p w:rsidR="00ED0820" w:rsidRPr="00EB0F2A" w:rsidRDefault="00ED0820" w:rsidP="00BB5D0E">
            <w:pPr>
              <w:spacing w:after="0" w:line="240" w:lineRule="auto"/>
              <w:jc w:val="center"/>
              <w:rPr>
                <w:rFonts w:ascii="Arial Narrow" w:hAnsi="Arial Narrow"/>
                <w:sz w:val="18"/>
              </w:rPr>
            </w:pPr>
          </w:p>
        </w:tc>
      </w:tr>
      <w:tr w:rsidR="00ED0820" w:rsidRPr="00EB0F2A" w:rsidTr="005F456C">
        <w:trPr>
          <w:trHeight w:val="195"/>
        </w:trPr>
        <w:tc>
          <w:tcPr>
            <w:tcW w:w="9067" w:type="dxa"/>
            <w:gridSpan w:val="11"/>
            <w:vAlign w:val="center"/>
          </w:tcPr>
          <w:p w:rsidR="00ED0820" w:rsidRPr="00B35731" w:rsidRDefault="00ED0820" w:rsidP="00BB5D0E">
            <w:pPr>
              <w:spacing w:after="0" w:line="240" w:lineRule="auto"/>
              <w:jc w:val="left"/>
              <w:rPr>
                <w:rFonts w:ascii="Arial Narrow" w:hAnsi="Arial Narrow"/>
                <w:b/>
                <w:sz w:val="18"/>
                <w:u w:val="single"/>
              </w:rPr>
            </w:pPr>
            <w:r>
              <w:rPr>
                <w:rFonts w:ascii="Arial Narrow" w:hAnsi="Arial Narrow"/>
                <w:sz w:val="18"/>
                <w:u w:val="single"/>
              </w:rPr>
              <w:t xml:space="preserve"> </w:t>
            </w:r>
            <w:r w:rsidRPr="00B35731">
              <w:rPr>
                <w:rFonts w:ascii="Arial Narrow" w:hAnsi="Arial Narrow"/>
                <w:b/>
                <w:sz w:val="18"/>
                <w:u w:val="single"/>
              </w:rPr>
              <w:t xml:space="preserve">Resources provided in association with the proposed intervention – TTR genetic testing and treatment </w:t>
            </w:r>
            <w:r>
              <w:rPr>
                <w:rFonts w:ascii="Arial Narrow" w:hAnsi="Arial Narrow"/>
                <w:b/>
                <w:sz w:val="18"/>
                <w:u w:val="single"/>
              </w:rPr>
              <w:t>wi</w:t>
            </w:r>
            <w:r w:rsidRPr="00B35731">
              <w:rPr>
                <w:rFonts w:ascii="Arial Narrow" w:hAnsi="Arial Narrow"/>
                <w:b/>
                <w:sz w:val="18"/>
                <w:u w:val="single"/>
              </w:rPr>
              <w:t>th tafamidis</w:t>
            </w:r>
          </w:p>
        </w:tc>
      </w:tr>
      <w:tr w:rsidR="00ED0820" w:rsidRPr="00EB0F2A" w:rsidTr="005F456C">
        <w:trPr>
          <w:trHeight w:val="390"/>
        </w:trPr>
        <w:tc>
          <w:tcPr>
            <w:tcW w:w="1607" w:type="dxa"/>
          </w:tcPr>
          <w:p w:rsidR="00ED0820" w:rsidRPr="00EB0F2A" w:rsidRDefault="00ED0820" w:rsidP="00DB28A8">
            <w:pPr>
              <w:pStyle w:val="ListParagraph"/>
              <w:numPr>
                <w:ilvl w:val="2"/>
                <w:numId w:val="5"/>
              </w:numPr>
              <w:spacing w:after="0" w:line="240" w:lineRule="auto"/>
              <w:ind w:left="360" w:hanging="218"/>
              <w:jc w:val="left"/>
              <w:rPr>
                <w:rFonts w:ascii="Arial Narrow" w:hAnsi="Arial Narrow"/>
                <w:sz w:val="18"/>
              </w:rPr>
            </w:pPr>
            <w:r>
              <w:rPr>
                <w:rFonts w:ascii="Arial Narrow" w:hAnsi="Arial Narrow"/>
                <w:sz w:val="18"/>
              </w:rPr>
              <w:t>Specialist consultation</w:t>
            </w:r>
          </w:p>
        </w:tc>
        <w:tc>
          <w:tcPr>
            <w:tcW w:w="837" w:type="dxa"/>
            <w:shd w:val="clear" w:color="auto" w:fill="E5B8B7"/>
          </w:tcPr>
          <w:p w:rsidR="00ED0820" w:rsidRPr="00EB0F2A" w:rsidRDefault="00ED0820" w:rsidP="00BB5D0E">
            <w:pPr>
              <w:spacing w:after="0" w:line="240" w:lineRule="auto"/>
              <w:jc w:val="center"/>
              <w:rPr>
                <w:rFonts w:ascii="Arial Narrow" w:hAnsi="Arial Narrow"/>
                <w:sz w:val="18"/>
              </w:rPr>
            </w:pPr>
            <w:r>
              <w:rPr>
                <w:rFonts w:ascii="Arial Narrow" w:hAnsi="Arial Narrow"/>
                <w:sz w:val="18"/>
              </w:rPr>
              <w:t>Specialist physician</w:t>
            </w:r>
          </w:p>
        </w:tc>
        <w:tc>
          <w:tcPr>
            <w:tcW w:w="837" w:type="dxa"/>
            <w:shd w:val="clear" w:color="auto" w:fill="E5B8B7"/>
          </w:tcPr>
          <w:p w:rsidR="00ED0820" w:rsidRPr="00EB0F2A" w:rsidRDefault="00ED0820" w:rsidP="00BB5D0E">
            <w:pPr>
              <w:spacing w:after="0" w:line="240" w:lineRule="auto"/>
              <w:jc w:val="center"/>
              <w:rPr>
                <w:rFonts w:ascii="Arial Narrow" w:hAnsi="Arial Narrow"/>
                <w:sz w:val="18"/>
              </w:rPr>
            </w:pPr>
            <w:r>
              <w:rPr>
                <w:rFonts w:ascii="Arial Narrow" w:hAnsi="Arial Narrow"/>
                <w:sz w:val="18"/>
              </w:rPr>
              <w:t>Outpatient</w:t>
            </w:r>
          </w:p>
        </w:tc>
        <w:tc>
          <w:tcPr>
            <w:tcW w:w="837" w:type="dxa"/>
            <w:shd w:val="clear" w:color="auto" w:fill="D6E3BC"/>
          </w:tcPr>
          <w:p w:rsidR="00ED0820" w:rsidRPr="00EB0F2A" w:rsidRDefault="00ED0820" w:rsidP="00BB5D0E">
            <w:pPr>
              <w:spacing w:after="0" w:line="240" w:lineRule="auto"/>
              <w:jc w:val="center"/>
              <w:rPr>
                <w:rFonts w:ascii="Arial Narrow" w:hAnsi="Arial Narrow"/>
                <w:sz w:val="18"/>
              </w:rPr>
            </w:pPr>
          </w:p>
        </w:tc>
        <w:tc>
          <w:tcPr>
            <w:tcW w:w="835" w:type="dxa"/>
            <w:shd w:val="clear" w:color="auto" w:fill="D6E3BC"/>
          </w:tcPr>
          <w:p w:rsidR="00ED0820" w:rsidRPr="00EB0F2A" w:rsidRDefault="00ED0820" w:rsidP="00BB5D0E">
            <w:pPr>
              <w:spacing w:after="0" w:line="240" w:lineRule="auto"/>
              <w:jc w:val="center"/>
              <w:rPr>
                <w:rFonts w:ascii="Arial Narrow" w:hAnsi="Arial Narrow"/>
                <w:sz w:val="18"/>
              </w:rPr>
            </w:pPr>
          </w:p>
        </w:tc>
        <w:tc>
          <w:tcPr>
            <w:tcW w:w="685" w:type="dxa"/>
            <w:shd w:val="clear" w:color="auto" w:fill="FBD4B4"/>
          </w:tcPr>
          <w:p w:rsidR="00ED0820" w:rsidRPr="00EB0F2A" w:rsidRDefault="00ED0820" w:rsidP="00BB5D0E">
            <w:pPr>
              <w:spacing w:after="0" w:line="240" w:lineRule="auto"/>
              <w:jc w:val="center"/>
              <w:rPr>
                <w:rFonts w:ascii="Arial Narrow" w:hAnsi="Arial Narrow"/>
                <w:sz w:val="18"/>
              </w:rPr>
            </w:pPr>
          </w:p>
        </w:tc>
        <w:tc>
          <w:tcPr>
            <w:tcW w:w="686" w:type="dxa"/>
            <w:shd w:val="clear" w:color="auto" w:fill="FBD4B4"/>
          </w:tcPr>
          <w:p w:rsidR="00ED0820" w:rsidRPr="00EB0F2A" w:rsidRDefault="00ED0820" w:rsidP="00BB5D0E">
            <w:pPr>
              <w:spacing w:after="0" w:line="240" w:lineRule="auto"/>
              <w:jc w:val="center"/>
              <w:rPr>
                <w:rFonts w:ascii="Arial Narrow" w:hAnsi="Arial Narrow"/>
                <w:sz w:val="18"/>
              </w:rPr>
            </w:pPr>
          </w:p>
        </w:tc>
        <w:tc>
          <w:tcPr>
            <w:tcW w:w="686" w:type="dxa"/>
            <w:shd w:val="clear" w:color="auto" w:fill="FBD4B4"/>
          </w:tcPr>
          <w:p w:rsidR="00ED0820" w:rsidRPr="00EB0F2A" w:rsidRDefault="00ED0820" w:rsidP="00BB5D0E">
            <w:pPr>
              <w:spacing w:after="0" w:line="240" w:lineRule="auto"/>
              <w:jc w:val="center"/>
              <w:rPr>
                <w:rFonts w:ascii="Arial Narrow" w:hAnsi="Arial Narrow"/>
                <w:sz w:val="18"/>
              </w:rPr>
            </w:pPr>
          </w:p>
        </w:tc>
        <w:tc>
          <w:tcPr>
            <w:tcW w:w="686" w:type="dxa"/>
            <w:shd w:val="clear" w:color="auto" w:fill="FBD4B4"/>
          </w:tcPr>
          <w:p w:rsidR="00ED0820" w:rsidRPr="00EB0F2A" w:rsidRDefault="00ED0820" w:rsidP="00BB5D0E">
            <w:pPr>
              <w:spacing w:after="0" w:line="240" w:lineRule="auto"/>
              <w:jc w:val="center"/>
              <w:rPr>
                <w:rFonts w:ascii="Arial Narrow" w:hAnsi="Arial Narrow"/>
                <w:sz w:val="18"/>
              </w:rPr>
            </w:pPr>
          </w:p>
        </w:tc>
        <w:tc>
          <w:tcPr>
            <w:tcW w:w="686" w:type="dxa"/>
            <w:shd w:val="clear" w:color="auto" w:fill="FBD4B4"/>
          </w:tcPr>
          <w:p w:rsidR="00ED0820" w:rsidRPr="00EB0F2A" w:rsidRDefault="00ED0820" w:rsidP="00BB5D0E">
            <w:pPr>
              <w:spacing w:after="0" w:line="240" w:lineRule="auto"/>
              <w:jc w:val="center"/>
              <w:rPr>
                <w:rFonts w:ascii="Arial Narrow" w:hAnsi="Arial Narrow"/>
                <w:sz w:val="18"/>
              </w:rPr>
            </w:pPr>
          </w:p>
        </w:tc>
        <w:tc>
          <w:tcPr>
            <w:tcW w:w="686" w:type="dxa"/>
            <w:shd w:val="clear" w:color="auto" w:fill="FBD4B4"/>
          </w:tcPr>
          <w:p w:rsidR="00ED0820" w:rsidRPr="00EB0F2A" w:rsidRDefault="00ED0820" w:rsidP="00BB5D0E">
            <w:pPr>
              <w:spacing w:after="0" w:line="240" w:lineRule="auto"/>
              <w:jc w:val="center"/>
              <w:rPr>
                <w:rFonts w:ascii="Arial Narrow" w:hAnsi="Arial Narrow"/>
                <w:sz w:val="18"/>
              </w:rPr>
            </w:pPr>
          </w:p>
        </w:tc>
      </w:tr>
      <w:tr w:rsidR="00ED0820" w:rsidRPr="00EB0F2A" w:rsidTr="005F456C">
        <w:trPr>
          <w:trHeight w:val="584"/>
        </w:trPr>
        <w:tc>
          <w:tcPr>
            <w:tcW w:w="1607" w:type="dxa"/>
          </w:tcPr>
          <w:p w:rsidR="00ED0820" w:rsidRPr="00EB0F2A" w:rsidRDefault="00ED0820" w:rsidP="00DB28A8">
            <w:pPr>
              <w:pStyle w:val="ListParagraph"/>
              <w:numPr>
                <w:ilvl w:val="2"/>
                <w:numId w:val="5"/>
              </w:numPr>
              <w:spacing w:after="0" w:line="240" w:lineRule="auto"/>
              <w:ind w:left="360" w:hanging="218"/>
              <w:jc w:val="left"/>
              <w:rPr>
                <w:rFonts w:ascii="Arial Narrow" w:hAnsi="Arial Narrow"/>
                <w:sz w:val="18"/>
              </w:rPr>
            </w:pPr>
            <w:r>
              <w:rPr>
                <w:rFonts w:ascii="Arial Narrow" w:hAnsi="Arial Narrow"/>
                <w:sz w:val="18"/>
              </w:rPr>
              <w:t>Tissue biopsy (and Patient Episode Initiation fee)</w:t>
            </w:r>
          </w:p>
        </w:tc>
        <w:tc>
          <w:tcPr>
            <w:tcW w:w="837" w:type="dxa"/>
            <w:shd w:val="clear" w:color="auto" w:fill="E5B8B7"/>
          </w:tcPr>
          <w:p w:rsidR="00ED0820" w:rsidRPr="00EB0F2A" w:rsidRDefault="00ED0820" w:rsidP="00BB5D0E">
            <w:pPr>
              <w:spacing w:after="0" w:line="240" w:lineRule="auto"/>
              <w:jc w:val="center"/>
              <w:rPr>
                <w:rFonts w:ascii="Arial Narrow" w:hAnsi="Arial Narrow"/>
                <w:sz w:val="18"/>
              </w:rPr>
            </w:pPr>
            <w:r>
              <w:rPr>
                <w:rFonts w:ascii="Arial Narrow" w:hAnsi="Arial Narrow"/>
                <w:sz w:val="18"/>
              </w:rPr>
              <w:t>Specialist pathologist</w:t>
            </w:r>
          </w:p>
        </w:tc>
        <w:tc>
          <w:tcPr>
            <w:tcW w:w="837" w:type="dxa"/>
            <w:shd w:val="clear" w:color="auto" w:fill="E5B8B7"/>
          </w:tcPr>
          <w:p w:rsidR="00ED0820" w:rsidRPr="00EB0F2A" w:rsidRDefault="00ED0820" w:rsidP="00BB5D0E">
            <w:pPr>
              <w:spacing w:after="0" w:line="240" w:lineRule="auto"/>
              <w:jc w:val="center"/>
              <w:rPr>
                <w:rFonts w:ascii="Arial Narrow" w:hAnsi="Arial Narrow"/>
                <w:sz w:val="18"/>
              </w:rPr>
            </w:pPr>
            <w:r>
              <w:rPr>
                <w:rFonts w:ascii="Arial Narrow" w:hAnsi="Arial Narrow"/>
                <w:sz w:val="18"/>
              </w:rPr>
              <w:t>Outpatient</w:t>
            </w:r>
          </w:p>
        </w:tc>
        <w:tc>
          <w:tcPr>
            <w:tcW w:w="837" w:type="dxa"/>
            <w:shd w:val="clear" w:color="auto" w:fill="D6E3BC"/>
          </w:tcPr>
          <w:p w:rsidR="00ED0820" w:rsidRPr="00EB0F2A" w:rsidRDefault="00ED0820" w:rsidP="00BB5D0E">
            <w:pPr>
              <w:spacing w:after="0" w:line="240" w:lineRule="auto"/>
              <w:jc w:val="center"/>
              <w:rPr>
                <w:rFonts w:ascii="Arial Narrow" w:hAnsi="Arial Narrow"/>
                <w:sz w:val="18"/>
              </w:rPr>
            </w:pPr>
          </w:p>
        </w:tc>
        <w:tc>
          <w:tcPr>
            <w:tcW w:w="835" w:type="dxa"/>
            <w:shd w:val="clear" w:color="auto" w:fill="D6E3BC"/>
          </w:tcPr>
          <w:p w:rsidR="00ED0820" w:rsidRPr="00EB0F2A" w:rsidRDefault="00ED0820" w:rsidP="00BB5D0E">
            <w:pPr>
              <w:spacing w:after="0" w:line="240" w:lineRule="auto"/>
              <w:jc w:val="center"/>
              <w:rPr>
                <w:rFonts w:ascii="Arial Narrow" w:hAnsi="Arial Narrow"/>
                <w:sz w:val="18"/>
              </w:rPr>
            </w:pPr>
          </w:p>
        </w:tc>
        <w:tc>
          <w:tcPr>
            <w:tcW w:w="685" w:type="dxa"/>
            <w:shd w:val="clear" w:color="auto" w:fill="FBD4B4"/>
          </w:tcPr>
          <w:p w:rsidR="00ED0820" w:rsidRPr="00EB0F2A" w:rsidRDefault="00ED0820" w:rsidP="00BB5D0E">
            <w:pPr>
              <w:spacing w:after="0" w:line="240" w:lineRule="auto"/>
              <w:jc w:val="center"/>
              <w:rPr>
                <w:rFonts w:ascii="Arial Narrow" w:hAnsi="Arial Narrow"/>
                <w:sz w:val="18"/>
              </w:rPr>
            </w:pPr>
          </w:p>
        </w:tc>
        <w:tc>
          <w:tcPr>
            <w:tcW w:w="686" w:type="dxa"/>
            <w:shd w:val="clear" w:color="auto" w:fill="FBD4B4"/>
          </w:tcPr>
          <w:p w:rsidR="00ED0820" w:rsidRPr="00EB0F2A" w:rsidRDefault="00ED0820" w:rsidP="00BB5D0E">
            <w:pPr>
              <w:spacing w:after="0" w:line="240" w:lineRule="auto"/>
              <w:jc w:val="center"/>
              <w:rPr>
                <w:rFonts w:ascii="Arial Narrow" w:hAnsi="Arial Narrow"/>
                <w:sz w:val="18"/>
              </w:rPr>
            </w:pPr>
          </w:p>
        </w:tc>
        <w:tc>
          <w:tcPr>
            <w:tcW w:w="686" w:type="dxa"/>
            <w:shd w:val="clear" w:color="auto" w:fill="FBD4B4"/>
          </w:tcPr>
          <w:p w:rsidR="00ED0820" w:rsidRPr="00EB0F2A" w:rsidRDefault="00ED0820" w:rsidP="00BB5D0E">
            <w:pPr>
              <w:spacing w:after="0" w:line="240" w:lineRule="auto"/>
              <w:jc w:val="center"/>
              <w:rPr>
                <w:rFonts w:ascii="Arial Narrow" w:hAnsi="Arial Narrow"/>
                <w:sz w:val="18"/>
              </w:rPr>
            </w:pPr>
          </w:p>
        </w:tc>
        <w:tc>
          <w:tcPr>
            <w:tcW w:w="686" w:type="dxa"/>
            <w:shd w:val="clear" w:color="auto" w:fill="FBD4B4"/>
          </w:tcPr>
          <w:p w:rsidR="00ED0820" w:rsidRPr="00EB0F2A" w:rsidRDefault="00ED0820" w:rsidP="00BB5D0E">
            <w:pPr>
              <w:spacing w:after="0" w:line="240" w:lineRule="auto"/>
              <w:jc w:val="center"/>
              <w:rPr>
                <w:rFonts w:ascii="Arial Narrow" w:hAnsi="Arial Narrow"/>
                <w:sz w:val="18"/>
              </w:rPr>
            </w:pPr>
          </w:p>
        </w:tc>
        <w:tc>
          <w:tcPr>
            <w:tcW w:w="686" w:type="dxa"/>
            <w:shd w:val="clear" w:color="auto" w:fill="FBD4B4"/>
          </w:tcPr>
          <w:p w:rsidR="00ED0820" w:rsidRPr="00EB0F2A" w:rsidRDefault="00ED0820" w:rsidP="00BB5D0E">
            <w:pPr>
              <w:spacing w:after="0" w:line="240" w:lineRule="auto"/>
              <w:jc w:val="center"/>
              <w:rPr>
                <w:rFonts w:ascii="Arial Narrow" w:hAnsi="Arial Narrow"/>
                <w:sz w:val="18"/>
              </w:rPr>
            </w:pPr>
          </w:p>
        </w:tc>
        <w:tc>
          <w:tcPr>
            <w:tcW w:w="686" w:type="dxa"/>
            <w:shd w:val="clear" w:color="auto" w:fill="FBD4B4"/>
          </w:tcPr>
          <w:p w:rsidR="00ED0820" w:rsidRPr="00EB0F2A" w:rsidRDefault="00ED0820" w:rsidP="00BB5D0E">
            <w:pPr>
              <w:spacing w:after="0" w:line="240" w:lineRule="auto"/>
              <w:jc w:val="center"/>
              <w:rPr>
                <w:rFonts w:ascii="Arial Narrow" w:hAnsi="Arial Narrow"/>
                <w:sz w:val="18"/>
              </w:rPr>
            </w:pPr>
          </w:p>
        </w:tc>
      </w:tr>
      <w:tr w:rsidR="00ED0820" w:rsidRPr="00EB0F2A" w:rsidTr="005F456C">
        <w:trPr>
          <w:trHeight w:val="195"/>
        </w:trPr>
        <w:tc>
          <w:tcPr>
            <w:tcW w:w="9067" w:type="dxa"/>
            <w:gridSpan w:val="11"/>
            <w:vAlign w:val="center"/>
          </w:tcPr>
          <w:p w:rsidR="00ED0820" w:rsidRPr="00B35731" w:rsidRDefault="00ED0820" w:rsidP="00163C5A">
            <w:pPr>
              <w:spacing w:after="0" w:line="240" w:lineRule="auto"/>
              <w:jc w:val="left"/>
              <w:rPr>
                <w:rFonts w:ascii="Arial Narrow" w:hAnsi="Arial Narrow"/>
                <w:b/>
                <w:sz w:val="18"/>
                <w:u w:val="single"/>
              </w:rPr>
            </w:pPr>
            <w:r w:rsidRPr="00B35731">
              <w:rPr>
                <w:rFonts w:ascii="Arial Narrow" w:hAnsi="Arial Narrow"/>
                <w:b/>
                <w:sz w:val="18"/>
                <w:u w:val="single"/>
              </w:rPr>
              <w:t xml:space="preserve">Resources provided to deliver the comparator – </w:t>
            </w:r>
            <w:r>
              <w:rPr>
                <w:rFonts w:ascii="Arial Narrow" w:hAnsi="Arial Narrow"/>
                <w:b/>
                <w:sz w:val="18"/>
                <w:u w:val="single"/>
              </w:rPr>
              <w:t>diagnosis and treatment currently funded by the</w:t>
            </w:r>
            <w:r w:rsidRPr="00B35731">
              <w:rPr>
                <w:rFonts w:ascii="Arial Narrow" w:hAnsi="Arial Narrow"/>
                <w:b/>
                <w:sz w:val="18"/>
                <w:u w:val="single"/>
              </w:rPr>
              <w:t xml:space="preserve"> MBS</w:t>
            </w:r>
            <w:r>
              <w:rPr>
                <w:rFonts w:ascii="Arial Narrow" w:hAnsi="Arial Narrow"/>
                <w:b/>
                <w:sz w:val="18"/>
                <w:u w:val="single"/>
              </w:rPr>
              <w:t xml:space="preserve"> </w:t>
            </w:r>
          </w:p>
        </w:tc>
      </w:tr>
      <w:tr w:rsidR="00ED0820" w:rsidRPr="00EB0F2A" w:rsidTr="005F456C">
        <w:trPr>
          <w:trHeight w:val="390"/>
        </w:trPr>
        <w:tc>
          <w:tcPr>
            <w:tcW w:w="1607" w:type="dxa"/>
          </w:tcPr>
          <w:p w:rsidR="00ED0820" w:rsidRPr="00EB0F2A" w:rsidRDefault="00ED0820" w:rsidP="00DB28A8">
            <w:pPr>
              <w:pStyle w:val="ListParagraph"/>
              <w:numPr>
                <w:ilvl w:val="2"/>
                <w:numId w:val="5"/>
              </w:numPr>
              <w:spacing w:after="0" w:line="240" w:lineRule="auto"/>
              <w:ind w:left="360" w:hanging="218"/>
              <w:jc w:val="left"/>
              <w:rPr>
                <w:rFonts w:ascii="Arial Narrow" w:hAnsi="Arial Narrow"/>
                <w:sz w:val="18"/>
              </w:rPr>
            </w:pPr>
            <w:r>
              <w:rPr>
                <w:rFonts w:ascii="Arial Narrow" w:hAnsi="Arial Narrow"/>
                <w:sz w:val="18"/>
              </w:rPr>
              <w:t>Specialist consultation</w:t>
            </w:r>
          </w:p>
        </w:tc>
        <w:tc>
          <w:tcPr>
            <w:tcW w:w="837" w:type="dxa"/>
            <w:shd w:val="clear" w:color="auto" w:fill="E5B8B7"/>
          </w:tcPr>
          <w:p w:rsidR="00ED0820" w:rsidRPr="00EB0F2A" w:rsidRDefault="00ED0820" w:rsidP="00BB5D0E">
            <w:pPr>
              <w:spacing w:after="0" w:line="240" w:lineRule="auto"/>
              <w:jc w:val="center"/>
              <w:rPr>
                <w:rFonts w:ascii="Arial Narrow" w:hAnsi="Arial Narrow"/>
                <w:sz w:val="18"/>
              </w:rPr>
            </w:pPr>
            <w:r>
              <w:rPr>
                <w:rFonts w:ascii="Arial Narrow" w:hAnsi="Arial Narrow"/>
                <w:sz w:val="18"/>
              </w:rPr>
              <w:t>Specialist physician</w:t>
            </w:r>
          </w:p>
        </w:tc>
        <w:tc>
          <w:tcPr>
            <w:tcW w:w="837" w:type="dxa"/>
            <w:shd w:val="clear" w:color="auto" w:fill="E5B8B7"/>
          </w:tcPr>
          <w:p w:rsidR="00ED0820" w:rsidRPr="00EB0F2A" w:rsidRDefault="00ED0820" w:rsidP="00BB5D0E">
            <w:pPr>
              <w:spacing w:after="0" w:line="240" w:lineRule="auto"/>
              <w:jc w:val="center"/>
              <w:rPr>
                <w:rFonts w:ascii="Arial Narrow" w:hAnsi="Arial Narrow"/>
                <w:sz w:val="18"/>
              </w:rPr>
            </w:pPr>
            <w:r>
              <w:rPr>
                <w:rFonts w:ascii="Arial Narrow" w:hAnsi="Arial Narrow"/>
                <w:sz w:val="18"/>
              </w:rPr>
              <w:t>Outpatient</w:t>
            </w:r>
          </w:p>
        </w:tc>
        <w:tc>
          <w:tcPr>
            <w:tcW w:w="837" w:type="dxa"/>
            <w:shd w:val="clear" w:color="auto" w:fill="D6E3BC"/>
          </w:tcPr>
          <w:p w:rsidR="00ED0820" w:rsidRPr="00EB0F2A" w:rsidRDefault="00ED0820" w:rsidP="00BB5D0E">
            <w:pPr>
              <w:spacing w:after="0" w:line="240" w:lineRule="auto"/>
              <w:jc w:val="center"/>
              <w:rPr>
                <w:rFonts w:ascii="Arial Narrow" w:hAnsi="Arial Narrow"/>
                <w:sz w:val="18"/>
              </w:rPr>
            </w:pPr>
          </w:p>
        </w:tc>
        <w:tc>
          <w:tcPr>
            <w:tcW w:w="835" w:type="dxa"/>
            <w:shd w:val="clear" w:color="auto" w:fill="D6E3BC"/>
          </w:tcPr>
          <w:p w:rsidR="00ED0820" w:rsidRPr="00EB0F2A" w:rsidRDefault="00ED0820" w:rsidP="00BB5D0E">
            <w:pPr>
              <w:spacing w:after="0" w:line="240" w:lineRule="auto"/>
              <w:jc w:val="center"/>
              <w:rPr>
                <w:rFonts w:ascii="Arial Narrow" w:hAnsi="Arial Narrow"/>
                <w:sz w:val="18"/>
              </w:rPr>
            </w:pPr>
          </w:p>
        </w:tc>
        <w:tc>
          <w:tcPr>
            <w:tcW w:w="685" w:type="dxa"/>
            <w:shd w:val="clear" w:color="auto" w:fill="FBD4B4"/>
          </w:tcPr>
          <w:p w:rsidR="00ED0820" w:rsidRPr="00EB0F2A" w:rsidRDefault="00ED0820" w:rsidP="00BB5D0E">
            <w:pPr>
              <w:spacing w:after="0" w:line="240" w:lineRule="auto"/>
              <w:jc w:val="center"/>
              <w:rPr>
                <w:rFonts w:ascii="Arial Narrow" w:hAnsi="Arial Narrow"/>
                <w:sz w:val="18"/>
              </w:rPr>
            </w:pPr>
          </w:p>
        </w:tc>
        <w:tc>
          <w:tcPr>
            <w:tcW w:w="686" w:type="dxa"/>
            <w:shd w:val="clear" w:color="auto" w:fill="FBD4B4"/>
          </w:tcPr>
          <w:p w:rsidR="00ED0820" w:rsidRPr="00EB0F2A" w:rsidRDefault="00ED0820" w:rsidP="00BB5D0E">
            <w:pPr>
              <w:spacing w:after="0" w:line="240" w:lineRule="auto"/>
              <w:jc w:val="center"/>
              <w:rPr>
                <w:rFonts w:ascii="Arial Narrow" w:hAnsi="Arial Narrow"/>
                <w:sz w:val="18"/>
              </w:rPr>
            </w:pPr>
          </w:p>
        </w:tc>
        <w:tc>
          <w:tcPr>
            <w:tcW w:w="686" w:type="dxa"/>
            <w:shd w:val="clear" w:color="auto" w:fill="FBD4B4"/>
          </w:tcPr>
          <w:p w:rsidR="00ED0820" w:rsidRPr="00EB0F2A" w:rsidRDefault="00ED0820" w:rsidP="00BB5D0E">
            <w:pPr>
              <w:spacing w:after="0" w:line="240" w:lineRule="auto"/>
              <w:jc w:val="center"/>
              <w:rPr>
                <w:rFonts w:ascii="Arial Narrow" w:hAnsi="Arial Narrow"/>
                <w:sz w:val="18"/>
              </w:rPr>
            </w:pPr>
          </w:p>
        </w:tc>
        <w:tc>
          <w:tcPr>
            <w:tcW w:w="686" w:type="dxa"/>
            <w:shd w:val="clear" w:color="auto" w:fill="FBD4B4"/>
          </w:tcPr>
          <w:p w:rsidR="00ED0820" w:rsidRPr="00EB0F2A" w:rsidRDefault="00ED0820" w:rsidP="00BB5D0E">
            <w:pPr>
              <w:spacing w:after="0" w:line="240" w:lineRule="auto"/>
              <w:jc w:val="center"/>
              <w:rPr>
                <w:rFonts w:ascii="Arial Narrow" w:hAnsi="Arial Narrow"/>
                <w:sz w:val="18"/>
              </w:rPr>
            </w:pPr>
          </w:p>
        </w:tc>
        <w:tc>
          <w:tcPr>
            <w:tcW w:w="686" w:type="dxa"/>
            <w:shd w:val="clear" w:color="auto" w:fill="FBD4B4"/>
          </w:tcPr>
          <w:p w:rsidR="00ED0820" w:rsidRPr="00EB0F2A" w:rsidRDefault="00ED0820" w:rsidP="00BB5D0E">
            <w:pPr>
              <w:spacing w:after="0" w:line="240" w:lineRule="auto"/>
              <w:jc w:val="center"/>
              <w:rPr>
                <w:rFonts w:ascii="Arial Narrow" w:hAnsi="Arial Narrow"/>
                <w:sz w:val="18"/>
              </w:rPr>
            </w:pPr>
          </w:p>
        </w:tc>
        <w:tc>
          <w:tcPr>
            <w:tcW w:w="686" w:type="dxa"/>
            <w:shd w:val="clear" w:color="auto" w:fill="FBD4B4"/>
          </w:tcPr>
          <w:p w:rsidR="00ED0820" w:rsidRPr="00EB0F2A" w:rsidRDefault="00ED0820" w:rsidP="00BB5D0E">
            <w:pPr>
              <w:spacing w:after="0" w:line="240" w:lineRule="auto"/>
              <w:jc w:val="center"/>
              <w:rPr>
                <w:rFonts w:ascii="Arial Narrow" w:hAnsi="Arial Narrow"/>
                <w:sz w:val="18"/>
              </w:rPr>
            </w:pPr>
          </w:p>
        </w:tc>
      </w:tr>
      <w:tr w:rsidR="00ED0820" w:rsidRPr="00EB0F2A" w:rsidTr="005F456C">
        <w:trPr>
          <w:trHeight w:val="584"/>
        </w:trPr>
        <w:tc>
          <w:tcPr>
            <w:tcW w:w="1607" w:type="dxa"/>
          </w:tcPr>
          <w:p w:rsidR="00ED0820" w:rsidRPr="00EB0F2A" w:rsidRDefault="00ED0820" w:rsidP="00DB28A8">
            <w:pPr>
              <w:pStyle w:val="ListParagraph"/>
              <w:numPr>
                <w:ilvl w:val="2"/>
                <w:numId w:val="5"/>
              </w:numPr>
              <w:spacing w:after="0" w:line="240" w:lineRule="auto"/>
              <w:ind w:left="360" w:hanging="218"/>
              <w:jc w:val="left"/>
              <w:rPr>
                <w:rFonts w:ascii="Arial Narrow" w:hAnsi="Arial Narrow"/>
                <w:sz w:val="18"/>
              </w:rPr>
            </w:pPr>
            <w:r>
              <w:rPr>
                <w:rFonts w:ascii="Arial Narrow" w:hAnsi="Arial Narrow"/>
                <w:sz w:val="18"/>
              </w:rPr>
              <w:t>Tissue biopsy (and Patient Episode Initiation fee)</w:t>
            </w:r>
          </w:p>
        </w:tc>
        <w:tc>
          <w:tcPr>
            <w:tcW w:w="837" w:type="dxa"/>
            <w:shd w:val="clear" w:color="auto" w:fill="E5B8B7"/>
          </w:tcPr>
          <w:p w:rsidR="00ED0820" w:rsidRPr="00EB0F2A" w:rsidRDefault="00ED0820" w:rsidP="00BB5D0E">
            <w:pPr>
              <w:spacing w:after="0" w:line="240" w:lineRule="auto"/>
              <w:jc w:val="center"/>
              <w:rPr>
                <w:rFonts w:ascii="Arial Narrow" w:hAnsi="Arial Narrow"/>
                <w:sz w:val="18"/>
              </w:rPr>
            </w:pPr>
            <w:r>
              <w:rPr>
                <w:rFonts w:ascii="Arial Narrow" w:hAnsi="Arial Narrow"/>
                <w:sz w:val="18"/>
              </w:rPr>
              <w:t>Specialist pathologist</w:t>
            </w:r>
          </w:p>
        </w:tc>
        <w:tc>
          <w:tcPr>
            <w:tcW w:w="837" w:type="dxa"/>
            <w:shd w:val="clear" w:color="auto" w:fill="E5B8B7"/>
          </w:tcPr>
          <w:p w:rsidR="00ED0820" w:rsidRPr="00EB0F2A" w:rsidRDefault="00ED0820" w:rsidP="00BB5D0E">
            <w:pPr>
              <w:spacing w:after="0" w:line="240" w:lineRule="auto"/>
              <w:jc w:val="center"/>
              <w:rPr>
                <w:rFonts w:ascii="Arial Narrow" w:hAnsi="Arial Narrow"/>
                <w:sz w:val="18"/>
              </w:rPr>
            </w:pPr>
            <w:r>
              <w:rPr>
                <w:rFonts w:ascii="Arial Narrow" w:hAnsi="Arial Narrow"/>
                <w:sz w:val="18"/>
              </w:rPr>
              <w:t>Outpatient</w:t>
            </w:r>
          </w:p>
        </w:tc>
        <w:tc>
          <w:tcPr>
            <w:tcW w:w="837" w:type="dxa"/>
            <w:shd w:val="clear" w:color="auto" w:fill="D6E3BC"/>
          </w:tcPr>
          <w:p w:rsidR="00ED0820" w:rsidRPr="00EB0F2A" w:rsidRDefault="00ED0820" w:rsidP="00BB5D0E">
            <w:pPr>
              <w:spacing w:after="0" w:line="240" w:lineRule="auto"/>
              <w:jc w:val="center"/>
              <w:rPr>
                <w:rFonts w:ascii="Arial Narrow" w:hAnsi="Arial Narrow"/>
                <w:sz w:val="18"/>
              </w:rPr>
            </w:pPr>
          </w:p>
        </w:tc>
        <w:tc>
          <w:tcPr>
            <w:tcW w:w="835" w:type="dxa"/>
            <w:shd w:val="clear" w:color="auto" w:fill="D6E3BC"/>
          </w:tcPr>
          <w:p w:rsidR="00ED0820" w:rsidRPr="00EB0F2A" w:rsidRDefault="00ED0820" w:rsidP="00BB5D0E">
            <w:pPr>
              <w:spacing w:after="0" w:line="240" w:lineRule="auto"/>
              <w:jc w:val="center"/>
              <w:rPr>
                <w:rFonts w:ascii="Arial Narrow" w:hAnsi="Arial Narrow"/>
                <w:sz w:val="18"/>
              </w:rPr>
            </w:pPr>
          </w:p>
        </w:tc>
        <w:tc>
          <w:tcPr>
            <w:tcW w:w="685" w:type="dxa"/>
            <w:shd w:val="clear" w:color="auto" w:fill="FBD4B4"/>
          </w:tcPr>
          <w:p w:rsidR="00ED0820" w:rsidRPr="00EB0F2A" w:rsidRDefault="00ED0820" w:rsidP="00BB5D0E">
            <w:pPr>
              <w:spacing w:after="0" w:line="240" w:lineRule="auto"/>
              <w:jc w:val="center"/>
              <w:rPr>
                <w:rFonts w:ascii="Arial Narrow" w:hAnsi="Arial Narrow"/>
                <w:sz w:val="18"/>
              </w:rPr>
            </w:pPr>
          </w:p>
        </w:tc>
        <w:tc>
          <w:tcPr>
            <w:tcW w:w="686" w:type="dxa"/>
            <w:shd w:val="clear" w:color="auto" w:fill="FBD4B4"/>
          </w:tcPr>
          <w:p w:rsidR="00ED0820" w:rsidRPr="00EB0F2A" w:rsidRDefault="00ED0820" w:rsidP="00BB5D0E">
            <w:pPr>
              <w:spacing w:after="0" w:line="240" w:lineRule="auto"/>
              <w:jc w:val="center"/>
              <w:rPr>
                <w:rFonts w:ascii="Arial Narrow" w:hAnsi="Arial Narrow"/>
                <w:sz w:val="18"/>
              </w:rPr>
            </w:pPr>
          </w:p>
        </w:tc>
        <w:tc>
          <w:tcPr>
            <w:tcW w:w="686" w:type="dxa"/>
            <w:shd w:val="clear" w:color="auto" w:fill="FBD4B4"/>
          </w:tcPr>
          <w:p w:rsidR="00ED0820" w:rsidRPr="00EB0F2A" w:rsidRDefault="00ED0820" w:rsidP="00BB5D0E">
            <w:pPr>
              <w:spacing w:after="0" w:line="240" w:lineRule="auto"/>
              <w:jc w:val="center"/>
              <w:rPr>
                <w:rFonts w:ascii="Arial Narrow" w:hAnsi="Arial Narrow"/>
                <w:sz w:val="18"/>
              </w:rPr>
            </w:pPr>
          </w:p>
        </w:tc>
        <w:tc>
          <w:tcPr>
            <w:tcW w:w="686" w:type="dxa"/>
            <w:shd w:val="clear" w:color="auto" w:fill="FBD4B4"/>
          </w:tcPr>
          <w:p w:rsidR="00ED0820" w:rsidRPr="00EB0F2A" w:rsidRDefault="00ED0820" w:rsidP="00BB5D0E">
            <w:pPr>
              <w:spacing w:after="0" w:line="240" w:lineRule="auto"/>
              <w:jc w:val="center"/>
              <w:rPr>
                <w:rFonts w:ascii="Arial Narrow" w:hAnsi="Arial Narrow"/>
                <w:sz w:val="18"/>
              </w:rPr>
            </w:pPr>
          </w:p>
        </w:tc>
        <w:tc>
          <w:tcPr>
            <w:tcW w:w="686" w:type="dxa"/>
            <w:shd w:val="clear" w:color="auto" w:fill="FBD4B4"/>
          </w:tcPr>
          <w:p w:rsidR="00ED0820" w:rsidRPr="00EB0F2A" w:rsidRDefault="00ED0820" w:rsidP="00BB5D0E">
            <w:pPr>
              <w:spacing w:after="0" w:line="240" w:lineRule="auto"/>
              <w:jc w:val="center"/>
              <w:rPr>
                <w:rFonts w:ascii="Arial Narrow" w:hAnsi="Arial Narrow"/>
                <w:sz w:val="18"/>
              </w:rPr>
            </w:pPr>
          </w:p>
        </w:tc>
        <w:tc>
          <w:tcPr>
            <w:tcW w:w="686" w:type="dxa"/>
            <w:shd w:val="clear" w:color="auto" w:fill="FBD4B4"/>
          </w:tcPr>
          <w:p w:rsidR="00ED0820" w:rsidRPr="00EB0F2A" w:rsidRDefault="00ED0820" w:rsidP="00BB5D0E">
            <w:pPr>
              <w:spacing w:after="0" w:line="240" w:lineRule="auto"/>
              <w:jc w:val="center"/>
              <w:rPr>
                <w:rFonts w:ascii="Arial Narrow" w:hAnsi="Arial Narrow"/>
                <w:sz w:val="18"/>
              </w:rPr>
            </w:pPr>
          </w:p>
        </w:tc>
      </w:tr>
      <w:tr w:rsidR="00ED0820" w:rsidRPr="00EB0F2A" w:rsidTr="005F456C">
        <w:trPr>
          <w:trHeight w:val="390"/>
        </w:trPr>
        <w:tc>
          <w:tcPr>
            <w:tcW w:w="1607" w:type="dxa"/>
          </w:tcPr>
          <w:p w:rsidR="00ED0820" w:rsidRPr="00EB0F2A" w:rsidRDefault="00ED0820" w:rsidP="00DB28A8">
            <w:pPr>
              <w:pStyle w:val="ListParagraph"/>
              <w:numPr>
                <w:ilvl w:val="2"/>
                <w:numId w:val="5"/>
              </w:numPr>
              <w:spacing w:after="0" w:line="240" w:lineRule="auto"/>
              <w:ind w:left="360" w:hanging="218"/>
              <w:jc w:val="left"/>
              <w:rPr>
                <w:rFonts w:ascii="Arial Narrow" w:hAnsi="Arial Narrow"/>
                <w:sz w:val="18"/>
              </w:rPr>
            </w:pPr>
            <w:r>
              <w:rPr>
                <w:rFonts w:ascii="Arial Narrow" w:hAnsi="Arial Narrow"/>
                <w:sz w:val="18"/>
              </w:rPr>
              <w:t>Immunochemistry</w:t>
            </w:r>
          </w:p>
        </w:tc>
        <w:tc>
          <w:tcPr>
            <w:tcW w:w="837" w:type="dxa"/>
            <w:shd w:val="clear" w:color="auto" w:fill="E5B8B7"/>
          </w:tcPr>
          <w:p w:rsidR="00ED0820" w:rsidRPr="00EB0F2A" w:rsidRDefault="00ED0820" w:rsidP="00BB5D0E">
            <w:pPr>
              <w:spacing w:after="0" w:line="240" w:lineRule="auto"/>
              <w:jc w:val="center"/>
              <w:rPr>
                <w:rFonts w:ascii="Arial Narrow" w:hAnsi="Arial Narrow"/>
                <w:sz w:val="18"/>
              </w:rPr>
            </w:pPr>
            <w:r>
              <w:rPr>
                <w:rFonts w:ascii="Arial Narrow" w:hAnsi="Arial Narrow"/>
                <w:sz w:val="18"/>
              </w:rPr>
              <w:t>Specialist pathologist</w:t>
            </w:r>
          </w:p>
        </w:tc>
        <w:tc>
          <w:tcPr>
            <w:tcW w:w="837" w:type="dxa"/>
            <w:shd w:val="clear" w:color="auto" w:fill="E5B8B7"/>
          </w:tcPr>
          <w:p w:rsidR="00ED0820" w:rsidRPr="00EB0F2A" w:rsidRDefault="00ED0820" w:rsidP="00BB5D0E">
            <w:pPr>
              <w:spacing w:after="0" w:line="240" w:lineRule="auto"/>
              <w:jc w:val="center"/>
              <w:rPr>
                <w:rFonts w:ascii="Arial Narrow" w:hAnsi="Arial Narrow"/>
                <w:sz w:val="18"/>
              </w:rPr>
            </w:pPr>
            <w:r>
              <w:rPr>
                <w:rFonts w:ascii="Arial Narrow" w:hAnsi="Arial Narrow"/>
                <w:sz w:val="18"/>
              </w:rPr>
              <w:t>Outpatient</w:t>
            </w:r>
          </w:p>
        </w:tc>
        <w:tc>
          <w:tcPr>
            <w:tcW w:w="837" w:type="dxa"/>
            <w:shd w:val="clear" w:color="auto" w:fill="D6E3BC"/>
          </w:tcPr>
          <w:p w:rsidR="00ED0820" w:rsidRPr="00EB0F2A" w:rsidRDefault="00ED0820" w:rsidP="00BB5D0E">
            <w:pPr>
              <w:spacing w:after="0" w:line="240" w:lineRule="auto"/>
              <w:jc w:val="center"/>
              <w:rPr>
                <w:rFonts w:ascii="Arial Narrow" w:hAnsi="Arial Narrow"/>
                <w:sz w:val="18"/>
              </w:rPr>
            </w:pPr>
          </w:p>
        </w:tc>
        <w:tc>
          <w:tcPr>
            <w:tcW w:w="835" w:type="dxa"/>
            <w:shd w:val="clear" w:color="auto" w:fill="D6E3BC"/>
          </w:tcPr>
          <w:p w:rsidR="00ED0820" w:rsidRPr="00EB0F2A" w:rsidRDefault="00ED0820" w:rsidP="00BB5D0E">
            <w:pPr>
              <w:spacing w:after="0" w:line="240" w:lineRule="auto"/>
              <w:jc w:val="center"/>
              <w:rPr>
                <w:rFonts w:ascii="Arial Narrow" w:hAnsi="Arial Narrow"/>
                <w:sz w:val="18"/>
              </w:rPr>
            </w:pPr>
          </w:p>
        </w:tc>
        <w:tc>
          <w:tcPr>
            <w:tcW w:w="685" w:type="dxa"/>
            <w:shd w:val="clear" w:color="auto" w:fill="FBD4B4"/>
          </w:tcPr>
          <w:p w:rsidR="00ED0820" w:rsidRPr="00EB0F2A" w:rsidRDefault="00ED0820" w:rsidP="00BB5D0E">
            <w:pPr>
              <w:spacing w:after="0" w:line="240" w:lineRule="auto"/>
              <w:jc w:val="center"/>
              <w:rPr>
                <w:rFonts w:ascii="Arial Narrow" w:hAnsi="Arial Narrow"/>
                <w:sz w:val="18"/>
              </w:rPr>
            </w:pPr>
          </w:p>
        </w:tc>
        <w:tc>
          <w:tcPr>
            <w:tcW w:w="686" w:type="dxa"/>
            <w:shd w:val="clear" w:color="auto" w:fill="FBD4B4"/>
          </w:tcPr>
          <w:p w:rsidR="00ED0820" w:rsidRPr="00EB0F2A" w:rsidRDefault="00ED0820" w:rsidP="00BB5D0E">
            <w:pPr>
              <w:spacing w:after="0" w:line="240" w:lineRule="auto"/>
              <w:jc w:val="center"/>
              <w:rPr>
                <w:rFonts w:ascii="Arial Narrow" w:hAnsi="Arial Narrow"/>
                <w:sz w:val="18"/>
              </w:rPr>
            </w:pPr>
          </w:p>
        </w:tc>
        <w:tc>
          <w:tcPr>
            <w:tcW w:w="686" w:type="dxa"/>
            <w:shd w:val="clear" w:color="auto" w:fill="FBD4B4"/>
          </w:tcPr>
          <w:p w:rsidR="00ED0820" w:rsidRPr="00EB0F2A" w:rsidRDefault="00ED0820" w:rsidP="00BB5D0E">
            <w:pPr>
              <w:spacing w:after="0" w:line="240" w:lineRule="auto"/>
              <w:jc w:val="center"/>
              <w:rPr>
                <w:rFonts w:ascii="Arial Narrow" w:hAnsi="Arial Narrow"/>
                <w:sz w:val="18"/>
              </w:rPr>
            </w:pPr>
          </w:p>
        </w:tc>
        <w:tc>
          <w:tcPr>
            <w:tcW w:w="686" w:type="dxa"/>
            <w:shd w:val="clear" w:color="auto" w:fill="FBD4B4"/>
          </w:tcPr>
          <w:p w:rsidR="00ED0820" w:rsidRPr="00EB0F2A" w:rsidRDefault="00ED0820" w:rsidP="00BB5D0E">
            <w:pPr>
              <w:spacing w:after="0" w:line="240" w:lineRule="auto"/>
              <w:jc w:val="center"/>
              <w:rPr>
                <w:rFonts w:ascii="Arial Narrow" w:hAnsi="Arial Narrow"/>
                <w:sz w:val="18"/>
              </w:rPr>
            </w:pPr>
          </w:p>
        </w:tc>
        <w:tc>
          <w:tcPr>
            <w:tcW w:w="686" w:type="dxa"/>
            <w:shd w:val="clear" w:color="auto" w:fill="FBD4B4"/>
          </w:tcPr>
          <w:p w:rsidR="00ED0820" w:rsidRPr="00EB0F2A" w:rsidRDefault="00ED0820" w:rsidP="00BB5D0E">
            <w:pPr>
              <w:spacing w:after="0" w:line="240" w:lineRule="auto"/>
              <w:jc w:val="center"/>
              <w:rPr>
                <w:rFonts w:ascii="Arial Narrow" w:hAnsi="Arial Narrow"/>
                <w:sz w:val="18"/>
              </w:rPr>
            </w:pPr>
          </w:p>
        </w:tc>
        <w:tc>
          <w:tcPr>
            <w:tcW w:w="686" w:type="dxa"/>
            <w:shd w:val="clear" w:color="auto" w:fill="FBD4B4"/>
          </w:tcPr>
          <w:p w:rsidR="00ED0820" w:rsidRPr="00EB0F2A" w:rsidRDefault="00ED0820" w:rsidP="00BB5D0E">
            <w:pPr>
              <w:spacing w:after="0" w:line="240" w:lineRule="auto"/>
              <w:jc w:val="center"/>
              <w:rPr>
                <w:rFonts w:ascii="Arial Narrow" w:hAnsi="Arial Narrow"/>
                <w:sz w:val="18"/>
              </w:rPr>
            </w:pPr>
          </w:p>
        </w:tc>
      </w:tr>
      <w:tr w:rsidR="00ED0820" w:rsidRPr="00EB0F2A" w:rsidTr="005F456C">
        <w:trPr>
          <w:trHeight w:val="182"/>
        </w:trPr>
        <w:tc>
          <w:tcPr>
            <w:tcW w:w="9067" w:type="dxa"/>
            <w:gridSpan w:val="11"/>
            <w:vAlign w:val="center"/>
          </w:tcPr>
          <w:p w:rsidR="00ED0820" w:rsidRPr="00EB0F2A" w:rsidRDefault="00ED0820" w:rsidP="00BB5D0E">
            <w:pPr>
              <w:spacing w:after="0" w:line="240" w:lineRule="auto"/>
              <w:jc w:val="left"/>
              <w:rPr>
                <w:rFonts w:ascii="Arial Narrow" w:hAnsi="Arial Narrow"/>
                <w:sz w:val="18"/>
                <w:u w:val="single"/>
              </w:rPr>
            </w:pPr>
            <w:r w:rsidRPr="001570CD">
              <w:rPr>
                <w:rFonts w:ascii="Arial Narrow" w:hAnsi="Arial Narrow"/>
                <w:b/>
                <w:sz w:val="18"/>
                <w:u w:val="single"/>
              </w:rPr>
              <w:t>If TTR protein identified, patient receives usual care</w:t>
            </w:r>
          </w:p>
        </w:tc>
      </w:tr>
      <w:tr w:rsidR="00ED0820" w:rsidRPr="00EB0F2A" w:rsidTr="005F456C">
        <w:trPr>
          <w:trHeight w:val="390"/>
        </w:trPr>
        <w:tc>
          <w:tcPr>
            <w:tcW w:w="1607" w:type="dxa"/>
          </w:tcPr>
          <w:p w:rsidR="00ED0820" w:rsidRPr="00EB0F2A" w:rsidRDefault="00ED0820" w:rsidP="00DB28A8">
            <w:pPr>
              <w:pStyle w:val="ListParagraph"/>
              <w:numPr>
                <w:ilvl w:val="2"/>
                <w:numId w:val="5"/>
              </w:numPr>
              <w:spacing w:after="0" w:line="240" w:lineRule="auto"/>
              <w:ind w:left="360" w:hanging="218"/>
              <w:jc w:val="left"/>
              <w:rPr>
                <w:rFonts w:ascii="Arial Narrow" w:hAnsi="Arial Narrow"/>
                <w:sz w:val="18"/>
              </w:rPr>
            </w:pPr>
            <w:r>
              <w:rPr>
                <w:rFonts w:ascii="Arial Narrow" w:hAnsi="Arial Narrow"/>
                <w:sz w:val="18"/>
              </w:rPr>
              <w:t>Specialist consultations</w:t>
            </w:r>
          </w:p>
        </w:tc>
        <w:tc>
          <w:tcPr>
            <w:tcW w:w="837" w:type="dxa"/>
            <w:shd w:val="clear" w:color="auto" w:fill="E5B8B7"/>
          </w:tcPr>
          <w:p w:rsidR="00ED0820" w:rsidRPr="00EB0F2A" w:rsidRDefault="00ED0820" w:rsidP="00BB5D0E">
            <w:pPr>
              <w:spacing w:after="0" w:line="240" w:lineRule="auto"/>
              <w:jc w:val="center"/>
              <w:rPr>
                <w:rFonts w:ascii="Arial Narrow" w:hAnsi="Arial Narrow"/>
                <w:sz w:val="18"/>
              </w:rPr>
            </w:pPr>
            <w:r>
              <w:rPr>
                <w:rFonts w:ascii="Arial Narrow" w:hAnsi="Arial Narrow"/>
                <w:sz w:val="18"/>
              </w:rPr>
              <w:t>Specialist physician</w:t>
            </w:r>
          </w:p>
        </w:tc>
        <w:tc>
          <w:tcPr>
            <w:tcW w:w="837" w:type="dxa"/>
            <w:shd w:val="clear" w:color="auto" w:fill="E5B8B7"/>
          </w:tcPr>
          <w:p w:rsidR="00ED0820" w:rsidRPr="00EB0F2A" w:rsidRDefault="00ED0820" w:rsidP="00BB5D0E">
            <w:pPr>
              <w:spacing w:after="0" w:line="240" w:lineRule="auto"/>
              <w:jc w:val="center"/>
              <w:rPr>
                <w:rFonts w:ascii="Arial Narrow" w:hAnsi="Arial Narrow"/>
                <w:sz w:val="18"/>
              </w:rPr>
            </w:pPr>
            <w:r>
              <w:rPr>
                <w:rFonts w:ascii="Arial Narrow" w:hAnsi="Arial Narrow"/>
                <w:sz w:val="18"/>
              </w:rPr>
              <w:t>Outpatient</w:t>
            </w:r>
          </w:p>
        </w:tc>
        <w:tc>
          <w:tcPr>
            <w:tcW w:w="837" w:type="dxa"/>
            <w:shd w:val="clear" w:color="auto" w:fill="D6E3BC"/>
          </w:tcPr>
          <w:p w:rsidR="00ED0820" w:rsidRPr="00EB0F2A" w:rsidRDefault="00ED0820" w:rsidP="00BB5D0E">
            <w:pPr>
              <w:spacing w:after="0" w:line="240" w:lineRule="auto"/>
              <w:jc w:val="center"/>
              <w:rPr>
                <w:rFonts w:ascii="Arial Narrow" w:hAnsi="Arial Narrow"/>
                <w:sz w:val="18"/>
              </w:rPr>
            </w:pPr>
          </w:p>
        </w:tc>
        <w:tc>
          <w:tcPr>
            <w:tcW w:w="835" w:type="dxa"/>
            <w:shd w:val="clear" w:color="auto" w:fill="D6E3BC"/>
          </w:tcPr>
          <w:p w:rsidR="00ED0820" w:rsidRPr="00EB0F2A" w:rsidRDefault="00ED0820" w:rsidP="00BB5D0E">
            <w:pPr>
              <w:spacing w:after="0" w:line="240" w:lineRule="auto"/>
              <w:jc w:val="center"/>
              <w:rPr>
                <w:rFonts w:ascii="Arial Narrow" w:hAnsi="Arial Narrow"/>
                <w:sz w:val="18"/>
              </w:rPr>
            </w:pPr>
          </w:p>
        </w:tc>
        <w:tc>
          <w:tcPr>
            <w:tcW w:w="685" w:type="dxa"/>
            <w:shd w:val="clear" w:color="auto" w:fill="FBD4B4"/>
          </w:tcPr>
          <w:p w:rsidR="00ED0820" w:rsidRPr="00EB0F2A" w:rsidRDefault="00ED0820" w:rsidP="00BB5D0E">
            <w:pPr>
              <w:spacing w:after="0" w:line="240" w:lineRule="auto"/>
              <w:jc w:val="center"/>
              <w:rPr>
                <w:rFonts w:ascii="Arial Narrow" w:hAnsi="Arial Narrow"/>
                <w:sz w:val="18"/>
              </w:rPr>
            </w:pPr>
          </w:p>
        </w:tc>
        <w:tc>
          <w:tcPr>
            <w:tcW w:w="686" w:type="dxa"/>
            <w:shd w:val="clear" w:color="auto" w:fill="FBD4B4"/>
          </w:tcPr>
          <w:p w:rsidR="00ED0820" w:rsidRPr="00EB0F2A" w:rsidRDefault="00ED0820" w:rsidP="00BB5D0E">
            <w:pPr>
              <w:spacing w:after="0" w:line="240" w:lineRule="auto"/>
              <w:jc w:val="center"/>
              <w:rPr>
                <w:rFonts w:ascii="Arial Narrow" w:hAnsi="Arial Narrow"/>
                <w:sz w:val="18"/>
              </w:rPr>
            </w:pPr>
          </w:p>
        </w:tc>
        <w:tc>
          <w:tcPr>
            <w:tcW w:w="686" w:type="dxa"/>
            <w:shd w:val="clear" w:color="auto" w:fill="FBD4B4"/>
          </w:tcPr>
          <w:p w:rsidR="00ED0820" w:rsidRPr="00EB0F2A" w:rsidRDefault="00ED0820" w:rsidP="00BB5D0E">
            <w:pPr>
              <w:spacing w:after="0" w:line="240" w:lineRule="auto"/>
              <w:jc w:val="center"/>
              <w:rPr>
                <w:rFonts w:ascii="Arial Narrow" w:hAnsi="Arial Narrow"/>
                <w:sz w:val="18"/>
              </w:rPr>
            </w:pPr>
          </w:p>
        </w:tc>
        <w:tc>
          <w:tcPr>
            <w:tcW w:w="686" w:type="dxa"/>
            <w:shd w:val="clear" w:color="auto" w:fill="FBD4B4"/>
          </w:tcPr>
          <w:p w:rsidR="00ED0820" w:rsidRPr="00EB0F2A" w:rsidRDefault="00ED0820" w:rsidP="00BB5D0E">
            <w:pPr>
              <w:spacing w:after="0" w:line="240" w:lineRule="auto"/>
              <w:jc w:val="center"/>
              <w:rPr>
                <w:rFonts w:ascii="Arial Narrow" w:hAnsi="Arial Narrow"/>
                <w:sz w:val="18"/>
              </w:rPr>
            </w:pPr>
          </w:p>
        </w:tc>
        <w:tc>
          <w:tcPr>
            <w:tcW w:w="686" w:type="dxa"/>
            <w:shd w:val="clear" w:color="auto" w:fill="FBD4B4"/>
          </w:tcPr>
          <w:p w:rsidR="00ED0820" w:rsidRPr="00EB0F2A" w:rsidRDefault="00ED0820" w:rsidP="00BB5D0E">
            <w:pPr>
              <w:spacing w:after="0" w:line="240" w:lineRule="auto"/>
              <w:jc w:val="center"/>
              <w:rPr>
                <w:rFonts w:ascii="Arial Narrow" w:hAnsi="Arial Narrow"/>
                <w:sz w:val="18"/>
              </w:rPr>
            </w:pPr>
          </w:p>
        </w:tc>
        <w:tc>
          <w:tcPr>
            <w:tcW w:w="686" w:type="dxa"/>
            <w:shd w:val="clear" w:color="auto" w:fill="FBD4B4"/>
          </w:tcPr>
          <w:p w:rsidR="00ED0820" w:rsidRPr="00EB0F2A" w:rsidRDefault="00ED0820" w:rsidP="00BB5D0E">
            <w:pPr>
              <w:spacing w:after="0" w:line="240" w:lineRule="auto"/>
              <w:jc w:val="center"/>
              <w:rPr>
                <w:rFonts w:ascii="Arial Narrow" w:hAnsi="Arial Narrow"/>
                <w:sz w:val="18"/>
              </w:rPr>
            </w:pPr>
          </w:p>
        </w:tc>
      </w:tr>
      <w:tr w:rsidR="00ED0820" w:rsidRPr="00EB0F2A" w:rsidTr="005F456C">
        <w:trPr>
          <w:trHeight w:val="403"/>
        </w:trPr>
        <w:tc>
          <w:tcPr>
            <w:tcW w:w="1607" w:type="dxa"/>
          </w:tcPr>
          <w:p w:rsidR="00ED0820" w:rsidRPr="00EB0F2A" w:rsidRDefault="00ED0820" w:rsidP="00DB28A8">
            <w:pPr>
              <w:pStyle w:val="ListParagraph"/>
              <w:numPr>
                <w:ilvl w:val="2"/>
                <w:numId w:val="5"/>
              </w:numPr>
              <w:spacing w:after="0" w:line="240" w:lineRule="auto"/>
              <w:ind w:left="360" w:hanging="218"/>
              <w:jc w:val="left"/>
              <w:rPr>
                <w:rFonts w:ascii="Arial Narrow" w:hAnsi="Arial Narrow"/>
                <w:sz w:val="18"/>
              </w:rPr>
            </w:pPr>
            <w:r>
              <w:rPr>
                <w:rFonts w:ascii="Arial Narrow" w:hAnsi="Arial Narrow"/>
                <w:sz w:val="18"/>
              </w:rPr>
              <w:t xml:space="preserve">Cost of usual care </w:t>
            </w:r>
            <w:r w:rsidRPr="001570CD">
              <w:rPr>
                <w:rFonts w:ascii="Arial Narrow" w:hAnsi="Arial Narrow"/>
                <w:sz w:val="18"/>
                <w:vertAlign w:val="superscript"/>
              </w:rPr>
              <w:t>(a)</w:t>
            </w:r>
          </w:p>
        </w:tc>
        <w:tc>
          <w:tcPr>
            <w:tcW w:w="837" w:type="dxa"/>
            <w:shd w:val="clear" w:color="auto" w:fill="E5B8B7"/>
          </w:tcPr>
          <w:p w:rsidR="00ED0820" w:rsidRPr="00EB0F2A" w:rsidRDefault="00ED0820" w:rsidP="00BB5D0E">
            <w:pPr>
              <w:spacing w:after="0" w:line="240" w:lineRule="auto"/>
              <w:jc w:val="center"/>
              <w:rPr>
                <w:rFonts w:ascii="Arial Narrow" w:hAnsi="Arial Narrow"/>
                <w:sz w:val="18"/>
              </w:rPr>
            </w:pPr>
          </w:p>
        </w:tc>
        <w:tc>
          <w:tcPr>
            <w:tcW w:w="837" w:type="dxa"/>
            <w:shd w:val="clear" w:color="auto" w:fill="E5B8B7"/>
          </w:tcPr>
          <w:p w:rsidR="00ED0820" w:rsidRPr="00EB0F2A" w:rsidRDefault="00ED0820" w:rsidP="00BB5D0E">
            <w:pPr>
              <w:spacing w:after="0" w:line="240" w:lineRule="auto"/>
              <w:jc w:val="center"/>
              <w:rPr>
                <w:rFonts w:ascii="Arial Narrow" w:hAnsi="Arial Narrow"/>
                <w:sz w:val="18"/>
              </w:rPr>
            </w:pPr>
          </w:p>
        </w:tc>
        <w:tc>
          <w:tcPr>
            <w:tcW w:w="837" w:type="dxa"/>
            <w:shd w:val="clear" w:color="auto" w:fill="D6E3BC"/>
          </w:tcPr>
          <w:p w:rsidR="00ED0820" w:rsidRPr="00EB0F2A" w:rsidRDefault="00ED0820" w:rsidP="00BB5D0E">
            <w:pPr>
              <w:spacing w:after="0" w:line="240" w:lineRule="auto"/>
              <w:jc w:val="center"/>
              <w:rPr>
                <w:rFonts w:ascii="Arial Narrow" w:hAnsi="Arial Narrow"/>
                <w:sz w:val="18"/>
              </w:rPr>
            </w:pPr>
          </w:p>
        </w:tc>
        <w:tc>
          <w:tcPr>
            <w:tcW w:w="835" w:type="dxa"/>
            <w:shd w:val="clear" w:color="auto" w:fill="D6E3BC"/>
          </w:tcPr>
          <w:p w:rsidR="00ED0820" w:rsidRPr="00EB0F2A" w:rsidRDefault="00ED0820" w:rsidP="00BB5D0E">
            <w:pPr>
              <w:spacing w:after="0" w:line="240" w:lineRule="auto"/>
              <w:jc w:val="center"/>
              <w:rPr>
                <w:rFonts w:ascii="Arial Narrow" w:hAnsi="Arial Narrow"/>
                <w:sz w:val="18"/>
              </w:rPr>
            </w:pPr>
          </w:p>
        </w:tc>
        <w:tc>
          <w:tcPr>
            <w:tcW w:w="685" w:type="dxa"/>
            <w:shd w:val="clear" w:color="auto" w:fill="FBD4B4"/>
          </w:tcPr>
          <w:p w:rsidR="00ED0820" w:rsidRPr="00EB0F2A" w:rsidRDefault="00ED0820" w:rsidP="00BB5D0E">
            <w:pPr>
              <w:spacing w:after="0" w:line="240" w:lineRule="auto"/>
              <w:jc w:val="center"/>
              <w:rPr>
                <w:rFonts w:ascii="Arial Narrow" w:hAnsi="Arial Narrow"/>
                <w:sz w:val="18"/>
              </w:rPr>
            </w:pPr>
          </w:p>
        </w:tc>
        <w:tc>
          <w:tcPr>
            <w:tcW w:w="686" w:type="dxa"/>
            <w:shd w:val="clear" w:color="auto" w:fill="FBD4B4"/>
          </w:tcPr>
          <w:p w:rsidR="00ED0820" w:rsidRPr="00EB0F2A" w:rsidRDefault="00ED0820" w:rsidP="00BB5D0E">
            <w:pPr>
              <w:spacing w:after="0" w:line="240" w:lineRule="auto"/>
              <w:jc w:val="center"/>
              <w:rPr>
                <w:rFonts w:ascii="Arial Narrow" w:hAnsi="Arial Narrow"/>
                <w:sz w:val="18"/>
              </w:rPr>
            </w:pPr>
          </w:p>
        </w:tc>
        <w:tc>
          <w:tcPr>
            <w:tcW w:w="686" w:type="dxa"/>
            <w:shd w:val="clear" w:color="auto" w:fill="FBD4B4"/>
          </w:tcPr>
          <w:p w:rsidR="00ED0820" w:rsidRPr="00EB0F2A" w:rsidRDefault="00ED0820" w:rsidP="00BB5D0E">
            <w:pPr>
              <w:spacing w:after="0" w:line="240" w:lineRule="auto"/>
              <w:jc w:val="center"/>
              <w:rPr>
                <w:rFonts w:ascii="Arial Narrow" w:hAnsi="Arial Narrow"/>
                <w:sz w:val="18"/>
              </w:rPr>
            </w:pPr>
          </w:p>
        </w:tc>
        <w:tc>
          <w:tcPr>
            <w:tcW w:w="686" w:type="dxa"/>
            <w:shd w:val="clear" w:color="auto" w:fill="FBD4B4"/>
          </w:tcPr>
          <w:p w:rsidR="00ED0820" w:rsidRPr="00EB0F2A" w:rsidRDefault="00ED0820" w:rsidP="00BB5D0E">
            <w:pPr>
              <w:spacing w:after="0" w:line="240" w:lineRule="auto"/>
              <w:jc w:val="center"/>
              <w:rPr>
                <w:rFonts w:ascii="Arial Narrow" w:hAnsi="Arial Narrow"/>
                <w:sz w:val="18"/>
              </w:rPr>
            </w:pPr>
          </w:p>
        </w:tc>
        <w:tc>
          <w:tcPr>
            <w:tcW w:w="686" w:type="dxa"/>
            <w:shd w:val="clear" w:color="auto" w:fill="FBD4B4"/>
          </w:tcPr>
          <w:p w:rsidR="00ED0820" w:rsidRPr="00EB0F2A" w:rsidRDefault="00ED0820" w:rsidP="00BB5D0E">
            <w:pPr>
              <w:spacing w:after="0" w:line="240" w:lineRule="auto"/>
              <w:jc w:val="center"/>
              <w:rPr>
                <w:rFonts w:ascii="Arial Narrow" w:hAnsi="Arial Narrow"/>
                <w:sz w:val="18"/>
              </w:rPr>
            </w:pPr>
          </w:p>
        </w:tc>
        <w:tc>
          <w:tcPr>
            <w:tcW w:w="686" w:type="dxa"/>
            <w:shd w:val="clear" w:color="auto" w:fill="FBD4B4"/>
          </w:tcPr>
          <w:p w:rsidR="00ED0820" w:rsidRPr="00EB0F2A" w:rsidRDefault="00ED0820" w:rsidP="00BB5D0E">
            <w:pPr>
              <w:spacing w:after="0" w:line="240" w:lineRule="auto"/>
              <w:jc w:val="center"/>
              <w:rPr>
                <w:rFonts w:ascii="Arial Narrow" w:hAnsi="Arial Narrow"/>
                <w:sz w:val="18"/>
              </w:rPr>
            </w:pPr>
          </w:p>
        </w:tc>
      </w:tr>
    </w:tbl>
    <w:p w:rsidR="00ED0820" w:rsidRDefault="00ED0820" w:rsidP="00CF25C3">
      <w:pPr>
        <w:rPr>
          <w:rFonts w:ascii="Arial Narrow" w:hAnsi="Arial Narrow" w:cs="Arial"/>
          <w:sz w:val="18"/>
          <w:szCs w:val="18"/>
        </w:rPr>
      </w:pPr>
      <w:r w:rsidRPr="00EB0F2A">
        <w:rPr>
          <w:rFonts w:ascii="Arial Narrow" w:hAnsi="Arial Narrow" w:cs="Arial"/>
          <w:sz w:val="18"/>
          <w:szCs w:val="18"/>
        </w:rPr>
        <w:t>* Include costs relating to both the standard and extended safety net.</w:t>
      </w:r>
    </w:p>
    <w:p w:rsidR="00ED0820" w:rsidRDefault="00ED0820" w:rsidP="0064683E">
      <w:pPr>
        <w:rPr>
          <w:rFonts w:ascii="Arial Narrow" w:hAnsi="Arial Narrow" w:cs="Arial"/>
        </w:rPr>
      </w:pPr>
      <w:r>
        <w:rPr>
          <w:rFonts w:ascii="Arial Narrow" w:hAnsi="Arial Narrow" w:cs="Arial"/>
          <w:vertAlign w:val="superscript"/>
        </w:rPr>
        <w:t xml:space="preserve"> (a) </w:t>
      </w:r>
      <w:r>
        <w:rPr>
          <w:rFonts w:ascii="Arial Narrow" w:hAnsi="Arial Narrow" w:cs="Arial"/>
        </w:rPr>
        <w:t>De</w:t>
      </w:r>
      <w:r w:rsidRPr="009D260D">
        <w:rPr>
          <w:rFonts w:ascii="Arial Narrow" w:hAnsi="Arial Narrow" w:cs="Arial"/>
        </w:rPr>
        <w:t>fined as symptomatic management and orthoptic liver transplant if eligible</w:t>
      </w:r>
    </w:p>
    <w:p w:rsidR="00ED0820" w:rsidRDefault="00ED0820" w:rsidP="0064683E">
      <w:pPr>
        <w:rPr>
          <w:rFonts w:ascii="Arial Narrow" w:hAnsi="Arial Narrow" w:cs="Arial"/>
        </w:rPr>
      </w:pPr>
      <w:r>
        <w:rPr>
          <w:rFonts w:ascii="Arial Narrow" w:hAnsi="Arial Narrow" w:cs="Arial"/>
        </w:rPr>
        <w:t>NB: Genetic counselling is not currently MBS-listed (it may be partially or fully funded by the States, however).</w:t>
      </w:r>
    </w:p>
    <w:p w:rsidR="00ED0820" w:rsidRDefault="00ED0820" w:rsidP="0064683E">
      <w:pPr>
        <w:rPr>
          <w:rFonts w:ascii="Arial Narrow" w:hAnsi="Arial Narrow" w:cs="Arial"/>
        </w:rPr>
      </w:pPr>
    </w:p>
    <w:p w:rsidR="00ED0820" w:rsidRDefault="00ED0820" w:rsidP="0064683E">
      <w:pPr>
        <w:rPr>
          <w:rFonts w:ascii="Arial Narrow" w:hAnsi="Arial Narrow" w:cs="Arial"/>
        </w:rPr>
      </w:pPr>
    </w:p>
    <w:p w:rsidR="00ED0820" w:rsidRPr="00EB0F2A" w:rsidRDefault="00ED0820" w:rsidP="0042242D">
      <w:pPr>
        <w:pStyle w:val="Heading1"/>
      </w:pPr>
      <w:bookmarkStart w:id="30" w:name="_Toc335389122"/>
      <w:r w:rsidRPr="00EB0F2A">
        <w:lastRenderedPageBreak/>
        <w:t>Proposed structure of economic evaluation (decision-analytic)</w:t>
      </w:r>
      <w:bookmarkEnd w:id="30"/>
    </w:p>
    <w:p w:rsidR="00ED0820" w:rsidRPr="00EB0F2A" w:rsidRDefault="00ED0820" w:rsidP="00C873D8">
      <w:pPr>
        <w:pStyle w:val="Caption"/>
        <w:rPr>
          <w:lang w:val="en-AU"/>
        </w:rPr>
      </w:pPr>
      <w:bookmarkStart w:id="31" w:name="_Ref283297696"/>
      <w:r w:rsidRPr="00EB0F2A">
        <w:rPr>
          <w:lang w:val="en-AU"/>
        </w:rPr>
        <w:t xml:space="preserve">Table </w:t>
      </w:r>
      <w:bookmarkEnd w:id="31"/>
      <w:r>
        <w:rPr>
          <w:lang w:val="en-AU"/>
        </w:rPr>
        <w:t>4</w:t>
      </w:r>
      <w:r w:rsidRPr="00EB0F2A">
        <w:rPr>
          <w:lang w:val="en-AU"/>
        </w:rPr>
        <w:t>:  Summary of extended PICO to define research question that assessment will investigate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86"/>
        <w:gridCol w:w="1502"/>
        <w:gridCol w:w="1551"/>
        <w:gridCol w:w="1550"/>
        <w:gridCol w:w="1498"/>
        <w:gridCol w:w="1499"/>
      </w:tblGrid>
      <w:tr w:rsidR="00ED0820" w:rsidRPr="00EB0F2A" w:rsidTr="007C0058">
        <w:tc>
          <w:tcPr>
            <w:tcW w:w="1686" w:type="dxa"/>
          </w:tcPr>
          <w:p w:rsidR="00ED0820" w:rsidRPr="00A84F90" w:rsidRDefault="00ED0820" w:rsidP="00A84F90">
            <w:pPr>
              <w:spacing w:after="0" w:line="240" w:lineRule="auto"/>
              <w:jc w:val="center"/>
              <w:rPr>
                <w:rFonts w:ascii="Arial Narrow" w:hAnsi="Arial Narrow"/>
                <w:b/>
                <w:sz w:val="18"/>
              </w:rPr>
            </w:pPr>
            <w:r w:rsidRPr="00A84F90">
              <w:rPr>
                <w:rFonts w:ascii="Arial Narrow" w:hAnsi="Arial Narrow"/>
                <w:b/>
                <w:sz w:val="18"/>
              </w:rPr>
              <w:t>Patients</w:t>
            </w:r>
          </w:p>
        </w:tc>
        <w:tc>
          <w:tcPr>
            <w:tcW w:w="1502" w:type="dxa"/>
          </w:tcPr>
          <w:p w:rsidR="00ED0820" w:rsidRPr="00A84F90" w:rsidRDefault="00ED0820" w:rsidP="00A84F90">
            <w:pPr>
              <w:tabs>
                <w:tab w:val="left" w:pos="2835"/>
              </w:tabs>
              <w:spacing w:before="40" w:after="0" w:line="240" w:lineRule="auto"/>
              <w:jc w:val="center"/>
              <w:rPr>
                <w:rFonts w:ascii="Arial Narrow" w:hAnsi="Arial Narrow"/>
                <w:b/>
              </w:rPr>
            </w:pPr>
            <w:r w:rsidRPr="00A84F90">
              <w:rPr>
                <w:rFonts w:ascii="Arial Narrow" w:hAnsi="Arial Narrow"/>
                <w:b/>
              </w:rPr>
              <w:t>Prior tests</w:t>
            </w:r>
          </w:p>
        </w:tc>
        <w:tc>
          <w:tcPr>
            <w:tcW w:w="1551" w:type="dxa"/>
          </w:tcPr>
          <w:p w:rsidR="00ED0820" w:rsidRPr="00A84F90" w:rsidRDefault="00ED0820" w:rsidP="00A84F90">
            <w:pPr>
              <w:spacing w:after="0" w:line="240" w:lineRule="auto"/>
              <w:jc w:val="center"/>
              <w:rPr>
                <w:rFonts w:ascii="Arial Narrow" w:hAnsi="Arial Narrow"/>
                <w:b/>
              </w:rPr>
            </w:pPr>
            <w:r w:rsidRPr="00A84F90">
              <w:rPr>
                <w:rFonts w:ascii="Arial Narrow" w:hAnsi="Arial Narrow"/>
                <w:b/>
              </w:rPr>
              <w:t>Intervention</w:t>
            </w:r>
          </w:p>
        </w:tc>
        <w:tc>
          <w:tcPr>
            <w:tcW w:w="1550" w:type="dxa"/>
          </w:tcPr>
          <w:p w:rsidR="00ED0820" w:rsidRPr="00A84F90" w:rsidRDefault="00ED0820" w:rsidP="00A84F90">
            <w:pPr>
              <w:spacing w:after="0" w:line="240" w:lineRule="auto"/>
              <w:jc w:val="center"/>
              <w:rPr>
                <w:rFonts w:ascii="Arial Narrow" w:hAnsi="Arial Narrow"/>
                <w:b/>
                <w:sz w:val="18"/>
              </w:rPr>
            </w:pPr>
            <w:r w:rsidRPr="00A84F90">
              <w:rPr>
                <w:rFonts w:ascii="Arial Narrow" w:hAnsi="Arial Narrow"/>
                <w:b/>
                <w:sz w:val="18"/>
              </w:rPr>
              <w:t>Comparator</w:t>
            </w:r>
          </w:p>
        </w:tc>
        <w:tc>
          <w:tcPr>
            <w:tcW w:w="1498" w:type="dxa"/>
          </w:tcPr>
          <w:p w:rsidR="00ED0820" w:rsidRPr="00A84F90" w:rsidRDefault="00ED0820" w:rsidP="00A84F90">
            <w:pPr>
              <w:spacing w:after="0" w:line="240" w:lineRule="auto"/>
              <w:jc w:val="center"/>
              <w:rPr>
                <w:rFonts w:ascii="Arial Narrow" w:hAnsi="Arial Narrow"/>
                <w:b/>
                <w:sz w:val="18"/>
              </w:rPr>
            </w:pPr>
            <w:r w:rsidRPr="00A84F90">
              <w:rPr>
                <w:rFonts w:ascii="Arial Narrow" w:hAnsi="Arial Narrow"/>
                <w:b/>
                <w:sz w:val="18"/>
              </w:rPr>
              <w:t>Reference standard</w:t>
            </w:r>
          </w:p>
        </w:tc>
        <w:tc>
          <w:tcPr>
            <w:tcW w:w="1499" w:type="dxa"/>
          </w:tcPr>
          <w:p w:rsidR="00ED0820" w:rsidRPr="00A84F90" w:rsidRDefault="00ED0820" w:rsidP="00A84F90">
            <w:pPr>
              <w:spacing w:after="0" w:line="240" w:lineRule="auto"/>
              <w:jc w:val="center"/>
              <w:rPr>
                <w:rFonts w:ascii="Arial Narrow" w:hAnsi="Arial Narrow"/>
                <w:b/>
                <w:sz w:val="18"/>
              </w:rPr>
            </w:pPr>
            <w:r w:rsidRPr="00A84F90">
              <w:rPr>
                <w:rFonts w:ascii="Arial Narrow" w:hAnsi="Arial Narrow"/>
                <w:b/>
                <w:sz w:val="18"/>
              </w:rPr>
              <w:t>Outcome claims</w:t>
            </w:r>
          </w:p>
        </w:tc>
      </w:tr>
      <w:tr w:rsidR="00ED0820" w:rsidRPr="00EB0F2A" w:rsidTr="007C0058">
        <w:trPr>
          <w:trHeight w:val="2750"/>
        </w:trPr>
        <w:tc>
          <w:tcPr>
            <w:tcW w:w="1686" w:type="dxa"/>
          </w:tcPr>
          <w:p w:rsidR="00ED0820" w:rsidRPr="00A84F90" w:rsidRDefault="00ED0820" w:rsidP="00A84F90">
            <w:pPr>
              <w:keepNext/>
              <w:tabs>
                <w:tab w:val="left" w:pos="0"/>
              </w:tabs>
              <w:spacing w:before="40" w:after="120" w:line="240" w:lineRule="auto"/>
              <w:jc w:val="left"/>
              <w:rPr>
                <w:rFonts w:ascii="Arial Narrow" w:hAnsi="Arial Narrow"/>
                <w:sz w:val="18"/>
              </w:rPr>
            </w:pPr>
            <w:r w:rsidRPr="00A84F90">
              <w:rPr>
                <w:rFonts w:ascii="Arial Narrow" w:hAnsi="Arial Narrow" w:cs="Arial"/>
                <w:lang w:eastAsia="ja-JP"/>
              </w:rPr>
              <w:t xml:space="preserve">1. Patients without family history of TTR-FAP, who have </w:t>
            </w:r>
            <w:r w:rsidR="00F76141">
              <w:rPr>
                <w:rFonts w:ascii="Arial Narrow" w:hAnsi="Arial Narrow" w:cs="Arial"/>
                <w:lang w:eastAsia="ja-JP"/>
              </w:rPr>
              <w:t xml:space="preserve">neurological or cardiac </w:t>
            </w:r>
            <w:r w:rsidR="00E9194A">
              <w:rPr>
                <w:rFonts w:ascii="Arial Narrow" w:hAnsi="Arial Narrow" w:cs="Arial"/>
                <w:lang w:eastAsia="ja-JP"/>
              </w:rPr>
              <w:t>symptoms of TTR-FAP, and biopsy-proven amyloid</w:t>
            </w:r>
          </w:p>
        </w:tc>
        <w:tc>
          <w:tcPr>
            <w:tcW w:w="1502" w:type="dxa"/>
          </w:tcPr>
          <w:p w:rsidR="00ED0820" w:rsidRPr="00A84F90" w:rsidRDefault="00ED0820" w:rsidP="00901D83">
            <w:pPr>
              <w:tabs>
                <w:tab w:val="left" w:pos="2835"/>
              </w:tabs>
              <w:spacing w:before="40" w:after="0" w:line="240" w:lineRule="auto"/>
              <w:jc w:val="left"/>
              <w:rPr>
                <w:rFonts w:ascii="Arial Narrow" w:hAnsi="Arial Narrow"/>
              </w:rPr>
            </w:pPr>
            <w:r w:rsidRPr="00A84F90">
              <w:rPr>
                <w:rFonts w:ascii="Arial Narrow" w:hAnsi="Arial Narrow"/>
              </w:rPr>
              <w:t xml:space="preserve">Tissue biopsy </w:t>
            </w:r>
          </w:p>
        </w:tc>
        <w:tc>
          <w:tcPr>
            <w:tcW w:w="1551" w:type="dxa"/>
          </w:tcPr>
          <w:p w:rsidR="00ED0820" w:rsidRPr="00A84F90" w:rsidRDefault="00ED0820" w:rsidP="00A84F90">
            <w:pPr>
              <w:spacing w:after="0" w:line="240" w:lineRule="auto"/>
              <w:jc w:val="left"/>
              <w:rPr>
                <w:rFonts w:ascii="Arial Narrow" w:hAnsi="Arial Narrow"/>
              </w:rPr>
            </w:pPr>
            <w:r w:rsidRPr="00A84F90">
              <w:rPr>
                <w:rFonts w:ascii="Arial Narrow" w:hAnsi="Arial Narrow"/>
              </w:rPr>
              <w:t>Genetic testing for TTR mutations and use of tafamidis in patients with confirmed TTR</w:t>
            </w:r>
          </w:p>
        </w:tc>
        <w:tc>
          <w:tcPr>
            <w:tcW w:w="1550" w:type="dxa"/>
            <w:vMerge w:val="restart"/>
          </w:tcPr>
          <w:p w:rsidR="009B16E7" w:rsidRDefault="00ED0820" w:rsidP="00A84F90">
            <w:pPr>
              <w:spacing w:after="0" w:line="240" w:lineRule="auto"/>
              <w:jc w:val="left"/>
              <w:rPr>
                <w:rFonts w:ascii="Arial Narrow" w:hAnsi="Arial Narrow"/>
              </w:rPr>
            </w:pPr>
            <w:r w:rsidRPr="00A84F90">
              <w:rPr>
                <w:rFonts w:ascii="Arial Narrow" w:hAnsi="Arial Narrow"/>
              </w:rPr>
              <w:t>No genetic testing and standard care*</w:t>
            </w:r>
          </w:p>
          <w:p w:rsidR="009B16E7" w:rsidRDefault="009B16E7" w:rsidP="00A84F90">
            <w:pPr>
              <w:spacing w:after="0" w:line="240" w:lineRule="auto"/>
              <w:jc w:val="left"/>
              <w:rPr>
                <w:rFonts w:ascii="Arial Narrow" w:hAnsi="Arial Narrow"/>
              </w:rPr>
            </w:pPr>
          </w:p>
          <w:p w:rsidR="00ED0820" w:rsidRPr="00A84F90" w:rsidRDefault="00ED0820" w:rsidP="00A84F90">
            <w:pPr>
              <w:spacing w:after="0" w:line="240" w:lineRule="auto"/>
              <w:jc w:val="left"/>
              <w:rPr>
                <w:rFonts w:ascii="Arial Narrow" w:hAnsi="Arial Narrow"/>
              </w:rPr>
            </w:pPr>
            <w:r w:rsidRPr="00A84F90">
              <w:rPr>
                <w:rFonts w:ascii="Arial Narrow" w:hAnsi="Arial Narrow"/>
              </w:rPr>
              <w:t xml:space="preserve">*Standard care </w:t>
            </w:r>
            <w:r w:rsidR="007C0058">
              <w:rPr>
                <w:rFonts w:ascii="Arial Narrow" w:hAnsi="Arial Narrow"/>
              </w:rPr>
              <w:t>includes</w:t>
            </w:r>
            <w:r w:rsidRPr="00A84F90">
              <w:rPr>
                <w:rFonts w:ascii="Arial Narrow" w:hAnsi="Arial Narrow"/>
              </w:rPr>
              <w:t xml:space="preserve"> symptom management and orthoptic liver transplant  with lifelong immunosup-presants (for eligible patients)</w:t>
            </w:r>
          </w:p>
          <w:p w:rsidR="00ED0820" w:rsidRPr="00A84F90" w:rsidRDefault="00ED0820" w:rsidP="00A84F90">
            <w:pPr>
              <w:spacing w:after="0" w:line="240" w:lineRule="auto"/>
              <w:jc w:val="left"/>
              <w:rPr>
                <w:rFonts w:ascii="Arial Narrow" w:hAnsi="Arial Narrow"/>
              </w:rPr>
            </w:pPr>
          </w:p>
        </w:tc>
        <w:tc>
          <w:tcPr>
            <w:tcW w:w="1498" w:type="dxa"/>
            <w:vMerge w:val="restart"/>
          </w:tcPr>
          <w:p w:rsidR="00ED0820" w:rsidRPr="00A84F90" w:rsidRDefault="00ED0820" w:rsidP="00233042">
            <w:pPr>
              <w:spacing w:after="0" w:line="240" w:lineRule="auto"/>
              <w:jc w:val="left"/>
              <w:rPr>
                <w:rFonts w:ascii="Arial Narrow" w:hAnsi="Arial Narrow"/>
              </w:rPr>
            </w:pPr>
            <w:r w:rsidRPr="00A84F90">
              <w:rPr>
                <w:rFonts w:ascii="Arial Narrow" w:hAnsi="Arial Narrow"/>
              </w:rPr>
              <w:t>Not available</w:t>
            </w:r>
          </w:p>
        </w:tc>
        <w:tc>
          <w:tcPr>
            <w:tcW w:w="1499" w:type="dxa"/>
            <w:vMerge w:val="restart"/>
          </w:tcPr>
          <w:p w:rsidR="00901D83" w:rsidRPr="00901D83" w:rsidRDefault="00901D83" w:rsidP="00901D83">
            <w:pPr>
              <w:spacing w:after="0" w:line="240" w:lineRule="auto"/>
              <w:jc w:val="left"/>
              <w:rPr>
                <w:rFonts w:ascii="Arial Narrow" w:hAnsi="Arial Narrow"/>
                <w:i/>
              </w:rPr>
            </w:pPr>
            <w:r w:rsidRPr="00901D83">
              <w:rPr>
                <w:rFonts w:ascii="Arial Narrow" w:hAnsi="Arial Narrow"/>
                <w:i/>
              </w:rPr>
              <w:t xml:space="preserve">Safety: </w:t>
            </w:r>
          </w:p>
          <w:p w:rsidR="00901D83" w:rsidRDefault="00901D83" w:rsidP="00901D83">
            <w:pPr>
              <w:spacing w:after="0" w:line="240" w:lineRule="auto"/>
              <w:jc w:val="left"/>
              <w:rPr>
                <w:rFonts w:ascii="Arial Narrow" w:hAnsi="Arial Narrow"/>
              </w:rPr>
            </w:pPr>
            <w:r w:rsidRPr="00A84F90">
              <w:rPr>
                <w:rFonts w:ascii="Arial Narrow" w:hAnsi="Arial Narrow"/>
              </w:rPr>
              <w:t>Any adverse events arising from the genetic test</w:t>
            </w:r>
          </w:p>
          <w:p w:rsidR="00901D83" w:rsidRDefault="00901D83" w:rsidP="00901D83">
            <w:pPr>
              <w:spacing w:after="0" w:line="240" w:lineRule="auto"/>
              <w:jc w:val="left"/>
              <w:rPr>
                <w:rFonts w:ascii="Arial Narrow" w:hAnsi="Arial Narrow"/>
              </w:rPr>
            </w:pPr>
          </w:p>
          <w:p w:rsidR="00233042" w:rsidRDefault="00233042" w:rsidP="00901D83">
            <w:pPr>
              <w:spacing w:after="0" w:line="240" w:lineRule="auto"/>
              <w:jc w:val="left"/>
              <w:rPr>
                <w:rFonts w:ascii="Arial Narrow" w:hAnsi="Arial Narrow"/>
              </w:rPr>
            </w:pPr>
            <w:r w:rsidRPr="00233042">
              <w:rPr>
                <w:rFonts w:ascii="Arial Narrow" w:hAnsi="Arial Narrow"/>
                <w:i/>
              </w:rPr>
              <w:t>Analytic performance of  the test</w:t>
            </w:r>
          </w:p>
          <w:p w:rsidR="00233042" w:rsidRDefault="00233042" w:rsidP="00901D83">
            <w:pPr>
              <w:spacing w:after="0" w:line="240" w:lineRule="auto"/>
              <w:jc w:val="left"/>
              <w:rPr>
                <w:rFonts w:ascii="Arial Narrow" w:hAnsi="Arial Narrow"/>
              </w:rPr>
            </w:pPr>
            <w:r>
              <w:rPr>
                <w:rFonts w:ascii="Arial Narrow" w:hAnsi="Arial Narrow"/>
              </w:rPr>
              <w:t>- Specificity</w:t>
            </w:r>
          </w:p>
          <w:p w:rsidR="00233042" w:rsidRDefault="00233042" w:rsidP="00901D83">
            <w:pPr>
              <w:spacing w:after="0" w:line="240" w:lineRule="auto"/>
              <w:jc w:val="left"/>
              <w:rPr>
                <w:rFonts w:ascii="Arial Narrow" w:hAnsi="Arial Narrow"/>
              </w:rPr>
            </w:pPr>
            <w:r>
              <w:rPr>
                <w:rFonts w:ascii="Arial Narrow" w:hAnsi="Arial Narrow"/>
              </w:rPr>
              <w:t>- Sensitivity</w:t>
            </w:r>
          </w:p>
          <w:p w:rsidR="00233042" w:rsidRDefault="00233042" w:rsidP="00901D83">
            <w:pPr>
              <w:spacing w:after="0" w:line="240" w:lineRule="auto"/>
              <w:jc w:val="left"/>
              <w:rPr>
                <w:rFonts w:ascii="Arial Narrow" w:hAnsi="Arial Narrow"/>
              </w:rPr>
            </w:pPr>
            <w:r>
              <w:rPr>
                <w:rFonts w:ascii="Arial Narrow" w:hAnsi="Arial Narrow"/>
              </w:rPr>
              <w:t>- NPV</w:t>
            </w:r>
          </w:p>
          <w:p w:rsidR="00233042" w:rsidRPr="00233042" w:rsidRDefault="00233042" w:rsidP="00901D83">
            <w:pPr>
              <w:spacing w:after="0" w:line="240" w:lineRule="auto"/>
              <w:jc w:val="left"/>
              <w:rPr>
                <w:rFonts w:ascii="Arial Narrow" w:hAnsi="Arial Narrow"/>
              </w:rPr>
            </w:pPr>
            <w:r>
              <w:rPr>
                <w:rFonts w:ascii="Arial Narrow" w:hAnsi="Arial Narrow"/>
              </w:rPr>
              <w:t>- PPV</w:t>
            </w:r>
          </w:p>
          <w:p w:rsidR="00233042" w:rsidRDefault="00233042" w:rsidP="00901D83">
            <w:pPr>
              <w:spacing w:after="0" w:line="240" w:lineRule="auto"/>
              <w:jc w:val="left"/>
              <w:rPr>
                <w:rFonts w:ascii="Arial Narrow" w:hAnsi="Arial Narrow"/>
              </w:rPr>
            </w:pPr>
          </w:p>
          <w:p w:rsidR="00ED0820" w:rsidRPr="00901D83" w:rsidRDefault="00ED0820" w:rsidP="00A84F90">
            <w:pPr>
              <w:spacing w:after="0" w:line="240" w:lineRule="auto"/>
              <w:jc w:val="left"/>
              <w:rPr>
                <w:rFonts w:ascii="Arial Narrow" w:hAnsi="Arial Narrow"/>
                <w:i/>
              </w:rPr>
            </w:pPr>
            <w:r w:rsidRPr="00901D83">
              <w:rPr>
                <w:rFonts w:ascii="Arial Narrow" w:hAnsi="Arial Narrow"/>
                <w:i/>
              </w:rPr>
              <w:t xml:space="preserve">Effectiveness: </w:t>
            </w:r>
          </w:p>
          <w:p w:rsidR="00ED0820" w:rsidRPr="00A84F90" w:rsidRDefault="00ED0820" w:rsidP="00A84F90">
            <w:pPr>
              <w:spacing w:after="0" w:line="240" w:lineRule="auto"/>
              <w:jc w:val="left"/>
              <w:rPr>
                <w:rFonts w:ascii="Arial Narrow" w:hAnsi="Arial Narrow"/>
              </w:rPr>
            </w:pPr>
            <w:r w:rsidRPr="00A84F90">
              <w:rPr>
                <w:rFonts w:ascii="Arial Narrow" w:hAnsi="Arial Narrow"/>
              </w:rPr>
              <w:t>- Neuropathy Impairment Score</w:t>
            </w:r>
          </w:p>
          <w:p w:rsidR="00ED0820" w:rsidRPr="00A84F90" w:rsidRDefault="00ED0820" w:rsidP="00A84F90">
            <w:pPr>
              <w:spacing w:after="0" w:line="240" w:lineRule="auto"/>
              <w:jc w:val="left"/>
              <w:rPr>
                <w:rFonts w:ascii="Arial Narrow" w:hAnsi="Arial Narrow"/>
              </w:rPr>
            </w:pPr>
            <w:r w:rsidRPr="00A84F90">
              <w:rPr>
                <w:rFonts w:ascii="Arial Narrow" w:hAnsi="Arial Narrow"/>
              </w:rPr>
              <w:t>- Norfolk QoL (Diabetic neuropathy)</w:t>
            </w:r>
          </w:p>
          <w:p w:rsidR="00ED0820" w:rsidRPr="00A84F90" w:rsidRDefault="00ED0820" w:rsidP="00A84F90">
            <w:pPr>
              <w:spacing w:after="0" w:line="240" w:lineRule="auto"/>
              <w:jc w:val="left"/>
              <w:rPr>
                <w:rFonts w:ascii="Arial Narrow" w:hAnsi="Arial Narrow"/>
              </w:rPr>
            </w:pPr>
            <w:r w:rsidRPr="00A84F90">
              <w:rPr>
                <w:rFonts w:ascii="Arial Narrow" w:hAnsi="Arial Narrow"/>
              </w:rPr>
              <w:t>- Modified BMI</w:t>
            </w:r>
          </w:p>
          <w:p w:rsidR="00ED0820" w:rsidRPr="00A84F90" w:rsidRDefault="00ED0820" w:rsidP="00A84F90">
            <w:pPr>
              <w:spacing w:after="0" w:line="240" w:lineRule="auto"/>
              <w:jc w:val="left"/>
              <w:rPr>
                <w:rFonts w:ascii="Arial Narrow" w:hAnsi="Arial Narrow"/>
              </w:rPr>
            </w:pPr>
            <w:r w:rsidRPr="00A84F90">
              <w:rPr>
                <w:rFonts w:ascii="Arial Narrow" w:hAnsi="Arial Narrow"/>
              </w:rPr>
              <w:t>- Composite endpoints measuring small and large nerve fibre function</w:t>
            </w:r>
          </w:p>
          <w:p w:rsidR="00ED0820" w:rsidRDefault="00ED0820" w:rsidP="00A84F90">
            <w:pPr>
              <w:spacing w:after="0" w:line="240" w:lineRule="auto"/>
              <w:jc w:val="left"/>
              <w:rPr>
                <w:rFonts w:ascii="Arial Narrow" w:hAnsi="Arial Narrow"/>
              </w:rPr>
            </w:pPr>
          </w:p>
          <w:p w:rsidR="00233042" w:rsidRPr="00233042" w:rsidRDefault="00233042" w:rsidP="00A84F90">
            <w:pPr>
              <w:spacing w:after="0" w:line="240" w:lineRule="auto"/>
              <w:jc w:val="left"/>
              <w:rPr>
                <w:rFonts w:ascii="Arial Narrow" w:hAnsi="Arial Narrow"/>
                <w:i/>
              </w:rPr>
            </w:pPr>
            <w:r w:rsidRPr="00233042">
              <w:rPr>
                <w:rFonts w:ascii="Arial Narrow" w:hAnsi="Arial Narrow"/>
                <w:i/>
              </w:rPr>
              <w:t xml:space="preserve">PASC also requests details on: </w:t>
            </w:r>
          </w:p>
          <w:p w:rsidR="00233042" w:rsidRDefault="00233042" w:rsidP="00A84F90">
            <w:pPr>
              <w:spacing w:after="0" w:line="240" w:lineRule="auto"/>
              <w:jc w:val="left"/>
              <w:rPr>
                <w:rFonts w:ascii="Arial Narrow" w:hAnsi="Arial Narrow"/>
              </w:rPr>
            </w:pPr>
            <w:r>
              <w:rPr>
                <w:rFonts w:ascii="Arial Narrow" w:hAnsi="Arial Narrow"/>
              </w:rPr>
              <w:t>- # patients tested per TTR-FAP case detected</w:t>
            </w:r>
          </w:p>
          <w:p w:rsidR="00233042" w:rsidRDefault="00233042" w:rsidP="00233042">
            <w:pPr>
              <w:spacing w:after="0" w:line="240" w:lineRule="auto"/>
              <w:jc w:val="left"/>
              <w:rPr>
                <w:rFonts w:ascii="Arial Narrow" w:hAnsi="Arial Narrow"/>
              </w:rPr>
            </w:pPr>
            <w:r>
              <w:rPr>
                <w:rFonts w:ascii="Arial Narrow" w:hAnsi="Arial Narrow"/>
              </w:rPr>
              <w:t>- # patients tested per TTR-FAP case treated</w:t>
            </w:r>
          </w:p>
          <w:p w:rsidR="00233042" w:rsidRDefault="00233042" w:rsidP="00233042">
            <w:pPr>
              <w:spacing w:after="0" w:line="240" w:lineRule="auto"/>
              <w:jc w:val="left"/>
              <w:rPr>
                <w:rFonts w:ascii="Arial Narrow" w:hAnsi="Arial Narrow"/>
              </w:rPr>
            </w:pPr>
            <w:r>
              <w:rPr>
                <w:rFonts w:ascii="Arial Narrow" w:hAnsi="Arial Narrow"/>
              </w:rPr>
              <w:t>- cost of testing per case detected</w:t>
            </w:r>
          </w:p>
          <w:p w:rsidR="00ED0820" w:rsidRPr="00A84F90" w:rsidRDefault="00233042" w:rsidP="009B16E7">
            <w:pPr>
              <w:spacing w:after="0" w:line="240" w:lineRule="auto"/>
              <w:jc w:val="left"/>
              <w:rPr>
                <w:rFonts w:ascii="Arial Narrow" w:hAnsi="Arial Narrow"/>
              </w:rPr>
            </w:pPr>
            <w:r>
              <w:rPr>
                <w:rFonts w:ascii="Arial Narrow" w:hAnsi="Arial Narrow"/>
              </w:rPr>
              <w:t>- cost of testing per case treated</w:t>
            </w:r>
          </w:p>
        </w:tc>
      </w:tr>
      <w:tr w:rsidR="007C0058" w:rsidRPr="00EB0F2A" w:rsidTr="007C0058">
        <w:trPr>
          <w:trHeight w:val="4383"/>
        </w:trPr>
        <w:tc>
          <w:tcPr>
            <w:tcW w:w="1686" w:type="dxa"/>
          </w:tcPr>
          <w:p w:rsidR="007C0058" w:rsidRPr="00A84F90" w:rsidRDefault="007C0058" w:rsidP="00A84F90">
            <w:pPr>
              <w:keepNext/>
              <w:tabs>
                <w:tab w:val="left" w:pos="0"/>
              </w:tabs>
              <w:spacing w:before="40" w:after="120" w:line="240" w:lineRule="auto"/>
              <w:jc w:val="left"/>
              <w:rPr>
                <w:rFonts w:ascii="Arial Narrow" w:hAnsi="Arial Narrow" w:cs="Arial"/>
                <w:lang w:eastAsia="ja-JP"/>
              </w:rPr>
            </w:pPr>
            <w:r w:rsidRPr="00A84F90">
              <w:rPr>
                <w:rFonts w:ascii="Arial Narrow" w:hAnsi="Arial Narrow" w:cs="Arial"/>
                <w:lang w:eastAsia="ja-JP"/>
              </w:rPr>
              <w:t xml:space="preserve">2. Patients with family history of TTR-FAP, who have </w:t>
            </w:r>
            <w:r w:rsidR="00F76141">
              <w:rPr>
                <w:rFonts w:ascii="Arial Narrow" w:hAnsi="Arial Narrow" w:cs="Arial"/>
                <w:lang w:eastAsia="ja-JP"/>
              </w:rPr>
              <w:t>neurological or cardiac</w:t>
            </w:r>
            <w:r w:rsidR="00F76141" w:rsidRPr="00A84F90">
              <w:rPr>
                <w:rFonts w:ascii="Arial Narrow" w:hAnsi="Arial Narrow" w:cs="Arial"/>
                <w:lang w:eastAsia="ja-JP"/>
              </w:rPr>
              <w:t xml:space="preserve"> </w:t>
            </w:r>
            <w:r w:rsidRPr="00A84F90">
              <w:rPr>
                <w:rFonts w:ascii="Arial Narrow" w:hAnsi="Arial Narrow" w:cs="Arial"/>
                <w:lang w:eastAsia="ja-JP"/>
              </w:rPr>
              <w:t>symptoms of TTR-FAP</w:t>
            </w:r>
          </w:p>
        </w:tc>
        <w:tc>
          <w:tcPr>
            <w:tcW w:w="1502" w:type="dxa"/>
          </w:tcPr>
          <w:p w:rsidR="007C0058" w:rsidRPr="00A84F90" w:rsidRDefault="007C0058" w:rsidP="00A84F90">
            <w:pPr>
              <w:tabs>
                <w:tab w:val="left" w:pos="2835"/>
              </w:tabs>
              <w:spacing w:before="40" w:after="0" w:line="240" w:lineRule="auto"/>
              <w:jc w:val="left"/>
              <w:rPr>
                <w:rFonts w:ascii="Arial Narrow" w:hAnsi="Arial Narrow"/>
              </w:rPr>
            </w:pPr>
            <w:r w:rsidRPr="00A84F90">
              <w:rPr>
                <w:rFonts w:ascii="Arial Narrow" w:hAnsi="Arial Narrow"/>
              </w:rPr>
              <w:t>N/A</w:t>
            </w:r>
          </w:p>
        </w:tc>
        <w:tc>
          <w:tcPr>
            <w:tcW w:w="1551" w:type="dxa"/>
          </w:tcPr>
          <w:p w:rsidR="007C0058" w:rsidRPr="00A84F90" w:rsidRDefault="007C0058" w:rsidP="00A84F90">
            <w:pPr>
              <w:tabs>
                <w:tab w:val="left" w:pos="2835"/>
              </w:tabs>
              <w:spacing w:before="40" w:after="0" w:line="240" w:lineRule="auto"/>
              <w:jc w:val="left"/>
              <w:rPr>
                <w:rFonts w:ascii="Arial Narrow" w:hAnsi="Arial Narrow"/>
              </w:rPr>
            </w:pPr>
            <w:r w:rsidRPr="00A84F90">
              <w:rPr>
                <w:rFonts w:ascii="Arial Narrow" w:hAnsi="Arial Narrow"/>
              </w:rPr>
              <w:t>Genetic testing for TTR mutations and use of tafamidis in patients with confirmed TTR mutation</w:t>
            </w:r>
          </w:p>
        </w:tc>
        <w:tc>
          <w:tcPr>
            <w:tcW w:w="1550" w:type="dxa"/>
            <w:vMerge/>
          </w:tcPr>
          <w:p w:rsidR="007C0058" w:rsidRPr="00A84F90" w:rsidRDefault="007C0058" w:rsidP="00A84F90">
            <w:pPr>
              <w:tabs>
                <w:tab w:val="left" w:pos="2835"/>
              </w:tabs>
              <w:spacing w:before="40" w:after="0" w:line="240" w:lineRule="auto"/>
              <w:jc w:val="left"/>
              <w:rPr>
                <w:rFonts w:ascii="Arial Narrow" w:hAnsi="Arial Narrow"/>
                <w:sz w:val="18"/>
              </w:rPr>
            </w:pPr>
          </w:p>
        </w:tc>
        <w:tc>
          <w:tcPr>
            <w:tcW w:w="1498" w:type="dxa"/>
            <w:vMerge/>
          </w:tcPr>
          <w:p w:rsidR="007C0058" w:rsidRPr="00A84F90" w:rsidRDefault="007C0058" w:rsidP="00A84F90">
            <w:pPr>
              <w:tabs>
                <w:tab w:val="left" w:pos="2835"/>
              </w:tabs>
              <w:spacing w:before="40" w:after="0" w:line="240" w:lineRule="auto"/>
              <w:jc w:val="left"/>
              <w:rPr>
                <w:rFonts w:ascii="Arial Narrow" w:hAnsi="Arial Narrow"/>
                <w:sz w:val="18"/>
              </w:rPr>
            </w:pPr>
          </w:p>
        </w:tc>
        <w:tc>
          <w:tcPr>
            <w:tcW w:w="1499" w:type="dxa"/>
            <w:vMerge/>
          </w:tcPr>
          <w:p w:rsidR="007C0058" w:rsidRPr="00A84F90" w:rsidRDefault="007C0058" w:rsidP="00A84F90">
            <w:pPr>
              <w:tabs>
                <w:tab w:val="left" w:pos="2835"/>
              </w:tabs>
              <w:spacing w:before="40" w:after="0" w:line="240" w:lineRule="auto"/>
              <w:jc w:val="left"/>
              <w:rPr>
                <w:rFonts w:ascii="Arial Narrow" w:hAnsi="Arial Narrow"/>
                <w:sz w:val="18"/>
              </w:rPr>
            </w:pPr>
          </w:p>
        </w:tc>
      </w:tr>
    </w:tbl>
    <w:p w:rsidR="00ED0820" w:rsidRDefault="00ED0820" w:rsidP="000901A8">
      <w:pPr>
        <w:rPr>
          <w:highlight w:val="yellow"/>
        </w:rPr>
      </w:pPr>
    </w:p>
    <w:p w:rsidR="007C0058" w:rsidRDefault="007C0058" w:rsidP="000901A8">
      <w:pPr>
        <w:rPr>
          <w:highlight w:val="yellow"/>
        </w:rPr>
      </w:pPr>
    </w:p>
    <w:p w:rsidR="009B16E7" w:rsidRDefault="009B16E7" w:rsidP="00C81605">
      <w:pPr>
        <w:pStyle w:val="Heading1"/>
        <w:sectPr w:rsidR="009B16E7" w:rsidSect="003D2916">
          <w:headerReference w:type="even" r:id="rId11"/>
          <w:headerReference w:type="default" r:id="rId12"/>
          <w:footerReference w:type="even" r:id="rId13"/>
          <w:footerReference w:type="default" r:id="rId14"/>
          <w:headerReference w:type="first" r:id="rId15"/>
          <w:footerReference w:type="first" r:id="rId16"/>
          <w:pgSz w:w="11906" w:h="16838"/>
          <w:pgMar w:top="1361" w:right="1418" w:bottom="1361" w:left="1418" w:header="709" w:footer="709" w:gutter="0"/>
          <w:cols w:space="708"/>
          <w:titlePg/>
          <w:docGrid w:linePitch="360"/>
        </w:sectPr>
      </w:pPr>
      <w:bookmarkStart w:id="32" w:name="_Toc335389123"/>
    </w:p>
    <w:p w:rsidR="00ED0820" w:rsidRPr="00EB0F2A" w:rsidRDefault="00ED0820" w:rsidP="00C81605">
      <w:pPr>
        <w:pStyle w:val="Heading1"/>
      </w:pPr>
      <w:r>
        <w:lastRenderedPageBreak/>
        <w:t>Decision analytic tree</w:t>
      </w:r>
      <w:bookmarkEnd w:id="32"/>
    </w:p>
    <w:p w:rsidR="00ED0820" w:rsidRPr="00932114" w:rsidRDefault="00ED0820" w:rsidP="00FF22F0">
      <w:r>
        <w:t>Decision analytic trees compare the clinical pathway without publicly-funded genetic test for TTR, to the clinical pathway with a publicly funded TTR test. Figure 4 reflects the clinical pathway for symptomatic patients with family history of TTR-FAP,</w:t>
      </w:r>
      <w:r w:rsidR="008408C1">
        <w:t xml:space="preserve"> and</w:t>
      </w:r>
      <w:r>
        <w:t xml:space="preserve"> Figure 5 reflects the clinical pathway for symptomatic patients without family history of TTR-FAP. </w:t>
      </w:r>
    </w:p>
    <w:p w:rsidR="00ED0820" w:rsidRPr="00066CDE" w:rsidDel="00420B62" w:rsidRDefault="00ED0820" w:rsidP="00420B62">
      <w:pPr>
        <w:pStyle w:val="Caption"/>
      </w:pPr>
      <w:r>
        <w:rPr>
          <w:lang w:val="en-AU"/>
        </w:rPr>
        <w:t>Figure</w:t>
      </w:r>
      <w:r w:rsidRPr="00EB0F2A">
        <w:rPr>
          <w:lang w:val="en-AU"/>
        </w:rPr>
        <w:t xml:space="preserve"> </w:t>
      </w:r>
      <w:r>
        <w:rPr>
          <w:lang w:val="en-AU"/>
        </w:rPr>
        <w:t>4</w:t>
      </w:r>
      <w:r w:rsidRPr="00EB0F2A">
        <w:rPr>
          <w:lang w:val="en-AU"/>
        </w:rPr>
        <w:t>:</w:t>
      </w:r>
      <w:r w:rsidRPr="00EB0F2A">
        <w:rPr>
          <w:lang w:val="en-AU"/>
        </w:rPr>
        <w:tab/>
      </w:r>
      <w:r>
        <w:rPr>
          <w:lang w:val="en-AU"/>
        </w:rPr>
        <w:t xml:space="preserve">  Decision analytic tree for symptomatic patients with family history of TTR-FAP</w:t>
      </w:r>
    </w:p>
    <w:p w:rsidR="00ED0820" w:rsidRDefault="00ED0820" w:rsidP="00320CB4">
      <w:pPr>
        <w:rPr>
          <w:noProof/>
          <w:lang w:eastAsia="en-AU"/>
        </w:rPr>
      </w:pPr>
    </w:p>
    <w:p w:rsidR="006C7955" w:rsidRDefault="006C7955" w:rsidP="00320CB4">
      <w:r>
        <w:rPr>
          <w:noProof/>
          <w:lang w:eastAsia="en-AU"/>
        </w:rPr>
        <w:drawing>
          <wp:inline distT="0" distB="0" distL="0" distR="0" wp14:anchorId="0DEEDCCE" wp14:editId="1F99838F">
            <wp:extent cx="5775267" cy="2424023"/>
            <wp:effectExtent l="0" t="0" r="0" b="0"/>
            <wp:docPr id="13" name="Picture 13" title="Decision analytic tree for symptomatic patients with family history of TTR-F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a:srcRect l="24365" t="8614" r="10380" b="57116"/>
                    <a:stretch>
                      <a:fillRect/>
                    </a:stretch>
                  </pic:blipFill>
                  <pic:spPr bwMode="auto">
                    <a:xfrm>
                      <a:off x="0" y="0"/>
                      <a:ext cx="5778028" cy="2425182"/>
                    </a:xfrm>
                    <a:prstGeom prst="rect">
                      <a:avLst/>
                    </a:prstGeom>
                    <a:noFill/>
                    <a:ln w="9525">
                      <a:noFill/>
                      <a:miter lim="800000"/>
                      <a:headEnd/>
                      <a:tailEnd/>
                    </a:ln>
                  </pic:spPr>
                </pic:pic>
              </a:graphicData>
            </a:graphic>
          </wp:inline>
        </w:drawing>
      </w:r>
    </w:p>
    <w:p w:rsidR="00ED0820" w:rsidRPr="00066CDE" w:rsidDel="00420B62" w:rsidRDefault="00ED0820" w:rsidP="00FF22F0">
      <w:pPr>
        <w:pStyle w:val="Caption"/>
      </w:pPr>
      <w:r>
        <w:rPr>
          <w:lang w:val="en-AU"/>
        </w:rPr>
        <w:t>Figure</w:t>
      </w:r>
      <w:r w:rsidRPr="00EB0F2A">
        <w:rPr>
          <w:lang w:val="en-AU"/>
        </w:rPr>
        <w:t xml:space="preserve"> </w:t>
      </w:r>
      <w:r>
        <w:rPr>
          <w:lang w:val="en-AU"/>
        </w:rPr>
        <w:t>5</w:t>
      </w:r>
      <w:r w:rsidRPr="00EB0F2A">
        <w:rPr>
          <w:lang w:val="en-AU"/>
        </w:rPr>
        <w:t>:</w:t>
      </w:r>
      <w:r w:rsidRPr="00EB0F2A">
        <w:rPr>
          <w:lang w:val="en-AU"/>
        </w:rPr>
        <w:tab/>
      </w:r>
      <w:r>
        <w:rPr>
          <w:lang w:val="en-AU"/>
        </w:rPr>
        <w:t xml:space="preserve">  Decision analytic tree for symptomatic patients without family history of TTR-FAP</w:t>
      </w:r>
    </w:p>
    <w:p w:rsidR="00ED0820" w:rsidRDefault="00ED0820" w:rsidP="00320CB4">
      <w:pPr>
        <w:rPr>
          <w:noProof/>
          <w:lang w:eastAsia="en-AU"/>
        </w:rPr>
      </w:pPr>
    </w:p>
    <w:p w:rsidR="006C7955" w:rsidRDefault="006C7955" w:rsidP="00320CB4">
      <w:r>
        <w:rPr>
          <w:noProof/>
          <w:lang w:eastAsia="en-AU"/>
        </w:rPr>
        <w:drawing>
          <wp:inline distT="0" distB="0" distL="0" distR="0" wp14:anchorId="5F58D72E" wp14:editId="6E43FA2E">
            <wp:extent cx="5759126" cy="1992702"/>
            <wp:effectExtent l="0" t="0" r="0" b="7620"/>
            <wp:docPr id="16" name="Picture 16" title="Decision analytic tree for symptomatic patients without family history of TTR-F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a:srcRect l="16283" t="8989" r="4989" b="56929"/>
                    <a:stretch>
                      <a:fillRect/>
                    </a:stretch>
                  </pic:blipFill>
                  <pic:spPr bwMode="auto">
                    <a:xfrm>
                      <a:off x="0" y="0"/>
                      <a:ext cx="5761409" cy="1993492"/>
                    </a:xfrm>
                    <a:prstGeom prst="rect">
                      <a:avLst/>
                    </a:prstGeom>
                    <a:noFill/>
                    <a:ln w="9525">
                      <a:noFill/>
                      <a:miter lim="800000"/>
                      <a:headEnd/>
                      <a:tailEnd/>
                    </a:ln>
                  </pic:spPr>
                </pic:pic>
              </a:graphicData>
            </a:graphic>
          </wp:inline>
        </w:drawing>
      </w:r>
    </w:p>
    <w:p w:rsidR="006E2D9B" w:rsidRDefault="006E2D9B">
      <w:pPr>
        <w:spacing w:after="0" w:line="240" w:lineRule="auto"/>
        <w:jc w:val="left"/>
      </w:pPr>
      <w:r>
        <w:br w:type="page"/>
      </w:r>
    </w:p>
    <w:p w:rsidR="00ED0820" w:rsidRPr="00EB0F2A" w:rsidRDefault="00ED0820" w:rsidP="00491CE6">
      <w:pPr>
        <w:pStyle w:val="Heading1"/>
      </w:pPr>
      <w:bookmarkStart w:id="33" w:name="_Toc335389124"/>
      <w:r>
        <w:lastRenderedPageBreak/>
        <w:t>References</w:t>
      </w:r>
      <w:bookmarkEnd w:id="33"/>
    </w:p>
    <w:p w:rsidR="00ED0820" w:rsidRDefault="00ED0820" w:rsidP="004F4C81">
      <w:pPr>
        <w:jc w:val="left"/>
      </w:pPr>
      <w:r>
        <w:t xml:space="preserve">Bittencourt, P., Couto, C., Farias, A. et al. (2002). Results of Liver Transplantation for Familial Amyloid Polyneuropathy Type I in Brazil. </w:t>
      </w:r>
      <w:r w:rsidRPr="007F04C8">
        <w:rPr>
          <w:i/>
        </w:rPr>
        <w:t>Liver Transpl</w:t>
      </w:r>
      <w:r>
        <w:t xml:space="preserve">, vol. 8, p. 34-39. </w:t>
      </w:r>
    </w:p>
    <w:p w:rsidR="00ED0820" w:rsidRDefault="00ED0820" w:rsidP="004F4C81">
      <w:pPr>
        <w:jc w:val="left"/>
      </w:pPr>
      <w:r>
        <w:rPr>
          <w:szCs w:val="24"/>
        </w:rPr>
        <w:t>Department of Healt</w:t>
      </w:r>
      <w:r w:rsidRPr="001375EE">
        <w:t>h and Ageing</w:t>
      </w:r>
      <w:r>
        <w:t xml:space="preserve"> (undated).</w:t>
      </w:r>
      <w:r w:rsidRPr="001375EE">
        <w:t xml:space="preserve"> </w:t>
      </w:r>
      <w:r w:rsidRPr="004F4C81">
        <w:rPr>
          <w:bCs/>
          <w:i/>
        </w:rPr>
        <w:t>Health Technology Assessment Access Point (HTAAP) Information Pack.</w:t>
      </w:r>
      <w:r>
        <w:rPr>
          <w:bCs/>
        </w:rPr>
        <w:t xml:space="preserve"> Accessed: March 15, 2012.</w:t>
      </w:r>
      <w:r>
        <w:rPr>
          <w:bCs/>
          <w:i/>
        </w:rPr>
        <w:t xml:space="preserve"> </w:t>
      </w:r>
      <w:r>
        <w:rPr>
          <w:bCs/>
        </w:rPr>
        <w:t xml:space="preserve">Available at: </w:t>
      </w:r>
      <w:hyperlink r:id="rId19" w:tooltip="This link goes to the Health Technology Assessment Access, Information Pack" w:history="1">
        <w:r w:rsidRPr="00A9772C">
          <w:rPr>
            <w:rStyle w:val="Hyperlink"/>
            <w:rFonts w:cs="Tahoma"/>
            <w:bCs/>
          </w:rPr>
          <w:t>http://www.health.gov.au/internet/hta/publishing.nsf/Content/170AAB0885294EAFCA25774200820890/$File/htaap-info-pack.pdf</w:t>
        </w:r>
      </w:hyperlink>
      <w:r>
        <w:rPr>
          <w:bCs/>
        </w:rPr>
        <w:t xml:space="preserve">  </w:t>
      </w:r>
    </w:p>
    <w:p w:rsidR="00ED0820" w:rsidRDefault="00ED0820" w:rsidP="004F4C81">
      <w:pPr>
        <w:jc w:val="left"/>
      </w:pPr>
      <w:r>
        <w:t xml:space="preserve">European Medicines Agency (2011). </w:t>
      </w:r>
      <w:r w:rsidRPr="00E53022">
        <w:rPr>
          <w:i/>
        </w:rPr>
        <w:t>Assessment report: Vyndaqel (tafamidis meglumine). Procedure no. EMEA/H/C/002294.</w:t>
      </w:r>
      <w:r>
        <w:t xml:space="preserve"> Accessed: February 16, 2012. Available at: </w:t>
      </w:r>
      <w:hyperlink r:id="rId20" w:tooltip="This link goes to the European Medicines Agency, Vyndagel Assessment Report" w:history="1">
        <w:r w:rsidRPr="008F229D">
          <w:rPr>
            <w:rStyle w:val="Hyperlink"/>
            <w:rFonts w:cs="Tahoma"/>
          </w:rPr>
          <w:t>http://www.ema.europa.eu/ema/index.jsp?curl=pages/medicines/human/medicines/002294/human_med_001498.jsp&amp;mid=WC0b01ac058001d124&amp;murl=menus/medicines/medicines.jsp&amp;jsenabled=true#</w:t>
        </w:r>
      </w:hyperlink>
    </w:p>
    <w:p w:rsidR="00ED0820" w:rsidRDefault="00ED0820" w:rsidP="004F4C81">
      <w:pPr>
        <w:jc w:val="left"/>
      </w:pPr>
      <w:r>
        <w:t xml:space="preserve">FAP World Transplant Registry (2010). Results from the Familial Amyloid Polyneuropathy World Transplant Registry. Accessed: February 16, 2012. Available at: </w:t>
      </w:r>
      <w:hyperlink r:id="rId21" w:tooltip="This link goes to the FAP World Transplant Registry website" w:history="1">
        <w:r w:rsidRPr="008F229D">
          <w:rPr>
            <w:rStyle w:val="Hyperlink"/>
            <w:rFonts w:cs="Tahoma"/>
          </w:rPr>
          <w:t>http://www.fapwtr.org/ram_fap.htm</w:t>
        </w:r>
      </w:hyperlink>
      <w:r>
        <w:t xml:space="preserve"> </w:t>
      </w:r>
    </w:p>
    <w:p w:rsidR="00ED0820" w:rsidRDefault="00ED0820" w:rsidP="004F4C81">
      <w:pPr>
        <w:jc w:val="left"/>
      </w:pPr>
      <w:r>
        <w:t xml:space="preserve">Hund, E., Linke, R., Willig, F. et al. (2001). Transthyretin associated neuropathic amyloidosis: Pathogenesis and treatment. </w:t>
      </w:r>
      <w:r w:rsidRPr="00830168">
        <w:rPr>
          <w:i/>
        </w:rPr>
        <w:t>Neurology</w:t>
      </w:r>
      <w:r>
        <w:t>, vol. 56, p. 431-435</w:t>
      </w:r>
    </w:p>
    <w:p w:rsidR="00ED0820" w:rsidRDefault="00ED0820" w:rsidP="004F4C81">
      <w:pPr>
        <w:jc w:val="left"/>
      </w:pPr>
      <w:r>
        <w:t xml:space="preserve">Koike, H., Misu, K., Sagiura, M. et al. (2004). Pathology of early- vs. Late-onset TTR Met30 familial amyloid polyneuropathy. </w:t>
      </w:r>
      <w:r w:rsidRPr="00684B3F">
        <w:rPr>
          <w:i/>
        </w:rPr>
        <w:t>Neurology</w:t>
      </w:r>
      <w:r>
        <w:t>, vol. 63, p. 129-138.</w:t>
      </w:r>
    </w:p>
    <w:p w:rsidR="00ED0820" w:rsidRDefault="00ED0820" w:rsidP="004F4C81">
      <w:pPr>
        <w:jc w:val="left"/>
      </w:pPr>
      <w:r>
        <w:t xml:space="preserve">National Horizon Scanning Centre (NHSC) (April 2010). </w:t>
      </w:r>
      <w:r w:rsidRPr="00E53022">
        <w:rPr>
          <w:i/>
        </w:rPr>
        <w:t>Tafamidis for transthyretin amyloid polyneuropathy</w:t>
      </w:r>
      <w:r>
        <w:t xml:space="preserve">. Accessed: February 16, 2012. </w:t>
      </w:r>
      <w:r w:rsidRPr="008E3948">
        <w:t xml:space="preserve">Available at: </w:t>
      </w:r>
      <w:hyperlink r:id="rId22" w:tooltip="This link goes to the National Horizon Scanning Centre's Tafamidis for transthyretin amyloid polyneuropathy PDF" w:history="1">
        <w:r w:rsidRPr="008E3948">
          <w:rPr>
            <w:rStyle w:val="Hyperlink"/>
            <w:rFonts w:cs="Tahoma"/>
          </w:rPr>
          <w:t>http://www.nhsc-healthhorizons.org.uk/files/downloads/1390/1895.652b1f88869ff09ce0403e5a3ab3ec21.pdf</w:t>
        </w:r>
      </w:hyperlink>
      <w:r>
        <w:t xml:space="preserve"> </w:t>
      </w:r>
    </w:p>
    <w:p w:rsidR="00ED0820" w:rsidRDefault="00ED0820" w:rsidP="004F4C81">
      <w:pPr>
        <w:pStyle w:val="small"/>
        <w:shd w:val="clear" w:color="auto" w:fill="FFFFFF"/>
        <w:rPr>
          <w:rFonts w:ascii="Tahoma" w:hAnsi="Tahoma" w:cs="Tahoma"/>
          <w:color w:val="000000"/>
        </w:rPr>
      </w:pPr>
      <w:r w:rsidRPr="007F1129">
        <w:rPr>
          <w:rFonts w:ascii="Tahoma" w:hAnsi="Tahoma" w:cs="Tahoma"/>
        </w:rPr>
        <w:t xml:space="preserve">Pagon, R., Bird T., Dolan, C. et al (2012). </w:t>
      </w:r>
      <w:r w:rsidRPr="007F1129">
        <w:rPr>
          <w:rFonts w:ascii="Tahoma" w:hAnsi="Tahoma" w:cs="Tahoma"/>
          <w:i/>
        </w:rPr>
        <w:t>Familial Transthyretin Amyloidosis</w:t>
      </w:r>
      <w:r w:rsidRPr="007F1129">
        <w:rPr>
          <w:rFonts w:ascii="Tahoma" w:hAnsi="Tahoma" w:cs="Tahoma"/>
        </w:rPr>
        <w:t xml:space="preserve">. </w:t>
      </w:r>
      <w:r w:rsidRPr="007F1129">
        <w:rPr>
          <w:rFonts w:ascii="Tahoma" w:hAnsi="Tahoma" w:cs="Tahoma"/>
          <w:color w:val="000000"/>
        </w:rPr>
        <w:t>NCBI Bookshelf. A service of the National Library of Medicine, National Institutes of Health.</w:t>
      </w:r>
      <w:r>
        <w:rPr>
          <w:rFonts w:ascii="Tahoma" w:hAnsi="Tahoma" w:cs="Tahoma"/>
          <w:color w:val="000000"/>
        </w:rPr>
        <w:t xml:space="preserve"> Accessed: February 16, 2012. Available at: </w:t>
      </w:r>
      <w:hyperlink r:id="rId23" w:tooltip="This link goes to the Familial Transthyretin Amyloidosis webpage" w:history="1">
        <w:r w:rsidRPr="00037E9F">
          <w:rPr>
            <w:rStyle w:val="Hyperlink"/>
            <w:rFonts w:ascii="Tahoma" w:hAnsi="Tahoma" w:cs="Tahoma"/>
          </w:rPr>
          <w:t>http://www.ncbi.nlm.nih.gov/books/NBK1194/?report=printable</w:t>
        </w:r>
      </w:hyperlink>
    </w:p>
    <w:p w:rsidR="00ED0820" w:rsidRPr="007F1129" w:rsidRDefault="00ED0820" w:rsidP="004F4C81">
      <w:pPr>
        <w:pStyle w:val="small"/>
        <w:shd w:val="clear" w:color="auto" w:fill="FFFFFF"/>
        <w:rPr>
          <w:rFonts w:ascii="Tahoma" w:hAnsi="Tahoma" w:cs="Tahoma"/>
          <w:color w:val="000000"/>
        </w:rPr>
      </w:pPr>
      <w:r>
        <w:rPr>
          <w:rFonts w:ascii="Tahoma" w:hAnsi="Tahoma" w:cs="Tahoma"/>
          <w:color w:val="000000"/>
        </w:rPr>
        <w:t xml:space="preserve">Picken, M. (2010). Amyloidosis – Where are we now and where are we heading? </w:t>
      </w:r>
      <w:r w:rsidRPr="00390058">
        <w:rPr>
          <w:rFonts w:ascii="Tahoma" w:hAnsi="Tahoma" w:cs="Tahoma"/>
          <w:i/>
          <w:color w:val="000000"/>
        </w:rPr>
        <w:t>Arch Pathol Lab Med</w:t>
      </w:r>
      <w:r>
        <w:rPr>
          <w:rFonts w:ascii="Tahoma" w:hAnsi="Tahoma" w:cs="Tahoma"/>
          <w:color w:val="000000"/>
        </w:rPr>
        <w:t xml:space="preserve">, vol. 134, p. 545-551. </w:t>
      </w:r>
    </w:p>
    <w:p w:rsidR="00ED0820" w:rsidRDefault="00ED0820" w:rsidP="004F4C81">
      <w:pPr>
        <w:jc w:val="left"/>
      </w:pPr>
      <w:r>
        <w:t xml:space="preserve">Plante-Bordeneuve, V., Said, G. (2011). Familial amyloid polyneuropathy. </w:t>
      </w:r>
      <w:r w:rsidRPr="00B267C2">
        <w:rPr>
          <w:i/>
        </w:rPr>
        <w:t>Lancet Neurol</w:t>
      </w:r>
      <w:r>
        <w:t>, vol. 10, p. 1086-97.</w:t>
      </w:r>
    </w:p>
    <w:p w:rsidR="00ED0820" w:rsidRDefault="00ED0820" w:rsidP="004F4C81">
      <w:pPr>
        <w:jc w:val="left"/>
      </w:pPr>
      <w:r>
        <w:t xml:space="preserve">Plante-Bordeneuve, V., Norgren, N. (2011). Thransthyretin familial amyloid polyneuropathy: delineating the individual disease risk to improve management of patients and carriers. </w:t>
      </w:r>
      <w:r w:rsidRPr="00C551FC">
        <w:rPr>
          <w:i/>
        </w:rPr>
        <w:t>Future Neurol</w:t>
      </w:r>
      <w:r>
        <w:rPr>
          <w:i/>
        </w:rPr>
        <w:t>,</w:t>
      </w:r>
      <w:r>
        <w:t xml:space="preserve"> vol. 6, no. 4, p. 437-440.</w:t>
      </w:r>
    </w:p>
    <w:p w:rsidR="00ED0820" w:rsidRPr="00EB0F2A" w:rsidRDefault="00ED0820" w:rsidP="004F4C81">
      <w:pPr>
        <w:jc w:val="left"/>
      </w:pPr>
      <w:r>
        <w:t xml:space="preserve">Therapeutic Goods Administration (TGA) (2011). </w:t>
      </w:r>
      <w:r w:rsidRPr="00E53022">
        <w:rPr>
          <w:i/>
        </w:rPr>
        <w:t>Classification of IVD medical devices</w:t>
      </w:r>
      <w:r>
        <w:t xml:space="preserve">. Accessed: February 16, 2012. Available at: </w:t>
      </w:r>
      <w:hyperlink r:id="rId24" w:tooltip="This link goes to the Classification of IVD medical devices webpage" w:history="1">
        <w:r w:rsidRPr="008F229D">
          <w:rPr>
            <w:rStyle w:val="Hyperlink"/>
            <w:rFonts w:cs="Tahoma"/>
          </w:rPr>
          <w:t>http://www.tga.gov.au/industry/ivd-classification.htm</w:t>
        </w:r>
      </w:hyperlink>
      <w:r>
        <w:t xml:space="preserve"> </w:t>
      </w:r>
    </w:p>
    <w:sectPr w:rsidR="00ED0820" w:rsidRPr="00EB0F2A" w:rsidSect="003D2916">
      <w:pgSz w:w="11906" w:h="16838"/>
      <w:pgMar w:top="1361" w:right="1418" w:bottom="136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3EAF" w:rsidRDefault="001C3EAF" w:rsidP="000901A8">
      <w:r>
        <w:separator/>
      </w:r>
    </w:p>
  </w:endnote>
  <w:endnote w:type="continuationSeparator" w:id="0">
    <w:p w:rsidR="001C3EAF" w:rsidRDefault="001C3EAF" w:rsidP="00090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EAF" w:rsidRDefault="001C3EA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EAF" w:rsidRDefault="001C3EA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EAF" w:rsidRDefault="001C3E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3EAF" w:rsidRDefault="001C3EAF" w:rsidP="000901A8">
      <w:r>
        <w:separator/>
      </w:r>
    </w:p>
  </w:footnote>
  <w:footnote w:type="continuationSeparator" w:id="0">
    <w:p w:rsidR="001C3EAF" w:rsidRDefault="001C3EAF" w:rsidP="000901A8">
      <w:r>
        <w:continuationSeparator/>
      </w:r>
    </w:p>
  </w:footnote>
  <w:footnote w:id="1">
    <w:p w:rsidR="001C3EAF" w:rsidRDefault="001C3EAF">
      <w:pPr>
        <w:pStyle w:val="CommentText"/>
        <w:spacing w:after="0" w:line="240" w:lineRule="auto"/>
        <w:rPr>
          <w:rFonts w:asciiTheme="minorHAnsi" w:hAnsiTheme="minorHAnsi"/>
          <w:sz w:val="19"/>
          <w:szCs w:val="19"/>
        </w:rPr>
      </w:pPr>
      <w:r w:rsidRPr="00901D83">
        <w:rPr>
          <w:rStyle w:val="FootnoteReference"/>
          <w:rFonts w:asciiTheme="minorHAnsi" w:hAnsiTheme="minorHAnsi" w:cs="Tahoma"/>
          <w:sz w:val="19"/>
          <w:szCs w:val="19"/>
        </w:rPr>
        <w:footnoteRef/>
      </w:r>
      <w:r w:rsidRPr="00901D83">
        <w:rPr>
          <w:rFonts w:asciiTheme="minorHAnsi" w:hAnsiTheme="minorHAnsi"/>
          <w:sz w:val="19"/>
          <w:szCs w:val="19"/>
        </w:rPr>
        <w:t xml:space="preserve"> See TGA’s register of orphan drugs: </w:t>
      </w:r>
      <w:hyperlink r:id="rId1" w:tooltip="This link goes to the Therapeutic Goods Administration Orphan Drugs webpage" w:history="1">
        <w:r w:rsidRPr="00901D83">
          <w:rPr>
            <w:rStyle w:val="Hyperlink"/>
            <w:rFonts w:asciiTheme="minorHAnsi" w:hAnsiTheme="minorHAnsi" w:cs="Tahoma"/>
            <w:sz w:val="19"/>
            <w:szCs w:val="19"/>
          </w:rPr>
          <w:t>http://www.tga.gov.au/industry/pm-orphan-drugs.htm</w:t>
        </w:r>
      </w:hyperlink>
    </w:p>
  </w:footnote>
  <w:footnote w:id="2">
    <w:p w:rsidR="001C3EAF" w:rsidRPr="00901D83" w:rsidRDefault="001C3EAF" w:rsidP="00A2506D">
      <w:pPr>
        <w:pStyle w:val="FootnoteText"/>
        <w:spacing w:after="0"/>
        <w:rPr>
          <w:rFonts w:asciiTheme="minorHAnsi" w:hAnsiTheme="minorHAnsi"/>
          <w:sz w:val="19"/>
          <w:szCs w:val="19"/>
        </w:rPr>
      </w:pPr>
      <w:r w:rsidRPr="00901D83">
        <w:rPr>
          <w:rStyle w:val="FootnoteReference"/>
          <w:rFonts w:asciiTheme="minorHAnsi" w:hAnsiTheme="minorHAnsi" w:cs="Tahoma"/>
          <w:sz w:val="19"/>
          <w:szCs w:val="19"/>
        </w:rPr>
        <w:footnoteRef/>
      </w:r>
      <w:r w:rsidRPr="00901D83">
        <w:rPr>
          <w:rFonts w:asciiTheme="minorHAnsi" w:hAnsiTheme="minorHAnsi"/>
          <w:sz w:val="19"/>
          <w:szCs w:val="19"/>
        </w:rPr>
        <w:t xml:space="preserve"> See: </w:t>
      </w:r>
      <w:hyperlink r:id="rId2" w:tooltip="This link goes to the NPAAC Publications webpage" w:history="1">
        <w:r w:rsidRPr="00901D83">
          <w:rPr>
            <w:rStyle w:val="Hyperlink"/>
            <w:rFonts w:asciiTheme="minorHAnsi" w:hAnsiTheme="minorHAnsi" w:cs="Tahoma"/>
            <w:sz w:val="19"/>
            <w:szCs w:val="19"/>
          </w:rPr>
          <w:t>http://www.health.gov.au/internet/main/publishing.nsf/Content/health-npaac-publication.htm</w:t>
        </w:r>
      </w:hyperlink>
      <w:r w:rsidRPr="00901D83">
        <w:rPr>
          <w:rFonts w:asciiTheme="minorHAnsi" w:hAnsiTheme="minorHAnsi"/>
          <w:sz w:val="19"/>
          <w:szCs w:val="19"/>
        </w:rPr>
        <w:t xml:space="preserve"> </w:t>
      </w:r>
    </w:p>
  </w:footnote>
  <w:footnote w:id="3">
    <w:p w:rsidR="001C3EAF" w:rsidRPr="00901D83" w:rsidRDefault="001C3EAF" w:rsidP="00A2506D">
      <w:pPr>
        <w:pStyle w:val="FootnoteText"/>
        <w:spacing w:after="0"/>
        <w:rPr>
          <w:rFonts w:asciiTheme="minorHAnsi" w:hAnsiTheme="minorHAnsi"/>
          <w:sz w:val="19"/>
          <w:szCs w:val="19"/>
        </w:rPr>
      </w:pPr>
      <w:r w:rsidRPr="00901D83">
        <w:rPr>
          <w:rStyle w:val="FootnoteReference"/>
          <w:rFonts w:asciiTheme="minorHAnsi" w:hAnsiTheme="minorHAnsi" w:cs="Tahoma"/>
          <w:sz w:val="19"/>
          <w:szCs w:val="19"/>
        </w:rPr>
        <w:footnoteRef/>
      </w:r>
      <w:r w:rsidRPr="00901D83">
        <w:rPr>
          <w:rFonts w:asciiTheme="minorHAnsi" w:hAnsiTheme="minorHAnsi"/>
          <w:sz w:val="19"/>
          <w:szCs w:val="19"/>
        </w:rPr>
        <w:t xml:space="preserve"> See: </w:t>
      </w:r>
      <w:hyperlink r:id="rId3" w:tooltip="This link goes to The National Association of Testing Authorities, Australia (NATA) website" w:history="1">
        <w:r w:rsidRPr="00901D83">
          <w:rPr>
            <w:rStyle w:val="Hyperlink"/>
            <w:rFonts w:asciiTheme="minorHAnsi" w:hAnsiTheme="minorHAnsi" w:cs="Tahoma"/>
            <w:sz w:val="19"/>
            <w:szCs w:val="19"/>
          </w:rPr>
          <w:t>http://www.nata.com.au/</w:t>
        </w:r>
      </w:hyperlink>
    </w:p>
  </w:footnote>
  <w:footnote w:id="4">
    <w:p w:rsidR="001C3EAF" w:rsidRDefault="001C3EAF">
      <w:pPr>
        <w:pStyle w:val="FootnoteText"/>
      </w:pPr>
      <w:r>
        <w:rPr>
          <w:rStyle w:val="FootnoteReference"/>
        </w:rPr>
        <w:footnoteRef/>
      </w:r>
      <w:r>
        <w:t xml:space="preserve"> PASC determined that this fee should reflect sequencing rather than point testing. The fee requires further confirmation.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EAF" w:rsidRDefault="00B3282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3088282" o:spid="_x0000_s2050" type="#_x0000_t136" style="position:absolute;margin-left:0;margin-top:0;width:456.7pt;height:182.65pt;rotation:315;z-index:-251655168;mso-position-horizontal:center;mso-position-horizontal-relative:margin;mso-position-vertical:center;mso-position-vertical-relative:margin" o:allowincell="f" fillcolor="silver" stroked="f">
          <v:fill opacity=".5"/>
          <v:textpath style="font-family:&quot;Tahoma&quot;;font-size:1pt" string="FINAL"/>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EAF" w:rsidRDefault="00B3282F">
    <w:pPr>
      <w:pStyle w:val="Header"/>
      <w:jc w:val="righ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3088283" o:spid="_x0000_s2051" type="#_x0000_t136" style="position:absolute;left:0;text-align:left;margin-left:0;margin-top:0;width:456.7pt;height:182.65pt;rotation:315;z-index:-251653120;mso-position-horizontal:center;mso-position-horizontal-relative:margin;mso-position-vertical:center;mso-position-vertical-relative:margin" o:allowincell="f" fillcolor="silver" stroked="f">
          <v:fill opacity=".5"/>
          <v:textpath style="font-family:&quot;Tahoma&quot;;font-size:1pt" string="FINAL"/>
          <w10:wrap anchorx="margin" anchory="margin"/>
        </v:shape>
      </w:pict>
    </w:r>
    <w:r w:rsidR="001C3EAF" w:rsidRPr="00995165">
      <w:rPr>
        <w:u w:val="none"/>
      </w:rPr>
      <w:fldChar w:fldCharType="begin"/>
    </w:r>
    <w:r w:rsidR="001C3EAF" w:rsidRPr="00995165">
      <w:rPr>
        <w:u w:val="none"/>
      </w:rPr>
      <w:instrText xml:space="preserve"> PAGE   \* MERGEFORMAT </w:instrText>
    </w:r>
    <w:r w:rsidR="001C3EAF" w:rsidRPr="00995165">
      <w:rPr>
        <w:u w:val="none"/>
      </w:rPr>
      <w:fldChar w:fldCharType="separate"/>
    </w:r>
    <w:r>
      <w:rPr>
        <w:noProof/>
        <w:u w:val="none"/>
      </w:rPr>
      <w:t>16</w:t>
    </w:r>
    <w:r w:rsidR="001C3EAF" w:rsidRPr="00995165">
      <w:rPr>
        <w:u w:val="none"/>
      </w:rPr>
      <w:fldChar w:fldCharType="end"/>
    </w:r>
  </w:p>
  <w:p w:rsidR="001C3EAF" w:rsidRDefault="001C3EA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EAF" w:rsidRDefault="00B3282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3088281" o:spid="_x0000_s2049" type="#_x0000_t136" style="position:absolute;margin-left:0;margin-top:0;width:456.7pt;height:182.65pt;rotation:315;z-index:-251657216;mso-position-horizontal:center;mso-position-horizontal-relative:margin;mso-position-vertical:center;mso-position-vertical-relative:margin" o:allowincell="f" fillcolor="silver" stroked="f">
          <v:fill opacity=".5"/>
          <v:textpath style="font-family:&quot;Tahoma&quot;;font-size:1pt" string="FINAL"/>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D4ACC"/>
    <w:multiLevelType w:val="hybridMultilevel"/>
    <w:tmpl w:val="5AECA236"/>
    <w:lvl w:ilvl="0" w:tplc="0C090001">
      <w:start w:val="1"/>
      <w:numFmt w:val="bullet"/>
      <w:lvlText w:val=""/>
      <w:lvlJc w:val="left"/>
      <w:pPr>
        <w:tabs>
          <w:tab w:val="num" w:pos="1080"/>
        </w:tabs>
        <w:ind w:left="1080" w:hanging="360"/>
      </w:pPr>
      <w:rPr>
        <w:rFonts w:ascii="Symbol" w:hAnsi="Symbol" w:hint="default"/>
      </w:rPr>
    </w:lvl>
    <w:lvl w:ilvl="1" w:tplc="0C090019">
      <w:start w:val="1"/>
      <w:numFmt w:val="lowerLetter"/>
      <w:lvlText w:val="%2."/>
      <w:lvlJc w:val="left"/>
      <w:pPr>
        <w:ind w:left="1800" w:hanging="360"/>
      </w:pPr>
      <w:rPr>
        <w:rFonts w:cs="Times New Roman"/>
      </w:rPr>
    </w:lvl>
    <w:lvl w:ilvl="2" w:tplc="0C090001">
      <w:start w:val="1"/>
      <w:numFmt w:val="bullet"/>
      <w:lvlText w:val=""/>
      <w:lvlJc w:val="left"/>
      <w:pPr>
        <w:tabs>
          <w:tab w:val="num" w:pos="2700"/>
        </w:tabs>
        <w:ind w:left="2700" w:hanging="360"/>
      </w:pPr>
      <w:rPr>
        <w:rFonts w:ascii="Symbol" w:hAnsi="Symbol" w:hint="default"/>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1">
    <w:nsid w:val="05C7497A"/>
    <w:multiLevelType w:val="hybridMultilevel"/>
    <w:tmpl w:val="1DFC98C8"/>
    <w:lvl w:ilvl="0" w:tplc="0C090001">
      <w:start w:val="1"/>
      <w:numFmt w:val="bullet"/>
      <w:lvlText w:val=""/>
      <w:lvlJc w:val="left"/>
      <w:pPr>
        <w:tabs>
          <w:tab w:val="num" w:pos="1080"/>
        </w:tabs>
        <w:ind w:left="1080" w:hanging="360"/>
      </w:pPr>
      <w:rPr>
        <w:rFonts w:ascii="Symbol" w:hAnsi="Symbol" w:hint="default"/>
      </w:rPr>
    </w:lvl>
    <w:lvl w:ilvl="1" w:tplc="0C090019">
      <w:start w:val="1"/>
      <w:numFmt w:val="lowerLetter"/>
      <w:lvlText w:val="%2."/>
      <w:lvlJc w:val="left"/>
      <w:pPr>
        <w:ind w:left="1800" w:hanging="360"/>
      </w:pPr>
      <w:rPr>
        <w:rFonts w:cs="Times New Roman"/>
      </w:rPr>
    </w:lvl>
    <w:lvl w:ilvl="2" w:tplc="0C090001">
      <w:start w:val="1"/>
      <w:numFmt w:val="bullet"/>
      <w:lvlText w:val=""/>
      <w:lvlJc w:val="left"/>
      <w:pPr>
        <w:tabs>
          <w:tab w:val="num" w:pos="2700"/>
        </w:tabs>
        <w:ind w:left="2700" w:hanging="360"/>
      </w:pPr>
      <w:rPr>
        <w:rFonts w:ascii="Symbol" w:hAnsi="Symbol" w:hint="default"/>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2">
    <w:nsid w:val="05CE4F7D"/>
    <w:multiLevelType w:val="hybridMultilevel"/>
    <w:tmpl w:val="4E300EA2"/>
    <w:lvl w:ilvl="0" w:tplc="0C090001">
      <w:start w:val="1"/>
      <w:numFmt w:val="bullet"/>
      <w:lvlText w:val=""/>
      <w:lvlJc w:val="left"/>
      <w:pPr>
        <w:tabs>
          <w:tab w:val="num" w:pos="1080"/>
        </w:tabs>
        <w:ind w:left="1080" w:hanging="360"/>
      </w:pPr>
      <w:rPr>
        <w:rFonts w:ascii="Symbol" w:hAnsi="Symbol" w:hint="default"/>
      </w:rPr>
    </w:lvl>
    <w:lvl w:ilvl="1" w:tplc="0C090001">
      <w:start w:val="1"/>
      <w:numFmt w:val="bullet"/>
      <w:lvlText w:val=""/>
      <w:lvlJc w:val="left"/>
      <w:pPr>
        <w:tabs>
          <w:tab w:val="num" w:pos="1800"/>
        </w:tabs>
        <w:ind w:left="1800" w:hanging="360"/>
      </w:pPr>
      <w:rPr>
        <w:rFonts w:ascii="Symbol" w:hAnsi="Symbol" w:hint="default"/>
      </w:rPr>
    </w:lvl>
    <w:lvl w:ilvl="2" w:tplc="0C090001">
      <w:start w:val="1"/>
      <w:numFmt w:val="bullet"/>
      <w:lvlText w:val=""/>
      <w:lvlJc w:val="left"/>
      <w:pPr>
        <w:tabs>
          <w:tab w:val="num" w:pos="2700"/>
        </w:tabs>
        <w:ind w:left="2700" w:hanging="360"/>
      </w:pPr>
      <w:rPr>
        <w:rFonts w:ascii="Symbol" w:hAnsi="Symbol" w:hint="default"/>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3">
    <w:nsid w:val="0AF50A63"/>
    <w:multiLevelType w:val="singleLevel"/>
    <w:tmpl w:val="6F36E67E"/>
    <w:lvl w:ilvl="0">
      <w:start w:val="1"/>
      <w:numFmt w:val="bullet"/>
      <w:pStyle w:val="Bullet"/>
      <w:lvlText w:val=""/>
      <w:lvlJc w:val="left"/>
      <w:pPr>
        <w:tabs>
          <w:tab w:val="num" w:pos="1134"/>
        </w:tabs>
        <w:ind w:left="1134" w:hanging="567"/>
      </w:pPr>
      <w:rPr>
        <w:rFonts w:ascii="Symbol" w:hAnsi="Symbol" w:hint="default"/>
      </w:rPr>
    </w:lvl>
  </w:abstractNum>
  <w:abstractNum w:abstractNumId="4">
    <w:nsid w:val="134C6E2B"/>
    <w:multiLevelType w:val="hybridMultilevel"/>
    <w:tmpl w:val="2CA40122"/>
    <w:lvl w:ilvl="0" w:tplc="0409000F">
      <w:start w:val="1"/>
      <w:numFmt w:val="decimal"/>
      <w:lvlText w:val="%1."/>
      <w:lvlJc w:val="left"/>
      <w:pPr>
        <w:ind w:left="720" w:hanging="360"/>
      </w:pPr>
      <w:rPr>
        <w:rFonts w:cs="Times New Roman"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15737EF2"/>
    <w:multiLevelType w:val="multilevel"/>
    <w:tmpl w:val="AFA01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C384162"/>
    <w:multiLevelType w:val="hybridMultilevel"/>
    <w:tmpl w:val="ED3250C2"/>
    <w:lvl w:ilvl="0" w:tplc="7256D904">
      <w:start w:val="1"/>
      <w:numFmt w:val="decimal"/>
      <w:lvlText w:val="%1."/>
      <w:lvlJc w:val="left"/>
      <w:pPr>
        <w:ind w:left="720" w:hanging="360"/>
      </w:pPr>
      <w:rPr>
        <w:rFonts w:cs="Times New Roman" w:hint="default"/>
      </w:rPr>
    </w:lvl>
    <w:lvl w:ilvl="1" w:tplc="0C090019">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7">
    <w:nsid w:val="1CB9248A"/>
    <w:multiLevelType w:val="hybridMultilevel"/>
    <w:tmpl w:val="09B82D44"/>
    <w:lvl w:ilvl="0" w:tplc="0C090001">
      <w:start w:val="1"/>
      <w:numFmt w:val="bullet"/>
      <w:lvlText w:val=""/>
      <w:lvlJc w:val="left"/>
      <w:pPr>
        <w:tabs>
          <w:tab w:val="num" w:pos="1080"/>
        </w:tabs>
        <w:ind w:left="1080" w:hanging="360"/>
      </w:pPr>
      <w:rPr>
        <w:rFonts w:ascii="Symbol" w:hAnsi="Symbol" w:hint="default"/>
      </w:rPr>
    </w:lvl>
    <w:lvl w:ilvl="1" w:tplc="0C090019">
      <w:start w:val="1"/>
      <w:numFmt w:val="lowerLetter"/>
      <w:lvlText w:val="%2."/>
      <w:lvlJc w:val="left"/>
      <w:pPr>
        <w:ind w:left="1800" w:hanging="360"/>
      </w:pPr>
      <w:rPr>
        <w:rFonts w:cs="Times New Roman"/>
      </w:rPr>
    </w:lvl>
    <w:lvl w:ilvl="2" w:tplc="0C090001">
      <w:start w:val="1"/>
      <w:numFmt w:val="bullet"/>
      <w:lvlText w:val=""/>
      <w:lvlJc w:val="left"/>
      <w:pPr>
        <w:tabs>
          <w:tab w:val="num" w:pos="2700"/>
        </w:tabs>
        <w:ind w:left="2700" w:hanging="360"/>
      </w:pPr>
      <w:rPr>
        <w:rFonts w:ascii="Symbol" w:hAnsi="Symbol" w:hint="default"/>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8">
    <w:nsid w:val="20482BAD"/>
    <w:multiLevelType w:val="hybridMultilevel"/>
    <w:tmpl w:val="9AFEA58A"/>
    <w:lvl w:ilvl="0" w:tplc="0C090017">
      <w:start w:val="1"/>
      <w:numFmt w:val="lowerLetter"/>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9">
    <w:nsid w:val="21C07F29"/>
    <w:multiLevelType w:val="hybridMultilevel"/>
    <w:tmpl w:val="CE343ECA"/>
    <w:lvl w:ilvl="0" w:tplc="0C09000F">
      <w:start w:val="1"/>
      <w:numFmt w:val="decimal"/>
      <w:lvlText w:val="%1."/>
      <w:lvlJc w:val="left"/>
      <w:pPr>
        <w:ind w:left="720" w:hanging="360"/>
      </w:pPr>
      <w:rPr>
        <w:rFonts w:cs="Times New Roman" w:hint="default"/>
      </w:rPr>
    </w:lvl>
    <w:lvl w:ilvl="1" w:tplc="0C090019">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0">
    <w:nsid w:val="23C2735F"/>
    <w:multiLevelType w:val="hybridMultilevel"/>
    <w:tmpl w:val="808CD78C"/>
    <w:lvl w:ilvl="0" w:tplc="9794841C">
      <w:start w:val="1"/>
      <w:numFmt w:val="bullet"/>
      <w:pStyle w:val="Tabletextbulleted"/>
      <w:lvlText w:val="–"/>
      <w:lvlJc w:val="left"/>
      <w:pPr>
        <w:tabs>
          <w:tab w:val="num" w:pos="284"/>
        </w:tabs>
        <w:ind w:left="284" w:hanging="284"/>
      </w:pPr>
      <w:rPr>
        <w:rFonts w:ascii="Times New Roman" w:hAnsi="Times New Roman" w:hint="default"/>
      </w:rPr>
    </w:lvl>
    <w:lvl w:ilvl="1" w:tplc="FFFFFFFF">
      <w:start w:val="1"/>
      <w:numFmt w:val="bullet"/>
      <w:lvlText w:val="o"/>
      <w:lvlJc w:val="left"/>
      <w:pPr>
        <w:tabs>
          <w:tab w:val="num" w:pos="1758"/>
        </w:tabs>
        <w:ind w:left="1758" w:hanging="360"/>
      </w:pPr>
      <w:rPr>
        <w:rFonts w:ascii="Courier New" w:hAnsi="Courier New" w:hint="default"/>
      </w:rPr>
    </w:lvl>
    <w:lvl w:ilvl="2" w:tplc="FFFFFFFF" w:tentative="1">
      <w:start w:val="1"/>
      <w:numFmt w:val="bullet"/>
      <w:lvlText w:val=""/>
      <w:lvlJc w:val="left"/>
      <w:pPr>
        <w:tabs>
          <w:tab w:val="num" w:pos="2478"/>
        </w:tabs>
        <w:ind w:left="2478" w:hanging="360"/>
      </w:pPr>
      <w:rPr>
        <w:rFonts w:ascii="Wingdings" w:hAnsi="Wingdings" w:hint="default"/>
      </w:rPr>
    </w:lvl>
    <w:lvl w:ilvl="3" w:tplc="FFFFFFFF" w:tentative="1">
      <w:start w:val="1"/>
      <w:numFmt w:val="bullet"/>
      <w:lvlText w:val=""/>
      <w:lvlJc w:val="left"/>
      <w:pPr>
        <w:tabs>
          <w:tab w:val="num" w:pos="3198"/>
        </w:tabs>
        <w:ind w:left="3198" w:hanging="360"/>
      </w:pPr>
      <w:rPr>
        <w:rFonts w:ascii="Symbol" w:hAnsi="Symbol" w:hint="default"/>
      </w:rPr>
    </w:lvl>
    <w:lvl w:ilvl="4" w:tplc="FFFFFFFF" w:tentative="1">
      <w:start w:val="1"/>
      <w:numFmt w:val="bullet"/>
      <w:lvlText w:val="o"/>
      <w:lvlJc w:val="left"/>
      <w:pPr>
        <w:tabs>
          <w:tab w:val="num" w:pos="3918"/>
        </w:tabs>
        <w:ind w:left="3918" w:hanging="360"/>
      </w:pPr>
      <w:rPr>
        <w:rFonts w:ascii="Courier New" w:hAnsi="Courier New" w:hint="default"/>
      </w:rPr>
    </w:lvl>
    <w:lvl w:ilvl="5" w:tplc="FFFFFFFF" w:tentative="1">
      <w:start w:val="1"/>
      <w:numFmt w:val="bullet"/>
      <w:lvlText w:val=""/>
      <w:lvlJc w:val="left"/>
      <w:pPr>
        <w:tabs>
          <w:tab w:val="num" w:pos="4638"/>
        </w:tabs>
        <w:ind w:left="4638" w:hanging="360"/>
      </w:pPr>
      <w:rPr>
        <w:rFonts w:ascii="Wingdings" w:hAnsi="Wingdings" w:hint="default"/>
      </w:rPr>
    </w:lvl>
    <w:lvl w:ilvl="6" w:tplc="FFFFFFFF" w:tentative="1">
      <w:start w:val="1"/>
      <w:numFmt w:val="bullet"/>
      <w:lvlText w:val=""/>
      <w:lvlJc w:val="left"/>
      <w:pPr>
        <w:tabs>
          <w:tab w:val="num" w:pos="5358"/>
        </w:tabs>
        <w:ind w:left="5358" w:hanging="360"/>
      </w:pPr>
      <w:rPr>
        <w:rFonts w:ascii="Symbol" w:hAnsi="Symbol" w:hint="default"/>
      </w:rPr>
    </w:lvl>
    <w:lvl w:ilvl="7" w:tplc="FFFFFFFF" w:tentative="1">
      <w:start w:val="1"/>
      <w:numFmt w:val="bullet"/>
      <w:lvlText w:val="o"/>
      <w:lvlJc w:val="left"/>
      <w:pPr>
        <w:tabs>
          <w:tab w:val="num" w:pos="6078"/>
        </w:tabs>
        <w:ind w:left="6078" w:hanging="360"/>
      </w:pPr>
      <w:rPr>
        <w:rFonts w:ascii="Courier New" w:hAnsi="Courier New" w:hint="default"/>
      </w:rPr>
    </w:lvl>
    <w:lvl w:ilvl="8" w:tplc="FFFFFFFF" w:tentative="1">
      <w:start w:val="1"/>
      <w:numFmt w:val="bullet"/>
      <w:lvlText w:val=""/>
      <w:lvlJc w:val="left"/>
      <w:pPr>
        <w:tabs>
          <w:tab w:val="num" w:pos="6798"/>
        </w:tabs>
        <w:ind w:left="6798" w:hanging="360"/>
      </w:pPr>
      <w:rPr>
        <w:rFonts w:ascii="Wingdings" w:hAnsi="Wingdings" w:hint="default"/>
      </w:rPr>
    </w:lvl>
  </w:abstractNum>
  <w:abstractNum w:abstractNumId="11">
    <w:nsid w:val="28A92476"/>
    <w:multiLevelType w:val="hybridMultilevel"/>
    <w:tmpl w:val="2CA40122"/>
    <w:lvl w:ilvl="0" w:tplc="0409000F">
      <w:start w:val="1"/>
      <w:numFmt w:val="decimal"/>
      <w:lvlText w:val="%1."/>
      <w:lvlJc w:val="left"/>
      <w:pPr>
        <w:ind w:left="720" w:hanging="360"/>
      </w:pPr>
      <w:rPr>
        <w:rFonts w:cs="Times New Roman"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2CFD345B"/>
    <w:multiLevelType w:val="hybridMultilevel"/>
    <w:tmpl w:val="AFCCC9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E0701B8"/>
    <w:multiLevelType w:val="hybridMultilevel"/>
    <w:tmpl w:val="211C7CA8"/>
    <w:lvl w:ilvl="0" w:tplc="0C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4">
    <w:nsid w:val="35D61EA4"/>
    <w:multiLevelType w:val="hybridMultilevel"/>
    <w:tmpl w:val="B998AF3C"/>
    <w:lvl w:ilvl="0" w:tplc="E9E205B8">
      <w:start w:val="4"/>
      <w:numFmt w:val="bullet"/>
      <w:lvlText w:val="-"/>
      <w:lvlJc w:val="left"/>
      <w:pPr>
        <w:ind w:left="720" w:hanging="360"/>
      </w:pPr>
      <w:rPr>
        <w:rFonts w:ascii="Tahoma" w:eastAsia="SimSun" w:hAnsi="Tahoma"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AC43CF6"/>
    <w:multiLevelType w:val="hybridMultilevel"/>
    <w:tmpl w:val="2CA40122"/>
    <w:lvl w:ilvl="0" w:tplc="0409000F">
      <w:start w:val="1"/>
      <w:numFmt w:val="decimal"/>
      <w:lvlText w:val="%1."/>
      <w:lvlJc w:val="left"/>
      <w:pPr>
        <w:ind w:left="720" w:hanging="360"/>
      </w:pPr>
      <w:rPr>
        <w:rFonts w:cs="Times New Roman"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3C0A05D7"/>
    <w:multiLevelType w:val="hybridMultilevel"/>
    <w:tmpl w:val="3564AC32"/>
    <w:lvl w:ilvl="0" w:tplc="0C090001">
      <w:start w:val="1"/>
      <w:numFmt w:val="bullet"/>
      <w:lvlText w:val=""/>
      <w:lvlJc w:val="left"/>
      <w:pPr>
        <w:tabs>
          <w:tab w:val="num" w:pos="1080"/>
        </w:tabs>
        <w:ind w:left="1080" w:hanging="360"/>
      </w:pPr>
      <w:rPr>
        <w:rFonts w:ascii="Symbol" w:hAnsi="Symbol" w:hint="default"/>
      </w:rPr>
    </w:lvl>
    <w:lvl w:ilvl="1" w:tplc="0C090019">
      <w:start w:val="1"/>
      <w:numFmt w:val="lowerLetter"/>
      <w:lvlText w:val="%2."/>
      <w:lvlJc w:val="left"/>
      <w:pPr>
        <w:ind w:left="1800" w:hanging="360"/>
      </w:pPr>
      <w:rPr>
        <w:rFonts w:cs="Times New Roman"/>
      </w:rPr>
    </w:lvl>
    <w:lvl w:ilvl="2" w:tplc="0C090001">
      <w:start w:val="1"/>
      <w:numFmt w:val="bullet"/>
      <w:lvlText w:val=""/>
      <w:lvlJc w:val="left"/>
      <w:pPr>
        <w:tabs>
          <w:tab w:val="num" w:pos="2700"/>
        </w:tabs>
        <w:ind w:left="2700" w:hanging="360"/>
      </w:pPr>
      <w:rPr>
        <w:rFonts w:ascii="Symbol" w:hAnsi="Symbol" w:hint="default"/>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17">
    <w:nsid w:val="47512B8F"/>
    <w:multiLevelType w:val="hybridMultilevel"/>
    <w:tmpl w:val="DE62DDCC"/>
    <w:lvl w:ilvl="0" w:tplc="0C090017">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8">
    <w:nsid w:val="534F3CA1"/>
    <w:multiLevelType w:val="hybridMultilevel"/>
    <w:tmpl w:val="BC0E1A14"/>
    <w:lvl w:ilvl="0" w:tplc="110E99F4">
      <w:start w:val="1"/>
      <w:numFmt w:val="bullet"/>
      <w:lvlText w:val=""/>
      <w:lvlJc w:val="left"/>
      <w:pPr>
        <w:ind w:left="720" w:hanging="360"/>
      </w:pPr>
      <w:rPr>
        <w:rFonts w:ascii="Symbol" w:eastAsia="SimSun"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554B76CD"/>
    <w:multiLevelType w:val="hybridMultilevel"/>
    <w:tmpl w:val="9AFEA58A"/>
    <w:lvl w:ilvl="0" w:tplc="0C090017">
      <w:start w:val="1"/>
      <w:numFmt w:val="lowerLetter"/>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0">
    <w:nsid w:val="56472915"/>
    <w:multiLevelType w:val="hybridMultilevel"/>
    <w:tmpl w:val="F6AA74E6"/>
    <w:lvl w:ilvl="0" w:tplc="26D8A916">
      <w:start w:val="1"/>
      <w:numFmt w:val="bullet"/>
      <w:pStyle w:val="Tabletextlef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8B90512"/>
    <w:multiLevelType w:val="hybridMultilevel"/>
    <w:tmpl w:val="4E9AFDA2"/>
    <w:lvl w:ilvl="0" w:tplc="0C090001">
      <w:start w:val="1"/>
      <w:numFmt w:val="bullet"/>
      <w:lvlText w:val=""/>
      <w:lvlJc w:val="left"/>
      <w:pPr>
        <w:tabs>
          <w:tab w:val="num" w:pos="1080"/>
        </w:tabs>
        <w:ind w:left="1080" w:hanging="360"/>
      </w:pPr>
      <w:rPr>
        <w:rFonts w:ascii="Symbol" w:hAnsi="Symbol" w:hint="default"/>
      </w:rPr>
    </w:lvl>
    <w:lvl w:ilvl="1" w:tplc="0C090001">
      <w:start w:val="1"/>
      <w:numFmt w:val="bullet"/>
      <w:lvlText w:val=""/>
      <w:lvlJc w:val="left"/>
      <w:pPr>
        <w:tabs>
          <w:tab w:val="num" w:pos="1800"/>
        </w:tabs>
        <w:ind w:left="1800" w:hanging="360"/>
      </w:pPr>
      <w:rPr>
        <w:rFonts w:ascii="Symbol" w:hAnsi="Symbol" w:hint="default"/>
      </w:rPr>
    </w:lvl>
    <w:lvl w:ilvl="2" w:tplc="0C090001">
      <w:start w:val="1"/>
      <w:numFmt w:val="bullet"/>
      <w:lvlText w:val=""/>
      <w:lvlJc w:val="left"/>
      <w:pPr>
        <w:tabs>
          <w:tab w:val="num" w:pos="2700"/>
        </w:tabs>
        <w:ind w:left="2700" w:hanging="360"/>
      </w:pPr>
      <w:rPr>
        <w:rFonts w:ascii="Symbol" w:hAnsi="Symbol" w:hint="default"/>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22">
    <w:nsid w:val="5C1F4D5E"/>
    <w:multiLevelType w:val="hybridMultilevel"/>
    <w:tmpl w:val="DCC8713C"/>
    <w:lvl w:ilvl="0" w:tplc="37563416">
      <w:start w:val="1"/>
      <w:numFmt w:val="upperLetter"/>
      <w:pStyle w:val="Spaceundertable"/>
      <w:lvlText w:val="%1."/>
      <w:lvlJc w:val="left"/>
      <w:pPr>
        <w:tabs>
          <w:tab w:val="num" w:pos="372"/>
        </w:tabs>
        <w:ind w:left="372" w:hanging="360"/>
      </w:pPr>
      <w:rPr>
        <w:rFonts w:cs="Times New Roman" w:hint="default"/>
      </w:rPr>
    </w:lvl>
    <w:lvl w:ilvl="1" w:tplc="04090003">
      <w:start w:val="1"/>
      <w:numFmt w:val="bullet"/>
      <w:lvlText w:val=""/>
      <w:lvlJc w:val="left"/>
      <w:pPr>
        <w:tabs>
          <w:tab w:val="num" w:pos="1092"/>
        </w:tabs>
        <w:ind w:left="1092" w:hanging="360"/>
      </w:pPr>
      <w:rPr>
        <w:rFonts w:ascii="Symbol" w:hAnsi="Symbol" w:hint="default"/>
        <w:color w:val="auto"/>
      </w:rPr>
    </w:lvl>
    <w:lvl w:ilvl="2" w:tplc="04090005" w:tentative="1">
      <w:start w:val="1"/>
      <w:numFmt w:val="lowerRoman"/>
      <w:lvlText w:val="%3."/>
      <w:lvlJc w:val="right"/>
      <w:pPr>
        <w:tabs>
          <w:tab w:val="num" w:pos="1812"/>
        </w:tabs>
        <w:ind w:left="1812" w:hanging="180"/>
      </w:pPr>
      <w:rPr>
        <w:rFonts w:cs="Times New Roman"/>
      </w:rPr>
    </w:lvl>
    <w:lvl w:ilvl="3" w:tplc="04090001" w:tentative="1">
      <w:start w:val="1"/>
      <w:numFmt w:val="decimal"/>
      <w:lvlText w:val="%4."/>
      <w:lvlJc w:val="left"/>
      <w:pPr>
        <w:tabs>
          <w:tab w:val="num" w:pos="2532"/>
        </w:tabs>
        <w:ind w:left="2532" w:hanging="360"/>
      </w:pPr>
      <w:rPr>
        <w:rFonts w:cs="Times New Roman"/>
      </w:rPr>
    </w:lvl>
    <w:lvl w:ilvl="4" w:tplc="04090003" w:tentative="1">
      <w:start w:val="1"/>
      <w:numFmt w:val="lowerLetter"/>
      <w:lvlText w:val="%5."/>
      <w:lvlJc w:val="left"/>
      <w:pPr>
        <w:tabs>
          <w:tab w:val="num" w:pos="3252"/>
        </w:tabs>
        <w:ind w:left="3252" w:hanging="360"/>
      </w:pPr>
      <w:rPr>
        <w:rFonts w:cs="Times New Roman"/>
      </w:rPr>
    </w:lvl>
    <w:lvl w:ilvl="5" w:tplc="04090005" w:tentative="1">
      <w:start w:val="1"/>
      <w:numFmt w:val="lowerRoman"/>
      <w:lvlText w:val="%6."/>
      <w:lvlJc w:val="right"/>
      <w:pPr>
        <w:tabs>
          <w:tab w:val="num" w:pos="3972"/>
        </w:tabs>
        <w:ind w:left="3972" w:hanging="180"/>
      </w:pPr>
      <w:rPr>
        <w:rFonts w:cs="Times New Roman"/>
      </w:rPr>
    </w:lvl>
    <w:lvl w:ilvl="6" w:tplc="04090001" w:tentative="1">
      <w:start w:val="1"/>
      <w:numFmt w:val="decimal"/>
      <w:lvlText w:val="%7."/>
      <w:lvlJc w:val="left"/>
      <w:pPr>
        <w:tabs>
          <w:tab w:val="num" w:pos="4692"/>
        </w:tabs>
        <w:ind w:left="4692" w:hanging="360"/>
      </w:pPr>
      <w:rPr>
        <w:rFonts w:cs="Times New Roman"/>
      </w:rPr>
    </w:lvl>
    <w:lvl w:ilvl="7" w:tplc="04090003" w:tentative="1">
      <w:start w:val="1"/>
      <w:numFmt w:val="lowerLetter"/>
      <w:lvlText w:val="%8."/>
      <w:lvlJc w:val="left"/>
      <w:pPr>
        <w:tabs>
          <w:tab w:val="num" w:pos="5412"/>
        </w:tabs>
        <w:ind w:left="5412" w:hanging="360"/>
      </w:pPr>
      <w:rPr>
        <w:rFonts w:cs="Times New Roman"/>
      </w:rPr>
    </w:lvl>
    <w:lvl w:ilvl="8" w:tplc="04090005" w:tentative="1">
      <w:start w:val="1"/>
      <w:numFmt w:val="lowerRoman"/>
      <w:lvlText w:val="%9."/>
      <w:lvlJc w:val="right"/>
      <w:pPr>
        <w:tabs>
          <w:tab w:val="num" w:pos="6132"/>
        </w:tabs>
        <w:ind w:left="6132" w:hanging="180"/>
      </w:pPr>
      <w:rPr>
        <w:rFonts w:cs="Times New Roman"/>
      </w:rPr>
    </w:lvl>
  </w:abstractNum>
  <w:abstractNum w:abstractNumId="23">
    <w:nsid w:val="6591357F"/>
    <w:multiLevelType w:val="hybridMultilevel"/>
    <w:tmpl w:val="3086D54A"/>
    <w:lvl w:ilvl="0" w:tplc="0C090017">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4">
    <w:nsid w:val="67086AFA"/>
    <w:multiLevelType w:val="hybridMultilevel"/>
    <w:tmpl w:val="B030A7F6"/>
    <w:lvl w:ilvl="0" w:tplc="0C090001">
      <w:start w:val="1"/>
      <w:numFmt w:val="bullet"/>
      <w:lvlText w:val=""/>
      <w:lvlJc w:val="left"/>
      <w:pPr>
        <w:tabs>
          <w:tab w:val="num" w:pos="1080"/>
        </w:tabs>
        <w:ind w:left="1080" w:hanging="360"/>
      </w:pPr>
      <w:rPr>
        <w:rFonts w:ascii="Symbol" w:hAnsi="Symbol" w:hint="default"/>
      </w:rPr>
    </w:lvl>
    <w:lvl w:ilvl="1" w:tplc="0C090001">
      <w:start w:val="1"/>
      <w:numFmt w:val="bullet"/>
      <w:lvlText w:val=""/>
      <w:lvlJc w:val="left"/>
      <w:pPr>
        <w:tabs>
          <w:tab w:val="num" w:pos="1800"/>
        </w:tabs>
        <w:ind w:left="1800" w:hanging="360"/>
      </w:pPr>
      <w:rPr>
        <w:rFonts w:ascii="Symbol" w:hAnsi="Symbol" w:hint="default"/>
      </w:rPr>
    </w:lvl>
    <w:lvl w:ilvl="2" w:tplc="0C090001">
      <w:start w:val="1"/>
      <w:numFmt w:val="bullet"/>
      <w:lvlText w:val=""/>
      <w:lvlJc w:val="left"/>
      <w:pPr>
        <w:tabs>
          <w:tab w:val="num" w:pos="2700"/>
        </w:tabs>
        <w:ind w:left="2700" w:hanging="360"/>
      </w:pPr>
      <w:rPr>
        <w:rFonts w:ascii="Symbol" w:hAnsi="Symbol" w:hint="default"/>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25">
    <w:nsid w:val="690711D1"/>
    <w:multiLevelType w:val="hybridMultilevel"/>
    <w:tmpl w:val="5A2CC69C"/>
    <w:lvl w:ilvl="0" w:tplc="2200DBC8">
      <w:start w:val="1"/>
      <w:numFmt w:val="bullet"/>
      <w:lvlText w:val="–"/>
      <w:lvlJc w:val="left"/>
      <w:pPr>
        <w:tabs>
          <w:tab w:val="num" w:pos="720"/>
        </w:tabs>
        <w:ind w:left="720" w:hanging="360"/>
      </w:pPr>
      <w:rPr>
        <w:rFonts w:ascii="Arial" w:hAnsi="Arial" w:hint="default"/>
      </w:rPr>
    </w:lvl>
    <w:lvl w:ilvl="1" w:tplc="11868246">
      <w:start w:val="1"/>
      <w:numFmt w:val="bullet"/>
      <w:lvlText w:val="–"/>
      <w:lvlJc w:val="left"/>
      <w:pPr>
        <w:tabs>
          <w:tab w:val="num" w:pos="1440"/>
        </w:tabs>
        <w:ind w:left="1440" w:hanging="360"/>
      </w:pPr>
      <w:rPr>
        <w:rFonts w:ascii="Arial" w:hAnsi="Arial" w:hint="default"/>
      </w:rPr>
    </w:lvl>
    <w:lvl w:ilvl="2" w:tplc="00563B5C">
      <w:numFmt w:val="bullet"/>
      <w:lvlText w:val="-"/>
      <w:lvlJc w:val="left"/>
      <w:pPr>
        <w:ind w:left="2160" w:hanging="360"/>
      </w:pPr>
      <w:rPr>
        <w:rFonts w:ascii="Calibri" w:eastAsia="Times New Roman" w:hAnsi="Calibri" w:hint="default"/>
      </w:rPr>
    </w:lvl>
    <w:lvl w:ilvl="3" w:tplc="DED4E670" w:tentative="1">
      <w:start w:val="1"/>
      <w:numFmt w:val="bullet"/>
      <w:lvlText w:val="–"/>
      <w:lvlJc w:val="left"/>
      <w:pPr>
        <w:tabs>
          <w:tab w:val="num" w:pos="2880"/>
        </w:tabs>
        <w:ind w:left="2880" w:hanging="360"/>
      </w:pPr>
      <w:rPr>
        <w:rFonts w:ascii="Arial" w:hAnsi="Arial" w:hint="default"/>
      </w:rPr>
    </w:lvl>
    <w:lvl w:ilvl="4" w:tplc="F9607A72" w:tentative="1">
      <w:start w:val="1"/>
      <w:numFmt w:val="bullet"/>
      <w:lvlText w:val="–"/>
      <w:lvlJc w:val="left"/>
      <w:pPr>
        <w:tabs>
          <w:tab w:val="num" w:pos="3600"/>
        </w:tabs>
        <w:ind w:left="3600" w:hanging="360"/>
      </w:pPr>
      <w:rPr>
        <w:rFonts w:ascii="Arial" w:hAnsi="Arial" w:hint="default"/>
      </w:rPr>
    </w:lvl>
    <w:lvl w:ilvl="5" w:tplc="EF260C0E" w:tentative="1">
      <w:start w:val="1"/>
      <w:numFmt w:val="bullet"/>
      <w:lvlText w:val="–"/>
      <w:lvlJc w:val="left"/>
      <w:pPr>
        <w:tabs>
          <w:tab w:val="num" w:pos="4320"/>
        </w:tabs>
        <w:ind w:left="4320" w:hanging="360"/>
      </w:pPr>
      <w:rPr>
        <w:rFonts w:ascii="Arial" w:hAnsi="Arial" w:hint="default"/>
      </w:rPr>
    </w:lvl>
    <w:lvl w:ilvl="6" w:tplc="C6FAF6F8" w:tentative="1">
      <w:start w:val="1"/>
      <w:numFmt w:val="bullet"/>
      <w:lvlText w:val="–"/>
      <w:lvlJc w:val="left"/>
      <w:pPr>
        <w:tabs>
          <w:tab w:val="num" w:pos="5040"/>
        </w:tabs>
        <w:ind w:left="5040" w:hanging="360"/>
      </w:pPr>
      <w:rPr>
        <w:rFonts w:ascii="Arial" w:hAnsi="Arial" w:hint="default"/>
      </w:rPr>
    </w:lvl>
    <w:lvl w:ilvl="7" w:tplc="187A5F16" w:tentative="1">
      <w:start w:val="1"/>
      <w:numFmt w:val="bullet"/>
      <w:lvlText w:val="–"/>
      <w:lvlJc w:val="left"/>
      <w:pPr>
        <w:tabs>
          <w:tab w:val="num" w:pos="5760"/>
        </w:tabs>
        <w:ind w:left="5760" w:hanging="360"/>
      </w:pPr>
      <w:rPr>
        <w:rFonts w:ascii="Arial" w:hAnsi="Arial" w:hint="default"/>
      </w:rPr>
    </w:lvl>
    <w:lvl w:ilvl="8" w:tplc="460804C2" w:tentative="1">
      <w:start w:val="1"/>
      <w:numFmt w:val="bullet"/>
      <w:lvlText w:val="–"/>
      <w:lvlJc w:val="left"/>
      <w:pPr>
        <w:tabs>
          <w:tab w:val="num" w:pos="6480"/>
        </w:tabs>
        <w:ind w:left="6480" w:hanging="360"/>
      </w:pPr>
      <w:rPr>
        <w:rFonts w:ascii="Arial" w:hAnsi="Arial" w:hint="default"/>
      </w:rPr>
    </w:lvl>
  </w:abstractNum>
  <w:abstractNum w:abstractNumId="26">
    <w:nsid w:val="6C4B3685"/>
    <w:multiLevelType w:val="multilevel"/>
    <w:tmpl w:val="884EAE2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70554C54"/>
    <w:multiLevelType w:val="hybridMultilevel"/>
    <w:tmpl w:val="093A4F58"/>
    <w:lvl w:ilvl="0" w:tplc="0C090001">
      <w:start w:val="1"/>
      <w:numFmt w:val="bullet"/>
      <w:lvlText w:val=""/>
      <w:lvlJc w:val="left"/>
      <w:pPr>
        <w:tabs>
          <w:tab w:val="num" w:pos="1080"/>
        </w:tabs>
        <w:ind w:left="1080" w:hanging="360"/>
      </w:pPr>
      <w:rPr>
        <w:rFonts w:ascii="Symbol" w:hAnsi="Symbol" w:hint="default"/>
      </w:rPr>
    </w:lvl>
    <w:lvl w:ilvl="1" w:tplc="0C090001">
      <w:start w:val="1"/>
      <w:numFmt w:val="bullet"/>
      <w:lvlText w:val=""/>
      <w:lvlJc w:val="left"/>
      <w:pPr>
        <w:tabs>
          <w:tab w:val="num" w:pos="1800"/>
        </w:tabs>
        <w:ind w:left="1800" w:hanging="360"/>
      </w:pPr>
      <w:rPr>
        <w:rFonts w:ascii="Symbol" w:hAnsi="Symbol" w:hint="default"/>
      </w:rPr>
    </w:lvl>
    <w:lvl w:ilvl="2" w:tplc="0C090001">
      <w:start w:val="1"/>
      <w:numFmt w:val="bullet"/>
      <w:lvlText w:val=""/>
      <w:lvlJc w:val="left"/>
      <w:pPr>
        <w:tabs>
          <w:tab w:val="num" w:pos="2700"/>
        </w:tabs>
        <w:ind w:left="2700" w:hanging="360"/>
      </w:pPr>
      <w:rPr>
        <w:rFonts w:ascii="Symbol" w:hAnsi="Symbol" w:hint="default"/>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28">
    <w:nsid w:val="70A951D2"/>
    <w:multiLevelType w:val="hybridMultilevel"/>
    <w:tmpl w:val="26EA57B0"/>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9">
    <w:nsid w:val="754A66FD"/>
    <w:multiLevelType w:val="hybridMultilevel"/>
    <w:tmpl w:val="6CE88B1A"/>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0">
    <w:nsid w:val="76C523FA"/>
    <w:multiLevelType w:val="hybridMultilevel"/>
    <w:tmpl w:val="C9DA40F2"/>
    <w:lvl w:ilvl="0" w:tplc="0C090001">
      <w:start w:val="1"/>
      <w:numFmt w:val="bullet"/>
      <w:lvlText w:val=""/>
      <w:lvlJc w:val="left"/>
      <w:pPr>
        <w:tabs>
          <w:tab w:val="num" w:pos="1080"/>
        </w:tabs>
        <w:ind w:left="1080" w:hanging="360"/>
      </w:pPr>
      <w:rPr>
        <w:rFonts w:ascii="Symbol" w:hAnsi="Symbol" w:hint="default"/>
      </w:rPr>
    </w:lvl>
    <w:lvl w:ilvl="1" w:tplc="0C090019">
      <w:start w:val="1"/>
      <w:numFmt w:val="lowerLetter"/>
      <w:lvlText w:val="%2."/>
      <w:lvlJc w:val="left"/>
      <w:pPr>
        <w:ind w:left="1800" w:hanging="360"/>
      </w:pPr>
      <w:rPr>
        <w:rFonts w:cs="Times New Roman"/>
      </w:rPr>
    </w:lvl>
    <w:lvl w:ilvl="2" w:tplc="0C090001">
      <w:start w:val="1"/>
      <w:numFmt w:val="bullet"/>
      <w:lvlText w:val=""/>
      <w:lvlJc w:val="left"/>
      <w:pPr>
        <w:tabs>
          <w:tab w:val="num" w:pos="2700"/>
        </w:tabs>
        <w:ind w:left="2700" w:hanging="360"/>
      </w:pPr>
      <w:rPr>
        <w:rFonts w:ascii="Symbol" w:hAnsi="Symbol" w:hint="default"/>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31">
    <w:nsid w:val="7ACD4D8A"/>
    <w:multiLevelType w:val="multilevel"/>
    <w:tmpl w:val="0C090023"/>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pStyle w:val="Heading4"/>
      <w:lvlText w:val="(%4)"/>
      <w:lvlJc w:val="right"/>
      <w:pPr>
        <w:tabs>
          <w:tab w:val="num" w:pos="864"/>
        </w:tabs>
        <w:ind w:left="864" w:hanging="144"/>
      </w:pPr>
      <w:rPr>
        <w:rFonts w:cs="Times New Roman"/>
      </w:rPr>
    </w:lvl>
    <w:lvl w:ilvl="4">
      <w:start w:val="1"/>
      <w:numFmt w:val="decimal"/>
      <w:pStyle w:val="Heading5"/>
      <w:lvlText w:val="%5)"/>
      <w:lvlJc w:val="left"/>
      <w:pPr>
        <w:tabs>
          <w:tab w:val="num" w:pos="1008"/>
        </w:tabs>
        <w:ind w:left="1008" w:hanging="432"/>
      </w:pPr>
      <w:rPr>
        <w:rFonts w:cs="Times New Roman"/>
      </w:rPr>
    </w:lvl>
    <w:lvl w:ilvl="5">
      <w:start w:val="1"/>
      <w:numFmt w:val="lowerLetter"/>
      <w:pStyle w:val="Heading6"/>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pStyle w:val="Heading8"/>
      <w:lvlText w:val="%8."/>
      <w:lvlJc w:val="left"/>
      <w:pPr>
        <w:tabs>
          <w:tab w:val="num" w:pos="1440"/>
        </w:tabs>
        <w:ind w:left="1440" w:hanging="432"/>
      </w:pPr>
      <w:rPr>
        <w:rFonts w:cs="Times New Roman"/>
      </w:rPr>
    </w:lvl>
    <w:lvl w:ilvl="8">
      <w:start w:val="1"/>
      <w:numFmt w:val="lowerRoman"/>
      <w:pStyle w:val="Heading9"/>
      <w:lvlText w:val="%9."/>
      <w:lvlJc w:val="right"/>
      <w:pPr>
        <w:tabs>
          <w:tab w:val="num" w:pos="1584"/>
        </w:tabs>
        <w:ind w:left="1584" w:hanging="144"/>
      </w:pPr>
      <w:rPr>
        <w:rFonts w:cs="Times New Roman"/>
      </w:rPr>
    </w:lvl>
  </w:abstractNum>
  <w:num w:numId="1">
    <w:abstractNumId w:val="31"/>
  </w:num>
  <w:num w:numId="2">
    <w:abstractNumId w:val="10"/>
  </w:num>
  <w:num w:numId="3">
    <w:abstractNumId w:val="20"/>
  </w:num>
  <w:num w:numId="4">
    <w:abstractNumId w:val="22"/>
  </w:num>
  <w:num w:numId="5">
    <w:abstractNumId w:val="25"/>
  </w:num>
  <w:num w:numId="6">
    <w:abstractNumId w:val="19"/>
  </w:num>
  <w:num w:numId="7">
    <w:abstractNumId w:val="3"/>
  </w:num>
  <w:num w:numId="8">
    <w:abstractNumId w:val="28"/>
  </w:num>
  <w:num w:numId="9">
    <w:abstractNumId w:val="29"/>
  </w:num>
  <w:num w:numId="10">
    <w:abstractNumId w:val="18"/>
  </w:num>
  <w:num w:numId="11">
    <w:abstractNumId w:val="9"/>
  </w:num>
  <w:num w:numId="12">
    <w:abstractNumId w:val="6"/>
  </w:num>
  <w:num w:numId="13">
    <w:abstractNumId w:val="13"/>
  </w:num>
  <w:num w:numId="14">
    <w:abstractNumId w:val="7"/>
  </w:num>
  <w:num w:numId="15">
    <w:abstractNumId w:val="30"/>
  </w:num>
  <w:num w:numId="16">
    <w:abstractNumId w:val="0"/>
  </w:num>
  <w:num w:numId="17">
    <w:abstractNumId w:val="1"/>
  </w:num>
  <w:num w:numId="18">
    <w:abstractNumId w:val="16"/>
  </w:num>
  <w:num w:numId="19">
    <w:abstractNumId w:val="24"/>
  </w:num>
  <w:num w:numId="20">
    <w:abstractNumId w:val="2"/>
  </w:num>
  <w:num w:numId="21">
    <w:abstractNumId w:val="27"/>
  </w:num>
  <w:num w:numId="22">
    <w:abstractNumId w:val="21"/>
  </w:num>
  <w:num w:numId="23">
    <w:abstractNumId w:val="8"/>
  </w:num>
  <w:num w:numId="24">
    <w:abstractNumId w:val="11"/>
  </w:num>
  <w:num w:numId="25">
    <w:abstractNumId w:val="15"/>
  </w:num>
  <w:num w:numId="26">
    <w:abstractNumId w:val="4"/>
  </w:num>
  <w:num w:numId="27">
    <w:abstractNumId w:val="17"/>
  </w:num>
  <w:num w:numId="28">
    <w:abstractNumId w:val="14"/>
  </w:num>
  <w:num w:numId="29">
    <w:abstractNumId w:val="23"/>
  </w:num>
  <w:num w:numId="30">
    <w:abstractNumId w:val="5"/>
  </w:num>
  <w:num w:numId="31">
    <w:abstractNumId w:val="12"/>
  </w:num>
  <w:num w:numId="3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0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62F"/>
    <w:rsid w:val="000011AF"/>
    <w:rsid w:val="0000300D"/>
    <w:rsid w:val="00005244"/>
    <w:rsid w:val="00006244"/>
    <w:rsid w:val="00007033"/>
    <w:rsid w:val="0001106B"/>
    <w:rsid w:val="000126A8"/>
    <w:rsid w:val="00012ABD"/>
    <w:rsid w:val="00012B0A"/>
    <w:rsid w:val="000131FA"/>
    <w:rsid w:val="00014E07"/>
    <w:rsid w:val="00016FE2"/>
    <w:rsid w:val="0002264E"/>
    <w:rsid w:val="00022DB0"/>
    <w:rsid w:val="0002400F"/>
    <w:rsid w:val="00026371"/>
    <w:rsid w:val="000265FA"/>
    <w:rsid w:val="00035691"/>
    <w:rsid w:val="00036089"/>
    <w:rsid w:val="00036E63"/>
    <w:rsid w:val="00037E9F"/>
    <w:rsid w:val="00043B0E"/>
    <w:rsid w:val="000440B1"/>
    <w:rsid w:val="0004489D"/>
    <w:rsid w:val="00051286"/>
    <w:rsid w:val="00052FB1"/>
    <w:rsid w:val="00055276"/>
    <w:rsid w:val="00055BD9"/>
    <w:rsid w:val="00057FE5"/>
    <w:rsid w:val="00062CD5"/>
    <w:rsid w:val="00063906"/>
    <w:rsid w:val="00063E7D"/>
    <w:rsid w:val="00065A25"/>
    <w:rsid w:val="000665A1"/>
    <w:rsid w:val="00066CDE"/>
    <w:rsid w:val="00067E0B"/>
    <w:rsid w:val="000717CA"/>
    <w:rsid w:val="0007200C"/>
    <w:rsid w:val="00072365"/>
    <w:rsid w:val="00073C17"/>
    <w:rsid w:val="0007470C"/>
    <w:rsid w:val="0007544D"/>
    <w:rsid w:val="0007621B"/>
    <w:rsid w:val="00082976"/>
    <w:rsid w:val="00086428"/>
    <w:rsid w:val="00086AB0"/>
    <w:rsid w:val="0009013C"/>
    <w:rsid w:val="000901A8"/>
    <w:rsid w:val="00090218"/>
    <w:rsid w:val="00091ED7"/>
    <w:rsid w:val="00092191"/>
    <w:rsid w:val="0009279E"/>
    <w:rsid w:val="00095A41"/>
    <w:rsid w:val="00096085"/>
    <w:rsid w:val="000963CD"/>
    <w:rsid w:val="00096796"/>
    <w:rsid w:val="00097D62"/>
    <w:rsid w:val="000A3265"/>
    <w:rsid w:val="000A3D96"/>
    <w:rsid w:val="000A5AE3"/>
    <w:rsid w:val="000A5C8C"/>
    <w:rsid w:val="000A6059"/>
    <w:rsid w:val="000A6B75"/>
    <w:rsid w:val="000A717E"/>
    <w:rsid w:val="000A7698"/>
    <w:rsid w:val="000B0E6E"/>
    <w:rsid w:val="000B2EF5"/>
    <w:rsid w:val="000B2F3E"/>
    <w:rsid w:val="000B59E4"/>
    <w:rsid w:val="000B5A68"/>
    <w:rsid w:val="000C0D42"/>
    <w:rsid w:val="000C3CB0"/>
    <w:rsid w:val="000C5639"/>
    <w:rsid w:val="000C6834"/>
    <w:rsid w:val="000C7AD6"/>
    <w:rsid w:val="000D0757"/>
    <w:rsid w:val="000E037B"/>
    <w:rsid w:val="000E32B2"/>
    <w:rsid w:val="000E72CC"/>
    <w:rsid w:val="000F3501"/>
    <w:rsid w:val="000F5E96"/>
    <w:rsid w:val="000F792D"/>
    <w:rsid w:val="000F7ADF"/>
    <w:rsid w:val="000F7DF0"/>
    <w:rsid w:val="00104A9C"/>
    <w:rsid w:val="00107AE0"/>
    <w:rsid w:val="00110630"/>
    <w:rsid w:val="00111DC4"/>
    <w:rsid w:val="00112570"/>
    <w:rsid w:val="00113A8A"/>
    <w:rsid w:val="001143F6"/>
    <w:rsid w:val="00117470"/>
    <w:rsid w:val="0011776A"/>
    <w:rsid w:val="001208B9"/>
    <w:rsid w:val="00120E0E"/>
    <w:rsid w:val="001222F6"/>
    <w:rsid w:val="001224DE"/>
    <w:rsid w:val="00123B6C"/>
    <w:rsid w:val="00126A7C"/>
    <w:rsid w:val="0012700F"/>
    <w:rsid w:val="001275BD"/>
    <w:rsid w:val="001306F2"/>
    <w:rsid w:val="00130D98"/>
    <w:rsid w:val="00134170"/>
    <w:rsid w:val="00136917"/>
    <w:rsid w:val="00136A7A"/>
    <w:rsid w:val="00136C8A"/>
    <w:rsid w:val="001375EE"/>
    <w:rsid w:val="00142E5E"/>
    <w:rsid w:val="001452A2"/>
    <w:rsid w:val="001474E7"/>
    <w:rsid w:val="00150735"/>
    <w:rsid w:val="00151D85"/>
    <w:rsid w:val="00152811"/>
    <w:rsid w:val="001537A4"/>
    <w:rsid w:val="001570CD"/>
    <w:rsid w:val="001610CA"/>
    <w:rsid w:val="00162215"/>
    <w:rsid w:val="001637E9"/>
    <w:rsid w:val="00163C5A"/>
    <w:rsid w:val="00165A7E"/>
    <w:rsid w:val="0016659A"/>
    <w:rsid w:val="001666B8"/>
    <w:rsid w:val="00166AC8"/>
    <w:rsid w:val="0017060B"/>
    <w:rsid w:val="00176D27"/>
    <w:rsid w:val="0018099E"/>
    <w:rsid w:val="00180D66"/>
    <w:rsid w:val="00184D5A"/>
    <w:rsid w:val="0018524B"/>
    <w:rsid w:val="00185CD9"/>
    <w:rsid w:val="001909A8"/>
    <w:rsid w:val="0019210C"/>
    <w:rsid w:val="00192B9C"/>
    <w:rsid w:val="0019349E"/>
    <w:rsid w:val="00194E51"/>
    <w:rsid w:val="001951AA"/>
    <w:rsid w:val="00195718"/>
    <w:rsid w:val="00196628"/>
    <w:rsid w:val="00197CBD"/>
    <w:rsid w:val="001A18A9"/>
    <w:rsid w:val="001A1E1D"/>
    <w:rsid w:val="001A28EA"/>
    <w:rsid w:val="001A32D2"/>
    <w:rsid w:val="001A3EAC"/>
    <w:rsid w:val="001A5C11"/>
    <w:rsid w:val="001A6A6F"/>
    <w:rsid w:val="001A709A"/>
    <w:rsid w:val="001A7A50"/>
    <w:rsid w:val="001A7BFD"/>
    <w:rsid w:val="001A7C84"/>
    <w:rsid w:val="001A7DFB"/>
    <w:rsid w:val="001B395D"/>
    <w:rsid w:val="001B5F06"/>
    <w:rsid w:val="001C1186"/>
    <w:rsid w:val="001C1CF7"/>
    <w:rsid w:val="001C3B61"/>
    <w:rsid w:val="001C3EAF"/>
    <w:rsid w:val="001C50AB"/>
    <w:rsid w:val="001C7A5D"/>
    <w:rsid w:val="001C7E7A"/>
    <w:rsid w:val="001D02B4"/>
    <w:rsid w:val="001D12B1"/>
    <w:rsid w:val="001D1307"/>
    <w:rsid w:val="001D209C"/>
    <w:rsid w:val="001D316C"/>
    <w:rsid w:val="001D3E19"/>
    <w:rsid w:val="001D46F6"/>
    <w:rsid w:val="001D48C3"/>
    <w:rsid w:val="001D7077"/>
    <w:rsid w:val="001E3986"/>
    <w:rsid w:val="001E421D"/>
    <w:rsid w:val="001E4959"/>
    <w:rsid w:val="001F0ECE"/>
    <w:rsid w:val="001F13F9"/>
    <w:rsid w:val="001F2ECB"/>
    <w:rsid w:val="001F35B6"/>
    <w:rsid w:val="001F55D8"/>
    <w:rsid w:val="001F777C"/>
    <w:rsid w:val="0020241E"/>
    <w:rsid w:val="00205F02"/>
    <w:rsid w:val="0020699F"/>
    <w:rsid w:val="002069B3"/>
    <w:rsid w:val="00207403"/>
    <w:rsid w:val="002102FD"/>
    <w:rsid w:val="00210F4D"/>
    <w:rsid w:val="0021372A"/>
    <w:rsid w:val="00217A32"/>
    <w:rsid w:val="00217B4D"/>
    <w:rsid w:val="00223662"/>
    <w:rsid w:val="0022429F"/>
    <w:rsid w:val="00227FD7"/>
    <w:rsid w:val="00233042"/>
    <w:rsid w:val="00235E38"/>
    <w:rsid w:val="00235FA2"/>
    <w:rsid w:val="002373D7"/>
    <w:rsid w:val="00241085"/>
    <w:rsid w:val="0024684C"/>
    <w:rsid w:val="0025147D"/>
    <w:rsid w:val="00252631"/>
    <w:rsid w:val="00254B1C"/>
    <w:rsid w:val="00255167"/>
    <w:rsid w:val="00260D69"/>
    <w:rsid w:val="00261EEE"/>
    <w:rsid w:val="00262697"/>
    <w:rsid w:val="00265367"/>
    <w:rsid w:val="002659B6"/>
    <w:rsid w:val="00266887"/>
    <w:rsid w:val="002675F1"/>
    <w:rsid w:val="00273B6D"/>
    <w:rsid w:val="0027428B"/>
    <w:rsid w:val="002812C4"/>
    <w:rsid w:val="00281513"/>
    <w:rsid w:val="002815AE"/>
    <w:rsid w:val="0028194B"/>
    <w:rsid w:val="0028338E"/>
    <w:rsid w:val="00285943"/>
    <w:rsid w:val="0029113E"/>
    <w:rsid w:val="002930DF"/>
    <w:rsid w:val="002A3638"/>
    <w:rsid w:val="002A4ED3"/>
    <w:rsid w:val="002A6116"/>
    <w:rsid w:val="002A6980"/>
    <w:rsid w:val="002A6C1E"/>
    <w:rsid w:val="002B40B0"/>
    <w:rsid w:val="002B549C"/>
    <w:rsid w:val="002B6CAB"/>
    <w:rsid w:val="002C0DCB"/>
    <w:rsid w:val="002C4478"/>
    <w:rsid w:val="002C49BC"/>
    <w:rsid w:val="002C4E01"/>
    <w:rsid w:val="002C7540"/>
    <w:rsid w:val="002D013B"/>
    <w:rsid w:val="002D3006"/>
    <w:rsid w:val="002D4300"/>
    <w:rsid w:val="002D4461"/>
    <w:rsid w:val="002D4CA7"/>
    <w:rsid w:val="002D596F"/>
    <w:rsid w:val="002D7933"/>
    <w:rsid w:val="002E454B"/>
    <w:rsid w:val="002E4A8E"/>
    <w:rsid w:val="002E4CF0"/>
    <w:rsid w:val="002E57EC"/>
    <w:rsid w:val="002E69D7"/>
    <w:rsid w:val="002E6E60"/>
    <w:rsid w:val="002F12FA"/>
    <w:rsid w:val="002F1C67"/>
    <w:rsid w:val="002F5780"/>
    <w:rsid w:val="002F5B32"/>
    <w:rsid w:val="002F75E9"/>
    <w:rsid w:val="0030226A"/>
    <w:rsid w:val="00302F5A"/>
    <w:rsid w:val="0030420F"/>
    <w:rsid w:val="00307418"/>
    <w:rsid w:val="00307E63"/>
    <w:rsid w:val="00310DEF"/>
    <w:rsid w:val="00312862"/>
    <w:rsid w:val="00313EC8"/>
    <w:rsid w:val="00314BE5"/>
    <w:rsid w:val="00316D1E"/>
    <w:rsid w:val="00317169"/>
    <w:rsid w:val="003202E3"/>
    <w:rsid w:val="00320CB4"/>
    <w:rsid w:val="00320E6C"/>
    <w:rsid w:val="00320E92"/>
    <w:rsid w:val="00322369"/>
    <w:rsid w:val="003223CE"/>
    <w:rsid w:val="00323C50"/>
    <w:rsid w:val="003251C0"/>
    <w:rsid w:val="003251F5"/>
    <w:rsid w:val="00326874"/>
    <w:rsid w:val="003268D5"/>
    <w:rsid w:val="00327FAF"/>
    <w:rsid w:val="003313FE"/>
    <w:rsid w:val="003314B4"/>
    <w:rsid w:val="00331917"/>
    <w:rsid w:val="0033554E"/>
    <w:rsid w:val="00335950"/>
    <w:rsid w:val="003367C6"/>
    <w:rsid w:val="003373F9"/>
    <w:rsid w:val="0034576C"/>
    <w:rsid w:val="00346B7C"/>
    <w:rsid w:val="00346E90"/>
    <w:rsid w:val="00353146"/>
    <w:rsid w:val="00354BD7"/>
    <w:rsid w:val="00357149"/>
    <w:rsid w:val="00357FB8"/>
    <w:rsid w:val="00362C7C"/>
    <w:rsid w:val="00363CB8"/>
    <w:rsid w:val="00363E88"/>
    <w:rsid w:val="00364316"/>
    <w:rsid w:val="00366BBE"/>
    <w:rsid w:val="00366D98"/>
    <w:rsid w:val="00370B4A"/>
    <w:rsid w:val="00372170"/>
    <w:rsid w:val="003769E6"/>
    <w:rsid w:val="003775BA"/>
    <w:rsid w:val="00380D12"/>
    <w:rsid w:val="00382A47"/>
    <w:rsid w:val="0038389C"/>
    <w:rsid w:val="00383F37"/>
    <w:rsid w:val="00384276"/>
    <w:rsid w:val="0038439A"/>
    <w:rsid w:val="00385366"/>
    <w:rsid w:val="00385EE7"/>
    <w:rsid w:val="00385F1F"/>
    <w:rsid w:val="00386A62"/>
    <w:rsid w:val="00390058"/>
    <w:rsid w:val="0039071A"/>
    <w:rsid w:val="00391E64"/>
    <w:rsid w:val="00393B80"/>
    <w:rsid w:val="003940F7"/>
    <w:rsid w:val="00395553"/>
    <w:rsid w:val="00395D0D"/>
    <w:rsid w:val="00397CD8"/>
    <w:rsid w:val="003A20CB"/>
    <w:rsid w:val="003A2477"/>
    <w:rsid w:val="003A4556"/>
    <w:rsid w:val="003A46EA"/>
    <w:rsid w:val="003A4ABC"/>
    <w:rsid w:val="003A51D1"/>
    <w:rsid w:val="003A7613"/>
    <w:rsid w:val="003B232A"/>
    <w:rsid w:val="003B37A9"/>
    <w:rsid w:val="003B386B"/>
    <w:rsid w:val="003C09CE"/>
    <w:rsid w:val="003C3BAF"/>
    <w:rsid w:val="003C4B17"/>
    <w:rsid w:val="003C57A1"/>
    <w:rsid w:val="003D1229"/>
    <w:rsid w:val="003D1F09"/>
    <w:rsid w:val="003D22A3"/>
    <w:rsid w:val="003D2916"/>
    <w:rsid w:val="003D4723"/>
    <w:rsid w:val="003D560D"/>
    <w:rsid w:val="003D7C0A"/>
    <w:rsid w:val="003D7D19"/>
    <w:rsid w:val="003E0450"/>
    <w:rsid w:val="003E3C2D"/>
    <w:rsid w:val="003E4C9A"/>
    <w:rsid w:val="003E76CB"/>
    <w:rsid w:val="003E792A"/>
    <w:rsid w:val="003E7AF1"/>
    <w:rsid w:val="003F485D"/>
    <w:rsid w:val="003F588F"/>
    <w:rsid w:val="003F5D96"/>
    <w:rsid w:val="003F6E94"/>
    <w:rsid w:val="004024A1"/>
    <w:rsid w:val="00406521"/>
    <w:rsid w:val="004073C0"/>
    <w:rsid w:val="00410287"/>
    <w:rsid w:val="004103E0"/>
    <w:rsid w:val="004120EF"/>
    <w:rsid w:val="00413A66"/>
    <w:rsid w:val="0041508E"/>
    <w:rsid w:val="00415A84"/>
    <w:rsid w:val="0041626A"/>
    <w:rsid w:val="00416AD5"/>
    <w:rsid w:val="00417972"/>
    <w:rsid w:val="00417B0A"/>
    <w:rsid w:val="00420B62"/>
    <w:rsid w:val="004221DA"/>
    <w:rsid w:val="0042242D"/>
    <w:rsid w:val="0042273B"/>
    <w:rsid w:val="004304E2"/>
    <w:rsid w:val="00437886"/>
    <w:rsid w:val="00437906"/>
    <w:rsid w:val="004421C6"/>
    <w:rsid w:val="004421D9"/>
    <w:rsid w:val="00443540"/>
    <w:rsid w:val="00444E8D"/>
    <w:rsid w:val="00445505"/>
    <w:rsid w:val="004512D3"/>
    <w:rsid w:val="004516CE"/>
    <w:rsid w:val="00453830"/>
    <w:rsid w:val="00455743"/>
    <w:rsid w:val="004577EF"/>
    <w:rsid w:val="00462368"/>
    <w:rsid w:val="0046265C"/>
    <w:rsid w:val="004640E4"/>
    <w:rsid w:val="004659E1"/>
    <w:rsid w:val="00465B5E"/>
    <w:rsid w:val="004665FC"/>
    <w:rsid w:val="00471F2A"/>
    <w:rsid w:val="0047262D"/>
    <w:rsid w:val="0047389F"/>
    <w:rsid w:val="00480148"/>
    <w:rsid w:val="004801BC"/>
    <w:rsid w:val="004819D8"/>
    <w:rsid w:val="0048344D"/>
    <w:rsid w:val="00485C3A"/>
    <w:rsid w:val="004860D0"/>
    <w:rsid w:val="004869DF"/>
    <w:rsid w:val="00487CAB"/>
    <w:rsid w:val="00490191"/>
    <w:rsid w:val="00491769"/>
    <w:rsid w:val="00491CE6"/>
    <w:rsid w:val="00496CCC"/>
    <w:rsid w:val="00497750"/>
    <w:rsid w:val="004A371E"/>
    <w:rsid w:val="004A3B89"/>
    <w:rsid w:val="004A3F6E"/>
    <w:rsid w:val="004A47FE"/>
    <w:rsid w:val="004A5009"/>
    <w:rsid w:val="004A5560"/>
    <w:rsid w:val="004A5C22"/>
    <w:rsid w:val="004B1056"/>
    <w:rsid w:val="004B2BD5"/>
    <w:rsid w:val="004B5668"/>
    <w:rsid w:val="004C019E"/>
    <w:rsid w:val="004C1624"/>
    <w:rsid w:val="004C176D"/>
    <w:rsid w:val="004C1FEB"/>
    <w:rsid w:val="004C6737"/>
    <w:rsid w:val="004C6B65"/>
    <w:rsid w:val="004D35A6"/>
    <w:rsid w:val="004D449F"/>
    <w:rsid w:val="004D4BE5"/>
    <w:rsid w:val="004E16A3"/>
    <w:rsid w:val="004E3874"/>
    <w:rsid w:val="004E3A9C"/>
    <w:rsid w:val="004E63DE"/>
    <w:rsid w:val="004E684C"/>
    <w:rsid w:val="004E7C5C"/>
    <w:rsid w:val="004F0D70"/>
    <w:rsid w:val="004F2233"/>
    <w:rsid w:val="004F4023"/>
    <w:rsid w:val="004F4C81"/>
    <w:rsid w:val="004F5856"/>
    <w:rsid w:val="004F5E13"/>
    <w:rsid w:val="0050320C"/>
    <w:rsid w:val="00503A4E"/>
    <w:rsid w:val="00506FA4"/>
    <w:rsid w:val="005073A3"/>
    <w:rsid w:val="00512400"/>
    <w:rsid w:val="00513A96"/>
    <w:rsid w:val="00517FE1"/>
    <w:rsid w:val="005267DA"/>
    <w:rsid w:val="00527EE1"/>
    <w:rsid w:val="00530E66"/>
    <w:rsid w:val="0053156F"/>
    <w:rsid w:val="00533BE3"/>
    <w:rsid w:val="00534AF4"/>
    <w:rsid w:val="00535B1A"/>
    <w:rsid w:val="00535C59"/>
    <w:rsid w:val="00536CBD"/>
    <w:rsid w:val="005405FD"/>
    <w:rsid w:val="005426DD"/>
    <w:rsid w:val="00544777"/>
    <w:rsid w:val="005464DC"/>
    <w:rsid w:val="005469B9"/>
    <w:rsid w:val="005469E9"/>
    <w:rsid w:val="005471CC"/>
    <w:rsid w:val="005506E9"/>
    <w:rsid w:val="005518EC"/>
    <w:rsid w:val="00551F6A"/>
    <w:rsid w:val="00552644"/>
    <w:rsid w:val="005555C0"/>
    <w:rsid w:val="00557B7F"/>
    <w:rsid w:val="0056009E"/>
    <w:rsid w:val="005600BE"/>
    <w:rsid w:val="00563AE7"/>
    <w:rsid w:val="00563E2A"/>
    <w:rsid w:val="005643D8"/>
    <w:rsid w:val="00566BE5"/>
    <w:rsid w:val="00566FB9"/>
    <w:rsid w:val="005674A9"/>
    <w:rsid w:val="00567E45"/>
    <w:rsid w:val="00570982"/>
    <w:rsid w:val="00572B65"/>
    <w:rsid w:val="00572C81"/>
    <w:rsid w:val="00574DDF"/>
    <w:rsid w:val="00574EC2"/>
    <w:rsid w:val="0057687C"/>
    <w:rsid w:val="00580D26"/>
    <w:rsid w:val="00581FFB"/>
    <w:rsid w:val="005825FD"/>
    <w:rsid w:val="0058592E"/>
    <w:rsid w:val="00591341"/>
    <w:rsid w:val="00591D94"/>
    <w:rsid w:val="005938A2"/>
    <w:rsid w:val="00594712"/>
    <w:rsid w:val="00596580"/>
    <w:rsid w:val="00596BC3"/>
    <w:rsid w:val="005977BC"/>
    <w:rsid w:val="00597900"/>
    <w:rsid w:val="005A24F6"/>
    <w:rsid w:val="005A334B"/>
    <w:rsid w:val="005A5660"/>
    <w:rsid w:val="005A6BBA"/>
    <w:rsid w:val="005B0119"/>
    <w:rsid w:val="005B259B"/>
    <w:rsid w:val="005B2E3C"/>
    <w:rsid w:val="005B574F"/>
    <w:rsid w:val="005C4367"/>
    <w:rsid w:val="005C545C"/>
    <w:rsid w:val="005C6E80"/>
    <w:rsid w:val="005C7247"/>
    <w:rsid w:val="005D2670"/>
    <w:rsid w:val="005D4540"/>
    <w:rsid w:val="005E0042"/>
    <w:rsid w:val="005E1CF7"/>
    <w:rsid w:val="005E2369"/>
    <w:rsid w:val="005E3043"/>
    <w:rsid w:val="005E4239"/>
    <w:rsid w:val="005E50D4"/>
    <w:rsid w:val="005E70DC"/>
    <w:rsid w:val="005F165A"/>
    <w:rsid w:val="005F1F16"/>
    <w:rsid w:val="005F2BF1"/>
    <w:rsid w:val="005F456C"/>
    <w:rsid w:val="005F61B1"/>
    <w:rsid w:val="0060049A"/>
    <w:rsid w:val="00605F4D"/>
    <w:rsid w:val="00606209"/>
    <w:rsid w:val="00607B0A"/>
    <w:rsid w:val="006107EA"/>
    <w:rsid w:val="006116F4"/>
    <w:rsid w:val="00612BE5"/>
    <w:rsid w:val="00613603"/>
    <w:rsid w:val="006138A9"/>
    <w:rsid w:val="00616E9D"/>
    <w:rsid w:val="00621904"/>
    <w:rsid w:val="00623D03"/>
    <w:rsid w:val="00625DFB"/>
    <w:rsid w:val="00627609"/>
    <w:rsid w:val="0063128B"/>
    <w:rsid w:val="00631829"/>
    <w:rsid w:val="006334E2"/>
    <w:rsid w:val="00634A40"/>
    <w:rsid w:val="00637F0E"/>
    <w:rsid w:val="006408DA"/>
    <w:rsid w:val="006431A4"/>
    <w:rsid w:val="00644701"/>
    <w:rsid w:val="006453AE"/>
    <w:rsid w:val="0064572E"/>
    <w:rsid w:val="0064683E"/>
    <w:rsid w:val="00646E1E"/>
    <w:rsid w:val="0065047F"/>
    <w:rsid w:val="00651C08"/>
    <w:rsid w:val="006528C8"/>
    <w:rsid w:val="0065418D"/>
    <w:rsid w:val="00655E42"/>
    <w:rsid w:val="00656000"/>
    <w:rsid w:val="00661C61"/>
    <w:rsid w:val="0066410F"/>
    <w:rsid w:val="00664890"/>
    <w:rsid w:val="00665286"/>
    <w:rsid w:val="00666B27"/>
    <w:rsid w:val="00666DF2"/>
    <w:rsid w:val="0067172B"/>
    <w:rsid w:val="006732CA"/>
    <w:rsid w:val="006750D6"/>
    <w:rsid w:val="006766AF"/>
    <w:rsid w:val="00676E13"/>
    <w:rsid w:val="006775FE"/>
    <w:rsid w:val="00680AAB"/>
    <w:rsid w:val="00682128"/>
    <w:rsid w:val="00682A67"/>
    <w:rsid w:val="006830EE"/>
    <w:rsid w:val="00684997"/>
    <w:rsid w:val="00684B3F"/>
    <w:rsid w:val="00690AA8"/>
    <w:rsid w:val="00691416"/>
    <w:rsid w:val="006920AB"/>
    <w:rsid w:val="00692B45"/>
    <w:rsid w:val="00693618"/>
    <w:rsid w:val="00693AF5"/>
    <w:rsid w:val="006A099B"/>
    <w:rsid w:val="006A1953"/>
    <w:rsid w:val="006A20A4"/>
    <w:rsid w:val="006A4AFC"/>
    <w:rsid w:val="006A4E17"/>
    <w:rsid w:val="006A6ED1"/>
    <w:rsid w:val="006A77BD"/>
    <w:rsid w:val="006B0173"/>
    <w:rsid w:val="006B134B"/>
    <w:rsid w:val="006B2FE8"/>
    <w:rsid w:val="006B3F2A"/>
    <w:rsid w:val="006B7240"/>
    <w:rsid w:val="006C222C"/>
    <w:rsid w:val="006C3A41"/>
    <w:rsid w:val="006C47BE"/>
    <w:rsid w:val="006C58A0"/>
    <w:rsid w:val="006C6B6D"/>
    <w:rsid w:val="006C6ED0"/>
    <w:rsid w:val="006C741F"/>
    <w:rsid w:val="006C7955"/>
    <w:rsid w:val="006D1BC9"/>
    <w:rsid w:val="006D2119"/>
    <w:rsid w:val="006D4307"/>
    <w:rsid w:val="006D46BA"/>
    <w:rsid w:val="006D621B"/>
    <w:rsid w:val="006D7ABD"/>
    <w:rsid w:val="006D7D49"/>
    <w:rsid w:val="006E1C7F"/>
    <w:rsid w:val="006E2D9B"/>
    <w:rsid w:val="006E304B"/>
    <w:rsid w:val="006E3B7B"/>
    <w:rsid w:val="006E7B13"/>
    <w:rsid w:val="006F0A87"/>
    <w:rsid w:val="006F1AD4"/>
    <w:rsid w:val="006F39A0"/>
    <w:rsid w:val="006F5817"/>
    <w:rsid w:val="006F5C12"/>
    <w:rsid w:val="006F67AB"/>
    <w:rsid w:val="00703C13"/>
    <w:rsid w:val="00704C83"/>
    <w:rsid w:val="00705340"/>
    <w:rsid w:val="00706593"/>
    <w:rsid w:val="00706CCE"/>
    <w:rsid w:val="0071188C"/>
    <w:rsid w:val="00712BFD"/>
    <w:rsid w:val="007135A8"/>
    <w:rsid w:val="00713A67"/>
    <w:rsid w:val="00713F3D"/>
    <w:rsid w:val="00715765"/>
    <w:rsid w:val="0071585B"/>
    <w:rsid w:val="00716D3F"/>
    <w:rsid w:val="00717452"/>
    <w:rsid w:val="00720D9B"/>
    <w:rsid w:val="00722450"/>
    <w:rsid w:val="007235F6"/>
    <w:rsid w:val="00723AD3"/>
    <w:rsid w:val="007251A5"/>
    <w:rsid w:val="00725AD2"/>
    <w:rsid w:val="00725BEC"/>
    <w:rsid w:val="00730693"/>
    <w:rsid w:val="00730B0F"/>
    <w:rsid w:val="0073147F"/>
    <w:rsid w:val="00732B80"/>
    <w:rsid w:val="00737E35"/>
    <w:rsid w:val="00737F4C"/>
    <w:rsid w:val="00741BE6"/>
    <w:rsid w:val="0074279C"/>
    <w:rsid w:val="007431F9"/>
    <w:rsid w:val="00751FA0"/>
    <w:rsid w:val="007563E9"/>
    <w:rsid w:val="00757882"/>
    <w:rsid w:val="007610F9"/>
    <w:rsid w:val="0076360A"/>
    <w:rsid w:val="00763658"/>
    <w:rsid w:val="0077217A"/>
    <w:rsid w:val="00772A7A"/>
    <w:rsid w:val="007737C0"/>
    <w:rsid w:val="00775685"/>
    <w:rsid w:val="00776897"/>
    <w:rsid w:val="007802A9"/>
    <w:rsid w:val="00783B03"/>
    <w:rsid w:val="007853A8"/>
    <w:rsid w:val="00785BE5"/>
    <w:rsid w:val="00787FF7"/>
    <w:rsid w:val="007947CC"/>
    <w:rsid w:val="0079632F"/>
    <w:rsid w:val="007978FA"/>
    <w:rsid w:val="00797C9A"/>
    <w:rsid w:val="007A40DE"/>
    <w:rsid w:val="007A5F65"/>
    <w:rsid w:val="007B22E9"/>
    <w:rsid w:val="007B46EE"/>
    <w:rsid w:val="007B5296"/>
    <w:rsid w:val="007C0058"/>
    <w:rsid w:val="007C0820"/>
    <w:rsid w:val="007C18E2"/>
    <w:rsid w:val="007C2C21"/>
    <w:rsid w:val="007C355E"/>
    <w:rsid w:val="007C3B28"/>
    <w:rsid w:val="007C58B7"/>
    <w:rsid w:val="007D025C"/>
    <w:rsid w:val="007D13FE"/>
    <w:rsid w:val="007D17EE"/>
    <w:rsid w:val="007D30AF"/>
    <w:rsid w:val="007D4C35"/>
    <w:rsid w:val="007D4F82"/>
    <w:rsid w:val="007D76D2"/>
    <w:rsid w:val="007E1EBF"/>
    <w:rsid w:val="007E4DCD"/>
    <w:rsid w:val="007E6A6A"/>
    <w:rsid w:val="007F01EA"/>
    <w:rsid w:val="007F04C8"/>
    <w:rsid w:val="007F1129"/>
    <w:rsid w:val="007F399D"/>
    <w:rsid w:val="007F4D56"/>
    <w:rsid w:val="007F505D"/>
    <w:rsid w:val="007F53CA"/>
    <w:rsid w:val="007F710D"/>
    <w:rsid w:val="007F7AB7"/>
    <w:rsid w:val="008001C8"/>
    <w:rsid w:val="008034DE"/>
    <w:rsid w:val="0080494B"/>
    <w:rsid w:val="00805197"/>
    <w:rsid w:val="00806A1F"/>
    <w:rsid w:val="00815C33"/>
    <w:rsid w:val="00823405"/>
    <w:rsid w:val="00825484"/>
    <w:rsid w:val="00827912"/>
    <w:rsid w:val="00830168"/>
    <w:rsid w:val="00831C2D"/>
    <w:rsid w:val="00831FD2"/>
    <w:rsid w:val="00835382"/>
    <w:rsid w:val="0083638D"/>
    <w:rsid w:val="00836DC2"/>
    <w:rsid w:val="008408C1"/>
    <w:rsid w:val="00840FE2"/>
    <w:rsid w:val="0084126F"/>
    <w:rsid w:val="008425D8"/>
    <w:rsid w:val="0084301C"/>
    <w:rsid w:val="00844FEF"/>
    <w:rsid w:val="008476B9"/>
    <w:rsid w:val="00851CD3"/>
    <w:rsid w:val="00851EB3"/>
    <w:rsid w:val="0085239B"/>
    <w:rsid w:val="0085293D"/>
    <w:rsid w:val="008554BB"/>
    <w:rsid w:val="00857219"/>
    <w:rsid w:val="00862E6A"/>
    <w:rsid w:val="00863328"/>
    <w:rsid w:val="00865D2D"/>
    <w:rsid w:val="00866A77"/>
    <w:rsid w:val="008717B8"/>
    <w:rsid w:val="008732E8"/>
    <w:rsid w:val="008801DC"/>
    <w:rsid w:val="00880200"/>
    <w:rsid w:val="00882200"/>
    <w:rsid w:val="008826D8"/>
    <w:rsid w:val="0088580C"/>
    <w:rsid w:val="00885A77"/>
    <w:rsid w:val="008872E6"/>
    <w:rsid w:val="00892444"/>
    <w:rsid w:val="00892FA0"/>
    <w:rsid w:val="008934FA"/>
    <w:rsid w:val="00894708"/>
    <w:rsid w:val="00894C35"/>
    <w:rsid w:val="008964A8"/>
    <w:rsid w:val="00897410"/>
    <w:rsid w:val="008A128B"/>
    <w:rsid w:val="008A1615"/>
    <w:rsid w:val="008A1AF9"/>
    <w:rsid w:val="008A1F55"/>
    <w:rsid w:val="008A7249"/>
    <w:rsid w:val="008A7EDA"/>
    <w:rsid w:val="008A7FA6"/>
    <w:rsid w:val="008B0902"/>
    <w:rsid w:val="008B0C32"/>
    <w:rsid w:val="008B0D5E"/>
    <w:rsid w:val="008B358D"/>
    <w:rsid w:val="008B4F46"/>
    <w:rsid w:val="008B538B"/>
    <w:rsid w:val="008B7BDE"/>
    <w:rsid w:val="008C067D"/>
    <w:rsid w:val="008C3AD5"/>
    <w:rsid w:val="008C4272"/>
    <w:rsid w:val="008C48DC"/>
    <w:rsid w:val="008C6345"/>
    <w:rsid w:val="008C7E2F"/>
    <w:rsid w:val="008D148D"/>
    <w:rsid w:val="008D18B3"/>
    <w:rsid w:val="008D23C6"/>
    <w:rsid w:val="008D250C"/>
    <w:rsid w:val="008D2558"/>
    <w:rsid w:val="008D32D3"/>
    <w:rsid w:val="008D5B17"/>
    <w:rsid w:val="008D6E56"/>
    <w:rsid w:val="008E3807"/>
    <w:rsid w:val="008E3948"/>
    <w:rsid w:val="008E5D09"/>
    <w:rsid w:val="008E628E"/>
    <w:rsid w:val="008F1829"/>
    <w:rsid w:val="008F229D"/>
    <w:rsid w:val="008F2464"/>
    <w:rsid w:val="008F2C95"/>
    <w:rsid w:val="008F4797"/>
    <w:rsid w:val="008F4B80"/>
    <w:rsid w:val="008F6E6F"/>
    <w:rsid w:val="00901D83"/>
    <w:rsid w:val="00901F79"/>
    <w:rsid w:val="00902408"/>
    <w:rsid w:val="0090426B"/>
    <w:rsid w:val="0090488C"/>
    <w:rsid w:val="00905DD4"/>
    <w:rsid w:val="00906D81"/>
    <w:rsid w:val="00906FA8"/>
    <w:rsid w:val="00907A29"/>
    <w:rsid w:val="00907C5B"/>
    <w:rsid w:val="0091243F"/>
    <w:rsid w:val="009134C7"/>
    <w:rsid w:val="00915383"/>
    <w:rsid w:val="009165F3"/>
    <w:rsid w:val="009200FD"/>
    <w:rsid w:val="00920EA8"/>
    <w:rsid w:val="00922950"/>
    <w:rsid w:val="0092310C"/>
    <w:rsid w:val="00925CF6"/>
    <w:rsid w:val="009304A9"/>
    <w:rsid w:val="00930F28"/>
    <w:rsid w:val="00931436"/>
    <w:rsid w:val="00931A57"/>
    <w:rsid w:val="00931C28"/>
    <w:rsid w:val="00932114"/>
    <w:rsid w:val="00935E87"/>
    <w:rsid w:val="00937520"/>
    <w:rsid w:val="0094078F"/>
    <w:rsid w:val="009426AB"/>
    <w:rsid w:val="00943C17"/>
    <w:rsid w:val="00945A0C"/>
    <w:rsid w:val="0094652F"/>
    <w:rsid w:val="00947922"/>
    <w:rsid w:val="00952A04"/>
    <w:rsid w:val="00957A69"/>
    <w:rsid w:val="0096178B"/>
    <w:rsid w:val="00966024"/>
    <w:rsid w:val="0096673A"/>
    <w:rsid w:val="00970842"/>
    <w:rsid w:val="009708DE"/>
    <w:rsid w:val="00974F63"/>
    <w:rsid w:val="00975119"/>
    <w:rsid w:val="009822AB"/>
    <w:rsid w:val="00982970"/>
    <w:rsid w:val="009843E1"/>
    <w:rsid w:val="00995165"/>
    <w:rsid w:val="009957F6"/>
    <w:rsid w:val="00996C5B"/>
    <w:rsid w:val="00996F1B"/>
    <w:rsid w:val="009A3973"/>
    <w:rsid w:val="009A54E9"/>
    <w:rsid w:val="009B06AD"/>
    <w:rsid w:val="009B16E7"/>
    <w:rsid w:val="009B1AF1"/>
    <w:rsid w:val="009B3FC4"/>
    <w:rsid w:val="009B4AD1"/>
    <w:rsid w:val="009B57F0"/>
    <w:rsid w:val="009B59B7"/>
    <w:rsid w:val="009B6E40"/>
    <w:rsid w:val="009C044D"/>
    <w:rsid w:val="009C1F4F"/>
    <w:rsid w:val="009C335C"/>
    <w:rsid w:val="009C6FAB"/>
    <w:rsid w:val="009D08E8"/>
    <w:rsid w:val="009D1051"/>
    <w:rsid w:val="009D1831"/>
    <w:rsid w:val="009D1C46"/>
    <w:rsid w:val="009D260D"/>
    <w:rsid w:val="009D2FF0"/>
    <w:rsid w:val="009D3B7E"/>
    <w:rsid w:val="009D5C33"/>
    <w:rsid w:val="009D7B0D"/>
    <w:rsid w:val="009E0790"/>
    <w:rsid w:val="009E1546"/>
    <w:rsid w:val="009E4296"/>
    <w:rsid w:val="009E4303"/>
    <w:rsid w:val="009E4C5F"/>
    <w:rsid w:val="009E530B"/>
    <w:rsid w:val="009E6C34"/>
    <w:rsid w:val="009E6D71"/>
    <w:rsid w:val="009F3D33"/>
    <w:rsid w:val="009F51C9"/>
    <w:rsid w:val="009F7DB8"/>
    <w:rsid w:val="00A00AEE"/>
    <w:rsid w:val="00A012FA"/>
    <w:rsid w:val="00A01E3D"/>
    <w:rsid w:val="00A01F6C"/>
    <w:rsid w:val="00A05133"/>
    <w:rsid w:val="00A0605A"/>
    <w:rsid w:val="00A142B0"/>
    <w:rsid w:val="00A1492D"/>
    <w:rsid w:val="00A14EDE"/>
    <w:rsid w:val="00A14FA9"/>
    <w:rsid w:val="00A16757"/>
    <w:rsid w:val="00A17BAF"/>
    <w:rsid w:val="00A24873"/>
    <w:rsid w:val="00A24B42"/>
    <w:rsid w:val="00A24C51"/>
    <w:rsid w:val="00A2506D"/>
    <w:rsid w:val="00A25114"/>
    <w:rsid w:val="00A25E27"/>
    <w:rsid w:val="00A32E13"/>
    <w:rsid w:val="00A348ED"/>
    <w:rsid w:val="00A34E9C"/>
    <w:rsid w:val="00A35ECE"/>
    <w:rsid w:val="00A3741F"/>
    <w:rsid w:val="00A413AF"/>
    <w:rsid w:val="00A4235F"/>
    <w:rsid w:val="00A427A4"/>
    <w:rsid w:val="00A4323A"/>
    <w:rsid w:val="00A43511"/>
    <w:rsid w:val="00A439EA"/>
    <w:rsid w:val="00A43ACB"/>
    <w:rsid w:val="00A47110"/>
    <w:rsid w:val="00A54357"/>
    <w:rsid w:val="00A55F55"/>
    <w:rsid w:val="00A572FE"/>
    <w:rsid w:val="00A62DE3"/>
    <w:rsid w:val="00A66426"/>
    <w:rsid w:val="00A71335"/>
    <w:rsid w:val="00A73431"/>
    <w:rsid w:val="00A738F6"/>
    <w:rsid w:val="00A73E9E"/>
    <w:rsid w:val="00A75A6A"/>
    <w:rsid w:val="00A81CB7"/>
    <w:rsid w:val="00A84284"/>
    <w:rsid w:val="00A84F90"/>
    <w:rsid w:val="00A8618D"/>
    <w:rsid w:val="00A86FF2"/>
    <w:rsid w:val="00A87199"/>
    <w:rsid w:val="00A87770"/>
    <w:rsid w:val="00A87EA4"/>
    <w:rsid w:val="00A927F7"/>
    <w:rsid w:val="00A938A7"/>
    <w:rsid w:val="00A96B86"/>
    <w:rsid w:val="00A96F9C"/>
    <w:rsid w:val="00A97063"/>
    <w:rsid w:val="00A9772C"/>
    <w:rsid w:val="00A97BB3"/>
    <w:rsid w:val="00AA10C2"/>
    <w:rsid w:val="00AA2601"/>
    <w:rsid w:val="00AA4FA8"/>
    <w:rsid w:val="00AA704B"/>
    <w:rsid w:val="00AA7750"/>
    <w:rsid w:val="00AB26E9"/>
    <w:rsid w:val="00AB3E8B"/>
    <w:rsid w:val="00AB5B24"/>
    <w:rsid w:val="00AB5B56"/>
    <w:rsid w:val="00AB79C1"/>
    <w:rsid w:val="00AC07F7"/>
    <w:rsid w:val="00AC28B4"/>
    <w:rsid w:val="00AC4985"/>
    <w:rsid w:val="00AC65F1"/>
    <w:rsid w:val="00AD4669"/>
    <w:rsid w:val="00AD6501"/>
    <w:rsid w:val="00AD6A9D"/>
    <w:rsid w:val="00AD6E5C"/>
    <w:rsid w:val="00AE0ED7"/>
    <w:rsid w:val="00AE38CE"/>
    <w:rsid w:val="00AE5D8E"/>
    <w:rsid w:val="00AE6197"/>
    <w:rsid w:val="00AF0707"/>
    <w:rsid w:val="00AF1E37"/>
    <w:rsid w:val="00AF6110"/>
    <w:rsid w:val="00AF75A1"/>
    <w:rsid w:val="00B047D1"/>
    <w:rsid w:val="00B07CE1"/>
    <w:rsid w:val="00B1061F"/>
    <w:rsid w:val="00B107F8"/>
    <w:rsid w:val="00B10EFC"/>
    <w:rsid w:val="00B15090"/>
    <w:rsid w:val="00B22050"/>
    <w:rsid w:val="00B22B25"/>
    <w:rsid w:val="00B2394D"/>
    <w:rsid w:val="00B267C2"/>
    <w:rsid w:val="00B3282F"/>
    <w:rsid w:val="00B35731"/>
    <w:rsid w:val="00B36692"/>
    <w:rsid w:val="00B37A88"/>
    <w:rsid w:val="00B41FC1"/>
    <w:rsid w:val="00B420FB"/>
    <w:rsid w:val="00B426CD"/>
    <w:rsid w:val="00B4562F"/>
    <w:rsid w:val="00B45891"/>
    <w:rsid w:val="00B45B12"/>
    <w:rsid w:val="00B46DDB"/>
    <w:rsid w:val="00B47436"/>
    <w:rsid w:val="00B51942"/>
    <w:rsid w:val="00B55474"/>
    <w:rsid w:val="00B5581F"/>
    <w:rsid w:val="00B56BAA"/>
    <w:rsid w:val="00B57442"/>
    <w:rsid w:val="00B57C3E"/>
    <w:rsid w:val="00B57F16"/>
    <w:rsid w:val="00B6097C"/>
    <w:rsid w:val="00B629EC"/>
    <w:rsid w:val="00B6489D"/>
    <w:rsid w:val="00B671F5"/>
    <w:rsid w:val="00B74B59"/>
    <w:rsid w:val="00B75B43"/>
    <w:rsid w:val="00B7799E"/>
    <w:rsid w:val="00B8023E"/>
    <w:rsid w:val="00B80F16"/>
    <w:rsid w:val="00B80F19"/>
    <w:rsid w:val="00B8247D"/>
    <w:rsid w:val="00B8364B"/>
    <w:rsid w:val="00B841C5"/>
    <w:rsid w:val="00B8444D"/>
    <w:rsid w:val="00B84D48"/>
    <w:rsid w:val="00B8538B"/>
    <w:rsid w:val="00B85F18"/>
    <w:rsid w:val="00B8733A"/>
    <w:rsid w:val="00B90640"/>
    <w:rsid w:val="00B906BA"/>
    <w:rsid w:val="00B96B41"/>
    <w:rsid w:val="00B96E95"/>
    <w:rsid w:val="00BA1F09"/>
    <w:rsid w:val="00BA2ADF"/>
    <w:rsid w:val="00BA5DB9"/>
    <w:rsid w:val="00BB4960"/>
    <w:rsid w:val="00BB5D0E"/>
    <w:rsid w:val="00BB7A9B"/>
    <w:rsid w:val="00BC4E6E"/>
    <w:rsid w:val="00BC5BC6"/>
    <w:rsid w:val="00BD22C8"/>
    <w:rsid w:val="00BD2DE8"/>
    <w:rsid w:val="00BD3231"/>
    <w:rsid w:val="00BD5485"/>
    <w:rsid w:val="00BD6339"/>
    <w:rsid w:val="00BD6912"/>
    <w:rsid w:val="00BE27D9"/>
    <w:rsid w:val="00BE6A02"/>
    <w:rsid w:val="00BE7108"/>
    <w:rsid w:val="00BE7AED"/>
    <w:rsid w:val="00BF019C"/>
    <w:rsid w:val="00BF09B6"/>
    <w:rsid w:val="00BF1CCF"/>
    <w:rsid w:val="00BF223A"/>
    <w:rsid w:val="00BF6472"/>
    <w:rsid w:val="00BF790B"/>
    <w:rsid w:val="00C02388"/>
    <w:rsid w:val="00C02407"/>
    <w:rsid w:val="00C02C70"/>
    <w:rsid w:val="00C0346A"/>
    <w:rsid w:val="00C04A40"/>
    <w:rsid w:val="00C0538C"/>
    <w:rsid w:val="00C0738D"/>
    <w:rsid w:val="00C10238"/>
    <w:rsid w:val="00C10445"/>
    <w:rsid w:val="00C10831"/>
    <w:rsid w:val="00C11F39"/>
    <w:rsid w:val="00C136DD"/>
    <w:rsid w:val="00C14DC4"/>
    <w:rsid w:val="00C1614A"/>
    <w:rsid w:val="00C210F5"/>
    <w:rsid w:val="00C21F96"/>
    <w:rsid w:val="00C22D7E"/>
    <w:rsid w:val="00C23F87"/>
    <w:rsid w:val="00C3095A"/>
    <w:rsid w:val="00C30C6E"/>
    <w:rsid w:val="00C30FED"/>
    <w:rsid w:val="00C314EB"/>
    <w:rsid w:val="00C316FD"/>
    <w:rsid w:val="00C3188F"/>
    <w:rsid w:val="00C31F42"/>
    <w:rsid w:val="00C32BA1"/>
    <w:rsid w:val="00C342BF"/>
    <w:rsid w:val="00C372C0"/>
    <w:rsid w:val="00C37F3C"/>
    <w:rsid w:val="00C401FF"/>
    <w:rsid w:val="00C4020D"/>
    <w:rsid w:val="00C431E5"/>
    <w:rsid w:val="00C4412D"/>
    <w:rsid w:val="00C44A06"/>
    <w:rsid w:val="00C45BD4"/>
    <w:rsid w:val="00C51BDF"/>
    <w:rsid w:val="00C5499E"/>
    <w:rsid w:val="00C54B68"/>
    <w:rsid w:val="00C55088"/>
    <w:rsid w:val="00C551FC"/>
    <w:rsid w:val="00C56949"/>
    <w:rsid w:val="00C62251"/>
    <w:rsid w:val="00C638B5"/>
    <w:rsid w:val="00C638E5"/>
    <w:rsid w:val="00C6480E"/>
    <w:rsid w:val="00C64C88"/>
    <w:rsid w:val="00C64DF4"/>
    <w:rsid w:val="00C665FD"/>
    <w:rsid w:val="00C66C78"/>
    <w:rsid w:val="00C66E45"/>
    <w:rsid w:val="00C67F63"/>
    <w:rsid w:val="00C73523"/>
    <w:rsid w:val="00C80E98"/>
    <w:rsid w:val="00C81605"/>
    <w:rsid w:val="00C81687"/>
    <w:rsid w:val="00C824B8"/>
    <w:rsid w:val="00C8616E"/>
    <w:rsid w:val="00C873D8"/>
    <w:rsid w:val="00C915DB"/>
    <w:rsid w:val="00C919DB"/>
    <w:rsid w:val="00C91B5D"/>
    <w:rsid w:val="00C928E9"/>
    <w:rsid w:val="00C93077"/>
    <w:rsid w:val="00C93B21"/>
    <w:rsid w:val="00C93BBC"/>
    <w:rsid w:val="00C941C7"/>
    <w:rsid w:val="00C966D9"/>
    <w:rsid w:val="00C96AF6"/>
    <w:rsid w:val="00C97135"/>
    <w:rsid w:val="00CA1878"/>
    <w:rsid w:val="00CA1E7B"/>
    <w:rsid w:val="00CA53F3"/>
    <w:rsid w:val="00CA78BD"/>
    <w:rsid w:val="00CB65AE"/>
    <w:rsid w:val="00CB76AB"/>
    <w:rsid w:val="00CC32AD"/>
    <w:rsid w:val="00CC3C11"/>
    <w:rsid w:val="00CC4164"/>
    <w:rsid w:val="00CC4EE2"/>
    <w:rsid w:val="00CC5F3A"/>
    <w:rsid w:val="00CC67E8"/>
    <w:rsid w:val="00CC6F16"/>
    <w:rsid w:val="00CD2E24"/>
    <w:rsid w:val="00CD4577"/>
    <w:rsid w:val="00CD49E9"/>
    <w:rsid w:val="00CD6415"/>
    <w:rsid w:val="00CD6CD7"/>
    <w:rsid w:val="00CD71A8"/>
    <w:rsid w:val="00CE406F"/>
    <w:rsid w:val="00CE4952"/>
    <w:rsid w:val="00CE7EDA"/>
    <w:rsid w:val="00CF010A"/>
    <w:rsid w:val="00CF25C3"/>
    <w:rsid w:val="00CF25CD"/>
    <w:rsid w:val="00CF26E7"/>
    <w:rsid w:val="00CF544D"/>
    <w:rsid w:val="00CF6077"/>
    <w:rsid w:val="00D005B1"/>
    <w:rsid w:val="00D00A8A"/>
    <w:rsid w:val="00D012F8"/>
    <w:rsid w:val="00D01402"/>
    <w:rsid w:val="00D01FD3"/>
    <w:rsid w:val="00D0234B"/>
    <w:rsid w:val="00D025C2"/>
    <w:rsid w:val="00D04791"/>
    <w:rsid w:val="00D0600F"/>
    <w:rsid w:val="00D06F3F"/>
    <w:rsid w:val="00D11C15"/>
    <w:rsid w:val="00D13AED"/>
    <w:rsid w:val="00D15121"/>
    <w:rsid w:val="00D15916"/>
    <w:rsid w:val="00D16EE7"/>
    <w:rsid w:val="00D170FD"/>
    <w:rsid w:val="00D24C07"/>
    <w:rsid w:val="00D31FCD"/>
    <w:rsid w:val="00D361C6"/>
    <w:rsid w:val="00D36F6C"/>
    <w:rsid w:val="00D42BE5"/>
    <w:rsid w:val="00D44190"/>
    <w:rsid w:val="00D449CA"/>
    <w:rsid w:val="00D453FF"/>
    <w:rsid w:val="00D46474"/>
    <w:rsid w:val="00D46CF3"/>
    <w:rsid w:val="00D50185"/>
    <w:rsid w:val="00D5182D"/>
    <w:rsid w:val="00D52B6C"/>
    <w:rsid w:val="00D52D30"/>
    <w:rsid w:val="00D531EC"/>
    <w:rsid w:val="00D54CC1"/>
    <w:rsid w:val="00D54CF5"/>
    <w:rsid w:val="00D56047"/>
    <w:rsid w:val="00D568CB"/>
    <w:rsid w:val="00D568FD"/>
    <w:rsid w:val="00D56A2D"/>
    <w:rsid w:val="00D56D1F"/>
    <w:rsid w:val="00D61A93"/>
    <w:rsid w:val="00D61C4E"/>
    <w:rsid w:val="00D6541E"/>
    <w:rsid w:val="00D705B0"/>
    <w:rsid w:val="00D70EB3"/>
    <w:rsid w:val="00D723C5"/>
    <w:rsid w:val="00D7288E"/>
    <w:rsid w:val="00D72BBF"/>
    <w:rsid w:val="00D73FE7"/>
    <w:rsid w:val="00D756A4"/>
    <w:rsid w:val="00D75FE1"/>
    <w:rsid w:val="00D773A9"/>
    <w:rsid w:val="00D775CB"/>
    <w:rsid w:val="00D77F22"/>
    <w:rsid w:val="00D80306"/>
    <w:rsid w:val="00D8370A"/>
    <w:rsid w:val="00D84217"/>
    <w:rsid w:val="00D84796"/>
    <w:rsid w:val="00D85E18"/>
    <w:rsid w:val="00D87217"/>
    <w:rsid w:val="00D8793E"/>
    <w:rsid w:val="00D91D3B"/>
    <w:rsid w:val="00D92417"/>
    <w:rsid w:val="00D941E4"/>
    <w:rsid w:val="00D97711"/>
    <w:rsid w:val="00DA2A20"/>
    <w:rsid w:val="00DA439C"/>
    <w:rsid w:val="00DA4C88"/>
    <w:rsid w:val="00DB107E"/>
    <w:rsid w:val="00DB28A8"/>
    <w:rsid w:val="00DB3780"/>
    <w:rsid w:val="00DB70BE"/>
    <w:rsid w:val="00DC04EA"/>
    <w:rsid w:val="00DC12A8"/>
    <w:rsid w:val="00DC13F0"/>
    <w:rsid w:val="00DC2106"/>
    <w:rsid w:val="00DC4873"/>
    <w:rsid w:val="00DC5BAD"/>
    <w:rsid w:val="00DC6ABB"/>
    <w:rsid w:val="00DD259F"/>
    <w:rsid w:val="00DD3434"/>
    <w:rsid w:val="00DD4AE4"/>
    <w:rsid w:val="00DD4CF6"/>
    <w:rsid w:val="00DD66A1"/>
    <w:rsid w:val="00DE0634"/>
    <w:rsid w:val="00DE2912"/>
    <w:rsid w:val="00DE2DE1"/>
    <w:rsid w:val="00DE31F7"/>
    <w:rsid w:val="00DE6EEF"/>
    <w:rsid w:val="00DE7049"/>
    <w:rsid w:val="00DF0BA5"/>
    <w:rsid w:val="00DF4767"/>
    <w:rsid w:val="00DF5B0D"/>
    <w:rsid w:val="00DF685B"/>
    <w:rsid w:val="00DF7003"/>
    <w:rsid w:val="00E02208"/>
    <w:rsid w:val="00E0240B"/>
    <w:rsid w:val="00E02A43"/>
    <w:rsid w:val="00E05113"/>
    <w:rsid w:val="00E10CA5"/>
    <w:rsid w:val="00E11177"/>
    <w:rsid w:val="00E123BA"/>
    <w:rsid w:val="00E1415C"/>
    <w:rsid w:val="00E174F6"/>
    <w:rsid w:val="00E21A52"/>
    <w:rsid w:val="00E24F51"/>
    <w:rsid w:val="00E25A30"/>
    <w:rsid w:val="00E25CC6"/>
    <w:rsid w:val="00E26F89"/>
    <w:rsid w:val="00E3182A"/>
    <w:rsid w:val="00E323A1"/>
    <w:rsid w:val="00E32EA7"/>
    <w:rsid w:val="00E34B9B"/>
    <w:rsid w:val="00E34F52"/>
    <w:rsid w:val="00E3538B"/>
    <w:rsid w:val="00E364F1"/>
    <w:rsid w:val="00E4045D"/>
    <w:rsid w:val="00E414F7"/>
    <w:rsid w:val="00E42304"/>
    <w:rsid w:val="00E43E36"/>
    <w:rsid w:val="00E52159"/>
    <w:rsid w:val="00E53022"/>
    <w:rsid w:val="00E55193"/>
    <w:rsid w:val="00E55F15"/>
    <w:rsid w:val="00E56F06"/>
    <w:rsid w:val="00E60B6E"/>
    <w:rsid w:val="00E61FA1"/>
    <w:rsid w:val="00E634E8"/>
    <w:rsid w:val="00E66582"/>
    <w:rsid w:val="00E6726F"/>
    <w:rsid w:val="00E70165"/>
    <w:rsid w:val="00E710B2"/>
    <w:rsid w:val="00E728C2"/>
    <w:rsid w:val="00E72C79"/>
    <w:rsid w:val="00E75E45"/>
    <w:rsid w:val="00E7699F"/>
    <w:rsid w:val="00E83EAF"/>
    <w:rsid w:val="00E851FE"/>
    <w:rsid w:val="00E86524"/>
    <w:rsid w:val="00E87F6E"/>
    <w:rsid w:val="00E9009E"/>
    <w:rsid w:val="00E90B5C"/>
    <w:rsid w:val="00E90CCC"/>
    <w:rsid w:val="00E9194A"/>
    <w:rsid w:val="00E91F0C"/>
    <w:rsid w:val="00E92610"/>
    <w:rsid w:val="00EA0295"/>
    <w:rsid w:val="00EA31EA"/>
    <w:rsid w:val="00EA56F8"/>
    <w:rsid w:val="00EB0024"/>
    <w:rsid w:val="00EB0F2A"/>
    <w:rsid w:val="00EB17FA"/>
    <w:rsid w:val="00EB2F7E"/>
    <w:rsid w:val="00EB4F8D"/>
    <w:rsid w:val="00EB7FF8"/>
    <w:rsid w:val="00EC1AAF"/>
    <w:rsid w:val="00EC1C27"/>
    <w:rsid w:val="00EC23D3"/>
    <w:rsid w:val="00EC687A"/>
    <w:rsid w:val="00ED0820"/>
    <w:rsid w:val="00ED1C70"/>
    <w:rsid w:val="00ED1CB7"/>
    <w:rsid w:val="00ED209E"/>
    <w:rsid w:val="00ED76A9"/>
    <w:rsid w:val="00ED7A91"/>
    <w:rsid w:val="00EE1DEA"/>
    <w:rsid w:val="00EE30CD"/>
    <w:rsid w:val="00EE55B0"/>
    <w:rsid w:val="00EE7A28"/>
    <w:rsid w:val="00EF05A6"/>
    <w:rsid w:val="00EF4181"/>
    <w:rsid w:val="00EF4B92"/>
    <w:rsid w:val="00EF4D48"/>
    <w:rsid w:val="00EF709D"/>
    <w:rsid w:val="00F02417"/>
    <w:rsid w:val="00F04F07"/>
    <w:rsid w:val="00F1391A"/>
    <w:rsid w:val="00F170EF"/>
    <w:rsid w:val="00F17897"/>
    <w:rsid w:val="00F20487"/>
    <w:rsid w:val="00F2500B"/>
    <w:rsid w:val="00F255B0"/>
    <w:rsid w:val="00F2706A"/>
    <w:rsid w:val="00F30526"/>
    <w:rsid w:val="00F31521"/>
    <w:rsid w:val="00F32730"/>
    <w:rsid w:val="00F3418E"/>
    <w:rsid w:val="00F364DA"/>
    <w:rsid w:val="00F36D7A"/>
    <w:rsid w:val="00F42366"/>
    <w:rsid w:val="00F45D15"/>
    <w:rsid w:val="00F46FCA"/>
    <w:rsid w:val="00F501CB"/>
    <w:rsid w:val="00F502F9"/>
    <w:rsid w:val="00F5292D"/>
    <w:rsid w:val="00F543C6"/>
    <w:rsid w:val="00F54B41"/>
    <w:rsid w:val="00F56DD8"/>
    <w:rsid w:val="00F56F90"/>
    <w:rsid w:val="00F606D7"/>
    <w:rsid w:val="00F60F47"/>
    <w:rsid w:val="00F61A74"/>
    <w:rsid w:val="00F61C65"/>
    <w:rsid w:val="00F62F8B"/>
    <w:rsid w:val="00F65B99"/>
    <w:rsid w:val="00F665D9"/>
    <w:rsid w:val="00F6696C"/>
    <w:rsid w:val="00F702DB"/>
    <w:rsid w:val="00F74137"/>
    <w:rsid w:val="00F76141"/>
    <w:rsid w:val="00F7706D"/>
    <w:rsid w:val="00F77FF5"/>
    <w:rsid w:val="00F81362"/>
    <w:rsid w:val="00F81A62"/>
    <w:rsid w:val="00F81AF7"/>
    <w:rsid w:val="00F82695"/>
    <w:rsid w:val="00F871FA"/>
    <w:rsid w:val="00F87760"/>
    <w:rsid w:val="00F92205"/>
    <w:rsid w:val="00F9530D"/>
    <w:rsid w:val="00FA0391"/>
    <w:rsid w:val="00FA04CA"/>
    <w:rsid w:val="00FA10AD"/>
    <w:rsid w:val="00FA2B29"/>
    <w:rsid w:val="00FA35F4"/>
    <w:rsid w:val="00FA4014"/>
    <w:rsid w:val="00FA42EE"/>
    <w:rsid w:val="00FA4AAF"/>
    <w:rsid w:val="00FB114B"/>
    <w:rsid w:val="00FB2D63"/>
    <w:rsid w:val="00FB306E"/>
    <w:rsid w:val="00FB3E3A"/>
    <w:rsid w:val="00FB3F7D"/>
    <w:rsid w:val="00FB58CE"/>
    <w:rsid w:val="00FC0370"/>
    <w:rsid w:val="00FC1D0F"/>
    <w:rsid w:val="00FC3A2B"/>
    <w:rsid w:val="00FC7713"/>
    <w:rsid w:val="00FC7B98"/>
    <w:rsid w:val="00FD14B6"/>
    <w:rsid w:val="00FD1561"/>
    <w:rsid w:val="00FD4BF5"/>
    <w:rsid w:val="00FD4D49"/>
    <w:rsid w:val="00FD5BB4"/>
    <w:rsid w:val="00FE1A08"/>
    <w:rsid w:val="00FE22AF"/>
    <w:rsid w:val="00FE346C"/>
    <w:rsid w:val="00FE3D45"/>
    <w:rsid w:val="00FE45EF"/>
    <w:rsid w:val="00FE552D"/>
    <w:rsid w:val="00FE78FB"/>
    <w:rsid w:val="00FE7DCA"/>
    <w:rsid w:val="00FF0748"/>
    <w:rsid w:val="00FF15B8"/>
    <w:rsid w:val="00FF1ECB"/>
    <w:rsid w:val="00FF22F0"/>
    <w:rsid w:val="00FF564D"/>
    <w:rsid w:val="00FF57EA"/>
    <w:rsid w:val="00FF5890"/>
    <w:rsid w:val="00FF60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0901A8"/>
    <w:pPr>
      <w:spacing w:after="240" w:line="312" w:lineRule="auto"/>
      <w:jc w:val="both"/>
    </w:pPr>
    <w:rPr>
      <w:rFonts w:ascii="Tahoma" w:eastAsia="SimSun" w:hAnsi="Tahoma" w:cs="Tahoma"/>
      <w:sz w:val="20"/>
      <w:szCs w:val="20"/>
      <w:lang w:val="en-AU" w:eastAsia="zh-CN"/>
    </w:rPr>
  </w:style>
  <w:style w:type="paragraph" w:styleId="Heading1">
    <w:name w:val="heading 1"/>
    <w:basedOn w:val="Normal"/>
    <w:next w:val="Normal"/>
    <w:link w:val="Heading1Char"/>
    <w:uiPriority w:val="99"/>
    <w:qFormat/>
    <w:rsid w:val="000901A8"/>
    <w:pPr>
      <w:keepNext/>
      <w:spacing w:before="360" w:after="160"/>
      <w:outlineLvl w:val="0"/>
    </w:pPr>
    <w:rPr>
      <w:b/>
      <w:bCs/>
      <w:color w:val="215868"/>
      <w:sz w:val="24"/>
      <w:szCs w:val="32"/>
    </w:rPr>
  </w:style>
  <w:style w:type="paragraph" w:styleId="Heading2">
    <w:name w:val="heading 2"/>
    <w:basedOn w:val="Normal"/>
    <w:next w:val="Normal"/>
    <w:link w:val="Heading2Char"/>
    <w:uiPriority w:val="99"/>
    <w:qFormat/>
    <w:rsid w:val="00D5182D"/>
    <w:pPr>
      <w:keepNext/>
      <w:spacing w:before="240" w:after="160"/>
      <w:outlineLvl w:val="1"/>
    </w:pPr>
    <w:rPr>
      <w:b/>
      <w:color w:val="215868"/>
      <w:szCs w:val="28"/>
      <w:lang w:val="en-GB" w:eastAsia="ja-JP"/>
    </w:rPr>
  </w:style>
  <w:style w:type="paragraph" w:styleId="Heading3">
    <w:name w:val="heading 3"/>
    <w:basedOn w:val="Normal"/>
    <w:next w:val="Normal"/>
    <w:link w:val="Heading3Char"/>
    <w:uiPriority w:val="99"/>
    <w:qFormat/>
    <w:rsid w:val="003B232A"/>
    <w:pPr>
      <w:keepNext/>
      <w:spacing w:after="120"/>
      <w:outlineLvl w:val="2"/>
    </w:pPr>
    <w:rPr>
      <w:color w:val="41A7BF"/>
    </w:rPr>
  </w:style>
  <w:style w:type="paragraph" w:styleId="Heading4">
    <w:name w:val="heading 4"/>
    <w:basedOn w:val="Normal"/>
    <w:next w:val="Normal"/>
    <w:link w:val="Heading4Char"/>
    <w:uiPriority w:val="99"/>
    <w:qFormat/>
    <w:rsid w:val="00ED7A91"/>
    <w:pPr>
      <w:keepNext/>
      <w:numPr>
        <w:ilvl w:val="3"/>
        <w:numId w:val="1"/>
      </w:numPr>
      <w:outlineLvl w:val="3"/>
    </w:pPr>
    <w:rPr>
      <w:u w:val="single"/>
    </w:rPr>
  </w:style>
  <w:style w:type="paragraph" w:styleId="Heading5">
    <w:name w:val="heading 5"/>
    <w:basedOn w:val="Normal"/>
    <w:next w:val="Normal"/>
    <w:link w:val="Heading5Char"/>
    <w:uiPriority w:val="99"/>
    <w:qFormat/>
    <w:rsid w:val="00ED7A91"/>
    <w:pPr>
      <w:keepNext/>
      <w:numPr>
        <w:ilvl w:val="4"/>
        <w:numId w:val="1"/>
      </w:numPr>
      <w:tabs>
        <w:tab w:val="left" w:pos="709"/>
      </w:tabs>
      <w:outlineLvl w:val="4"/>
    </w:pPr>
    <w:rPr>
      <w:b/>
      <w:i/>
    </w:rPr>
  </w:style>
  <w:style w:type="paragraph" w:styleId="Heading6">
    <w:name w:val="heading 6"/>
    <w:basedOn w:val="Normal"/>
    <w:next w:val="Normal"/>
    <w:link w:val="Heading6Char"/>
    <w:uiPriority w:val="99"/>
    <w:qFormat/>
    <w:rsid w:val="00ED7A91"/>
    <w:pPr>
      <w:keepNext/>
      <w:numPr>
        <w:ilvl w:val="5"/>
        <w:numId w:val="1"/>
      </w:numPr>
      <w:jc w:val="center"/>
      <w:outlineLvl w:val="5"/>
    </w:pPr>
    <w:rPr>
      <w:b/>
      <w:sz w:val="28"/>
    </w:rPr>
  </w:style>
  <w:style w:type="paragraph" w:styleId="Heading7">
    <w:name w:val="heading 7"/>
    <w:basedOn w:val="Normal"/>
    <w:next w:val="Normal"/>
    <w:link w:val="Heading7Char"/>
    <w:uiPriority w:val="99"/>
    <w:qFormat/>
    <w:rsid w:val="00ED7A91"/>
    <w:pPr>
      <w:keepNext/>
      <w:outlineLvl w:val="6"/>
    </w:pPr>
    <w:rPr>
      <w:i/>
    </w:rPr>
  </w:style>
  <w:style w:type="paragraph" w:styleId="Heading8">
    <w:name w:val="heading 8"/>
    <w:basedOn w:val="Normal"/>
    <w:next w:val="Normal"/>
    <w:link w:val="Heading8Char"/>
    <w:uiPriority w:val="99"/>
    <w:qFormat/>
    <w:rsid w:val="00ED7A91"/>
    <w:pPr>
      <w:keepNext/>
      <w:numPr>
        <w:ilvl w:val="7"/>
        <w:numId w:val="1"/>
      </w:numPr>
      <w:spacing w:line="288" w:lineRule="auto"/>
      <w:jc w:val="center"/>
      <w:outlineLvl w:val="7"/>
    </w:pPr>
    <w:rPr>
      <w:sz w:val="48"/>
    </w:rPr>
  </w:style>
  <w:style w:type="paragraph" w:styleId="Heading9">
    <w:name w:val="heading 9"/>
    <w:basedOn w:val="Normal"/>
    <w:next w:val="Normal"/>
    <w:link w:val="Heading9Char"/>
    <w:uiPriority w:val="99"/>
    <w:qFormat/>
    <w:rsid w:val="00ED7A91"/>
    <w:pPr>
      <w:keepNext/>
      <w:numPr>
        <w:ilvl w:val="8"/>
        <w:numId w:val="1"/>
      </w:numPr>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901A8"/>
    <w:rPr>
      <w:rFonts w:ascii="Tahoma" w:eastAsia="SimSun" w:hAnsi="Tahoma" w:cs="Tahoma"/>
      <w:b/>
      <w:bCs/>
      <w:color w:val="215868"/>
      <w:sz w:val="32"/>
      <w:szCs w:val="32"/>
      <w:lang w:eastAsia="zh-CN"/>
    </w:rPr>
  </w:style>
  <w:style w:type="character" w:customStyle="1" w:styleId="Heading2Char">
    <w:name w:val="Heading 2 Char"/>
    <w:basedOn w:val="DefaultParagraphFont"/>
    <w:link w:val="Heading2"/>
    <w:uiPriority w:val="99"/>
    <w:locked/>
    <w:rsid w:val="00D5182D"/>
    <w:rPr>
      <w:rFonts w:ascii="Tahoma" w:eastAsia="SimSun" w:hAnsi="Tahoma" w:cs="Tahoma"/>
      <w:b/>
      <w:color w:val="215868"/>
      <w:sz w:val="28"/>
      <w:szCs w:val="28"/>
      <w:lang w:val="en-GB" w:eastAsia="ja-JP"/>
    </w:rPr>
  </w:style>
  <w:style w:type="character" w:customStyle="1" w:styleId="Heading3Char">
    <w:name w:val="Heading 3 Char"/>
    <w:basedOn w:val="DefaultParagraphFont"/>
    <w:link w:val="Heading3"/>
    <w:uiPriority w:val="99"/>
    <w:locked/>
    <w:rsid w:val="003B232A"/>
    <w:rPr>
      <w:rFonts w:ascii="Tahoma" w:eastAsia="SimSun" w:hAnsi="Tahoma" w:cs="Tahoma"/>
      <w:color w:val="41A7BF"/>
      <w:sz w:val="20"/>
      <w:szCs w:val="20"/>
      <w:lang w:eastAsia="zh-CN"/>
    </w:rPr>
  </w:style>
  <w:style w:type="character" w:customStyle="1" w:styleId="Heading4Char">
    <w:name w:val="Heading 4 Char"/>
    <w:basedOn w:val="DefaultParagraphFont"/>
    <w:link w:val="Heading4"/>
    <w:uiPriority w:val="99"/>
    <w:locked/>
    <w:rsid w:val="00ED7A91"/>
    <w:rPr>
      <w:rFonts w:ascii="Tahoma" w:eastAsia="SimSun" w:hAnsi="Tahoma" w:cs="Tahoma"/>
      <w:sz w:val="20"/>
      <w:szCs w:val="20"/>
      <w:u w:val="single"/>
      <w:lang w:eastAsia="zh-CN"/>
    </w:rPr>
  </w:style>
  <w:style w:type="character" w:customStyle="1" w:styleId="Heading5Char">
    <w:name w:val="Heading 5 Char"/>
    <w:basedOn w:val="DefaultParagraphFont"/>
    <w:link w:val="Heading5"/>
    <w:uiPriority w:val="99"/>
    <w:locked/>
    <w:rsid w:val="00ED7A91"/>
    <w:rPr>
      <w:rFonts w:ascii="Tahoma" w:eastAsia="SimSun" w:hAnsi="Tahoma" w:cs="Tahoma"/>
      <w:b/>
      <w:i/>
      <w:sz w:val="20"/>
      <w:szCs w:val="20"/>
      <w:lang w:eastAsia="zh-CN"/>
    </w:rPr>
  </w:style>
  <w:style w:type="character" w:customStyle="1" w:styleId="Heading6Char">
    <w:name w:val="Heading 6 Char"/>
    <w:basedOn w:val="DefaultParagraphFont"/>
    <w:link w:val="Heading6"/>
    <w:uiPriority w:val="99"/>
    <w:locked/>
    <w:rsid w:val="00ED7A91"/>
    <w:rPr>
      <w:rFonts w:ascii="Tahoma" w:eastAsia="SimSun" w:hAnsi="Tahoma" w:cs="Tahoma"/>
      <w:b/>
      <w:sz w:val="20"/>
      <w:szCs w:val="20"/>
      <w:lang w:eastAsia="zh-CN"/>
    </w:rPr>
  </w:style>
  <w:style w:type="character" w:customStyle="1" w:styleId="Heading7Char">
    <w:name w:val="Heading 7 Char"/>
    <w:basedOn w:val="DefaultParagraphFont"/>
    <w:link w:val="Heading7"/>
    <w:uiPriority w:val="99"/>
    <w:locked/>
    <w:rsid w:val="00ED7A91"/>
    <w:rPr>
      <w:rFonts w:ascii="Times New Roman" w:eastAsia="SimSun" w:hAnsi="Times New Roman" w:cs="Times New Roman"/>
      <w:i/>
      <w:sz w:val="20"/>
      <w:szCs w:val="20"/>
      <w:lang w:eastAsia="zh-CN"/>
    </w:rPr>
  </w:style>
  <w:style w:type="character" w:customStyle="1" w:styleId="Heading8Char">
    <w:name w:val="Heading 8 Char"/>
    <w:basedOn w:val="DefaultParagraphFont"/>
    <w:link w:val="Heading8"/>
    <w:uiPriority w:val="99"/>
    <w:locked/>
    <w:rsid w:val="00ED7A91"/>
    <w:rPr>
      <w:rFonts w:ascii="Tahoma" w:eastAsia="SimSun" w:hAnsi="Tahoma" w:cs="Tahoma"/>
      <w:sz w:val="20"/>
      <w:szCs w:val="20"/>
      <w:lang w:eastAsia="zh-CN"/>
    </w:rPr>
  </w:style>
  <w:style w:type="character" w:customStyle="1" w:styleId="Heading9Char">
    <w:name w:val="Heading 9 Char"/>
    <w:basedOn w:val="DefaultParagraphFont"/>
    <w:link w:val="Heading9"/>
    <w:uiPriority w:val="99"/>
    <w:locked/>
    <w:rsid w:val="00ED7A91"/>
    <w:rPr>
      <w:rFonts w:ascii="Tahoma" w:eastAsia="SimSun" w:hAnsi="Tahoma" w:cs="Tahoma"/>
      <w:i/>
      <w:sz w:val="20"/>
      <w:szCs w:val="20"/>
      <w:lang w:eastAsia="zh-CN"/>
    </w:rPr>
  </w:style>
  <w:style w:type="paragraph" w:customStyle="1" w:styleId="Attachmentheading">
    <w:name w:val="Attachment heading"/>
    <w:basedOn w:val="Normal"/>
    <w:next w:val="Normal"/>
    <w:uiPriority w:val="99"/>
    <w:rsid w:val="00ED7A91"/>
    <w:pPr>
      <w:tabs>
        <w:tab w:val="left" w:pos="2552"/>
      </w:tabs>
      <w:spacing w:line="264" w:lineRule="auto"/>
      <w:ind w:left="2552" w:hanging="2552"/>
    </w:pPr>
    <w:rPr>
      <w:b/>
      <w:szCs w:val="24"/>
    </w:rPr>
  </w:style>
  <w:style w:type="paragraph" w:styleId="BalloonText">
    <w:name w:val="Balloon Text"/>
    <w:basedOn w:val="Normal"/>
    <w:link w:val="BalloonTextChar"/>
    <w:uiPriority w:val="99"/>
    <w:rsid w:val="00ED7A91"/>
    <w:pPr>
      <w:spacing w:line="240" w:lineRule="auto"/>
    </w:pPr>
    <w:rPr>
      <w:sz w:val="16"/>
      <w:szCs w:val="16"/>
    </w:rPr>
  </w:style>
  <w:style w:type="character" w:customStyle="1" w:styleId="BalloonTextChar">
    <w:name w:val="Balloon Text Char"/>
    <w:basedOn w:val="DefaultParagraphFont"/>
    <w:link w:val="BalloonText"/>
    <w:uiPriority w:val="99"/>
    <w:locked/>
    <w:rsid w:val="00ED7A91"/>
    <w:rPr>
      <w:rFonts w:ascii="Tahoma" w:eastAsia="SimSun" w:hAnsi="Tahoma" w:cs="Tahoma"/>
      <w:sz w:val="16"/>
      <w:szCs w:val="16"/>
      <w:lang w:eastAsia="zh-CN"/>
    </w:rPr>
  </w:style>
  <w:style w:type="paragraph" w:customStyle="1" w:styleId="Bulletedtext">
    <w:name w:val="Bulleted text"/>
    <w:basedOn w:val="Normal"/>
    <w:uiPriority w:val="99"/>
    <w:rsid w:val="00ED7A91"/>
    <w:pPr>
      <w:tabs>
        <w:tab w:val="left" w:pos="2835"/>
      </w:tabs>
    </w:pPr>
  </w:style>
  <w:style w:type="paragraph" w:customStyle="1" w:styleId="Bulletedtext2ndlevel">
    <w:name w:val="Bulleted text 2nd level"/>
    <w:basedOn w:val="Normal"/>
    <w:uiPriority w:val="99"/>
    <w:rsid w:val="00ED7A91"/>
    <w:pPr>
      <w:tabs>
        <w:tab w:val="num" w:pos="720"/>
      </w:tabs>
      <w:ind w:left="720" w:hanging="360"/>
      <w:jc w:val="left"/>
    </w:pPr>
  </w:style>
  <w:style w:type="paragraph" w:customStyle="1" w:styleId="Captioncontinued">
    <w:name w:val="Caption (continued)"/>
    <w:basedOn w:val="Normal"/>
    <w:next w:val="Normal"/>
    <w:uiPriority w:val="99"/>
    <w:rsid w:val="00ED7A91"/>
    <w:pPr>
      <w:tabs>
        <w:tab w:val="left" w:pos="2880"/>
      </w:tabs>
      <w:spacing w:after="120" w:line="240" w:lineRule="auto"/>
      <w:ind w:left="2880" w:hanging="2880"/>
      <w:jc w:val="left"/>
    </w:pPr>
    <w:rPr>
      <w:i/>
      <w:lang w:val="en-GB"/>
    </w:rPr>
  </w:style>
  <w:style w:type="character" w:customStyle="1" w:styleId="CaptionChar2CharChar3">
    <w:name w:val="Caption Char2 Char Char3"/>
    <w:aliases w:val="Caption Char Char Char2 Char2,Caption Char1 Char Char Char1 Char2,Caption Char2 Char Char Char1 Char1 Char2,Caption Char Char1 Char Char Char1 Char1 Char2,Caption Char1 Char Char Char Char Char Char Char2,Caption Char2 Char2"/>
    <w:basedOn w:val="DefaultParagraphFont"/>
    <w:uiPriority w:val="99"/>
    <w:rsid w:val="00ED7A91"/>
    <w:rPr>
      <w:rFonts w:cs="Times New Roman"/>
      <w:i/>
      <w:sz w:val="24"/>
      <w:lang w:val="en-GB" w:eastAsia="en-US" w:bidi="ar-SA"/>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uiPriority w:val="99"/>
    <w:qFormat/>
    <w:rsid w:val="008476B9"/>
    <w:pPr>
      <w:keepNext/>
      <w:spacing w:after="40" w:line="240" w:lineRule="auto"/>
      <w:ind w:left="709" w:hanging="709"/>
      <w:jc w:val="left"/>
    </w:pPr>
    <w:rPr>
      <w:rFonts w:ascii="Arial Narrow" w:eastAsia="Times New Roman" w:hAnsi="Arial Narrow"/>
      <w:b/>
      <w:lang w:val="en-GB" w:eastAsia="ja-JP"/>
    </w:rPr>
  </w:style>
  <w:style w:type="character" w:styleId="CommentReference">
    <w:name w:val="annotation reference"/>
    <w:basedOn w:val="DefaultParagraphFont"/>
    <w:uiPriority w:val="99"/>
    <w:semiHidden/>
    <w:rsid w:val="00ED7A91"/>
    <w:rPr>
      <w:rFonts w:cs="Times New Roman"/>
      <w:sz w:val="16"/>
      <w:szCs w:val="16"/>
    </w:rPr>
  </w:style>
  <w:style w:type="paragraph" w:styleId="CommentText">
    <w:name w:val="annotation text"/>
    <w:basedOn w:val="Normal"/>
    <w:link w:val="CommentTextChar"/>
    <w:uiPriority w:val="99"/>
    <w:semiHidden/>
    <w:rsid w:val="00ED7A91"/>
  </w:style>
  <w:style w:type="character" w:customStyle="1" w:styleId="CommentTextChar">
    <w:name w:val="Comment Text Char"/>
    <w:basedOn w:val="DefaultParagraphFont"/>
    <w:link w:val="CommentText"/>
    <w:uiPriority w:val="99"/>
    <w:semiHidden/>
    <w:locked/>
    <w:rsid w:val="00ED7A91"/>
    <w:rPr>
      <w:rFonts w:ascii="Times New Roman" w:eastAsia="SimSun" w:hAnsi="Times New Roman" w:cs="Times New Roman"/>
      <w:sz w:val="20"/>
      <w:szCs w:val="20"/>
      <w:lang w:eastAsia="zh-CN"/>
    </w:rPr>
  </w:style>
  <w:style w:type="paragraph" w:styleId="CommentSubject">
    <w:name w:val="annotation subject"/>
    <w:basedOn w:val="CommentText"/>
    <w:next w:val="CommentText"/>
    <w:link w:val="CommentSubjectChar"/>
    <w:uiPriority w:val="99"/>
    <w:semiHidden/>
    <w:rsid w:val="00ED7A91"/>
    <w:rPr>
      <w:b/>
      <w:bCs/>
    </w:rPr>
  </w:style>
  <w:style w:type="character" w:customStyle="1" w:styleId="CommentSubjectChar">
    <w:name w:val="Comment Subject Char"/>
    <w:basedOn w:val="CommentTextChar"/>
    <w:link w:val="CommentSubject"/>
    <w:uiPriority w:val="99"/>
    <w:semiHidden/>
    <w:locked/>
    <w:rsid w:val="00ED7A91"/>
    <w:rPr>
      <w:rFonts w:ascii="Times New Roman" w:eastAsia="SimSun" w:hAnsi="Times New Roman" w:cs="Times New Roman"/>
      <w:b/>
      <w:bCs/>
      <w:sz w:val="20"/>
      <w:szCs w:val="20"/>
      <w:lang w:eastAsia="zh-CN"/>
    </w:rPr>
  </w:style>
  <w:style w:type="paragraph" w:customStyle="1" w:styleId="Execsummary">
    <w:name w:val="Exec summary"/>
    <w:basedOn w:val="Normal"/>
    <w:uiPriority w:val="99"/>
    <w:semiHidden/>
    <w:rsid w:val="00ED7A91"/>
    <w:pPr>
      <w:spacing w:line="288" w:lineRule="auto"/>
    </w:pPr>
    <w:rPr>
      <w:sz w:val="22"/>
    </w:rPr>
  </w:style>
  <w:style w:type="paragraph" w:styleId="Footer">
    <w:name w:val="footer"/>
    <w:basedOn w:val="Normal"/>
    <w:link w:val="FooterChar"/>
    <w:uiPriority w:val="99"/>
    <w:semiHidden/>
    <w:rsid w:val="00ED7A91"/>
    <w:pPr>
      <w:tabs>
        <w:tab w:val="center" w:pos="4320"/>
        <w:tab w:val="right" w:pos="8640"/>
      </w:tabs>
    </w:pPr>
  </w:style>
  <w:style w:type="character" w:customStyle="1" w:styleId="FooterChar">
    <w:name w:val="Footer Char"/>
    <w:basedOn w:val="DefaultParagraphFont"/>
    <w:link w:val="Footer"/>
    <w:uiPriority w:val="99"/>
    <w:semiHidden/>
    <w:locked/>
    <w:rsid w:val="00ED7A91"/>
    <w:rPr>
      <w:rFonts w:ascii="Times New Roman" w:eastAsia="SimSun" w:hAnsi="Times New Roman" w:cs="Times New Roman"/>
      <w:sz w:val="20"/>
      <w:szCs w:val="20"/>
      <w:lang w:eastAsia="zh-CN"/>
    </w:rPr>
  </w:style>
  <w:style w:type="character" w:styleId="FootnoteReference">
    <w:name w:val="footnote reference"/>
    <w:basedOn w:val="DefaultParagraphFont"/>
    <w:uiPriority w:val="99"/>
    <w:semiHidden/>
    <w:rsid w:val="00ED7A91"/>
    <w:rPr>
      <w:rFonts w:cs="Times New Roman"/>
      <w:vertAlign w:val="superscript"/>
    </w:rPr>
  </w:style>
  <w:style w:type="paragraph" w:styleId="FootnoteText">
    <w:name w:val="footnote text"/>
    <w:basedOn w:val="Normal"/>
    <w:link w:val="FootnoteTextChar"/>
    <w:uiPriority w:val="99"/>
    <w:semiHidden/>
    <w:rsid w:val="00ED7A91"/>
    <w:pPr>
      <w:spacing w:line="240" w:lineRule="auto"/>
      <w:jc w:val="left"/>
    </w:pPr>
    <w:rPr>
      <w:rFonts w:ascii="Calibri" w:eastAsia="Calibri" w:hAnsi="Calibri"/>
      <w:lang w:eastAsia="en-US"/>
    </w:rPr>
  </w:style>
  <w:style w:type="character" w:customStyle="1" w:styleId="FootnoteTextChar">
    <w:name w:val="Footnote Text Char"/>
    <w:basedOn w:val="DefaultParagraphFont"/>
    <w:link w:val="FootnoteText"/>
    <w:uiPriority w:val="99"/>
    <w:semiHidden/>
    <w:locked/>
    <w:rsid w:val="00ED7A91"/>
    <w:rPr>
      <w:rFonts w:cs="Times New Roman"/>
      <w:sz w:val="20"/>
      <w:szCs w:val="20"/>
    </w:rPr>
  </w:style>
  <w:style w:type="paragraph" w:customStyle="1" w:styleId="GMHEADING1">
    <w:name w:val="GMHEADING1"/>
    <w:basedOn w:val="Normal"/>
    <w:next w:val="Normal"/>
    <w:uiPriority w:val="99"/>
    <w:rsid w:val="00ED7A91"/>
    <w:pPr>
      <w:tabs>
        <w:tab w:val="left" w:pos="1276"/>
      </w:tabs>
      <w:spacing w:after="120" w:line="264" w:lineRule="auto"/>
      <w:ind w:left="1276" w:hanging="1276"/>
      <w:jc w:val="left"/>
    </w:pPr>
    <w:rPr>
      <w:b/>
      <w:sz w:val="27"/>
      <w:szCs w:val="27"/>
    </w:rPr>
  </w:style>
  <w:style w:type="paragraph" w:customStyle="1" w:styleId="GMHeading2">
    <w:name w:val="GMHeading2"/>
    <w:basedOn w:val="Normal"/>
    <w:next w:val="Normal"/>
    <w:uiPriority w:val="99"/>
    <w:rsid w:val="00ED7A91"/>
    <w:pPr>
      <w:tabs>
        <w:tab w:val="left" w:pos="1276"/>
      </w:tabs>
      <w:spacing w:before="120" w:after="120" w:line="240" w:lineRule="auto"/>
      <w:ind w:left="1276" w:hanging="1276"/>
      <w:jc w:val="left"/>
    </w:pPr>
    <w:rPr>
      <w:b/>
      <w:sz w:val="28"/>
    </w:rPr>
  </w:style>
  <w:style w:type="paragraph" w:customStyle="1" w:styleId="GMHeading3">
    <w:name w:val="GMHeading3"/>
    <w:basedOn w:val="Normal"/>
    <w:next w:val="Normal"/>
    <w:uiPriority w:val="99"/>
    <w:rsid w:val="00ED7A91"/>
    <w:pPr>
      <w:keepNext/>
      <w:tabs>
        <w:tab w:val="left" w:pos="1276"/>
      </w:tabs>
      <w:suppressAutoHyphens/>
      <w:spacing w:before="120" w:after="120" w:line="240" w:lineRule="auto"/>
      <w:ind w:left="1276" w:hanging="1276"/>
      <w:jc w:val="left"/>
    </w:pPr>
    <w:rPr>
      <w:b/>
      <w:sz w:val="25"/>
      <w:szCs w:val="25"/>
    </w:rPr>
  </w:style>
  <w:style w:type="paragraph" w:customStyle="1" w:styleId="GMHeading4">
    <w:name w:val="GMHeading4"/>
    <w:basedOn w:val="Heading1"/>
    <w:next w:val="Normal"/>
    <w:uiPriority w:val="99"/>
    <w:rsid w:val="00ED7A91"/>
    <w:pPr>
      <w:tabs>
        <w:tab w:val="left" w:pos="1276"/>
      </w:tabs>
      <w:spacing w:before="120" w:after="80"/>
      <w:ind w:left="1276" w:hanging="1276"/>
      <w:jc w:val="left"/>
    </w:pPr>
    <w:rPr>
      <w:b w:val="0"/>
      <w:sz w:val="25"/>
      <w:szCs w:val="25"/>
    </w:rPr>
  </w:style>
  <w:style w:type="paragraph" w:styleId="Header">
    <w:name w:val="header"/>
    <w:basedOn w:val="Normal"/>
    <w:link w:val="HeaderChar"/>
    <w:uiPriority w:val="99"/>
    <w:rsid w:val="00ED7A91"/>
    <w:pPr>
      <w:tabs>
        <w:tab w:val="right" w:pos="9240"/>
      </w:tabs>
      <w:spacing w:line="240" w:lineRule="auto"/>
      <w:ind w:right="28"/>
      <w:jc w:val="left"/>
    </w:pPr>
    <w:rPr>
      <w:sz w:val="18"/>
      <w:u w:val="single"/>
    </w:rPr>
  </w:style>
  <w:style w:type="character" w:customStyle="1" w:styleId="HeaderChar">
    <w:name w:val="Header Char"/>
    <w:basedOn w:val="DefaultParagraphFont"/>
    <w:link w:val="Header"/>
    <w:uiPriority w:val="99"/>
    <w:locked/>
    <w:rsid w:val="00ED7A91"/>
    <w:rPr>
      <w:rFonts w:ascii="Times New Roman" w:eastAsia="SimSun" w:hAnsi="Times New Roman" w:cs="Times New Roman"/>
      <w:sz w:val="20"/>
      <w:szCs w:val="20"/>
      <w:u w:val="single"/>
      <w:lang w:eastAsia="zh-CN"/>
    </w:rPr>
  </w:style>
  <w:style w:type="character" w:styleId="Hyperlink">
    <w:name w:val="Hyperlink"/>
    <w:basedOn w:val="DefaultParagraphFont"/>
    <w:uiPriority w:val="99"/>
    <w:rsid w:val="00ED7A91"/>
    <w:rPr>
      <w:rFonts w:cs="Times New Roman"/>
      <w:color w:val="0000FF"/>
      <w:u w:val="single"/>
    </w:rPr>
  </w:style>
  <w:style w:type="paragraph" w:customStyle="1" w:styleId="Numberedtext">
    <w:name w:val="Numbered text"/>
    <w:basedOn w:val="Normal"/>
    <w:uiPriority w:val="99"/>
    <w:semiHidden/>
    <w:rsid w:val="00ED7A91"/>
    <w:pPr>
      <w:tabs>
        <w:tab w:val="left" w:pos="0"/>
        <w:tab w:val="num" w:pos="360"/>
      </w:tabs>
      <w:spacing w:before="40" w:after="40" w:line="288" w:lineRule="auto"/>
      <w:ind w:left="360" w:hanging="360"/>
      <w:jc w:val="left"/>
    </w:pPr>
    <w:rPr>
      <w:sz w:val="22"/>
      <w:szCs w:val="22"/>
    </w:rPr>
  </w:style>
  <w:style w:type="paragraph" w:customStyle="1" w:styleId="Numberedtext11pt">
    <w:name w:val="Numbered text 11pt"/>
    <w:basedOn w:val="Normal"/>
    <w:uiPriority w:val="99"/>
    <w:semiHidden/>
    <w:rsid w:val="00ED7A91"/>
    <w:pPr>
      <w:tabs>
        <w:tab w:val="left" w:pos="0"/>
      </w:tabs>
      <w:spacing w:before="40" w:after="40" w:line="288" w:lineRule="auto"/>
      <w:jc w:val="left"/>
    </w:pPr>
    <w:rPr>
      <w:sz w:val="22"/>
      <w:szCs w:val="22"/>
    </w:rPr>
  </w:style>
  <w:style w:type="character" w:styleId="PageNumber">
    <w:name w:val="page number"/>
    <w:basedOn w:val="DefaultParagraphFont"/>
    <w:uiPriority w:val="99"/>
    <w:semiHidden/>
    <w:rsid w:val="00ED7A91"/>
    <w:rPr>
      <w:rFonts w:cs="Times New Roman"/>
    </w:rPr>
  </w:style>
  <w:style w:type="paragraph" w:customStyle="1" w:styleId="Source">
    <w:name w:val="Source"/>
    <w:basedOn w:val="Normal"/>
    <w:uiPriority w:val="99"/>
    <w:rsid w:val="00ED7A91"/>
    <w:pPr>
      <w:tabs>
        <w:tab w:val="left" w:pos="2835"/>
        <w:tab w:val="left" w:pos="3960"/>
        <w:tab w:val="left" w:pos="5640"/>
        <w:tab w:val="left" w:pos="7320"/>
        <w:tab w:val="left" w:pos="8400"/>
        <w:tab w:val="left" w:pos="11400"/>
      </w:tabs>
      <w:spacing w:line="240" w:lineRule="auto"/>
      <w:ind w:left="1200" w:right="28" w:hanging="1200"/>
      <w:jc w:val="left"/>
    </w:pPr>
    <w:rPr>
      <w:sz w:val="18"/>
      <w:szCs w:val="18"/>
      <w:lang w:eastAsia="en-US"/>
    </w:rPr>
  </w:style>
  <w:style w:type="paragraph" w:customStyle="1" w:styleId="source0">
    <w:name w:val="source"/>
    <w:basedOn w:val="Normal"/>
    <w:uiPriority w:val="99"/>
    <w:rsid w:val="00ED7A91"/>
    <w:pPr>
      <w:tabs>
        <w:tab w:val="left" w:pos="1134"/>
      </w:tabs>
      <w:spacing w:line="240" w:lineRule="auto"/>
      <w:ind w:left="1134" w:hanging="1134"/>
      <w:jc w:val="left"/>
    </w:pPr>
    <w:rPr>
      <w:rFonts w:eastAsia="Times New Roman"/>
      <w:sz w:val="18"/>
      <w:lang w:eastAsia="ja-JP"/>
    </w:rPr>
  </w:style>
  <w:style w:type="character" w:customStyle="1" w:styleId="SourceChar1">
    <w:name w:val="Source Char1"/>
    <w:basedOn w:val="DefaultParagraphFont"/>
    <w:uiPriority w:val="99"/>
    <w:rsid w:val="00ED7A91"/>
    <w:rPr>
      <w:rFonts w:eastAsia="SimSun" w:cs="Times New Roman"/>
      <w:sz w:val="18"/>
      <w:szCs w:val="18"/>
      <w:lang w:val="en-AU" w:eastAsia="en-US" w:bidi="ar-SA"/>
    </w:rPr>
  </w:style>
  <w:style w:type="paragraph" w:customStyle="1" w:styleId="Spaceundertable">
    <w:name w:val="Space under table"/>
    <w:basedOn w:val="Normal"/>
    <w:uiPriority w:val="99"/>
    <w:rsid w:val="00ED7A91"/>
    <w:pPr>
      <w:numPr>
        <w:numId w:val="4"/>
      </w:numPr>
      <w:spacing w:line="240" w:lineRule="auto"/>
      <w:jc w:val="left"/>
    </w:pPr>
    <w:rPr>
      <w:sz w:val="8"/>
      <w:szCs w:val="8"/>
    </w:rPr>
  </w:style>
  <w:style w:type="paragraph" w:customStyle="1" w:styleId="Style1">
    <w:name w:val="Style1"/>
    <w:basedOn w:val="GMHeading2"/>
    <w:uiPriority w:val="99"/>
    <w:rsid w:val="00ED7A91"/>
  </w:style>
  <w:style w:type="paragraph" w:customStyle="1" w:styleId="Style2">
    <w:name w:val="Style2"/>
    <w:basedOn w:val="GMHeading3"/>
    <w:uiPriority w:val="99"/>
    <w:rsid w:val="00ED7A91"/>
  </w:style>
  <w:style w:type="table" w:styleId="TableGrid">
    <w:name w:val="Table Grid"/>
    <w:basedOn w:val="TableNormal"/>
    <w:uiPriority w:val="99"/>
    <w:rsid w:val="00ED7A91"/>
    <w:pPr>
      <w:tabs>
        <w:tab w:val="left" w:pos="2835"/>
      </w:tabs>
      <w:spacing w:before="40" w:after="40"/>
      <w:jc w:val="both"/>
    </w:pPr>
    <w:rPr>
      <w:rFonts w:ascii="Times New Roman" w:eastAsia="Times New Roman" w:hAnsi="Times New Roman"/>
      <w:sz w:val="20"/>
      <w:szCs w:val="20"/>
      <w:lang w:eastAsia="en-AU"/>
    </w:rPr>
    <w:tblPr>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style>
  <w:style w:type="paragraph" w:styleId="TableofFigures">
    <w:name w:val="table of figures"/>
    <w:basedOn w:val="Normal"/>
    <w:next w:val="Normal"/>
    <w:uiPriority w:val="99"/>
    <w:rsid w:val="00ED7A91"/>
    <w:pPr>
      <w:tabs>
        <w:tab w:val="right" w:leader="dot" w:pos="9240"/>
      </w:tabs>
      <w:spacing w:after="80" w:line="240" w:lineRule="auto"/>
      <w:ind w:left="1644" w:right="720" w:hanging="1644"/>
      <w:jc w:val="left"/>
    </w:pPr>
    <w:rPr>
      <w:rFonts w:eastAsia="Times New Roman"/>
      <w:noProof/>
      <w:sz w:val="22"/>
      <w:szCs w:val="21"/>
      <w:lang w:eastAsia="ja-JP"/>
    </w:rPr>
  </w:style>
  <w:style w:type="paragraph" w:customStyle="1" w:styleId="Tabletextleft">
    <w:name w:val="Table text (left)"/>
    <w:basedOn w:val="Normal"/>
    <w:uiPriority w:val="99"/>
    <w:rsid w:val="00ED7A91"/>
    <w:pPr>
      <w:numPr>
        <w:numId w:val="3"/>
      </w:numPr>
      <w:spacing w:before="40" w:after="40" w:line="240" w:lineRule="auto"/>
      <w:jc w:val="left"/>
    </w:pPr>
    <w:rPr>
      <w:lang w:val="en-GB" w:eastAsia="en-US"/>
    </w:rPr>
  </w:style>
  <w:style w:type="paragraph" w:customStyle="1" w:styleId="TableText1left">
    <w:name w:val="Table Text 1 (left)"/>
    <w:basedOn w:val="Normal"/>
    <w:uiPriority w:val="99"/>
    <w:rsid w:val="00ED7A91"/>
    <w:pPr>
      <w:spacing w:before="40" w:after="40" w:line="240" w:lineRule="auto"/>
      <w:jc w:val="left"/>
    </w:pPr>
    <w:rPr>
      <w:lang w:val="en-GB" w:eastAsia="en-US"/>
    </w:rPr>
  </w:style>
  <w:style w:type="paragraph" w:customStyle="1" w:styleId="TableText2centerheaderrow">
    <w:name w:val="Table Text 2 (center) header row"/>
    <w:basedOn w:val="Normal"/>
    <w:uiPriority w:val="99"/>
    <w:rsid w:val="00ED7A91"/>
    <w:pPr>
      <w:tabs>
        <w:tab w:val="left" w:pos="2835"/>
      </w:tabs>
      <w:snapToGrid w:val="0"/>
      <w:spacing w:before="80" w:after="80" w:line="240" w:lineRule="auto"/>
      <w:jc w:val="center"/>
    </w:pPr>
    <w:rPr>
      <w:lang w:eastAsia="en-US"/>
    </w:rPr>
  </w:style>
  <w:style w:type="paragraph" w:customStyle="1" w:styleId="Tabletextbulleted">
    <w:name w:val="Table text bulleted"/>
    <w:basedOn w:val="Normal"/>
    <w:uiPriority w:val="99"/>
    <w:rsid w:val="00ED7A91"/>
    <w:pPr>
      <w:numPr>
        <w:numId w:val="2"/>
      </w:numPr>
      <w:spacing w:before="40" w:after="40" w:line="240" w:lineRule="auto"/>
      <w:jc w:val="left"/>
    </w:pPr>
  </w:style>
  <w:style w:type="paragraph" w:customStyle="1" w:styleId="Tabletextbullettedv2">
    <w:name w:val="Table text bulletted v2"/>
    <w:basedOn w:val="Tabletextbulleted"/>
    <w:uiPriority w:val="99"/>
    <w:rsid w:val="00ED7A91"/>
    <w:pPr>
      <w:numPr>
        <w:numId w:val="0"/>
      </w:numPr>
      <w:spacing w:before="20" w:after="20"/>
    </w:pPr>
    <w:rPr>
      <w:lang w:val="en-US"/>
    </w:rPr>
  </w:style>
  <w:style w:type="paragraph" w:customStyle="1" w:styleId="Tabletextindentleft">
    <w:name w:val="Table text indent left"/>
    <w:basedOn w:val="TableText1left"/>
    <w:uiPriority w:val="99"/>
    <w:semiHidden/>
    <w:rsid w:val="00ED7A91"/>
    <w:pPr>
      <w:ind w:left="252"/>
    </w:pPr>
    <w:rPr>
      <w:lang w:val="en-AU"/>
    </w:rPr>
  </w:style>
  <w:style w:type="paragraph" w:customStyle="1" w:styleId="TabletextindentedlistA">
    <w:name w:val="Table text indented list A"/>
    <w:aliases w:val="B,C"/>
    <w:basedOn w:val="Tabletextbulleted"/>
    <w:uiPriority w:val="99"/>
    <w:rsid w:val="00ED7A91"/>
    <w:pPr>
      <w:numPr>
        <w:numId w:val="0"/>
      </w:numPr>
      <w:tabs>
        <w:tab w:val="left" w:pos="284"/>
        <w:tab w:val="left" w:pos="2835"/>
      </w:tabs>
    </w:pPr>
  </w:style>
  <w:style w:type="paragraph" w:customStyle="1" w:styleId="TabletextRelativeRisksRR">
    <w:name w:val="Table text Relative Risks (RR)"/>
    <w:basedOn w:val="Normal"/>
    <w:uiPriority w:val="99"/>
    <w:semiHidden/>
    <w:rsid w:val="00ED7A91"/>
    <w:pPr>
      <w:tabs>
        <w:tab w:val="left" w:pos="664"/>
      </w:tabs>
      <w:spacing w:before="40" w:after="40" w:line="240" w:lineRule="auto"/>
      <w:ind w:left="64"/>
      <w:jc w:val="left"/>
    </w:pPr>
    <w:rPr>
      <w:lang w:eastAsia="en-US"/>
    </w:rPr>
  </w:style>
  <w:style w:type="paragraph" w:customStyle="1" w:styleId="TextTi12">
    <w:name w:val="Text:Ti12"/>
    <w:basedOn w:val="Normal"/>
    <w:uiPriority w:val="99"/>
    <w:semiHidden/>
    <w:rsid w:val="00ED7A91"/>
    <w:pPr>
      <w:spacing w:after="170" w:line="280" w:lineRule="atLeast"/>
    </w:pPr>
    <w:rPr>
      <w:lang w:val="en-US"/>
    </w:rPr>
  </w:style>
  <w:style w:type="paragraph" w:styleId="Title">
    <w:name w:val="Title"/>
    <w:basedOn w:val="Normal"/>
    <w:link w:val="TitleChar"/>
    <w:uiPriority w:val="99"/>
    <w:qFormat/>
    <w:rsid w:val="00ED7A91"/>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99"/>
    <w:locked/>
    <w:rsid w:val="00ED7A91"/>
    <w:rPr>
      <w:rFonts w:ascii="Arial" w:eastAsia="SimSun" w:hAnsi="Arial" w:cs="Arial"/>
      <w:b/>
      <w:bCs/>
      <w:kern w:val="28"/>
      <w:sz w:val="32"/>
      <w:szCs w:val="32"/>
      <w:lang w:eastAsia="zh-CN"/>
    </w:rPr>
  </w:style>
  <w:style w:type="paragraph" w:customStyle="1" w:styleId="TOCheading">
    <w:name w:val="TOC (heading)"/>
    <w:basedOn w:val="Normal"/>
    <w:next w:val="Normal"/>
    <w:uiPriority w:val="99"/>
    <w:rsid w:val="00ED7A91"/>
    <w:pPr>
      <w:tabs>
        <w:tab w:val="right" w:leader="dot" w:pos="9240"/>
      </w:tabs>
      <w:spacing w:after="120" w:line="264" w:lineRule="auto"/>
      <w:jc w:val="center"/>
    </w:pPr>
    <w:rPr>
      <w:b/>
      <w:sz w:val="32"/>
      <w:szCs w:val="32"/>
      <w:lang w:eastAsia="en-US"/>
    </w:rPr>
  </w:style>
  <w:style w:type="paragraph" w:styleId="TOC1">
    <w:name w:val="toc 1"/>
    <w:basedOn w:val="Normal"/>
    <w:next w:val="Normal"/>
    <w:uiPriority w:val="39"/>
    <w:rsid w:val="00ED7A91"/>
    <w:pPr>
      <w:tabs>
        <w:tab w:val="left" w:pos="840"/>
        <w:tab w:val="right" w:leader="dot" w:pos="9240"/>
      </w:tabs>
      <w:spacing w:before="240" w:after="120" w:line="264" w:lineRule="auto"/>
      <w:ind w:left="840" w:right="602" w:hanging="840"/>
      <w:jc w:val="left"/>
    </w:pPr>
    <w:rPr>
      <w:b/>
      <w:noProof/>
    </w:rPr>
  </w:style>
  <w:style w:type="paragraph" w:styleId="TOC2">
    <w:name w:val="toc 2"/>
    <w:basedOn w:val="Normal"/>
    <w:next w:val="Normal"/>
    <w:autoRedefine/>
    <w:uiPriority w:val="39"/>
    <w:rsid w:val="00A32E13"/>
    <w:pPr>
      <w:keepNext/>
      <w:tabs>
        <w:tab w:val="right" w:leader="dot" w:pos="9240"/>
      </w:tabs>
      <w:spacing w:before="200" w:after="60" w:line="240" w:lineRule="auto"/>
      <w:ind w:left="1191" w:right="340" w:hanging="794"/>
      <w:jc w:val="left"/>
    </w:pPr>
    <w:rPr>
      <w:noProof/>
      <w:lang w:val="en-GB" w:eastAsia="en-US"/>
    </w:rPr>
  </w:style>
  <w:style w:type="paragraph" w:styleId="TOC3">
    <w:name w:val="toc 3"/>
    <w:basedOn w:val="Normal"/>
    <w:next w:val="Normal"/>
    <w:uiPriority w:val="39"/>
    <w:rsid w:val="00ED7A91"/>
    <w:pPr>
      <w:tabs>
        <w:tab w:val="left" w:pos="1800"/>
        <w:tab w:val="right" w:leader="dot" w:pos="9240"/>
      </w:tabs>
      <w:spacing w:after="60" w:line="240" w:lineRule="auto"/>
      <w:ind w:left="1800" w:right="602" w:hanging="960"/>
      <w:jc w:val="left"/>
    </w:pPr>
    <w:rPr>
      <w:noProof/>
      <w:sz w:val="22"/>
      <w:lang w:val="fr-FR" w:eastAsia="en-US"/>
    </w:rPr>
  </w:style>
  <w:style w:type="paragraph" w:styleId="TOC4">
    <w:name w:val="toc 4"/>
    <w:basedOn w:val="Normal"/>
    <w:next w:val="Normal"/>
    <w:uiPriority w:val="99"/>
    <w:rsid w:val="00ED7A91"/>
    <w:pPr>
      <w:tabs>
        <w:tab w:val="left" w:pos="3000"/>
        <w:tab w:val="right" w:leader="dot" w:pos="9240"/>
      </w:tabs>
      <w:spacing w:after="60" w:line="240" w:lineRule="auto"/>
      <w:ind w:left="3000" w:right="602" w:hanging="1200"/>
      <w:jc w:val="left"/>
    </w:pPr>
    <w:rPr>
      <w:i/>
      <w:noProof/>
      <w:sz w:val="22"/>
      <w:szCs w:val="22"/>
      <w:lang w:eastAsia="en-US"/>
    </w:rPr>
  </w:style>
  <w:style w:type="paragraph" w:styleId="TOC5">
    <w:name w:val="toc 5"/>
    <w:basedOn w:val="Normal"/>
    <w:next w:val="Normal"/>
    <w:uiPriority w:val="99"/>
    <w:semiHidden/>
    <w:rsid w:val="00ED7A91"/>
    <w:pPr>
      <w:tabs>
        <w:tab w:val="right" w:leader="dot" w:pos="9469"/>
      </w:tabs>
      <w:ind w:left="960"/>
    </w:pPr>
  </w:style>
  <w:style w:type="paragraph" w:styleId="TOC6">
    <w:name w:val="toc 6"/>
    <w:basedOn w:val="Normal"/>
    <w:next w:val="Normal"/>
    <w:uiPriority w:val="99"/>
    <w:semiHidden/>
    <w:rsid w:val="00ED7A91"/>
    <w:pPr>
      <w:tabs>
        <w:tab w:val="right" w:leader="dot" w:pos="9469"/>
      </w:tabs>
      <w:ind w:left="1200"/>
    </w:pPr>
  </w:style>
  <w:style w:type="paragraph" w:styleId="TOCHeading0">
    <w:name w:val="TOC Heading"/>
    <w:basedOn w:val="Heading1"/>
    <w:next w:val="Normal"/>
    <w:uiPriority w:val="99"/>
    <w:qFormat/>
    <w:rsid w:val="00D61C4E"/>
    <w:pPr>
      <w:keepLines/>
      <w:spacing w:before="480" w:line="276" w:lineRule="auto"/>
      <w:jc w:val="left"/>
      <w:outlineLvl w:val="9"/>
    </w:pPr>
    <w:rPr>
      <w:rFonts w:eastAsia="Times New Roman"/>
      <w:bCs w:val="0"/>
      <w:lang w:val="en-US" w:eastAsia="en-US"/>
    </w:rPr>
  </w:style>
  <w:style w:type="paragraph" w:styleId="ListParagraph">
    <w:name w:val="List Paragraph"/>
    <w:basedOn w:val="Normal"/>
    <w:uiPriority w:val="99"/>
    <w:qFormat/>
    <w:rsid w:val="00B4562F"/>
    <w:pPr>
      <w:ind w:left="720"/>
      <w:contextualSpacing/>
    </w:pPr>
  </w:style>
  <w:style w:type="paragraph" w:styleId="NoSpacing">
    <w:name w:val="No Spacing"/>
    <w:link w:val="NoSpacingChar"/>
    <w:uiPriority w:val="99"/>
    <w:qFormat/>
    <w:rsid w:val="00A32E13"/>
    <w:rPr>
      <w:rFonts w:eastAsia="Times New Roman"/>
    </w:rPr>
  </w:style>
  <w:style w:type="character" w:customStyle="1" w:styleId="NoSpacingChar">
    <w:name w:val="No Spacing Char"/>
    <w:basedOn w:val="DefaultParagraphFont"/>
    <w:link w:val="NoSpacing"/>
    <w:uiPriority w:val="99"/>
    <w:locked/>
    <w:rsid w:val="00A32E13"/>
    <w:rPr>
      <w:rFonts w:eastAsia="Times New Roman" w:cs="Times New Roman"/>
      <w:sz w:val="22"/>
      <w:szCs w:val="22"/>
      <w:lang w:val="en-US" w:eastAsia="en-US" w:bidi="ar-SA"/>
    </w:rPr>
  </w:style>
  <w:style w:type="character" w:styleId="FollowedHyperlink">
    <w:name w:val="FollowedHyperlink"/>
    <w:basedOn w:val="DefaultParagraphFont"/>
    <w:uiPriority w:val="99"/>
    <w:semiHidden/>
    <w:rsid w:val="00A24873"/>
    <w:rPr>
      <w:rFonts w:cs="Times New Roman"/>
      <w:color w:val="800080"/>
      <w:u w:val="single"/>
    </w:rPr>
  </w:style>
  <w:style w:type="paragraph" w:customStyle="1" w:styleId="CharChar1CharCharCharChar">
    <w:name w:val="Char Char1 Char Char Char Char"/>
    <w:basedOn w:val="Normal"/>
    <w:uiPriority w:val="99"/>
    <w:rsid w:val="00314BE5"/>
    <w:pPr>
      <w:spacing w:after="0" w:line="240" w:lineRule="auto"/>
      <w:jc w:val="left"/>
    </w:pPr>
    <w:rPr>
      <w:rFonts w:ascii="Arial" w:eastAsia="Times New Roman" w:hAnsi="Arial" w:cs="Arial"/>
      <w:sz w:val="22"/>
      <w:szCs w:val="22"/>
      <w:lang w:eastAsia="en-US"/>
    </w:rPr>
  </w:style>
  <w:style w:type="paragraph" w:customStyle="1" w:styleId="TableText">
    <w:name w:val="TableText"/>
    <w:basedOn w:val="Normal"/>
    <w:uiPriority w:val="99"/>
    <w:rsid w:val="00C873D8"/>
    <w:pPr>
      <w:keepNext/>
      <w:spacing w:after="0" w:line="240" w:lineRule="auto"/>
      <w:jc w:val="left"/>
    </w:pPr>
    <w:rPr>
      <w:rFonts w:ascii="Trebuchet MS" w:eastAsia="Times New Roman" w:hAnsi="Trebuchet MS" w:cs="Times New Roman"/>
      <w:sz w:val="18"/>
      <w:lang w:eastAsia="en-US"/>
    </w:rPr>
  </w:style>
  <w:style w:type="paragraph" w:customStyle="1" w:styleId="Default">
    <w:name w:val="Default"/>
    <w:uiPriority w:val="99"/>
    <w:rsid w:val="00DB3780"/>
    <w:pPr>
      <w:autoSpaceDE w:val="0"/>
      <w:autoSpaceDN w:val="0"/>
      <w:adjustRightInd w:val="0"/>
    </w:pPr>
    <w:rPr>
      <w:rFonts w:ascii="Tahoma" w:hAnsi="Tahoma" w:cs="Tahoma"/>
      <w:color w:val="000000"/>
      <w:sz w:val="24"/>
      <w:szCs w:val="24"/>
      <w:lang w:val="en-AU"/>
    </w:rPr>
  </w:style>
  <w:style w:type="paragraph" w:styleId="NormalWeb">
    <w:name w:val="Normal (Web)"/>
    <w:basedOn w:val="Normal"/>
    <w:uiPriority w:val="99"/>
    <w:semiHidden/>
    <w:rsid w:val="00DA439C"/>
    <w:pPr>
      <w:spacing w:before="100" w:beforeAutospacing="1" w:after="100" w:afterAutospacing="1" w:line="240" w:lineRule="auto"/>
      <w:jc w:val="left"/>
    </w:pPr>
    <w:rPr>
      <w:rFonts w:ascii="Times New Roman" w:eastAsia="Times New Roman" w:hAnsi="Times New Roman" w:cs="Times New Roman"/>
      <w:sz w:val="24"/>
      <w:szCs w:val="24"/>
      <w:lang w:eastAsia="en-AU"/>
    </w:rPr>
  </w:style>
  <w:style w:type="character" w:customStyle="1" w:styleId="pubtitle">
    <w:name w:val="pubtitle"/>
    <w:basedOn w:val="DefaultParagraphFont"/>
    <w:uiPriority w:val="99"/>
    <w:rsid w:val="00DA439C"/>
    <w:rPr>
      <w:rFonts w:cs="Times New Roman"/>
    </w:rPr>
  </w:style>
  <w:style w:type="paragraph" w:customStyle="1" w:styleId="keywords">
    <w:name w:val="keywords"/>
    <w:basedOn w:val="Normal"/>
    <w:uiPriority w:val="99"/>
    <w:rsid w:val="00C67F63"/>
    <w:pPr>
      <w:spacing w:before="100" w:beforeAutospacing="1" w:after="100" w:afterAutospacing="1" w:line="240" w:lineRule="auto"/>
      <w:jc w:val="left"/>
    </w:pPr>
    <w:rPr>
      <w:rFonts w:ascii="Times New Roman" w:eastAsia="Times New Roman" w:hAnsi="Times New Roman" w:cs="Times New Roman"/>
      <w:sz w:val="24"/>
      <w:szCs w:val="24"/>
      <w:lang w:eastAsia="en-AU"/>
    </w:rPr>
  </w:style>
  <w:style w:type="paragraph" w:customStyle="1" w:styleId="Bullet">
    <w:name w:val="Bullet"/>
    <w:basedOn w:val="Normal"/>
    <w:uiPriority w:val="99"/>
    <w:rsid w:val="00730B0F"/>
    <w:pPr>
      <w:numPr>
        <w:numId w:val="7"/>
      </w:numPr>
      <w:spacing w:after="0" w:line="240" w:lineRule="auto"/>
      <w:jc w:val="left"/>
    </w:pPr>
    <w:rPr>
      <w:rFonts w:ascii="Times New Roman" w:eastAsia="Times New Roman" w:hAnsi="Times New Roman" w:cs="Times New Roman"/>
      <w:lang w:eastAsia="en-US"/>
    </w:rPr>
  </w:style>
  <w:style w:type="paragraph" w:customStyle="1" w:styleId="pdf">
    <w:name w:val="pdf"/>
    <w:basedOn w:val="Normal"/>
    <w:uiPriority w:val="99"/>
    <w:rsid w:val="00BE27D9"/>
    <w:pPr>
      <w:spacing w:before="100" w:beforeAutospacing="1" w:after="100" w:afterAutospacing="1" w:line="240" w:lineRule="auto"/>
      <w:jc w:val="left"/>
    </w:pPr>
    <w:rPr>
      <w:rFonts w:ascii="Times New Roman" w:eastAsia="Times New Roman" w:hAnsi="Times New Roman" w:cs="Times New Roman"/>
      <w:sz w:val="24"/>
      <w:szCs w:val="24"/>
      <w:lang w:eastAsia="en-AU"/>
    </w:rPr>
  </w:style>
  <w:style w:type="paragraph" w:customStyle="1" w:styleId="Subtitle1">
    <w:name w:val="Subtitle1"/>
    <w:basedOn w:val="Normal"/>
    <w:uiPriority w:val="99"/>
    <w:rsid w:val="00BE27D9"/>
    <w:pPr>
      <w:spacing w:before="100" w:beforeAutospacing="1" w:after="100" w:afterAutospacing="1" w:line="240" w:lineRule="auto"/>
      <w:jc w:val="left"/>
    </w:pPr>
    <w:rPr>
      <w:rFonts w:ascii="Times New Roman" w:eastAsia="Times New Roman" w:hAnsi="Times New Roman" w:cs="Times New Roman"/>
      <w:sz w:val="24"/>
      <w:szCs w:val="24"/>
      <w:lang w:eastAsia="en-AU"/>
    </w:rPr>
  </w:style>
  <w:style w:type="paragraph" w:customStyle="1" w:styleId="small">
    <w:name w:val="small"/>
    <w:basedOn w:val="Normal"/>
    <w:uiPriority w:val="99"/>
    <w:rsid w:val="007F1129"/>
    <w:pPr>
      <w:spacing w:before="100" w:beforeAutospacing="1" w:after="100" w:afterAutospacing="1" w:line="393" w:lineRule="atLeast"/>
      <w:jc w:val="left"/>
    </w:pPr>
    <w:rPr>
      <w:rFonts w:ascii="Times New Roman" w:eastAsia="Times New Roman" w:hAnsi="Times New Roman" w:cs="Times New Roman"/>
      <w:lang w:eastAsia="en-AU"/>
    </w:rPr>
  </w:style>
  <w:style w:type="character" w:styleId="HTMLCite">
    <w:name w:val="HTML Cite"/>
    <w:basedOn w:val="DefaultParagraphFont"/>
    <w:uiPriority w:val="99"/>
    <w:semiHidden/>
    <w:rsid w:val="002102FD"/>
    <w:rPr>
      <w:rFonts w:cs="Times New Roman"/>
      <w:color w:val="009933"/>
    </w:rPr>
  </w:style>
  <w:style w:type="character" w:customStyle="1" w:styleId="vshid2">
    <w:name w:val="vshid2"/>
    <w:basedOn w:val="DefaultParagraphFont"/>
    <w:uiPriority w:val="99"/>
    <w:rsid w:val="002102FD"/>
    <w:rPr>
      <w:rFonts w:cs="Times New Roman"/>
      <w:vanish/>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0901A8"/>
    <w:pPr>
      <w:spacing w:after="240" w:line="312" w:lineRule="auto"/>
      <w:jc w:val="both"/>
    </w:pPr>
    <w:rPr>
      <w:rFonts w:ascii="Tahoma" w:eastAsia="SimSun" w:hAnsi="Tahoma" w:cs="Tahoma"/>
      <w:sz w:val="20"/>
      <w:szCs w:val="20"/>
      <w:lang w:val="en-AU" w:eastAsia="zh-CN"/>
    </w:rPr>
  </w:style>
  <w:style w:type="paragraph" w:styleId="Heading1">
    <w:name w:val="heading 1"/>
    <w:basedOn w:val="Normal"/>
    <w:next w:val="Normal"/>
    <w:link w:val="Heading1Char"/>
    <w:uiPriority w:val="99"/>
    <w:qFormat/>
    <w:rsid w:val="000901A8"/>
    <w:pPr>
      <w:keepNext/>
      <w:spacing w:before="360" w:after="160"/>
      <w:outlineLvl w:val="0"/>
    </w:pPr>
    <w:rPr>
      <w:b/>
      <w:bCs/>
      <w:color w:val="215868"/>
      <w:sz w:val="24"/>
      <w:szCs w:val="32"/>
    </w:rPr>
  </w:style>
  <w:style w:type="paragraph" w:styleId="Heading2">
    <w:name w:val="heading 2"/>
    <w:basedOn w:val="Normal"/>
    <w:next w:val="Normal"/>
    <w:link w:val="Heading2Char"/>
    <w:uiPriority w:val="99"/>
    <w:qFormat/>
    <w:rsid w:val="00D5182D"/>
    <w:pPr>
      <w:keepNext/>
      <w:spacing w:before="240" w:after="160"/>
      <w:outlineLvl w:val="1"/>
    </w:pPr>
    <w:rPr>
      <w:b/>
      <w:color w:val="215868"/>
      <w:szCs w:val="28"/>
      <w:lang w:val="en-GB" w:eastAsia="ja-JP"/>
    </w:rPr>
  </w:style>
  <w:style w:type="paragraph" w:styleId="Heading3">
    <w:name w:val="heading 3"/>
    <w:basedOn w:val="Normal"/>
    <w:next w:val="Normal"/>
    <w:link w:val="Heading3Char"/>
    <w:uiPriority w:val="99"/>
    <w:qFormat/>
    <w:rsid w:val="003B232A"/>
    <w:pPr>
      <w:keepNext/>
      <w:spacing w:after="120"/>
      <w:outlineLvl w:val="2"/>
    </w:pPr>
    <w:rPr>
      <w:color w:val="41A7BF"/>
    </w:rPr>
  </w:style>
  <w:style w:type="paragraph" w:styleId="Heading4">
    <w:name w:val="heading 4"/>
    <w:basedOn w:val="Normal"/>
    <w:next w:val="Normal"/>
    <w:link w:val="Heading4Char"/>
    <w:uiPriority w:val="99"/>
    <w:qFormat/>
    <w:rsid w:val="00ED7A91"/>
    <w:pPr>
      <w:keepNext/>
      <w:numPr>
        <w:ilvl w:val="3"/>
        <w:numId w:val="1"/>
      </w:numPr>
      <w:outlineLvl w:val="3"/>
    </w:pPr>
    <w:rPr>
      <w:u w:val="single"/>
    </w:rPr>
  </w:style>
  <w:style w:type="paragraph" w:styleId="Heading5">
    <w:name w:val="heading 5"/>
    <w:basedOn w:val="Normal"/>
    <w:next w:val="Normal"/>
    <w:link w:val="Heading5Char"/>
    <w:uiPriority w:val="99"/>
    <w:qFormat/>
    <w:rsid w:val="00ED7A91"/>
    <w:pPr>
      <w:keepNext/>
      <w:numPr>
        <w:ilvl w:val="4"/>
        <w:numId w:val="1"/>
      </w:numPr>
      <w:tabs>
        <w:tab w:val="left" w:pos="709"/>
      </w:tabs>
      <w:outlineLvl w:val="4"/>
    </w:pPr>
    <w:rPr>
      <w:b/>
      <w:i/>
    </w:rPr>
  </w:style>
  <w:style w:type="paragraph" w:styleId="Heading6">
    <w:name w:val="heading 6"/>
    <w:basedOn w:val="Normal"/>
    <w:next w:val="Normal"/>
    <w:link w:val="Heading6Char"/>
    <w:uiPriority w:val="99"/>
    <w:qFormat/>
    <w:rsid w:val="00ED7A91"/>
    <w:pPr>
      <w:keepNext/>
      <w:numPr>
        <w:ilvl w:val="5"/>
        <w:numId w:val="1"/>
      </w:numPr>
      <w:jc w:val="center"/>
      <w:outlineLvl w:val="5"/>
    </w:pPr>
    <w:rPr>
      <w:b/>
      <w:sz w:val="28"/>
    </w:rPr>
  </w:style>
  <w:style w:type="paragraph" w:styleId="Heading7">
    <w:name w:val="heading 7"/>
    <w:basedOn w:val="Normal"/>
    <w:next w:val="Normal"/>
    <w:link w:val="Heading7Char"/>
    <w:uiPriority w:val="99"/>
    <w:qFormat/>
    <w:rsid w:val="00ED7A91"/>
    <w:pPr>
      <w:keepNext/>
      <w:outlineLvl w:val="6"/>
    </w:pPr>
    <w:rPr>
      <w:i/>
    </w:rPr>
  </w:style>
  <w:style w:type="paragraph" w:styleId="Heading8">
    <w:name w:val="heading 8"/>
    <w:basedOn w:val="Normal"/>
    <w:next w:val="Normal"/>
    <w:link w:val="Heading8Char"/>
    <w:uiPriority w:val="99"/>
    <w:qFormat/>
    <w:rsid w:val="00ED7A91"/>
    <w:pPr>
      <w:keepNext/>
      <w:numPr>
        <w:ilvl w:val="7"/>
        <w:numId w:val="1"/>
      </w:numPr>
      <w:spacing w:line="288" w:lineRule="auto"/>
      <w:jc w:val="center"/>
      <w:outlineLvl w:val="7"/>
    </w:pPr>
    <w:rPr>
      <w:sz w:val="48"/>
    </w:rPr>
  </w:style>
  <w:style w:type="paragraph" w:styleId="Heading9">
    <w:name w:val="heading 9"/>
    <w:basedOn w:val="Normal"/>
    <w:next w:val="Normal"/>
    <w:link w:val="Heading9Char"/>
    <w:uiPriority w:val="99"/>
    <w:qFormat/>
    <w:rsid w:val="00ED7A91"/>
    <w:pPr>
      <w:keepNext/>
      <w:numPr>
        <w:ilvl w:val="8"/>
        <w:numId w:val="1"/>
      </w:numPr>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901A8"/>
    <w:rPr>
      <w:rFonts w:ascii="Tahoma" w:eastAsia="SimSun" w:hAnsi="Tahoma" w:cs="Tahoma"/>
      <w:b/>
      <w:bCs/>
      <w:color w:val="215868"/>
      <w:sz w:val="32"/>
      <w:szCs w:val="32"/>
      <w:lang w:eastAsia="zh-CN"/>
    </w:rPr>
  </w:style>
  <w:style w:type="character" w:customStyle="1" w:styleId="Heading2Char">
    <w:name w:val="Heading 2 Char"/>
    <w:basedOn w:val="DefaultParagraphFont"/>
    <w:link w:val="Heading2"/>
    <w:uiPriority w:val="99"/>
    <w:locked/>
    <w:rsid w:val="00D5182D"/>
    <w:rPr>
      <w:rFonts w:ascii="Tahoma" w:eastAsia="SimSun" w:hAnsi="Tahoma" w:cs="Tahoma"/>
      <w:b/>
      <w:color w:val="215868"/>
      <w:sz w:val="28"/>
      <w:szCs w:val="28"/>
      <w:lang w:val="en-GB" w:eastAsia="ja-JP"/>
    </w:rPr>
  </w:style>
  <w:style w:type="character" w:customStyle="1" w:styleId="Heading3Char">
    <w:name w:val="Heading 3 Char"/>
    <w:basedOn w:val="DefaultParagraphFont"/>
    <w:link w:val="Heading3"/>
    <w:uiPriority w:val="99"/>
    <w:locked/>
    <w:rsid w:val="003B232A"/>
    <w:rPr>
      <w:rFonts w:ascii="Tahoma" w:eastAsia="SimSun" w:hAnsi="Tahoma" w:cs="Tahoma"/>
      <w:color w:val="41A7BF"/>
      <w:sz w:val="20"/>
      <w:szCs w:val="20"/>
      <w:lang w:eastAsia="zh-CN"/>
    </w:rPr>
  </w:style>
  <w:style w:type="character" w:customStyle="1" w:styleId="Heading4Char">
    <w:name w:val="Heading 4 Char"/>
    <w:basedOn w:val="DefaultParagraphFont"/>
    <w:link w:val="Heading4"/>
    <w:uiPriority w:val="99"/>
    <w:locked/>
    <w:rsid w:val="00ED7A91"/>
    <w:rPr>
      <w:rFonts w:ascii="Tahoma" w:eastAsia="SimSun" w:hAnsi="Tahoma" w:cs="Tahoma"/>
      <w:sz w:val="20"/>
      <w:szCs w:val="20"/>
      <w:u w:val="single"/>
      <w:lang w:eastAsia="zh-CN"/>
    </w:rPr>
  </w:style>
  <w:style w:type="character" w:customStyle="1" w:styleId="Heading5Char">
    <w:name w:val="Heading 5 Char"/>
    <w:basedOn w:val="DefaultParagraphFont"/>
    <w:link w:val="Heading5"/>
    <w:uiPriority w:val="99"/>
    <w:locked/>
    <w:rsid w:val="00ED7A91"/>
    <w:rPr>
      <w:rFonts w:ascii="Tahoma" w:eastAsia="SimSun" w:hAnsi="Tahoma" w:cs="Tahoma"/>
      <w:b/>
      <w:i/>
      <w:sz w:val="20"/>
      <w:szCs w:val="20"/>
      <w:lang w:eastAsia="zh-CN"/>
    </w:rPr>
  </w:style>
  <w:style w:type="character" w:customStyle="1" w:styleId="Heading6Char">
    <w:name w:val="Heading 6 Char"/>
    <w:basedOn w:val="DefaultParagraphFont"/>
    <w:link w:val="Heading6"/>
    <w:uiPriority w:val="99"/>
    <w:locked/>
    <w:rsid w:val="00ED7A91"/>
    <w:rPr>
      <w:rFonts w:ascii="Tahoma" w:eastAsia="SimSun" w:hAnsi="Tahoma" w:cs="Tahoma"/>
      <w:b/>
      <w:sz w:val="20"/>
      <w:szCs w:val="20"/>
      <w:lang w:eastAsia="zh-CN"/>
    </w:rPr>
  </w:style>
  <w:style w:type="character" w:customStyle="1" w:styleId="Heading7Char">
    <w:name w:val="Heading 7 Char"/>
    <w:basedOn w:val="DefaultParagraphFont"/>
    <w:link w:val="Heading7"/>
    <w:uiPriority w:val="99"/>
    <w:locked/>
    <w:rsid w:val="00ED7A91"/>
    <w:rPr>
      <w:rFonts w:ascii="Times New Roman" w:eastAsia="SimSun" w:hAnsi="Times New Roman" w:cs="Times New Roman"/>
      <w:i/>
      <w:sz w:val="20"/>
      <w:szCs w:val="20"/>
      <w:lang w:eastAsia="zh-CN"/>
    </w:rPr>
  </w:style>
  <w:style w:type="character" w:customStyle="1" w:styleId="Heading8Char">
    <w:name w:val="Heading 8 Char"/>
    <w:basedOn w:val="DefaultParagraphFont"/>
    <w:link w:val="Heading8"/>
    <w:uiPriority w:val="99"/>
    <w:locked/>
    <w:rsid w:val="00ED7A91"/>
    <w:rPr>
      <w:rFonts w:ascii="Tahoma" w:eastAsia="SimSun" w:hAnsi="Tahoma" w:cs="Tahoma"/>
      <w:sz w:val="20"/>
      <w:szCs w:val="20"/>
      <w:lang w:eastAsia="zh-CN"/>
    </w:rPr>
  </w:style>
  <w:style w:type="character" w:customStyle="1" w:styleId="Heading9Char">
    <w:name w:val="Heading 9 Char"/>
    <w:basedOn w:val="DefaultParagraphFont"/>
    <w:link w:val="Heading9"/>
    <w:uiPriority w:val="99"/>
    <w:locked/>
    <w:rsid w:val="00ED7A91"/>
    <w:rPr>
      <w:rFonts w:ascii="Tahoma" w:eastAsia="SimSun" w:hAnsi="Tahoma" w:cs="Tahoma"/>
      <w:i/>
      <w:sz w:val="20"/>
      <w:szCs w:val="20"/>
      <w:lang w:eastAsia="zh-CN"/>
    </w:rPr>
  </w:style>
  <w:style w:type="paragraph" w:customStyle="1" w:styleId="Attachmentheading">
    <w:name w:val="Attachment heading"/>
    <w:basedOn w:val="Normal"/>
    <w:next w:val="Normal"/>
    <w:uiPriority w:val="99"/>
    <w:rsid w:val="00ED7A91"/>
    <w:pPr>
      <w:tabs>
        <w:tab w:val="left" w:pos="2552"/>
      </w:tabs>
      <w:spacing w:line="264" w:lineRule="auto"/>
      <w:ind w:left="2552" w:hanging="2552"/>
    </w:pPr>
    <w:rPr>
      <w:b/>
      <w:szCs w:val="24"/>
    </w:rPr>
  </w:style>
  <w:style w:type="paragraph" w:styleId="BalloonText">
    <w:name w:val="Balloon Text"/>
    <w:basedOn w:val="Normal"/>
    <w:link w:val="BalloonTextChar"/>
    <w:uiPriority w:val="99"/>
    <w:rsid w:val="00ED7A91"/>
    <w:pPr>
      <w:spacing w:line="240" w:lineRule="auto"/>
    </w:pPr>
    <w:rPr>
      <w:sz w:val="16"/>
      <w:szCs w:val="16"/>
    </w:rPr>
  </w:style>
  <w:style w:type="character" w:customStyle="1" w:styleId="BalloonTextChar">
    <w:name w:val="Balloon Text Char"/>
    <w:basedOn w:val="DefaultParagraphFont"/>
    <w:link w:val="BalloonText"/>
    <w:uiPriority w:val="99"/>
    <w:locked/>
    <w:rsid w:val="00ED7A91"/>
    <w:rPr>
      <w:rFonts w:ascii="Tahoma" w:eastAsia="SimSun" w:hAnsi="Tahoma" w:cs="Tahoma"/>
      <w:sz w:val="16"/>
      <w:szCs w:val="16"/>
      <w:lang w:eastAsia="zh-CN"/>
    </w:rPr>
  </w:style>
  <w:style w:type="paragraph" w:customStyle="1" w:styleId="Bulletedtext">
    <w:name w:val="Bulleted text"/>
    <w:basedOn w:val="Normal"/>
    <w:uiPriority w:val="99"/>
    <w:rsid w:val="00ED7A91"/>
    <w:pPr>
      <w:tabs>
        <w:tab w:val="left" w:pos="2835"/>
      </w:tabs>
    </w:pPr>
  </w:style>
  <w:style w:type="paragraph" w:customStyle="1" w:styleId="Bulletedtext2ndlevel">
    <w:name w:val="Bulleted text 2nd level"/>
    <w:basedOn w:val="Normal"/>
    <w:uiPriority w:val="99"/>
    <w:rsid w:val="00ED7A91"/>
    <w:pPr>
      <w:tabs>
        <w:tab w:val="num" w:pos="720"/>
      </w:tabs>
      <w:ind w:left="720" w:hanging="360"/>
      <w:jc w:val="left"/>
    </w:pPr>
  </w:style>
  <w:style w:type="paragraph" w:customStyle="1" w:styleId="Captioncontinued">
    <w:name w:val="Caption (continued)"/>
    <w:basedOn w:val="Normal"/>
    <w:next w:val="Normal"/>
    <w:uiPriority w:val="99"/>
    <w:rsid w:val="00ED7A91"/>
    <w:pPr>
      <w:tabs>
        <w:tab w:val="left" w:pos="2880"/>
      </w:tabs>
      <w:spacing w:after="120" w:line="240" w:lineRule="auto"/>
      <w:ind w:left="2880" w:hanging="2880"/>
      <w:jc w:val="left"/>
    </w:pPr>
    <w:rPr>
      <w:i/>
      <w:lang w:val="en-GB"/>
    </w:rPr>
  </w:style>
  <w:style w:type="character" w:customStyle="1" w:styleId="CaptionChar2CharChar3">
    <w:name w:val="Caption Char2 Char Char3"/>
    <w:aliases w:val="Caption Char Char Char2 Char2,Caption Char1 Char Char Char1 Char2,Caption Char2 Char Char Char1 Char1 Char2,Caption Char Char1 Char Char Char1 Char1 Char2,Caption Char1 Char Char Char Char Char Char Char2,Caption Char2 Char2"/>
    <w:basedOn w:val="DefaultParagraphFont"/>
    <w:uiPriority w:val="99"/>
    <w:rsid w:val="00ED7A91"/>
    <w:rPr>
      <w:rFonts w:cs="Times New Roman"/>
      <w:i/>
      <w:sz w:val="24"/>
      <w:lang w:val="en-GB" w:eastAsia="en-US" w:bidi="ar-SA"/>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uiPriority w:val="99"/>
    <w:qFormat/>
    <w:rsid w:val="008476B9"/>
    <w:pPr>
      <w:keepNext/>
      <w:spacing w:after="40" w:line="240" w:lineRule="auto"/>
      <w:ind w:left="709" w:hanging="709"/>
      <w:jc w:val="left"/>
    </w:pPr>
    <w:rPr>
      <w:rFonts w:ascii="Arial Narrow" w:eastAsia="Times New Roman" w:hAnsi="Arial Narrow"/>
      <w:b/>
      <w:lang w:val="en-GB" w:eastAsia="ja-JP"/>
    </w:rPr>
  </w:style>
  <w:style w:type="character" w:styleId="CommentReference">
    <w:name w:val="annotation reference"/>
    <w:basedOn w:val="DefaultParagraphFont"/>
    <w:uiPriority w:val="99"/>
    <w:semiHidden/>
    <w:rsid w:val="00ED7A91"/>
    <w:rPr>
      <w:rFonts w:cs="Times New Roman"/>
      <w:sz w:val="16"/>
      <w:szCs w:val="16"/>
    </w:rPr>
  </w:style>
  <w:style w:type="paragraph" w:styleId="CommentText">
    <w:name w:val="annotation text"/>
    <w:basedOn w:val="Normal"/>
    <w:link w:val="CommentTextChar"/>
    <w:uiPriority w:val="99"/>
    <w:semiHidden/>
    <w:rsid w:val="00ED7A91"/>
  </w:style>
  <w:style w:type="character" w:customStyle="1" w:styleId="CommentTextChar">
    <w:name w:val="Comment Text Char"/>
    <w:basedOn w:val="DefaultParagraphFont"/>
    <w:link w:val="CommentText"/>
    <w:uiPriority w:val="99"/>
    <w:semiHidden/>
    <w:locked/>
    <w:rsid w:val="00ED7A91"/>
    <w:rPr>
      <w:rFonts w:ascii="Times New Roman" w:eastAsia="SimSun" w:hAnsi="Times New Roman" w:cs="Times New Roman"/>
      <w:sz w:val="20"/>
      <w:szCs w:val="20"/>
      <w:lang w:eastAsia="zh-CN"/>
    </w:rPr>
  </w:style>
  <w:style w:type="paragraph" w:styleId="CommentSubject">
    <w:name w:val="annotation subject"/>
    <w:basedOn w:val="CommentText"/>
    <w:next w:val="CommentText"/>
    <w:link w:val="CommentSubjectChar"/>
    <w:uiPriority w:val="99"/>
    <w:semiHidden/>
    <w:rsid w:val="00ED7A91"/>
    <w:rPr>
      <w:b/>
      <w:bCs/>
    </w:rPr>
  </w:style>
  <w:style w:type="character" w:customStyle="1" w:styleId="CommentSubjectChar">
    <w:name w:val="Comment Subject Char"/>
    <w:basedOn w:val="CommentTextChar"/>
    <w:link w:val="CommentSubject"/>
    <w:uiPriority w:val="99"/>
    <w:semiHidden/>
    <w:locked/>
    <w:rsid w:val="00ED7A91"/>
    <w:rPr>
      <w:rFonts w:ascii="Times New Roman" w:eastAsia="SimSun" w:hAnsi="Times New Roman" w:cs="Times New Roman"/>
      <w:b/>
      <w:bCs/>
      <w:sz w:val="20"/>
      <w:szCs w:val="20"/>
      <w:lang w:eastAsia="zh-CN"/>
    </w:rPr>
  </w:style>
  <w:style w:type="paragraph" w:customStyle="1" w:styleId="Execsummary">
    <w:name w:val="Exec summary"/>
    <w:basedOn w:val="Normal"/>
    <w:uiPriority w:val="99"/>
    <w:semiHidden/>
    <w:rsid w:val="00ED7A91"/>
    <w:pPr>
      <w:spacing w:line="288" w:lineRule="auto"/>
    </w:pPr>
    <w:rPr>
      <w:sz w:val="22"/>
    </w:rPr>
  </w:style>
  <w:style w:type="paragraph" w:styleId="Footer">
    <w:name w:val="footer"/>
    <w:basedOn w:val="Normal"/>
    <w:link w:val="FooterChar"/>
    <w:uiPriority w:val="99"/>
    <w:semiHidden/>
    <w:rsid w:val="00ED7A91"/>
    <w:pPr>
      <w:tabs>
        <w:tab w:val="center" w:pos="4320"/>
        <w:tab w:val="right" w:pos="8640"/>
      </w:tabs>
    </w:pPr>
  </w:style>
  <w:style w:type="character" w:customStyle="1" w:styleId="FooterChar">
    <w:name w:val="Footer Char"/>
    <w:basedOn w:val="DefaultParagraphFont"/>
    <w:link w:val="Footer"/>
    <w:uiPriority w:val="99"/>
    <w:semiHidden/>
    <w:locked/>
    <w:rsid w:val="00ED7A91"/>
    <w:rPr>
      <w:rFonts w:ascii="Times New Roman" w:eastAsia="SimSun" w:hAnsi="Times New Roman" w:cs="Times New Roman"/>
      <w:sz w:val="20"/>
      <w:szCs w:val="20"/>
      <w:lang w:eastAsia="zh-CN"/>
    </w:rPr>
  </w:style>
  <w:style w:type="character" w:styleId="FootnoteReference">
    <w:name w:val="footnote reference"/>
    <w:basedOn w:val="DefaultParagraphFont"/>
    <w:uiPriority w:val="99"/>
    <w:semiHidden/>
    <w:rsid w:val="00ED7A91"/>
    <w:rPr>
      <w:rFonts w:cs="Times New Roman"/>
      <w:vertAlign w:val="superscript"/>
    </w:rPr>
  </w:style>
  <w:style w:type="paragraph" w:styleId="FootnoteText">
    <w:name w:val="footnote text"/>
    <w:basedOn w:val="Normal"/>
    <w:link w:val="FootnoteTextChar"/>
    <w:uiPriority w:val="99"/>
    <w:semiHidden/>
    <w:rsid w:val="00ED7A91"/>
    <w:pPr>
      <w:spacing w:line="240" w:lineRule="auto"/>
      <w:jc w:val="left"/>
    </w:pPr>
    <w:rPr>
      <w:rFonts w:ascii="Calibri" w:eastAsia="Calibri" w:hAnsi="Calibri"/>
      <w:lang w:eastAsia="en-US"/>
    </w:rPr>
  </w:style>
  <w:style w:type="character" w:customStyle="1" w:styleId="FootnoteTextChar">
    <w:name w:val="Footnote Text Char"/>
    <w:basedOn w:val="DefaultParagraphFont"/>
    <w:link w:val="FootnoteText"/>
    <w:uiPriority w:val="99"/>
    <w:semiHidden/>
    <w:locked/>
    <w:rsid w:val="00ED7A91"/>
    <w:rPr>
      <w:rFonts w:cs="Times New Roman"/>
      <w:sz w:val="20"/>
      <w:szCs w:val="20"/>
    </w:rPr>
  </w:style>
  <w:style w:type="paragraph" w:customStyle="1" w:styleId="GMHEADING1">
    <w:name w:val="GMHEADING1"/>
    <w:basedOn w:val="Normal"/>
    <w:next w:val="Normal"/>
    <w:uiPriority w:val="99"/>
    <w:rsid w:val="00ED7A91"/>
    <w:pPr>
      <w:tabs>
        <w:tab w:val="left" w:pos="1276"/>
      </w:tabs>
      <w:spacing w:after="120" w:line="264" w:lineRule="auto"/>
      <w:ind w:left="1276" w:hanging="1276"/>
      <w:jc w:val="left"/>
    </w:pPr>
    <w:rPr>
      <w:b/>
      <w:sz w:val="27"/>
      <w:szCs w:val="27"/>
    </w:rPr>
  </w:style>
  <w:style w:type="paragraph" w:customStyle="1" w:styleId="GMHeading2">
    <w:name w:val="GMHeading2"/>
    <w:basedOn w:val="Normal"/>
    <w:next w:val="Normal"/>
    <w:uiPriority w:val="99"/>
    <w:rsid w:val="00ED7A91"/>
    <w:pPr>
      <w:tabs>
        <w:tab w:val="left" w:pos="1276"/>
      </w:tabs>
      <w:spacing w:before="120" w:after="120" w:line="240" w:lineRule="auto"/>
      <w:ind w:left="1276" w:hanging="1276"/>
      <w:jc w:val="left"/>
    </w:pPr>
    <w:rPr>
      <w:b/>
      <w:sz w:val="28"/>
    </w:rPr>
  </w:style>
  <w:style w:type="paragraph" w:customStyle="1" w:styleId="GMHeading3">
    <w:name w:val="GMHeading3"/>
    <w:basedOn w:val="Normal"/>
    <w:next w:val="Normal"/>
    <w:uiPriority w:val="99"/>
    <w:rsid w:val="00ED7A91"/>
    <w:pPr>
      <w:keepNext/>
      <w:tabs>
        <w:tab w:val="left" w:pos="1276"/>
      </w:tabs>
      <w:suppressAutoHyphens/>
      <w:spacing w:before="120" w:after="120" w:line="240" w:lineRule="auto"/>
      <w:ind w:left="1276" w:hanging="1276"/>
      <w:jc w:val="left"/>
    </w:pPr>
    <w:rPr>
      <w:b/>
      <w:sz w:val="25"/>
      <w:szCs w:val="25"/>
    </w:rPr>
  </w:style>
  <w:style w:type="paragraph" w:customStyle="1" w:styleId="GMHeading4">
    <w:name w:val="GMHeading4"/>
    <w:basedOn w:val="Heading1"/>
    <w:next w:val="Normal"/>
    <w:uiPriority w:val="99"/>
    <w:rsid w:val="00ED7A91"/>
    <w:pPr>
      <w:tabs>
        <w:tab w:val="left" w:pos="1276"/>
      </w:tabs>
      <w:spacing w:before="120" w:after="80"/>
      <w:ind w:left="1276" w:hanging="1276"/>
      <w:jc w:val="left"/>
    </w:pPr>
    <w:rPr>
      <w:b w:val="0"/>
      <w:sz w:val="25"/>
      <w:szCs w:val="25"/>
    </w:rPr>
  </w:style>
  <w:style w:type="paragraph" w:styleId="Header">
    <w:name w:val="header"/>
    <w:basedOn w:val="Normal"/>
    <w:link w:val="HeaderChar"/>
    <w:uiPriority w:val="99"/>
    <w:rsid w:val="00ED7A91"/>
    <w:pPr>
      <w:tabs>
        <w:tab w:val="right" w:pos="9240"/>
      </w:tabs>
      <w:spacing w:line="240" w:lineRule="auto"/>
      <w:ind w:right="28"/>
      <w:jc w:val="left"/>
    </w:pPr>
    <w:rPr>
      <w:sz w:val="18"/>
      <w:u w:val="single"/>
    </w:rPr>
  </w:style>
  <w:style w:type="character" w:customStyle="1" w:styleId="HeaderChar">
    <w:name w:val="Header Char"/>
    <w:basedOn w:val="DefaultParagraphFont"/>
    <w:link w:val="Header"/>
    <w:uiPriority w:val="99"/>
    <w:locked/>
    <w:rsid w:val="00ED7A91"/>
    <w:rPr>
      <w:rFonts w:ascii="Times New Roman" w:eastAsia="SimSun" w:hAnsi="Times New Roman" w:cs="Times New Roman"/>
      <w:sz w:val="20"/>
      <w:szCs w:val="20"/>
      <w:u w:val="single"/>
      <w:lang w:eastAsia="zh-CN"/>
    </w:rPr>
  </w:style>
  <w:style w:type="character" w:styleId="Hyperlink">
    <w:name w:val="Hyperlink"/>
    <w:basedOn w:val="DefaultParagraphFont"/>
    <w:uiPriority w:val="99"/>
    <w:rsid w:val="00ED7A91"/>
    <w:rPr>
      <w:rFonts w:cs="Times New Roman"/>
      <w:color w:val="0000FF"/>
      <w:u w:val="single"/>
    </w:rPr>
  </w:style>
  <w:style w:type="paragraph" w:customStyle="1" w:styleId="Numberedtext">
    <w:name w:val="Numbered text"/>
    <w:basedOn w:val="Normal"/>
    <w:uiPriority w:val="99"/>
    <w:semiHidden/>
    <w:rsid w:val="00ED7A91"/>
    <w:pPr>
      <w:tabs>
        <w:tab w:val="left" w:pos="0"/>
        <w:tab w:val="num" w:pos="360"/>
      </w:tabs>
      <w:spacing w:before="40" w:after="40" w:line="288" w:lineRule="auto"/>
      <w:ind w:left="360" w:hanging="360"/>
      <w:jc w:val="left"/>
    </w:pPr>
    <w:rPr>
      <w:sz w:val="22"/>
      <w:szCs w:val="22"/>
    </w:rPr>
  </w:style>
  <w:style w:type="paragraph" w:customStyle="1" w:styleId="Numberedtext11pt">
    <w:name w:val="Numbered text 11pt"/>
    <w:basedOn w:val="Normal"/>
    <w:uiPriority w:val="99"/>
    <w:semiHidden/>
    <w:rsid w:val="00ED7A91"/>
    <w:pPr>
      <w:tabs>
        <w:tab w:val="left" w:pos="0"/>
      </w:tabs>
      <w:spacing w:before="40" w:after="40" w:line="288" w:lineRule="auto"/>
      <w:jc w:val="left"/>
    </w:pPr>
    <w:rPr>
      <w:sz w:val="22"/>
      <w:szCs w:val="22"/>
    </w:rPr>
  </w:style>
  <w:style w:type="character" w:styleId="PageNumber">
    <w:name w:val="page number"/>
    <w:basedOn w:val="DefaultParagraphFont"/>
    <w:uiPriority w:val="99"/>
    <w:semiHidden/>
    <w:rsid w:val="00ED7A91"/>
    <w:rPr>
      <w:rFonts w:cs="Times New Roman"/>
    </w:rPr>
  </w:style>
  <w:style w:type="paragraph" w:customStyle="1" w:styleId="Source">
    <w:name w:val="Source"/>
    <w:basedOn w:val="Normal"/>
    <w:uiPriority w:val="99"/>
    <w:rsid w:val="00ED7A91"/>
    <w:pPr>
      <w:tabs>
        <w:tab w:val="left" w:pos="2835"/>
        <w:tab w:val="left" w:pos="3960"/>
        <w:tab w:val="left" w:pos="5640"/>
        <w:tab w:val="left" w:pos="7320"/>
        <w:tab w:val="left" w:pos="8400"/>
        <w:tab w:val="left" w:pos="11400"/>
      </w:tabs>
      <w:spacing w:line="240" w:lineRule="auto"/>
      <w:ind w:left="1200" w:right="28" w:hanging="1200"/>
      <w:jc w:val="left"/>
    </w:pPr>
    <w:rPr>
      <w:sz w:val="18"/>
      <w:szCs w:val="18"/>
      <w:lang w:eastAsia="en-US"/>
    </w:rPr>
  </w:style>
  <w:style w:type="paragraph" w:customStyle="1" w:styleId="source0">
    <w:name w:val="source"/>
    <w:basedOn w:val="Normal"/>
    <w:uiPriority w:val="99"/>
    <w:rsid w:val="00ED7A91"/>
    <w:pPr>
      <w:tabs>
        <w:tab w:val="left" w:pos="1134"/>
      </w:tabs>
      <w:spacing w:line="240" w:lineRule="auto"/>
      <w:ind w:left="1134" w:hanging="1134"/>
      <w:jc w:val="left"/>
    </w:pPr>
    <w:rPr>
      <w:rFonts w:eastAsia="Times New Roman"/>
      <w:sz w:val="18"/>
      <w:lang w:eastAsia="ja-JP"/>
    </w:rPr>
  </w:style>
  <w:style w:type="character" w:customStyle="1" w:styleId="SourceChar1">
    <w:name w:val="Source Char1"/>
    <w:basedOn w:val="DefaultParagraphFont"/>
    <w:uiPriority w:val="99"/>
    <w:rsid w:val="00ED7A91"/>
    <w:rPr>
      <w:rFonts w:eastAsia="SimSun" w:cs="Times New Roman"/>
      <w:sz w:val="18"/>
      <w:szCs w:val="18"/>
      <w:lang w:val="en-AU" w:eastAsia="en-US" w:bidi="ar-SA"/>
    </w:rPr>
  </w:style>
  <w:style w:type="paragraph" w:customStyle="1" w:styleId="Spaceundertable">
    <w:name w:val="Space under table"/>
    <w:basedOn w:val="Normal"/>
    <w:uiPriority w:val="99"/>
    <w:rsid w:val="00ED7A91"/>
    <w:pPr>
      <w:numPr>
        <w:numId w:val="4"/>
      </w:numPr>
      <w:spacing w:line="240" w:lineRule="auto"/>
      <w:jc w:val="left"/>
    </w:pPr>
    <w:rPr>
      <w:sz w:val="8"/>
      <w:szCs w:val="8"/>
    </w:rPr>
  </w:style>
  <w:style w:type="paragraph" w:customStyle="1" w:styleId="Style1">
    <w:name w:val="Style1"/>
    <w:basedOn w:val="GMHeading2"/>
    <w:uiPriority w:val="99"/>
    <w:rsid w:val="00ED7A91"/>
  </w:style>
  <w:style w:type="paragraph" w:customStyle="1" w:styleId="Style2">
    <w:name w:val="Style2"/>
    <w:basedOn w:val="GMHeading3"/>
    <w:uiPriority w:val="99"/>
    <w:rsid w:val="00ED7A91"/>
  </w:style>
  <w:style w:type="table" w:styleId="TableGrid">
    <w:name w:val="Table Grid"/>
    <w:basedOn w:val="TableNormal"/>
    <w:uiPriority w:val="99"/>
    <w:rsid w:val="00ED7A91"/>
    <w:pPr>
      <w:tabs>
        <w:tab w:val="left" w:pos="2835"/>
      </w:tabs>
      <w:spacing w:before="40" w:after="40"/>
      <w:jc w:val="both"/>
    </w:pPr>
    <w:rPr>
      <w:rFonts w:ascii="Times New Roman" w:eastAsia="Times New Roman" w:hAnsi="Times New Roman"/>
      <w:sz w:val="20"/>
      <w:szCs w:val="20"/>
      <w:lang w:eastAsia="en-AU"/>
    </w:rPr>
    <w:tblPr>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style>
  <w:style w:type="paragraph" w:styleId="TableofFigures">
    <w:name w:val="table of figures"/>
    <w:basedOn w:val="Normal"/>
    <w:next w:val="Normal"/>
    <w:uiPriority w:val="99"/>
    <w:rsid w:val="00ED7A91"/>
    <w:pPr>
      <w:tabs>
        <w:tab w:val="right" w:leader="dot" w:pos="9240"/>
      </w:tabs>
      <w:spacing w:after="80" w:line="240" w:lineRule="auto"/>
      <w:ind w:left="1644" w:right="720" w:hanging="1644"/>
      <w:jc w:val="left"/>
    </w:pPr>
    <w:rPr>
      <w:rFonts w:eastAsia="Times New Roman"/>
      <w:noProof/>
      <w:sz w:val="22"/>
      <w:szCs w:val="21"/>
      <w:lang w:eastAsia="ja-JP"/>
    </w:rPr>
  </w:style>
  <w:style w:type="paragraph" w:customStyle="1" w:styleId="Tabletextleft">
    <w:name w:val="Table text (left)"/>
    <w:basedOn w:val="Normal"/>
    <w:uiPriority w:val="99"/>
    <w:rsid w:val="00ED7A91"/>
    <w:pPr>
      <w:numPr>
        <w:numId w:val="3"/>
      </w:numPr>
      <w:spacing w:before="40" w:after="40" w:line="240" w:lineRule="auto"/>
      <w:jc w:val="left"/>
    </w:pPr>
    <w:rPr>
      <w:lang w:val="en-GB" w:eastAsia="en-US"/>
    </w:rPr>
  </w:style>
  <w:style w:type="paragraph" w:customStyle="1" w:styleId="TableText1left">
    <w:name w:val="Table Text 1 (left)"/>
    <w:basedOn w:val="Normal"/>
    <w:uiPriority w:val="99"/>
    <w:rsid w:val="00ED7A91"/>
    <w:pPr>
      <w:spacing w:before="40" w:after="40" w:line="240" w:lineRule="auto"/>
      <w:jc w:val="left"/>
    </w:pPr>
    <w:rPr>
      <w:lang w:val="en-GB" w:eastAsia="en-US"/>
    </w:rPr>
  </w:style>
  <w:style w:type="paragraph" w:customStyle="1" w:styleId="TableText2centerheaderrow">
    <w:name w:val="Table Text 2 (center) header row"/>
    <w:basedOn w:val="Normal"/>
    <w:uiPriority w:val="99"/>
    <w:rsid w:val="00ED7A91"/>
    <w:pPr>
      <w:tabs>
        <w:tab w:val="left" w:pos="2835"/>
      </w:tabs>
      <w:snapToGrid w:val="0"/>
      <w:spacing w:before="80" w:after="80" w:line="240" w:lineRule="auto"/>
      <w:jc w:val="center"/>
    </w:pPr>
    <w:rPr>
      <w:lang w:eastAsia="en-US"/>
    </w:rPr>
  </w:style>
  <w:style w:type="paragraph" w:customStyle="1" w:styleId="Tabletextbulleted">
    <w:name w:val="Table text bulleted"/>
    <w:basedOn w:val="Normal"/>
    <w:uiPriority w:val="99"/>
    <w:rsid w:val="00ED7A91"/>
    <w:pPr>
      <w:numPr>
        <w:numId w:val="2"/>
      </w:numPr>
      <w:spacing w:before="40" w:after="40" w:line="240" w:lineRule="auto"/>
      <w:jc w:val="left"/>
    </w:pPr>
  </w:style>
  <w:style w:type="paragraph" w:customStyle="1" w:styleId="Tabletextbullettedv2">
    <w:name w:val="Table text bulletted v2"/>
    <w:basedOn w:val="Tabletextbulleted"/>
    <w:uiPriority w:val="99"/>
    <w:rsid w:val="00ED7A91"/>
    <w:pPr>
      <w:numPr>
        <w:numId w:val="0"/>
      </w:numPr>
      <w:spacing w:before="20" w:after="20"/>
    </w:pPr>
    <w:rPr>
      <w:lang w:val="en-US"/>
    </w:rPr>
  </w:style>
  <w:style w:type="paragraph" w:customStyle="1" w:styleId="Tabletextindentleft">
    <w:name w:val="Table text indent left"/>
    <w:basedOn w:val="TableText1left"/>
    <w:uiPriority w:val="99"/>
    <w:semiHidden/>
    <w:rsid w:val="00ED7A91"/>
    <w:pPr>
      <w:ind w:left="252"/>
    </w:pPr>
    <w:rPr>
      <w:lang w:val="en-AU"/>
    </w:rPr>
  </w:style>
  <w:style w:type="paragraph" w:customStyle="1" w:styleId="TabletextindentedlistA">
    <w:name w:val="Table text indented list A"/>
    <w:aliases w:val="B,C"/>
    <w:basedOn w:val="Tabletextbulleted"/>
    <w:uiPriority w:val="99"/>
    <w:rsid w:val="00ED7A91"/>
    <w:pPr>
      <w:numPr>
        <w:numId w:val="0"/>
      </w:numPr>
      <w:tabs>
        <w:tab w:val="left" w:pos="284"/>
        <w:tab w:val="left" w:pos="2835"/>
      </w:tabs>
    </w:pPr>
  </w:style>
  <w:style w:type="paragraph" w:customStyle="1" w:styleId="TabletextRelativeRisksRR">
    <w:name w:val="Table text Relative Risks (RR)"/>
    <w:basedOn w:val="Normal"/>
    <w:uiPriority w:val="99"/>
    <w:semiHidden/>
    <w:rsid w:val="00ED7A91"/>
    <w:pPr>
      <w:tabs>
        <w:tab w:val="left" w:pos="664"/>
      </w:tabs>
      <w:spacing w:before="40" w:after="40" w:line="240" w:lineRule="auto"/>
      <w:ind w:left="64"/>
      <w:jc w:val="left"/>
    </w:pPr>
    <w:rPr>
      <w:lang w:eastAsia="en-US"/>
    </w:rPr>
  </w:style>
  <w:style w:type="paragraph" w:customStyle="1" w:styleId="TextTi12">
    <w:name w:val="Text:Ti12"/>
    <w:basedOn w:val="Normal"/>
    <w:uiPriority w:val="99"/>
    <w:semiHidden/>
    <w:rsid w:val="00ED7A91"/>
    <w:pPr>
      <w:spacing w:after="170" w:line="280" w:lineRule="atLeast"/>
    </w:pPr>
    <w:rPr>
      <w:lang w:val="en-US"/>
    </w:rPr>
  </w:style>
  <w:style w:type="paragraph" w:styleId="Title">
    <w:name w:val="Title"/>
    <w:basedOn w:val="Normal"/>
    <w:link w:val="TitleChar"/>
    <w:uiPriority w:val="99"/>
    <w:qFormat/>
    <w:rsid w:val="00ED7A91"/>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99"/>
    <w:locked/>
    <w:rsid w:val="00ED7A91"/>
    <w:rPr>
      <w:rFonts w:ascii="Arial" w:eastAsia="SimSun" w:hAnsi="Arial" w:cs="Arial"/>
      <w:b/>
      <w:bCs/>
      <w:kern w:val="28"/>
      <w:sz w:val="32"/>
      <w:szCs w:val="32"/>
      <w:lang w:eastAsia="zh-CN"/>
    </w:rPr>
  </w:style>
  <w:style w:type="paragraph" w:customStyle="1" w:styleId="TOCheading">
    <w:name w:val="TOC (heading)"/>
    <w:basedOn w:val="Normal"/>
    <w:next w:val="Normal"/>
    <w:uiPriority w:val="99"/>
    <w:rsid w:val="00ED7A91"/>
    <w:pPr>
      <w:tabs>
        <w:tab w:val="right" w:leader="dot" w:pos="9240"/>
      </w:tabs>
      <w:spacing w:after="120" w:line="264" w:lineRule="auto"/>
      <w:jc w:val="center"/>
    </w:pPr>
    <w:rPr>
      <w:b/>
      <w:sz w:val="32"/>
      <w:szCs w:val="32"/>
      <w:lang w:eastAsia="en-US"/>
    </w:rPr>
  </w:style>
  <w:style w:type="paragraph" w:styleId="TOC1">
    <w:name w:val="toc 1"/>
    <w:basedOn w:val="Normal"/>
    <w:next w:val="Normal"/>
    <w:uiPriority w:val="39"/>
    <w:rsid w:val="00ED7A91"/>
    <w:pPr>
      <w:tabs>
        <w:tab w:val="left" w:pos="840"/>
        <w:tab w:val="right" w:leader="dot" w:pos="9240"/>
      </w:tabs>
      <w:spacing w:before="240" w:after="120" w:line="264" w:lineRule="auto"/>
      <w:ind w:left="840" w:right="602" w:hanging="840"/>
      <w:jc w:val="left"/>
    </w:pPr>
    <w:rPr>
      <w:b/>
      <w:noProof/>
    </w:rPr>
  </w:style>
  <w:style w:type="paragraph" w:styleId="TOC2">
    <w:name w:val="toc 2"/>
    <w:basedOn w:val="Normal"/>
    <w:next w:val="Normal"/>
    <w:autoRedefine/>
    <w:uiPriority w:val="39"/>
    <w:rsid w:val="00A32E13"/>
    <w:pPr>
      <w:keepNext/>
      <w:tabs>
        <w:tab w:val="right" w:leader="dot" w:pos="9240"/>
      </w:tabs>
      <w:spacing w:before="200" w:after="60" w:line="240" w:lineRule="auto"/>
      <w:ind w:left="1191" w:right="340" w:hanging="794"/>
      <w:jc w:val="left"/>
    </w:pPr>
    <w:rPr>
      <w:noProof/>
      <w:lang w:val="en-GB" w:eastAsia="en-US"/>
    </w:rPr>
  </w:style>
  <w:style w:type="paragraph" w:styleId="TOC3">
    <w:name w:val="toc 3"/>
    <w:basedOn w:val="Normal"/>
    <w:next w:val="Normal"/>
    <w:uiPriority w:val="39"/>
    <w:rsid w:val="00ED7A91"/>
    <w:pPr>
      <w:tabs>
        <w:tab w:val="left" w:pos="1800"/>
        <w:tab w:val="right" w:leader="dot" w:pos="9240"/>
      </w:tabs>
      <w:spacing w:after="60" w:line="240" w:lineRule="auto"/>
      <w:ind w:left="1800" w:right="602" w:hanging="960"/>
      <w:jc w:val="left"/>
    </w:pPr>
    <w:rPr>
      <w:noProof/>
      <w:sz w:val="22"/>
      <w:lang w:val="fr-FR" w:eastAsia="en-US"/>
    </w:rPr>
  </w:style>
  <w:style w:type="paragraph" w:styleId="TOC4">
    <w:name w:val="toc 4"/>
    <w:basedOn w:val="Normal"/>
    <w:next w:val="Normal"/>
    <w:uiPriority w:val="99"/>
    <w:rsid w:val="00ED7A91"/>
    <w:pPr>
      <w:tabs>
        <w:tab w:val="left" w:pos="3000"/>
        <w:tab w:val="right" w:leader="dot" w:pos="9240"/>
      </w:tabs>
      <w:spacing w:after="60" w:line="240" w:lineRule="auto"/>
      <w:ind w:left="3000" w:right="602" w:hanging="1200"/>
      <w:jc w:val="left"/>
    </w:pPr>
    <w:rPr>
      <w:i/>
      <w:noProof/>
      <w:sz w:val="22"/>
      <w:szCs w:val="22"/>
      <w:lang w:eastAsia="en-US"/>
    </w:rPr>
  </w:style>
  <w:style w:type="paragraph" w:styleId="TOC5">
    <w:name w:val="toc 5"/>
    <w:basedOn w:val="Normal"/>
    <w:next w:val="Normal"/>
    <w:uiPriority w:val="99"/>
    <w:semiHidden/>
    <w:rsid w:val="00ED7A91"/>
    <w:pPr>
      <w:tabs>
        <w:tab w:val="right" w:leader="dot" w:pos="9469"/>
      </w:tabs>
      <w:ind w:left="960"/>
    </w:pPr>
  </w:style>
  <w:style w:type="paragraph" w:styleId="TOC6">
    <w:name w:val="toc 6"/>
    <w:basedOn w:val="Normal"/>
    <w:next w:val="Normal"/>
    <w:uiPriority w:val="99"/>
    <w:semiHidden/>
    <w:rsid w:val="00ED7A91"/>
    <w:pPr>
      <w:tabs>
        <w:tab w:val="right" w:leader="dot" w:pos="9469"/>
      </w:tabs>
      <w:ind w:left="1200"/>
    </w:pPr>
  </w:style>
  <w:style w:type="paragraph" w:styleId="TOCHeading0">
    <w:name w:val="TOC Heading"/>
    <w:basedOn w:val="Heading1"/>
    <w:next w:val="Normal"/>
    <w:uiPriority w:val="99"/>
    <w:qFormat/>
    <w:rsid w:val="00D61C4E"/>
    <w:pPr>
      <w:keepLines/>
      <w:spacing w:before="480" w:line="276" w:lineRule="auto"/>
      <w:jc w:val="left"/>
      <w:outlineLvl w:val="9"/>
    </w:pPr>
    <w:rPr>
      <w:rFonts w:eastAsia="Times New Roman"/>
      <w:bCs w:val="0"/>
      <w:lang w:val="en-US" w:eastAsia="en-US"/>
    </w:rPr>
  </w:style>
  <w:style w:type="paragraph" w:styleId="ListParagraph">
    <w:name w:val="List Paragraph"/>
    <w:basedOn w:val="Normal"/>
    <w:uiPriority w:val="99"/>
    <w:qFormat/>
    <w:rsid w:val="00B4562F"/>
    <w:pPr>
      <w:ind w:left="720"/>
      <w:contextualSpacing/>
    </w:pPr>
  </w:style>
  <w:style w:type="paragraph" w:styleId="NoSpacing">
    <w:name w:val="No Spacing"/>
    <w:link w:val="NoSpacingChar"/>
    <w:uiPriority w:val="99"/>
    <w:qFormat/>
    <w:rsid w:val="00A32E13"/>
    <w:rPr>
      <w:rFonts w:eastAsia="Times New Roman"/>
    </w:rPr>
  </w:style>
  <w:style w:type="character" w:customStyle="1" w:styleId="NoSpacingChar">
    <w:name w:val="No Spacing Char"/>
    <w:basedOn w:val="DefaultParagraphFont"/>
    <w:link w:val="NoSpacing"/>
    <w:uiPriority w:val="99"/>
    <w:locked/>
    <w:rsid w:val="00A32E13"/>
    <w:rPr>
      <w:rFonts w:eastAsia="Times New Roman" w:cs="Times New Roman"/>
      <w:sz w:val="22"/>
      <w:szCs w:val="22"/>
      <w:lang w:val="en-US" w:eastAsia="en-US" w:bidi="ar-SA"/>
    </w:rPr>
  </w:style>
  <w:style w:type="character" w:styleId="FollowedHyperlink">
    <w:name w:val="FollowedHyperlink"/>
    <w:basedOn w:val="DefaultParagraphFont"/>
    <w:uiPriority w:val="99"/>
    <w:semiHidden/>
    <w:rsid w:val="00A24873"/>
    <w:rPr>
      <w:rFonts w:cs="Times New Roman"/>
      <w:color w:val="800080"/>
      <w:u w:val="single"/>
    </w:rPr>
  </w:style>
  <w:style w:type="paragraph" w:customStyle="1" w:styleId="CharChar1CharCharCharChar">
    <w:name w:val="Char Char1 Char Char Char Char"/>
    <w:basedOn w:val="Normal"/>
    <w:uiPriority w:val="99"/>
    <w:rsid w:val="00314BE5"/>
    <w:pPr>
      <w:spacing w:after="0" w:line="240" w:lineRule="auto"/>
      <w:jc w:val="left"/>
    </w:pPr>
    <w:rPr>
      <w:rFonts w:ascii="Arial" w:eastAsia="Times New Roman" w:hAnsi="Arial" w:cs="Arial"/>
      <w:sz w:val="22"/>
      <w:szCs w:val="22"/>
      <w:lang w:eastAsia="en-US"/>
    </w:rPr>
  </w:style>
  <w:style w:type="paragraph" w:customStyle="1" w:styleId="TableText">
    <w:name w:val="TableText"/>
    <w:basedOn w:val="Normal"/>
    <w:uiPriority w:val="99"/>
    <w:rsid w:val="00C873D8"/>
    <w:pPr>
      <w:keepNext/>
      <w:spacing w:after="0" w:line="240" w:lineRule="auto"/>
      <w:jc w:val="left"/>
    </w:pPr>
    <w:rPr>
      <w:rFonts w:ascii="Trebuchet MS" w:eastAsia="Times New Roman" w:hAnsi="Trebuchet MS" w:cs="Times New Roman"/>
      <w:sz w:val="18"/>
      <w:lang w:eastAsia="en-US"/>
    </w:rPr>
  </w:style>
  <w:style w:type="paragraph" w:customStyle="1" w:styleId="Default">
    <w:name w:val="Default"/>
    <w:uiPriority w:val="99"/>
    <w:rsid w:val="00DB3780"/>
    <w:pPr>
      <w:autoSpaceDE w:val="0"/>
      <w:autoSpaceDN w:val="0"/>
      <w:adjustRightInd w:val="0"/>
    </w:pPr>
    <w:rPr>
      <w:rFonts w:ascii="Tahoma" w:hAnsi="Tahoma" w:cs="Tahoma"/>
      <w:color w:val="000000"/>
      <w:sz w:val="24"/>
      <w:szCs w:val="24"/>
      <w:lang w:val="en-AU"/>
    </w:rPr>
  </w:style>
  <w:style w:type="paragraph" w:styleId="NormalWeb">
    <w:name w:val="Normal (Web)"/>
    <w:basedOn w:val="Normal"/>
    <w:uiPriority w:val="99"/>
    <w:semiHidden/>
    <w:rsid w:val="00DA439C"/>
    <w:pPr>
      <w:spacing w:before="100" w:beforeAutospacing="1" w:after="100" w:afterAutospacing="1" w:line="240" w:lineRule="auto"/>
      <w:jc w:val="left"/>
    </w:pPr>
    <w:rPr>
      <w:rFonts w:ascii="Times New Roman" w:eastAsia="Times New Roman" w:hAnsi="Times New Roman" w:cs="Times New Roman"/>
      <w:sz w:val="24"/>
      <w:szCs w:val="24"/>
      <w:lang w:eastAsia="en-AU"/>
    </w:rPr>
  </w:style>
  <w:style w:type="character" w:customStyle="1" w:styleId="pubtitle">
    <w:name w:val="pubtitle"/>
    <w:basedOn w:val="DefaultParagraphFont"/>
    <w:uiPriority w:val="99"/>
    <w:rsid w:val="00DA439C"/>
    <w:rPr>
      <w:rFonts w:cs="Times New Roman"/>
    </w:rPr>
  </w:style>
  <w:style w:type="paragraph" w:customStyle="1" w:styleId="keywords">
    <w:name w:val="keywords"/>
    <w:basedOn w:val="Normal"/>
    <w:uiPriority w:val="99"/>
    <w:rsid w:val="00C67F63"/>
    <w:pPr>
      <w:spacing w:before="100" w:beforeAutospacing="1" w:after="100" w:afterAutospacing="1" w:line="240" w:lineRule="auto"/>
      <w:jc w:val="left"/>
    </w:pPr>
    <w:rPr>
      <w:rFonts w:ascii="Times New Roman" w:eastAsia="Times New Roman" w:hAnsi="Times New Roman" w:cs="Times New Roman"/>
      <w:sz w:val="24"/>
      <w:szCs w:val="24"/>
      <w:lang w:eastAsia="en-AU"/>
    </w:rPr>
  </w:style>
  <w:style w:type="paragraph" w:customStyle="1" w:styleId="Bullet">
    <w:name w:val="Bullet"/>
    <w:basedOn w:val="Normal"/>
    <w:uiPriority w:val="99"/>
    <w:rsid w:val="00730B0F"/>
    <w:pPr>
      <w:numPr>
        <w:numId w:val="7"/>
      </w:numPr>
      <w:spacing w:after="0" w:line="240" w:lineRule="auto"/>
      <w:jc w:val="left"/>
    </w:pPr>
    <w:rPr>
      <w:rFonts w:ascii="Times New Roman" w:eastAsia="Times New Roman" w:hAnsi="Times New Roman" w:cs="Times New Roman"/>
      <w:lang w:eastAsia="en-US"/>
    </w:rPr>
  </w:style>
  <w:style w:type="paragraph" w:customStyle="1" w:styleId="pdf">
    <w:name w:val="pdf"/>
    <w:basedOn w:val="Normal"/>
    <w:uiPriority w:val="99"/>
    <w:rsid w:val="00BE27D9"/>
    <w:pPr>
      <w:spacing w:before="100" w:beforeAutospacing="1" w:after="100" w:afterAutospacing="1" w:line="240" w:lineRule="auto"/>
      <w:jc w:val="left"/>
    </w:pPr>
    <w:rPr>
      <w:rFonts w:ascii="Times New Roman" w:eastAsia="Times New Roman" w:hAnsi="Times New Roman" w:cs="Times New Roman"/>
      <w:sz w:val="24"/>
      <w:szCs w:val="24"/>
      <w:lang w:eastAsia="en-AU"/>
    </w:rPr>
  </w:style>
  <w:style w:type="paragraph" w:customStyle="1" w:styleId="Subtitle1">
    <w:name w:val="Subtitle1"/>
    <w:basedOn w:val="Normal"/>
    <w:uiPriority w:val="99"/>
    <w:rsid w:val="00BE27D9"/>
    <w:pPr>
      <w:spacing w:before="100" w:beforeAutospacing="1" w:after="100" w:afterAutospacing="1" w:line="240" w:lineRule="auto"/>
      <w:jc w:val="left"/>
    </w:pPr>
    <w:rPr>
      <w:rFonts w:ascii="Times New Roman" w:eastAsia="Times New Roman" w:hAnsi="Times New Roman" w:cs="Times New Roman"/>
      <w:sz w:val="24"/>
      <w:szCs w:val="24"/>
      <w:lang w:eastAsia="en-AU"/>
    </w:rPr>
  </w:style>
  <w:style w:type="paragraph" w:customStyle="1" w:styleId="small">
    <w:name w:val="small"/>
    <w:basedOn w:val="Normal"/>
    <w:uiPriority w:val="99"/>
    <w:rsid w:val="007F1129"/>
    <w:pPr>
      <w:spacing w:before="100" w:beforeAutospacing="1" w:after="100" w:afterAutospacing="1" w:line="393" w:lineRule="atLeast"/>
      <w:jc w:val="left"/>
    </w:pPr>
    <w:rPr>
      <w:rFonts w:ascii="Times New Roman" w:eastAsia="Times New Roman" w:hAnsi="Times New Roman" w:cs="Times New Roman"/>
      <w:lang w:eastAsia="en-AU"/>
    </w:rPr>
  </w:style>
  <w:style w:type="character" w:styleId="HTMLCite">
    <w:name w:val="HTML Cite"/>
    <w:basedOn w:val="DefaultParagraphFont"/>
    <w:uiPriority w:val="99"/>
    <w:semiHidden/>
    <w:rsid w:val="002102FD"/>
    <w:rPr>
      <w:rFonts w:cs="Times New Roman"/>
      <w:color w:val="009933"/>
    </w:rPr>
  </w:style>
  <w:style w:type="character" w:customStyle="1" w:styleId="vshid2">
    <w:name w:val="vshid2"/>
    <w:basedOn w:val="DefaultParagraphFont"/>
    <w:uiPriority w:val="99"/>
    <w:rsid w:val="002102FD"/>
    <w:rPr>
      <w:rFonts w:cs="Times New Roman"/>
      <w:vanis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786966">
      <w:marLeft w:val="0"/>
      <w:marRight w:val="0"/>
      <w:marTop w:val="0"/>
      <w:marBottom w:val="0"/>
      <w:divBdr>
        <w:top w:val="none" w:sz="0" w:space="0" w:color="auto"/>
        <w:left w:val="none" w:sz="0" w:space="0" w:color="auto"/>
        <w:bottom w:val="none" w:sz="0" w:space="0" w:color="auto"/>
        <w:right w:val="none" w:sz="0" w:space="0" w:color="auto"/>
      </w:divBdr>
      <w:divsChild>
        <w:div w:id="375787007">
          <w:marLeft w:val="240"/>
          <w:marRight w:val="240"/>
          <w:marTop w:val="360"/>
          <w:marBottom w:val="0"/>
          <w:divBdr>
            <w:top w:val="none" w:sz="0" w:space="0" w:color="auto"/>
            <w:left w:val="none" w:sz="0" w:space="0" w:color="auto"/>
            <w:bottom w:val="none" w:sz="0" w:space="0" w:color="auto"/>
            <w:right w:val="none" w:sz="0" w:space="0" w:color="auto"/>
          </w:divBdr>
          <w:divsChild>
            <w:div w:id="375786981">
              <w:marLeft w:val="480"/>
              <w:marRight w:val="480"/>
              <w:marTop w:val="240"/>
              <w:marBottom w:val="0"/>
              <w:divBdr>
                <w:top w:val="none" w:sz="0" w:space="0" w:color="auto"/>
                <w:left w:val="none" w:sz="0" w:space="0" w:color="auto"/>
                <w:bottom w:val="none" w:sz="0" w:space="0" w:color="auto"/>
                <w:right w:val="none" w:sz="0" w:space="0" w:color="auto"/>
              </w:divBdr>
              <w:divsChild>
                <w:div w:id="375786983">
                  <w:marLeft w:val="720"/>
                  <w:marRight w:val="720"/>
                  <w:marTop w:val="0"/>
                  <w:marBottom w:val="0"/>
                  <w:divBdr>
                    <w:top w:val="none" w:sz="0" w:space="0" w:color="auto"/>
                    <w:left w:val="none" w:sz="0" w:space="0" w:color="auto"/>
                    <w:bottom w:val="none" w:sz="0" w:space="0" w:color="auto"/>
                    <w:right w:val="none" w:sz="0" w:space="0" w:color="auto"/>
                  </w:divBdr>
                  <w:divsChild>
                    <w:div w:id="37578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5786970">
      <w:marLeft w:val="0"/>
      <w:marRight w:val="0"/>
      <w:marTop w:val="0"/>
      <w:marBottom w:val="0"/>
      <w:divBdr>
        <w:top w:val="none" w:sz="0" w:space="0" w:color="auto"/>
        <w:left w:val="none" w:sz="0" w:space="0" w:color="auto"/>
        <w:bottom w:val="none" w:sz="0" w:space="0" w:color="auto"/>
        <w:right w:val="none" w:sz="0" w:space="0" w:color="auto"/>
      </w:divBdr>
      <w:divsChild>
        <w:div w:id="375786965">
          <w:marLeft w:val="0"/>
          <w:marRight w:val="0"/>
          <w:marTop w:val="0"/>
          <w:marBottom w:val="0"/>
          <w:divBdr>
            <w:top w:val="none" w:sz="0" w:space="0" w:color="auto"/>
            <w:left w:val="none" w:sz="0" w:space="0" w:color="auto"/>
            <w:bottom w:val="none" w:sz="0" w:space="0" w:color="auto"/>
            <w:right w:val="none" w:sz="0" w:space="0" w:color="auto"/>
          </w:divBdr>
          <w:divsChild>
            <w:div w:id="37578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786972">
      <w:marLeft w:val="0"/>
      <w:marRight w:val="0"/>
      <w:marTop w:val="0"/>
      <w:marBottom w:val="0"/>
      <w:divBdr>
        <w:top w:val="none" w:sz="0" w:space="0" w:color="auto"/>
        <w:left w:val="none" w:sz="0" w:space="0" w:color="auto"/>
        <w:bottom w:val="none" w:sz="0" w:space="0" w:color="auto"/>
        <w:right w:val="none" w:sz="0" w:space="0" w:color="auto"/>
      </w:divBdr>
      <w:divsChild>
        <w:div w:id="375786998">
          <w:marLeft w:val="0"/>
          <w:marRight w:val="0"/>
          <w:marTop w:val="0"/>
          <w:marBottom w:val="0"/>
          <w:divBdr>
            <w:top w:val="none" w:sz="0" w:space="0" w:color="auto"/>
            <w:left w:val="none" w:sz="0" w:space="0" w:color="auto"/>
            <w:bottom w:val="none" w:sz="0" w:space="0" w:color="auto"/>
            <w:right w:val="none" w:sz="0" w:space="0" w:color="auto"/>
          </w:divBdr>
          <w:divsChild>
            <w:div w:id="37578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786978">
      <w:marLeft w:val="0"/>
      <w:marRight w:val="0"/>
      <w:marTop w:val="0"/>
      <w:marBottom w:val="0"/>
      <w:divBdr>
        <w:top w:val="none" w:sz="0" w:space="0" w:color="auto"/>
        <w:left w:val="none" w:sz="0" w:space="0" w:color="auto"/>
        <w:bottom w:val="none" w:sz="0" w:space="0" w:color="auto"/>
        <w:right w:val="none" w:sz="0" w:space="0" w:color="auto"/>
      </w:divBdr>
      <w:divsChild>
        <w:div w:id="375786991">
          <w:marLeft w:val="0"/>
          <w:marRight w:val="0"/>
          <w:marTop w:val="0"/>
          <w:marBottom w:val="0"/>
          <w:divBdr>
            <w:top w:val="none" w:sz="0" w:space="0" w:color="auto"/>
            <w:left w:val="none" w:sz="0" w:space="0" w:color="auto"/>
            <w:bottom w:val="none" w:sz="0" w:space="0" w:color="auto"/>
            <w:right w:val="none" w:sz="0" w:space="0" w:color="auto"/>
          </w:divBdr>
          <w:divsChild>
            <w:div w:id="375786969">
              <w:marLeft w:val="0"/>
              <w:marRight w:val="0"/>
              <w:marTop w:val="0"/>
              <w:marBottom w:val="0"/>
              <w:divBdr>
                <w:top w:val="none" w:sz="0" w:space="0" w:color="auto"/>
                <w:left w:val="none" w:sz="0" w:space="0" w:color="auto"/>
                <w:bottom w:val="none" w:sz="0" w:space="0" w:color="auto"/>
                <w:right w:val="none" w:sz="0" w:space="0" w:color="auto"/>
              </w:divBdr>
              <w:divsChild>
                <w:div w:id="37578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786979">
      <w:marLeft w:val="0"/>
      <w:marRight w:val="0"/>
      <w:marTop w:val="0"/>
      <w:marBottom w:val="0"/>
      <w:divBdr>
        <w:top w:val="none" w:sz="0" w:space="0" w:color="auto"/>
        <w:left w:val="none" w:sz="0" w:space="0" w:color="auto"/>
        <w:bottom w:val="none" w:sz="0" w:space="0" w:color="auto"/>
        <w:right w:val="none" w:sz="0" w:space="0" w:color="auto"/>
      </w:divBdr>
      <w:divsChild>
        <w:div w:id="375786975">
          <w:marLeft w:val="240"/>
          <w:marRight w:val="240"/>
          <w:marTop w:val="360"/>
          <w:marBottom w:val="0"/>
          <w:divBdr>
            <w:top w:val="none" w:sz="0" w:space="0" w:color="auto"/>
            <w:left w:val="none" w:sz="0" w:space="0" w:color="auto"/>
            <w:bottom w:val="none" w:sz="0" w:space="0" w:color="auto"/>
            <w:right w:val="none" w:sz="0" w:space="0" w:color="auto"/>
          </w:divBdr>
          <w:divsChild>
            <w:div w:id="375786968">
              <w:marLeft w:val="480"/>
              <w:marRight w:val="480"/>
              <w:marTop w:val="240"/>
              <w:marBottom w:val="0"/>
              <w:divBdr>
                <w:top w:val="none" w:sz="0" w:space="0" w:color="auto"/>
                <w:left w:val="none" w:sz="0" w:space="0" w:color="auto"/>
                <w:bottom w:val="none" w:sz="0" w:space="0" w:color="auto"/>
                <w:right w:val="none" w:sz="0" w:space="0" w:color="auto"/>
              </w:divBdr>
              <w:divsChild>
                <w:div w:id="375786992">
                  <w:marLeft w:val="720"/>
                  <w:marRight w:val="720"/>
                  <w:marTop w:val="0"/>
                  <w:marBottom w:val="0"/>
                  <w:divBdr>
                    <w:top w:val="none" w:sz="0" w:space="0" w:color="auto"/>
                    <w:left w:val="none" w:sz="0" w:space="0" w:color="auto"/>
                    <w:bottom w:val="none" w:sz="0" w:space="0" w:color="auto"/>
                    <w:right w:val="none" w:sz="0" w:space="0" w:color="auto"/>
                  </w:divBdr>
                  <w:divsChild>
                    <w:div w:id="37578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5786980">
      <w:marLeft w:val="0"/>
      <w:marRight w:val="0"/>
      <w:marTop w:val="0"/>
      <w:marBottom w:val="0"/>
      <w:divBdr>
        <w:top w:val="none" w:sz="0" w:space="0" w:color="auto"/>
        <w:left w:val="none" w:sz="0" w:space="0" w:color="auto"/>
        <w:bottom w:val="none" w:sz="0" w:space="0" w:color="auto"/>
        <w:right w:val="none" w:sz="0" w:space="0" w:color="auto"/>
      </w:divBdr>
    </w:div>
    <w:div w:id="375786987">
      <w:marLeft w:val="0"/>
      <w:marRight w:val="0"/>
      <w:marTop w:val="0"/>
      <w:marBottom w:val="0"/>
      <w:divBdr>
        <w:top w:val="none" w:sz="0" w:space="0" w:color="auto"/>
        <w:left w:val="none" w:sz="0" w:space="0" w:color="auto"/>
        <w:bottom w:val="none" w:sz="0" w:space="0" w:color="auto"/>
        <w:right w:val="none" w:sz="0" w:space="0" w:color="auto"/>
      </w:divBdr>
      <w:divsChild>
        <w:div w:id="375786964">
          <w:marLeft w:val="0"/>
          <w:marRight w:val="0"/>
          <w:marTop w:val="0"/>
          <w:marBottom w:val="0"/>
          <w:divBdr>
            <w:top w:val="none" w:sz="0" w:space="0" w:color="auto"/>
            <w:left w:val="none" w:sz="0" w:space="0" w:color="auto"/>
            <w:bottom w:val="none" w:sz="0" w:space="0" w:color="auto"/>
            <w:right w:val="none" w:sz="0" w:space="0" w:color="auto"/>
          </w:divBdr>
          <w:divsChild>
            <w:div w:id="37578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786989">
      <w:marLeft w:val="0"/>
      <w:marRight w:val="0"/>
      <w:marTop w:val="0"/>
      <w:marBottom w:val="0"/>
      <w:divBdr>
        <w:top w:val="none" w:sz="0" w:space="0" w:color="auto"/>
        <w:left w:val="none" w:sz="0" w:space="0" w:color="auto"/>
        <w:bottom w:val="none" w:sz="0" w:space="0" w:color="auto"/>
        <w:right w:val="none" w:sz="0" w:space="0" w:color="auto"/>
      </w:divBdr>
      <w:divsChild>
        <w:div w:id="375786974">
          <w:marLeft w:val="0"/>
          <w:marRight w:val="0"/>
          <w:marTop w:val="0"/>
          <w:marBottom w:val="150"/>
          <w:divBdr>
            <w:top w:val="single" w:sz="6" w:space="15" w:color="FFFFFF"/>
            <w:left w:val="none" w:sz="0" w:space="0" w:color="auto"/>
            <w:bottom w:val="none" w:sz="0" w:space="0" w:color="auto"/>
            <w:right w:val="none" w:sz="0" w:space="0" w:color="auto"/>
          </w:divBdr>
          <w:divsChild>
            <w:div w:id="37578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786997">
      <w:marLeft w:val="0"/>
      <w:marRight w:val="0"/>
      <w:marTop w:val="0"/>
      <w:marBottom w:val="0"/>
      <w:divBdr>
        <w:top w:val="none" w:sz="0" w:space="0" w:color="auto"/>
        <w:left w:val="none" w:sz="0" w:space="0" w:color="auto"/>
        <w:bottom w:val="none" w:sz="0" w:space="0" w:color="auto"/>
        <w:right w:val="none" w:sz="0" w:space="0" w:color="auto"/>
      </w:divBdr>
      <w:divsChild>
        <w:div w:id="375786994">
          <w:marLeft w:val="0"/>
          <w:marRight w:val="0"/>
          <w:marTop w:val="0"/>
          <w:marBottom w:val="0"/>
          <w:divBdr>
            <w:top w:val="none" w:sz="0" w:space="0" w:color="auto"/>
            <w:left w:val="none" w:sz="0" w:space="0" w:color="auto"/>
            <w:bottom w:val="none" w:sz="0" w:space="0" w:color="auto"/>
            <w:right w:val="none" w:sz="0" w:space="0" w:color="auto"/>
          </w:divBdr>
          <w:divsChild>
            <w:div w:id="37578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786999">
      <w:marLeft w:val="0"/>
      <w:marRight w:val="0"/>
      <w:marTop w:val="0"/>
      <w:marBottom w:val="0"/>
      <w:divBdr>
        <w:top w:val="none" w:sz="0" w:space="0" w:color="auto"/>
        <w:left w:val="none" w:sz="0" w:space="0" w:color="auto"/>
        <w:bottom w:val="none" w:sz="0" w:space="0" w:color="auto"/>
        <w:right w:val="none" w:sz="0" w:space="0" w:color="auto"/>
      </w:divBdr>
      <w:divsChild>
        <w:div w:id="375786984">
          <w:marLeft w:val="0"/>
          <w:marRight w:val="1"/>
          <w:marTop w:val="0"/>
          <w:marBottom w:val="0"/>
          <w:divBdr>
            <w:top w:val="none" w:sz="0" w:space="0" w:color="auto"/>
            <w:left w:val="none" w:sz="0" w:space="0" w:color="auto"/>
            <w:bottom w:val="none" w:sz="0" w:space="0" w:color="auto"/>
            <w:right w:val="none" w:sz="0" w:space="0" w:color="auto"/>
          </w:divBdr>
          <w:divsChild>
            <w:div w:id="375786995">
              <w:marLeft w:val="295"/>
              <w:marRight w:val="0"/>
              <w:marTop w:val="0"/>
              <w:marBottom w:val="0"/>
              <w:divBdr>
                <w:top w:val="none" w:sz="0" w:space="0" w:color="auto"/>
                <w:left w:val="none" w:sz="0" w:space="0" w:color="auto"/>
                <w:bottom w:val="none" w:sz="0" w:space="0" w:color="auto"/>
                <w:right w:val="none" w:sz="0" w:space="0" w:color="auto"/>
              </w:divBdr>
              <w:divsChild>
                <w:div w:id="375786985">
                  <w:marLeft w:val="0"/>
                  <w:marRight w:val="0"/>
                  <w:marTop w:val="0"/>
                  <w:marBottom w:val="0"/>
                  <w:divBdr>
                    <w:top w:val="none" w:sz="0" w:space="0" w:color="auto"/>
                    <w:left w:val="none" w:sz="0" w:space="0" w:color="auto"/>
                    <w:bottom w:val="none" w:sz="0" w:space="0" w:color="auto"/>
                    <w:right w:val="none" w:sz="0" w:space="0" w:color="auto"/>
                  </w:divBdr>
                  <w:divsChild>
                    <w:div w:id="375787005">
                      <w:marLeft w:val="0"/>
                      <w:marRight w:val="0"/>
                      <w:marTop w:val="0"/>
                      <w:marBottom w:val="0"/>
                      <w:divBdr>
                        <w:top w:val="none" w:sz="0" w:space="0" w:color="auto"/>
                        <w:left w:val="none" w:sz="0" w:space="0" w:color="auto"/>
                        <w:bottom w:val="none" w:sz="0" w:space="0" w:color="auto"/>
                        <w:right w:val="none" w:sz="0" w:space="0" w:color="auto"/>
                      </w:divBdr>
                      <w:divsChild>
                        <w:div w:id="37578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5787002">
      <w:marLeft w:val="0"/>
      <w:marRight w:val="0"/>
      <w:marTop w:val="0"/>
      <w:marBottom w:val="0"/>
      <w:divBdr>
        <w:top w:val="none" w:sz="0" w:space="0" w:color="auto"/>
        <w:left w:val="none" w:sz="0" w:space="0" w:color="auto"/>
        <w:bottom w:val="none" w:sz="0" w:space="0" w:color="auto"/>
        <w:right w:val="none" w:sz="0" w:space="0" w:color="auto"/>
      </w:divBdr>
      <w:divsChild>
        <w:div w:id="375786976">
          <w:marLeft w:val="0"/>
          <w:marRight w:val="0"/>
          <w:marTop w:val="0"/>
          <w:marBottom w:val="0"/>
          <w:divBdr>
            <w:top w:val="none" w:sz="0" w:space="0" w:color="auto"/>
            <w:left w:val="none" w:sz="0" w:space="0" w:color="auto"/>
            <w:bottom w:val="none" w:sz="0" w:space="0" w:color="auto"/>
            <w:right w:val="none" w:sz="0" w:space="0" w:color="auto"/>
          </w:divBdr>
          <w:divsChild>
            <w:div w:id="375786973">
              <w:marLeft w:val="0"/>
              <w:marRight w:val="0"/>
              <w:marTop w:val="0"/>
              <w:marBottom w:val="0"/>
              <w:divBdr>
                <w:top w:val="none" w:sz="0" w:space="0" w:color="auto"/>
                <w:left w:val="none" w:sz="0" w:space="0" w:color="auto"/>
                <w:bottom w:val="none" w:sz="0" w:space="0" w:color="auto"/>
                <w:right w:val="none" w:sz="0" w:space="0" w:color="auto"/>
              </w:divBdr>
              <w:divsChild>
                <w:div w:id="37578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787006">
      <w:marLeft w:val="0"/>
      <w:marRight w:val="0"/>
      <w:marTop w:val="0"/>
      <w:marBottom w:val="0"/>
      <w:divBdr>
        <w:top w:val="none" w:sz="0" w:space="0" w:color="auto"/>
        <w:left w:val="none" w:sz="0" w:space="0" w:color="auto"/>
        <w:bottom w:val="none" w:sz="0" w:space="0" w:color="auto"/>
        <w:right w:val="none" w:sz="0" w:space="0" w:color="auto"/>
      </w:divBdr>
      <w:divsChild>
        <w:div w:id="375786977">
          <w:marLeft w:val="0"/>
          <w:marRight w:val="0"/>
          <w:marTop w:val="0"/>
          <w:marBottom w:val="150"/>
          <w:divBdr>
            <w:top w:val="single" w:sz="6" w:space="15" w:color="FFFFFF"/>
            <w:left w:val="none" w:sz="0" w:space="0" w:color="auto"/>
            <w:bottom w:val="none" w:sz="0" w:space="0" w:color="auto"/>
            <w:right w:val="none" w:sz="0" w:space="0" w:color="auto"/>
          </w:divBdr>
          <w:divsChild>
            <w:div w:id="375787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787009">
      <w:marLeft w:val="0"/>
      <w:marRight w:val="0"/>
      <w:marTop w:val="0"/>
      <w:marBottom w:val="0"/>
      <w:divBdr>
        <w:top w:val="none" w:sz="0" w:space="0" w:color="auto"/>
        <w:left w:val="none" w:sz="0" w:space="0" w:color="auto"/>
        <w:bottom w:val="none" w:sz="0" w:space="0" w:color="auto"/>
        <w:right w:val="none" w:sz="0" w:space="0" w:color="auto"/>
      </w:divBdr>
      <w:divsChild>
        <w:div w:id="375786996">
          <w:marLeft w:val="0"/>
          <w:marRight w:val="0"/>
          <w:marTop w:val="0"/>
          <w:marBottom w:val="0"/>
          <w:divBdr>
            <w:top w:val="none" w:sz="0" w:space="0" w:color="auto"/>
            <w:left w:val="none" w:sz="0" w:space="0" w:color="auto"/>
            <w:bottom w:val="none" w:sz="0" w:space="0" w:color="auto"/>
            <w:right w:val="none" w:sz="0" w:space="0" w:color="auto"/>
          </w:divBdr>
          <w:divsChild>
            <w:div w:id="37578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017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image" Target="media/image5.png"/><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www.fapwtr.org/ram_fap.htm"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4.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hyperlink" Target="http://www.ema.europa.eu/ema/index.jsp?curl=pages/medicines/human/medicines/002294/human_med_001498.jsp&amp;mid=WC0b01ac058001d124&amp;murl=menus/medicines/medicines.jsp&amp;jsenabled=true"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www.tga.gov.au/industry/ivd-classification.htm" TargetMode="Externa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http://www.ncbi.nlm.nih.gov/books/NBK1194/?report=printable" TargetMode="External"/><Relationship Id="rId10" Type="http://schemas.openxmlformats.org/officeDocument/2006/relationships/image" Target="media/image3.png"/><Relationship Id="rId19" Type="http://schemas.openxmlformats.org/officeDocument/2006/relationships/hyperlink" Target="http://www.health.gov.au/internet/hta/publishing.nsf/Content/170AAB0885294EAFCA25774200820890/$File/htaap-info-pack.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 Id="rId22" Type="http://schemas.openxmlformats.org/officeDocument/2006/relationships/hyperlink" Target="http://www.nhsc-healthhorizons.org.uk/files/downloads/1390/1895.652b1f88869ff09ce0403e5a3ab3ec21.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nata.com.au/" TargetMode="External"/><Relationship Id="rId2" Type="http://schemas.openxmlformats.org/officeDocument/2006/relationships/hyperlink" Target="http://www.health.gov.au/internet/main/publishing.nsf/Content/health-npaac-publication.htm" TargetMode="External"/><Relationship Id="rId1" Type="http://schemas.openxmlformats.org/officeDocument/2006/relationships/hyperlink" Target="http://www.tga.gov.au/industry/pm-orphan-drug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TotalTime>
  <Pages>16</Pages>
  <Words>3988</Words>
  <Characters>27381</Characters>
  <Application>Microsoft Office Word</Application>
  <DocSecurity>0</DocSecurity>
  <Lines>228</Lines>
  <Paragraphs>62</Paragraphs>
  <ScaleCrop>false</ScaleCrop>
  <HeadingPairs>
    <vt:vector size="2" baseType="variant">
      <vt:variant>
        <vt:lpstr>Title</vt:lpstr>
      </vt:variant>
      <vt:variant>
        <vt:i4>1</vt:i4>
      </vt:variant>
    </vt:vector>
  </HeadingPairs>
  <TitlesOfParts>
    <vt:vector size="1" baseType="lpstr">
      <vt:lpstr>Application 1222</vt:lpstr>
    </vt:vector>
  </TitlesOfParts>
  <Company/>
  <LinksUpToDate>false</LinksUpToDate>
  <CharactersWithSpaces>31307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1222</dc:title>
  <dc:subject/>
  <dc:creator>Liliana Bulfone</dc:creator>
  <cp:keywords/>
  <dc:description/>
  <cp:lastModifiedBy>Jessica Dorman</cp:lastModifiedBy>
  <cp:revision>12</cp:revision>
  <cp:lastPrinted>2012-09-19T05:28:00Z</cp:lastPrinted>
  <dcterms:created xsi:type="dcterms:W3CDTF">2012-09-14T02:29:00Z</dcterms:created>
  <dcterms:modified xsi:type="dcterms:W3CDTF">2013-08-15T01:19:00Z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